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57" w:lineRule="auto" w:before="1"/>
        <w:ind w:left="6927" w:right="92" w:hanging="4"/>
        <w:jc w:val="left"/>
        <w:rPr>
          <w:rFonts w:ascii="Times New Roman" w:hAnsi="Times New Roman" w:cs="Times New Roman" w:eastAsia="Times New Roman" w:hint="default"/>
          <w:b w:val="0"/>
          <w:bCs w:val="0"/>
        </w:rPr>
      </w:pPr>
      <w:r>
        <w:rPr/>
        <w:t>股票简称：众信旅游</w:t>
      </w:r>
      <w:r>
        <w:rPr>
          <w:spacing w:val="1"/>
          <w:w w:val="99"/>
        </w:rPr>
        <w:t> </w:t>
      </w:r>
      <w:r>
        <w:rPr/>
        <w:t>股票代码：</w:t>
      </w:r>
      <w:r>
        <w:rPr>
          <w:rFonts w:ascii="Times New Roman" w:hAnsi="Times New Roman" w:cs="Times New Roman" w:eastAsia="Times New Roman" w:hint="default"/>
        </w:rPr>
        <w:t>002707</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21"/>
          <w:szCs w:val="21"/>
        </w:rPr>
      </w:pPr>
    </w:p>
    <w:p>
      <w:pPr>
        <w:spacing w:line="1232" w:lineRule="exact"/>
        <w:ind w:left="30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1543768" cy="78247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43768" cy="782478"/>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9"/>
        <w:rPr>
          <w:rFonts w:ascii="Times New Roman" w:hAnsi="Times New Roman" w:cs="Times New Roman" w:eastAsia="Times New Roman" w:hint="default"/>
          <w:b/>
          <w:bCs/>
          <w:sz w:val="26"/>
          <w:szCs w:val="26"/>
        </w:rPr>
      </w:pPr>
    </w:p>
    <w:p>
      <w:pPr>
        <w:spacing w:before="0"/>
        <w:ind w:left="639" w:right="1296" w:firstLine="0"/>
        <w:jc w:val="center"/>
        <w:rPr>
          <w:rFonts w:ascii="宋体" w:hAnsi="宋体" w:cs="宋体" w:eastAsia="宋体" w:hint="default"/>
          <w:sz w:val="48"/>
          <w:szCs w:val="48"/>
        </w:rPr>
      </w:pPr>
      <w:r>
        <w:rPr>
          <w:rFonts w:ascii="宋体" w:hAnsi="宋体" w:cs="宋体" w:eastAsia="宋体" w:hint="default"/>
          <w:b/>
          <w:bCs/>
          <w:sz w:val="48"/>
          <w:szCs w:val="48"/>
        </w:rPr>
        <w:t>北京众信国际旅行社股份有限公司</w:t>
      </w:r>
      <w:r>
        <w:rPr>
          <w:rFonts w:ascii="宋体" w:hAnsi="宋体" w:cs="宋体" w:eastAsia="宋体" w:hint="default"/>
          <w:sz w:val="48"/>
          <w:szCs w:val="48"/>
        </w:rPr>
      </w:r>
    </w:p>
    <w:p>
      <w:pPr>
        <w:spacing w:before="305"/>
        <w:ind w:left="639" w:right="1296"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2015</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4"/>
        <w:rPr>
          <w:rFonts w:ascii="宋体" w:hAnsi="宋体" w:cs="宋体" w:eastAsia="宋体" w:hint="default"/>
          <w:b/>
          <w:bCs/>
          <w:sz w:val="66"/>
          <w:szCs w:val="66"/>
        </w:rPr>
      </w:pPr>
    </w:p>
    <w:p>
      <w:pPr>
        <w:spacing w:before="0"/>
        <w:ind w:left="638" w:right="1296"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2016</w:t>
      </w:r>
      <w:r>
        <w:rPr>
          <w:rFonts w:ascii="Times New Roman" w:hAnsi="Times New Roman" w:cs="Times New Roman" w:eastAsia="Times New Roman" w:hint="default"/>
          <w:b/>
          <w:bCs/>
          <w:spacing w:val="-2"/>
          <w:sz w:val="36"/>
          <w:szCs w:val="36"/>
        </w:rPr>
        <w:t> </w:t>
      </w:r>
      <w:r>
        <w:rPr>
          <w:rFonts w:ascii="宋体" w:hAnsi="宋体" w:cs="宋体" w:eastAsia="宋体" w:hint="default"/>
          <w:b/>
          <w:bCs/>
          <w:sz w:val="36"/>
          <w:szCs w:val="36"/>
        </w:rPr>
        <w:t>年</w:t>
      </w:r>
      <w:r>
        <w:rPr>
          <w:rFonts w:ascii="宋体" w:hAnsi="宋体" w:cs="宋体" w:eastAsia="宋体" w:hint="default"/>
          <w:b/>
          <w:bCs/>
          <w:spacing w:val="-93"/>
          <w:sz w:val="36"/>
          <w:szCs w:val="36"/>
        </w:rPr>
        <w:t> </w:t>
      </w:r>
      <w:r>
        <w:rPr>
          <w:rFonts w:ascii="Times New Roman" w:hAnsi="Times New Roman" w:cs="Times New Roman" w:eastAsia="Times New Roman" w:hint="default"/>
          <w:b/>
          <w:bCs/>
          <w:sz w:val="36"/>
          <w:szCs w:val="36"/>
        </w:rPr>
        <w:t>3</w:t>
      </w:r>
      <w:r>
        <w:rPr>
          <w:rFonts w:ascii="Times New Roman" w:hAnsi="Times New Roman" w:cs="Times New Roman" w:eastAsia="Times New Roman" w:hint="default"/>
          <w:b/>
          <w:bCs/>
          <w:spacing w:val="-2"/>
          <w:sz w:val="36"/>
          <w:szCs w:val="36"/>
        </w:rPr>
        <w:t> </w:t>
      </w:r>
      <w:r>
        <w:rPr>
          <w:rFonts w:ascii="宋体" w:hAnsi="宋体" w:cs="宋体" w:eastAsia="宋体" w:hint="default"/>
          <w:b/>
          <w:bCs/>
          <w:sz w:val="36"/>
          <w:szCs w:val="36"/>
        </w:rPr>
        <w:t>月</w:t>
      </w:r>
      <w:r>
        <w:rPr>
          <w:rFonts w:ascii="宋体" w:hAnsi="宋体" w:cs="宋体" w:eastAsia="宋体" w:hint="default"/>
          <w:b/>
          <w:bCs/>
          <w:spacing w:val="-91"/>
          <w:sz w:val="36"/>
          <w:szCs w:val="36"/>
        </w:rPr>
        <w:t> </w:t>
      </w:r>
      <w:r>
        <w:rPr>
          <w:rFonts w:ascii="Times New Roman" w:hAnsi="Times New Roman" w:cs="Times New Roman" w:eastAsia="Times New Roman" w:hint="default"/>
          <w:b/>
          <w:bCs/>
          <w:sz w:val="36"/>
          <w:szCs w:val="36"/>
        </w:rPr>
        <w:t>15</w:t>
      </w:r>
      <w:r>
        <w:rPr>
          <w:rFonts w:ascii="Times New Roman" w:hAnsi="Times New Roman" w:cs="Times New Roman" w:eastAsia="Times New Roman" w:hint="default"/>
          <w:b/>
          <w:bCs/>
          <w:spacing w:val="-2"/>
          <w:sz w:val="36"/>
          <w:szCs w:val="36"/>
        </w:rPr>
        <w:t> </w:t>
      </w:r>
      <w:r>
        <w:rPr>
          <w:rFonts w:ascii="宋体" w:hAnsi="宋体" w:cs="宋体" w:eastAsia="宋体" w:hint="default"/>
          <w:b/>
          <w:bCs/>
          <w:sz w:val="36"/>
          <w:szCs w:val="36"/>
        </w:rPr>
        <w:t>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400" w:bottom="280" w:left="1680" w:right="102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1"/>
        <w:spacing w:line="437" w:lineRule="exact" w:before="0"/>
        <w:ind w:right="3747"/>
        <w:jc w:val="center"/>
        <w:rPr>
          <w:rFonts w:ascii="Microsoft JhengHei" w:hAnsi="Microsoft JhengHei" w:cs="Microsoft JhengHei" w:eastAsia="Microsoft JhengHei" w:hint="default"/>
          <w:b w:val="0"/>
          <w:bCs w:val="0"/>
        </w:rPr>
      </w:pPr>
      <w:bookmarkStart w:name="_TOC_250011" w:id="1"/>
      <w:r>
        <w:rPr>
          <w:rFonts w:ascii="Microsoft JhengHei" w:hAnsi="Microsoft JhengHei" w:cs="Microsoft JhengHei" w:eastAsia="Microsoft JhengHei" w:hint="default"/>
        </w:rPr>
        <w:t>致股东</w:t>
      </w:r>
      <w:bookmarkEnd w:id="1"/>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30"/>
          <w:szCs w:val="30"/>
        </w:rPr>
      </w:pPr>
    </w:p>
    <w:p>
      <w:pPr>
        <w:spacing w:line="350" w:lineRule="auto" w:before="0"/>
        <w:ind w:left="153" w:right="148" w:firstLine="480"/>
        <w:jc w:val="both"/>
        <w:rPr>
          <w:rFonts w:ascii="楷体" w:hAnsi="楷体" w:cs="楷体" w:eastAsia="楷体" w:hint="default"/>
          <w:sz w:val="24"/>
          <w:szCs w:val="24"/>
        </w:rPr>
      </w:pPr>
      <w:r>
        <w:rPr>
          <w:rFonts w:ascii="Times New Roman" w:hAnsi="Times New Roman" w:cs="Times New Roman" w:eastAsia="Times New Roman" w:hint="default"/>
          <w:sz w:val="24"/>
          <w:szCs w:val="24"/>
        </w:rPr>
        <w:t>“</w:t>
      </w:r>
      <w:r>
        <w:rPr>
          <w:rFonts w:ascii="楷体" w:hAnsi="楷体" w:cs="楷体" w:eastAsia="楷体" w:hint="default"/>
          <w:sz w:val="24"/>
          <w:szCs w:val="24"/>
        </w:rPr>
        <w:t>世界那么大，我想去看看</w:t>
      </w:r>
      <w:r>
        <w:rPr>
          <w:rFonts w:ascii="Times New Roman" w:hAnsi="Times New Roman" w:cs="Times New Roman" w:eastAsia="Times New Roman" w:hint="default"/>
          <w:sz w:val="24"/>
          <w:szCs w:val="24"/>
        </w:rPr>
        <w:t>”</w:t>
      </w:r>
      <w:r>
        <w:rPr>
          <w:rFonts w:ascii="楷体" w:hAnsi="楷体" w:cs="楷体" w:eastAsia="楷体" w:hint="default"/>
          <w:sz w:val="24"/>
          <w:szCs w:val="24"/>
        </w:rPr>
        <w:t>，</w:t>
      </w:r>
      <w:r>
        <w:rPr>
          <w:rFonts w:ascii="Times New Roman" w:hAnsi="Times New Roman" w:cs="Times New Roman" w:eastAsia="Times New Roman" w:hint="default"/>
          <w:sz w:val="24"/>
          <w:szCs w:val="24"/>
        </w:rPr>
        <w:t>2015 </w:t>
      </w:r>
      <w:r>
        <w:rPr>
          <w:rFonts w:ascii="楷体" w:hAnsi="楷体" w:cs="楷体" w:eastAsia="楷体" w:hint="default"/>
          <w:sz w:val="24"/>
          <w:szCs w:val="24"/>
        </w:rPr>
        <w:t>年我国全年出境旅游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楷体" w:hAnsi="楷体" w:cs="楷体" w:eastAsia="楷体" w:hint="default"/>
          <w:sz w:val="24"/>
          <w:szCs w:val="24"/>
        </w:rPr>
        <w:t>亿人次，出境旅游继续保持 高速增长，有望继续蝉联全球最大出境旅游客源国。中国拥有庞大的人口基数，丰富的财富</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积累以及不容忽视的经济发展耐力和后劲，我们相信出境旅游市场未来较长时期仍将处于快</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速发展的风口。</w:t>
      </w:r>
    </w:p>
    <w:p>
      <w:pPr>
        <w:spacing w:line="357" w:lineRule="auto" w:before="43"/>
        <w:ind w:left="153" w:right="148" w:firstLine="480"/>
        <w:jc w:val="both"/>
        <w:rPr>
          <w:rFonts w:ascii="楷体" w:hAnsi="楷体" w:cs="楷体" w:eastAsia="楷体" w:hint="default"/>
          <w:sz w:val="24"/>
          <w:szCs w:val="24"/>
        </w:rPr>
      </w:pPr>
      <w:r>
        <w:rPr>
          <w:rFonts w:ascii="楷体" w:hAnsi="楷体" w:cs="楷体" w:eastAsia="楷体" w:hint="default"/>
          <w:sz w:val="24"/>
          <w:szCs w:val="24"/>
        </w:rPr>
        <w:t>中国的出境游行业用短短十几年时间浓缩了国外一百多年的历史，行业快速发展，特别</w:t>
      </w:r>
      <w:r>
        <w:rPr>
          <w:rFonts w:ascii="楷体" w:hAnsi="楷体" w:cs="楷体" w:eastAsia="楷体" w:hint="default"/>
          <w:spacing w:val="1"/>
          <w:sz w:val="24"/>
          <w:szCs w:val="24"/>
        </w:rPr>
        <w:t> </w:t>
      </w:r>
      <w:r>
        <w:rPr>
          <w:rFonts w:ascii="楷体" w:hAnsi="楷体" w:cs="楷体" w:eastAsia="楷体" w:hint="default"/>
          <w:sz w:val="24"/>
          <w:szCs w:val="24"/>
        </w:rPr>
        <w:t>是近期行业更是发生了很多比预想要快、或者是意料之外的变化。滴滴出行和快的打车、美</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团和大众点评合并，携程入股去哪儿，万达在投资国内不少旅行社之后投资同程，凯撒旅游</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pacing w:val="-5"/>
          <w:sz w:val="24"/>
          <w:szCs w:val="24"/>
        </w:rPr>
        <w:t>借壳上市，海航旅游投资途牛，旅游企业合纵连横，线上线下融合加快，不断重塑行业格局，</w:t>
      </w:r>
      <w:r>
        <w:rPr>
          <w:rFonts w:ascii="楷体" w:hAnsi="楷体" w:cs="楷体" w:eastAsia="楷体" w:hint="default"/>
          <w:sz w:val="24"/>
          <w:szCs w:val="24"/>
        </w:rPr>
        <w:t> 模糊企业类型界限。</w:t>
      </w:r>
    </w:p>
    <w:p>
      <w:pPr>
        <w:spacing w:line="357" w:lineRule="auto" w:before="36"/>
        <w:ind w:left="153" w:right="148" w:firstLine="480"/>
        <w:jc w:val="both"/>
        <w:rPr>
          <w:rFonts w:ascii="楷体" w:hAnsi="楷体" w:cs="楷体" w:eastAsia="楷体" w:hint="default"/>
          <w:sz w:val="24"/>
          <w:szCs w:val="24"/>
        </w:rPr>
      </w:pPr>
      <w:r>
        <w:rPr>
          <w:rFonts w:ascii="楷体" w:hAnsi="楷体" w:cs="楷体" w:eastAsia="楷体" w:hint="default"/>
          <w:sz w:val="24"/>
          <w:szCs w:val="24"/>
        </w:rPr>
        <w:t>旅游企业日益呈现出愈加开放合作的态势，业内企业在微观层面持续竞争的同时，在宏</w:t>
      </w:r>
      <w:r>
        <w:rPr>
          <w:rFonts w:ascii="楷体" w:hAnsi="楷体" w:cs="楷体" w:eastAsia="楷体" w:hint="default"/>
          <w:spacing w:val="1"/>
          <w:sz w:val="24"/>
          <w:szCs w:val="24"/>
        </w:rPr>
        <w:t> </w:t>
      </w:r>
      <w:r>
        <w:rPr>
          <w:rFonts w:ascii="楷体" w:hAnsi="楷体" w:cs="楷体" w:eastAsia="楷体" w:hint="default"/>
          <w:sz w:val="24"/>
          <w:szCs w:val="24"/>
        </w:rPr>
        <w:t>观层面、资本层面的合作在加深，出境游市场集中度进一步提高，产品和服务、信息技术和</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资本已经成为旅游业未来发展的核心要素。旅游行业，特别是出境游行业正处在大变革的前</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夜。</w:t>
      </w:r>
    </w:p>
    <w:p>
      <w:pPr>
        <w:spacing w:line="357" w:lineRule="auto" w:before="36"/>
        <w:ind w:left="153" w:right="148" w:firstLine="480"/>
        <w:jc w:val="both"/>
        <w:rPr>
          <w:rFonts w:ascii="楷体" w:hAnsi="楷体" w:cs="楷体" w:eastAsia="楷体" w:hint="default"/>
          <w:sz w:val="24"/>
          <w:szCs w:val="24"/>
        </w:rPr>
      </w:pPr>
      <w:r>
        <w:rPr>
          <w:rFonts w:ascii="楷体" w:hAnsi="楷体" w:cs="楷体" w:eastAsia="楷体" w:hint="default"/>
          <w:sz w:val="24"/>
          <w:szCs w:val="24"/>
        </w:rPr>
        <w:t>面对这纷繁复杂又精彩纷呈的出境游大时代，如何能够抓住行业风口，让我们前行的脚</w:t>
      </w:r>
      <w:r>
        <w:rPr>
          <w:rFonts w:ascii="楷体" w:hAnsi="楷体" w:cs="楷体" w:eastAsia="楷体" w:hint="default"/>
          <w:spacing w:val="1"/>
          <w:sz w:val="24"/>
          <w:szCs w:val="24"/>
        </w:rPr>
        <w:t> </w:t>
      </w:r>
      <w:r>
        <w:rPr>
          <w:rFonts w:ascii="楷体" w:hAnsi="楷体" w:cs="楷体" w:eastAsia="楷体" w:hint="default"/>
          <w:sz w:val="24"/>
          <w:szCs w:val="24"/>
        </w:rPr>
        <w:t>步更加踏实，如何能在未来的行业中站得更稳，提高我们的竞争能力，一直是我们所有众信</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人深思的问题。</w:t>
      </w:r>
    </w:p>
    <w:p>
      <w:pPr>
        <w:spacing w:line="357" w:lineRule="auto" w:before="36"/>
        <w:ind w:left="633" w:right="148" w:firstLine="2"/>
        <w:jc w:val="left"/>
        <w:rPr>
          <w:rFonts w:ascii="楷体" w:hAnsi="楷体" w:cs="楷体" w:eastAsia="楷体" w:hint="default"/>
          <w:sz w:val="24"/>
          <w:szCs w:val="24"/>
        </w:rPr>
      </w:pPr>
      <w:r>
        <w:rPr>
          <w:rFonts w:ascii="楷体" w:hAnsi="楷体" w:cs="楷体" w:eastAsia="楷体" w:hint="default"/>
          <w:b/>
          <w:bCs/>
          <w:sz w:val="24"/>
          <w:szCs w:val="24"/>
        </w:rPr>
        <w:t>平衡：纵向完善出境游业务上、中、下游</w:t>
      </w:r>
      <w:r>
        <w:rPr>
          <w:rFonts w:ascii="楷体" w:hAnsi="楷体" w:cs="楷体" w:eastAsia="楷体" w:hint="default"/>
          <w:b/>
          <w:bCs/>
          <w:spacing w:val="1"/>
          <w:w w:val="99"/>
          <w:sz w:val="24"/>
          <w:szCs w:val="24"/>
        </w:rPr>
        <w:t> </w:t>
      </w:r>
      <w:r>
        <w:rPr>
          <w:rFonts w:ascii="楷体" w:hAnsi="楷体" w:cs="楷体" w:eastAsia="楷体" w:hint="default"/>
          <w:spacing w:val="-6"/>
          <w:sz w:val="24"/>
          <w:szCs w:val="24"/>
        </w:rPr>
        <w:t>一直以来，我们管理层和所有员工始终认为要不断把出境游这个核心夯实、做牢，为此，</w:t>
      </w:r>
    </w:p>
    <w:p>
      <w:pPr>
        <w:spacing w:line="357" w:lineRule="auto" w:before="36"/>
        <w:ind w:left="153" w:right="148" w:firstLine="0"/>
        <w:jc w:val="left"/>
        <w:rPr>
          <w:rFonts w:ascii="楷体" w:hAnsi="楷体" w:cs="楷体" w:eastAsia="楷体" w:hint="default"/>
          <w:sz w:val="24"/>
          <w:szCs w:val="24"/>
        </w:rPr>
      </w:pPr>
      <w:r>
        <w:rPr>
          <w:rFonts w:ascii="楷体" w:hAnsi="楷体" w:cs="楷体" w:eastAsia="楷体" w:hint="default"/>
          <w:sz w:val="24"/>
          <w:szCs w:val="24"/>
        </w:rPr>
        <w:t>我们坚持纵向完善出境游业务的上、中、下游，实现产业链一体化，从客户、资源和渠道上</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一步步提高出境游业务的壁垒，强化我们的能力圈，并为其他所有业务打下扎实基础。</w:t>
      </w:r>
    </w:p>
    <w:p>
      <w:pPr>
        <w:spacing w:line="345" w:lineRule="auto" w:before="36"/>
        <w:ind w:left="1054" w:right="14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1"/>
          <w:sz w:val="24"/>
          <w:szCs w:val="24"/>
        </w:rPr>
        <w:t></w:t>
      </w:r>
      <w:r>
        <w:rPr>
          <w:rFonts w:ascii="Times New Roman" w:hAnsi="Times New Roman" w:cs="Times New Roman" w:eastAsia="Times New Roman" w:hint="default"/>
          <w:spacing w:val="-11"/>
          <w:sz w:val="24"/>
          <w:szCs w:val="24"/>
        </w:rPr>
      </w:r>
      <w:r>
        <w:rPr>
          <w:rFonts w:ascii="楷体" w:hAnsi="楷体" w:cs="楷体" w:eastAsia="楷体" w:hint="default"/>
          <w:b/>
          <w:bCs/>
          <w:spacing w:val="2"/>
          <w:sz w:val="24"/>
          <w:szCs w:val="24"/>
        </w:rPr>
        <w:t>上游：</w:t>
      </w:r>
      <w:r>
        <w:rPr>
          <w:rFonts w:ascii="楷体" w:hAnsi="楷体" w:cs="楷体" w:eastAsia="楷体" w:hint="default"/>
          <w:spacing w:val="2"/>
          <w:sz w:val="24"/>
          <w:szCs w:val="24"/>
        </w:rPr>
        <w:t>消费者需求日益多元，因此我们在上游资源端布局时既考虑跟团游业务的需</w:t>
      </w:r>
      <w:r>
        <w:rPr>
          <w:rFonts w:ascii="楷体" w:hAnsi="楷体" w:cs="楷体" w:eastAsia="楷体" w:hint="default"/>
          <w:sz w:val="24"/>
          <w:szCs w:val="24"/>
        </w:rPr>
        <w:t> 要，也考虑定制游、自助游产品的特点，进行不同目的地不同资源的布局。继和复</w:t>
      </w:r>
      <w:r>
        <w:rPr>
          <w:rFonts w:ascii="楷体" w:hAnsi="楷体" w:cs="楷体" w:eastAsia="楷体" w:hint="default"/>
          <w:spacing w:val="2"/>
          <w:sz w:val="24"/>
          <w:szCs w:val="24"/>
        </w:rPr>
        <w:t> </w:t>
      </w:r>
      <w:r>
        <w:rPr>
          <w:rFonts w:ascii="楷体" w:hAnsi="楷体" w:cs="楷体" w:eastAsia="楷体" w:hint="default"/>
          <w:sz w:val="24"/>
          <w:szCs w:val="24"/>
        </w:rPr>
        <w:t>星一起成功投资 </w:t>
      </w:r>
      <w:r>
        <w:rPr>
          <w:rFonts w:ascii="Times New Roman" w:hAnsi="Times New Roman" w:cs="Times New Roman" w:eastAsia="Times New Roman" w:hint="default"/>
          <w:sz w:val="24"/>
          <w:szCs w:val="24"/>
        </w:rPr>
        <w:t>Clubmed </w:t>
      </w:r>
      <w:r>
        <w:rPr>
          <w:rFonts w:ascii="楷体" w:hAnsi="楷体" w:cs="楷体" w:eastAsia="楷体" w:hint="default"/>
          <w:sz w:val="24"/>
          <w:szCs w:val="24"/>
        </w:rPr>
        <w:t>后，我们先后战略并购了德国开元，战略投资 </w:t>
      </w:r>
      <w:r>
        <w:rPr>
          <w:rFonts w:ascii="Times New Roman" w:hAnsi="Times New Roman" w:cs="Times New Roman" w:eastAsia="Times New Roman" w:hint="default"/>
          <w:spacing w:val="-6"/>
          <w:sz w:val="24"/>
          <w:szCs w:val="24"/>
        </w:rPr>
        <w:t>West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Coast</w:t>
      </w:r>
      <w:r>
        <w:rPr>
          <w:rFonts w:ascii="Times New Roman" w:hAnsi="Times New Roman" w:cs="Times New Roman" w:eastAsia="Times New Roman" w:hint="default"/>
          <w:sz w:val="24"/>
          <w:szCs w:val="24"/>
        </w:rPr>
        <w:t> Holidays</w:t>
      </w:r>
      <w:r>
        <w:rPr>
          <w:rFonts w:ascii="Times New Roman" w:hAnsi="Times New Roman" w:cs="Times New Roman" w:eastAsia="Times New Roman" w:hint="default"/>
          <w:spacing w:val="14"/>
          <w:sz w:val="24"/>
          <w:szCs w:val="24"/>
        </w:rPr>
        <w:t> </w:t>
      </w:r>
      <w:r>
        <w:rPr>
          <w:rFonts w:ascii="楷体" w:hAnsi="楷体" w:cs="楷体" w:eastAsia="楷体" w:hint="default"/>
          <w:spacing w:val="-3"/>
          <w:sz w:val="24"/>
          <w:szCs w:val="24"/>
        </w:rPr>
        <w:t>并创建</w:t>
      </w:r>
      <w:r>
        <w:rPr>
          <w:rFonts w:ascii="Times New Roman" w:hAnsi="Times New Roman" w:cs="Times New Roman" w:eastAsia="Times New Roman" w:hint="default"/>
          <w:spacing w:val="-3"/>
          <w:sz w:val="24"/>
          <w:szCs w:val="24"/>
        </w:rPr>
        <w:t>“</w:t>
      </w:r>
      <w:r>
        <w:rPr>
          <w:rFonts w:ascii="楷体" w:hAnsi="楷体" w:cs="楷体" w:eastAsia="楷体" w:hint="default"/>
          <w:spacing w:val="-3"/>
          <w:sz w:val="24"/>
          <w:szCs w:val="24"/>
        </w:rPr>
        <w:t>众信天益</w:t>
      </w:r>
      <w:r>
        <w:rPr>
          <w:rFonts w:ascii="Times New Roman" w:hAnsi="Times New Roman" w:cs="Times New Roman" w:eastAsia="Times New Roman" w:hint="default"/>
          <w:spacing w:val="-3"/>
          <w:sz w:val="24"/>
          <w:szCs w:val="24"/>
        </w:rPr>
        <w:t>”</w:t>
      </w:r>
      <w:r>
        <w:rPr>
          <w:rFonts w:ascii="楷体" w:hAnsi="楷体" w:cs="楷体" w:eastAsia="楷体" w:hint="default"/>
          <w:spacing w:val="-3"/>
          <w:sz w:val="24"/>
          <w:szCs w:val="24"/>
        </w:rPr>
        <w:t>新品牌，成立日本合资旅行社三利株式会社，收购巨龙旅</w:t>
      </w:r>
      <w:r>
        <w:rPr>
          <w:rFonts w:ascii="楷体" w:hAnsi="楷体" w:cs="楷体" w:eastAsia="楷体" w:hint="default"/>
          <w:sz w:val="24"/>
          <w:szCs w:val="24"/>
        </w:rPr>
        <w:t> 游，投资世界玖玖，投资设立</w:t>
      </w:r>
      <w:r>
        <w:rPr>
          <w:rFonts w:ascii="楷体" w:hAnsi="楷体" w:cs="楷体" w:eastAsia="楷体" w:hint="default"/>
          <w:spacing w:val="-62"/>
          <w:sz w:val="24"/>
          <w:szCs w:val="24"/>
        </w:rPr>
        <w:t> </w:t>
      </w:r>
      <w:r>
        <w:rPr>
          <w:rFonts w:ascii="Times New Roman" w:hAnsi="Times New Roman" w:cs="Times New Roman" w:eastAsia="Times New Roman" w:hint="default"/>
          <w:spacing w:val="-3"/>
          <w:sz w:val="24"/>
          <w:szCs w:val="24"/>
        </w:rPr>
        <w:t>Telefun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Travel</w:t>
      </w:r>
      <w:r>
        <w:rPr>
          <w:rFonts w:ascii="Times New Roman" w:hAnsi="Times New Roman" w:cs="Times New Roman" w:eastAsia="Times New Roman" w:hint="default"/>
          <w:spacing w:val="-4"/>
          <w:sz w:val="24"/>
          <w:szCs w:val="24"/>
        </w:rPr>
        <w:t> </w:t>
      </w:r>
      <w:r>
        <w:rPr>
          <w:rFonts w:ascii="楷体" w:hAnsi="楷体" w:cs="楷体" w:eastAsia="楷体" w:hint="default"/>
          <w:sz w:val="24"/>
          <w:szCs w:val="24"/>
        </w:rPr>
        <w:t>波兰大巴车公司，参与巴黎精品酒店建 设，众信、竹园、凯撒、凤凰与中国国旅子公司免税集团合资成立公司，开展免税</w:t>
      </w:r>
      <w:r>
        <w:rPr>
          <w:rFonts w:ascii="楷体" w:hAnsi="楷体" w:cs="楷体" w:eastAsia="楷体" w:hint="default"/>
          <w:spacing w:val="2"/>
          <w:sz w:val="24"/>
          <w:szCs w:val="24"/>
        </w:rPr>
        <w:t> </w:t>
      </w:r>
      <w:r>
        <w:rPr>
          <w:rFonts w:ascii="楷体" w:hAnsi="楷体" w:cs="楷体" w:eastAsia="楷体" w:hint="default"/>
          <w:sz w:val="24"/>
          <w:szCs w:val="24"/>
        </w:rPr>
        <w:t>业务等，初步开始了上游资源端布局。</w:t>
      </w:r>
    </w:p>
    <w:p>
      <w:pPr>
        <w:spacing w:after="0" w:line="345" w:lineRule="auto"/>
        <w:jc w:val="both"/>
        <w:rPr>
          <w:rFonts w:ascii="楷体" w:hAnsi="楷体" w:cs="楷体" w:eastAsia="楷体" w:hint="default"/>
          <w:sz w:val="24"/>
          <w:szCs w:val="24"/>
        </w:rPr>
        <w:sectPr>
          <w:headerReference w:type="default" r:id="rId6"/>
          <w:footerReference w:type="default" r:id="rId7"/>
          <w:pgSz w:w="11910" w:h="16840"/>
          <w:pgMar w:header="877" w:footer="982" w:top="1100" w:bottom="1180" w:left="980" w:right="980"/>
          <w:pgNumType w:start="2"/>
        </w:sectPr>
      </w:pPr>
    </w:p>
    <w:p>
      <w:pPr>
        <w:spacing w:line="240" w:lineRule="auto" w:before="7"/>
        <w:rPr>
          <w:rFonts w:ascii="楷体" w:hAnsi="楷体" w:cs="楷体" w:eastAsia="楷体" w:hint="default"/>
          <w:sz w:val="25"/>
          <w:szCs w:val="25"/>
        </w:rPr>
      </w:pPr>
    </w:p>
    <w:p>
      <w:pPr>
        <w:spacing w:line="348" w:lineRule="auto" w:before="26"/>
        <w:ind w:left="1054" w:right="14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1"/>
          <w:sz w:val="24"/>
          <w:szCs w:val="24"/>
        </w:rPr>
        <w:t></w:t>
      </w:r>
      <w:r>
        <w:rPr>
          <w:rFonts w:ascii="Times New Roman" w:hAnsi="Times New Roman" w:cs="Times New Roman" w:eastAsia="Times New Roman" w:hint="default"/>
          <w:spacing w:val="-11"/>
          <w:sz w:val="24"/>
          <w:szCs w:val="24"/>
        </w:rPr>
      </w:r>
      <w:r>
        <w:rPr>
          <w:rFonts w:ascii="楷体" w:hAnsi="楷体" w:cs="楷体" w:eastAsia="楷体" w:hint="default"/>
          <w:b/>
          <w:bCs/>
          <w:spacing w:val="2"/>
          <w:sz w:val="24"/>
          <w:szCs w:val="24"/>
        </w:rPr>
        <w:t>中游：</w:t>
      </w:r>
      <w:r>
        <w:rPr>
          <w:rFonts w:ascii="楷体" w:hAnsi="楷体" w:cs="楷体" w:eastAsia="楷体" w:hint="default"/>
          <w:spacing w:val="2"/>
          <w:sz w:val="24"/>
          <w:szCs w:val="24"/>
        </w:rPr>
        <w:t>我们坚持丰富产品线，提高出发地和目的地的覆盖面，扩大规模为上下游提</w:t>
      </w:r>
      <w:r>
        <w:rPr>
          <w:rFonts w:ascii="楷体" w:hAnsi="楷体" w:cs="楷体" w:eastAsia="楷体" w:hint="default"/>
          <w:sz w:val="24"/>
          <w:szCs w:val="24"/>
        </w:rPr>
        <w:t> 供支持的打法，成功实现与竹园的战略整合，战略投资行天下，并购魅力假期，同</w:t>
      </w:r>
      <w:r>
        <w:rPr>
          <w:rFonts w:ascii="楷体" w:hAnsi="楷体" w:cs="楷体" w:eastAsia="楷体" w:hint="default"/>
          <w:spacing w:val="2"/>
          <w:sz w:val="24"/>
          <w:szCs w:val="24"/>
        </w:rPr>
        <w:t> </w:t>
      </w:r>
      <w:r>
        <w:rPr>
          <w:rFonts w:ascii="楷体" w:hAnsi="楷体" w:cs="楷体" w:eastAsia="楷体" w:hint="default"/>
          <w:sz w:val="24"/>
          <w:szCs w:val="24"/>
        </w:rPr>
        <w:t>时正在进行与华远国旅的战略重组。</w:t>
      </w:r>
    </w:p>
    <w:p>
      <w:pPr>
        <w:spacing w:line="345" w:lineRule="auto" w:before="46"/>
        <w:ind w:left="1053" w:right="14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20"/>
          <w:sz w:val="24"/>
          <w:szCs w:val="24"/>
        </w:rPr>
        <w:t></w:t>
      </w:r>
      <w:r>
        <w:rPr>
          <w:rFonts w:ascii="Times New Roman" w:hAnsi="Times New Roman" w:cs="Times New Roman" w:eastAsia="Times New Roman" w:hint="default"/>
          <w:spacing w:val="-20"/>
          <w:sz w:val="24"/>
          <w:szCs w:val="24"/>
        </w:rPr>
      </w:r>
      <w:r>
        <w:rPr>
          <w:rFonts w:ascii="楷体" w:hAnsi="楷体" w:cs="楷体" w:eastAsia="楷体" w:hint="default"/>
          <w:b/>
          <w:bCs/>
          <w:sz w:val="24"/>
          <w:szCs w:val="24"/>
        </w:rPr>
        <w:t>下游：</w:t>
      </w:r>
      <w:r>
        <w:rPr>
          <w:rFonts w:ascii="楷体" w:hAnsi="楷体" w:cs="楷体" w:eastAsia="楷体" w:hint="default"/>
          <w:sz w:val="24"/>
          <w:szCs w:val="24"/>
        </w:rPr>
        <w:t>我们坚持线上线下结合的战略，大力扩充</w:t>
      </w:r>
      <w:r>
        <w:rPr>
          <w:rFonts w:ascii="楷体" w:hAnsi="楷体" w:cs="楷体" w:eastAsia="楷体" w:hint="default"/>
          <w:spacing w:val="-37"/>
          <w:sz w:val="24"/>
          <w:szCs w:val="24"/>
        </w:rPr>
        <w:t> </w:t>
      </w:r>
      <w:r>
        <w:rPr>
          <w:rFonts w:ascii="Times New Roman" w:hAnsi="Times New Roman" w:cs="Times New Roman" w:eastAsia="Times New Roman" w:hint="default"/>
          <w:sz w:val="24"/>
          <w:szCs w:val="24"/>
        </w:rPr>
        <w:t>C</w:t>
      </w:r>
      <w:r>
        <w:rPr>
          <w:rFonts w:ascii="Times New Roman" w:hAnsi="Times New Roman" w:cs="Times New Roman" w:eastAsia="Times New Roman" w:hint="default"/>
          <w:spacing w:val="23"/>
          <w:sz w:val="24"/>
          <w:szCs w:val="24"/>
        </w:rPr>
        <w:t> </w:t>
      </w:r>
      <w:r>
        <w:rPr>
          <w:rFonts w:ascii="楷体" w:hAnsi="楷体" w:cs="楷体" w:eastAsia="楷体" w:hint="default"/>
          <w:sz w:val="24"/>
          <w:szCs w:val="24"/>
        </w:rPr>
        <w:t>端渠道，在线下快速扩充实体门 店，在线上战略投资了穷游、悠哉和要出发，推出掌上店铺，既进一步实现了线上</w:t>
      </w:r>
      <w:r>
        <w:rPr>
          <w:rFonts w:ascii="楷体" w:hAnsi="楷体" w:cs="楷体" w:eastAsia="楷体" w:hint="default"/>
          <w:spacing w:val="2"/>
          <w:sz w:val="24"/>
          <w:szCs w:val="24"/>
        </w:rPr>
        <w:t> </w:t>
      </w:r>
      <w:r>
        <w:rPr>
          <w:rFonts w:ascii="楷体" w:hAnsi="楷体" w:cs="楷体" w:eastAsia="楷体" w:hint="default"/>
          <w:sz w:val="24"/>
          <w:szCs w:val="24"/>
        </w:rPr>
        <w:t>线下结合，也扩充了对自由行、周边游人群的覆盖。同时在 </w:t>
      </w:r>
      <w:r>
        <w:rPr>
          <w:rFonts w:ascii="Times New Roman" w:hAnsi="Times New Roman" w:cs="Times New Roman" w:eastAsia="Times New Roman" w:hint="default"/>
          <w:sz w:val="24"/>
          <w:szCs w:val="24"/>
        </w:rPr>
        <w:t>B</w:t>
      </w:r>
      <w:r>
        <w:rPr>
          <w:rFonts w:ascii="Times New Roman" w:hAnsi="Times New Roman" w:cs="Times New Roman" w:eastAsia="Times New Roman" w:hint="default"/>
          <w:spacing w:val="-4"/>
          <w:sz w:val="24"/>
          <w:szCs w:val="24"/>
        </w:rPr>
        <w:t> </w:t>
      </w:r>
      <w:r>
        <w:rPr>
          <w:rFonts w:ascii="楷体" w:hAnsi="楷体" w:cs="楷体" w:eastAsia="楷体" w:hint="default"/>
          <w:sz w:val="24"/>
          <w:szCs w:val="24"/>
        </w:rPr>
        <w:t>端我们进一步加大向 三四线城市的渠道渗透，扩充代理网络。</w:t>
      </w:r>
    </w:p>
    <w:p>
      <w:pPr>
        <w:spacing w:line="348" w:lineRule="auto" w:before="48"/>
        <w:ind w:left="153" w:right="148" w:firstLine="480"/>
        <w:jc w:val="both"/>
        <w:rPr>
          <w:rFonts w:ascii="楷体" w:hAnsi="楷体" w:cs="楷体" w:eastAsia="楷体" w:hint="default"/>
          <w:sz w:val="24"/>
          <w:szCs w:val="24"/>
        </w:rPr>
      </w:pPr>
      <w:r>
        <w:rPr>
          <w:rFonts w:ascii="楷体" w:hAnsi="楷体" w:cs="楷体" w:eastAsia="楷体" w:hint="default"/>
          <w:sz w:val="24"/>
          <w:szCs w:val="24"/>
        </w:rPr>
        <w:t>下一步，我们仍将坚持纵向完善出境游产业链，并将更多的目光投向上游资源。同时在</w:t>
      </w:r>
      <w:r>
        <w:rPr>
          <w:rFonts w:ascii="楷体" w:hAnsi="楷体" w:cs="楷体" w:eastAsia="楷体" w:hint="default"/>
          <w:spacing w:val="1"/>
          <w:sz w:val="24"/>
          <w:szCs w:val="24"/>
        </w:rPr>
        <w:t> </w:t>
      </w:r>
      <w:r>
        <w:rPr>
          <w:rFonts w:ascii="楷体" w:hAnsi="楷体" w:cs="楷体" w:eastAsia="楷体" w:hint="default"/>
          <w:spacing w:val="-3"/>
          <w:sz w:val="24"/>
          <w:szCs w:val="24"/>
        </w:rPr>
        <w:t>华远国旅战略重组完成后，国内</w:t>
      </w:r>
      <w:r>
        <w:rPr>
          <w:rFonts w:ascii="楷体" w:hAnsi="楷体" w:cs="楷体" w:eastAsia="楷体" w:hint="default"/>
          <w:spacing w:val="-76"/>
          <w:sz w:val="24"/>
          <w:szCs w:val="24"/>
        </w:rPr>
        <w:t> </w:t>
      </w:r>
      <w:r>
        <w:rPr>
          <w:rFonts w:ascii="Times New Roman" w:hAnsi="Times New Roman" w:cs="Times New Roman" w:eastAsia="Times New Roman" w:hint="default"/>
          <w:spacing w:val="-7"/>
          <w:sz w:val="24"/>
          <w:szCs w:val="24"/>
        </w:rPr>
        <w:t>OTA</w:t>
      </w:r>
      <w:r>
        <w:rPr>
          <w:rFonts w:ascii="Times New Roman" w:hAnsi="Times New Roman" w:cs="Times New Roman" w:eastAsia="Times New Roman" w:hint="default"/>
          <w:spacing w:val="-17"/>
          <w:sz w:val="24"/>
          <w:szCs w:val="24"/>
        </w:rPr>
        <w:t> </w:t>
      </w:r>
      <w:r>
        <w:rPr>
          <w:rFonts w:ascii="楷体" w:hAnsi="楷体" w:cs="楷体" w:eastAsia="楷体" w:hint="default"/>
          <w:sz w:val="24"/>
          <w:szCs w:val="24"/>
        </w:rPr>
        <w:t>巨头携程将成为我们的重要股东，我们将与携程在投资 及业务层面进行更紧密的战略合作，在产品、渠道、资源和技术上全面深入合作，进一步拓</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展</w:t>
      </w:r>
      <w:r>
        <w:rPr>
          <w:rFonts w:ascii="楷体" w:hAnsi="楷体" w:cs="楷体" w:eastAsia="楷体" w:hint="default"/>
          <w:spacing w:val="-71"/>
          <w:sz w:val="24"/>
          <w:szCs w:val="24"/>
        </w:rPr>
        <w:t> </w:t>
      </w:r>
      <w:r>
        <w:rPr>
          <w:rFonts w:ascii="Times New Roman" w:hAnsi="Times New Roman" w:cs="Times New Roman" w:eastAsia="Times New Roman" w:hint="default"/>
          <w:sz w:val="24"/>
          <w:szCs w:val="24"/>
        </w:rPr>
        <w:t>C</w:t>
      </w:r>
      <w:r>
        <w:rPr>
          <w:rFonts w:ascii="Times New Roman" w:hAnsi="Times New Roman" w:cs="Times New Roman" w:eastAsia="Times New Roman" w:hint="default"/>
          <w:spacing w:val="-11"/>
          <w:sz w:val="24"/>
          <w:szCs w:val="24"/>
        </w:rPr>
        <w:t> </w:t>
      </w:r>
      <w:r>
        <w:rPr>
          <w:rFonts w:ascii="楷体" w:hAnsi="楷体" w:cs="楷体" w:eastAsia="楷体" w:hint="default"/>
          <w:sz w:val="24"/>
          <w:szCs w:val="24"/>
        </w:rPr>
        <w:t>端和</w:t>
      </w:r>
      <w:r>
        <w:rPr>
          <w:rFonts w:ascii="楷体" w:hAnsi="楷体" w:cs="楷体" w:eastAsia="楷体" w:hint="default"/>
          <w:spacing w:val="-71"/>
          <w:sz w:val="24"/>
          <w:szCs w:val="24"/>
        </w:rPr>
        <w:t> </w:t>
      </w:r>
      <w:r>
        <w:rPr>
          <w:rFonts w:ascii="Times New Roman" w:hAnsi="Times New Roman" w:cs="Times New Roman" w:eastAsia="Times New Roman" w:hint="default"/>
          <w:sz w:val="24"/>
          <w:szCs w:val="24"/>
        </w:rPr>
        <w:t>B</w:t>
      </w:r>
      <w:r>
        <w:rPr>
          <w:rFonts w:ascii="Times New Roman" w:hAnsi="Times New Roman" w:cs="Times New Roman" w:eastAsia="Times New Roman" w:hint="default"/>
          <w:spacing w:val="-11"/>
          <w:sz w:val="24"/>
          <w:szCs w:val="24"/>
        </w:rPr>
        <w:t> </w:t>
      </w:r>
      <w:r>
        <w:rPr>
          <w:rFonts w:ascii="楷体" w:hAnsi="楷体" w:cs="楷体" w:eastAsia="楷体" w:hint="default"/>
          <w:sz w:val="24"/>
          <w:szCs w:val="24"/>
        </w:rPr>
        <w:t>端渠道；并将与国内领先的私募股权投资基金中信产业基金进行更紧密的资本合 作。</w:t>
      </w:r>
    </w:p>
    <w:p>
      <w:pPr>
        <w:pStyle w:val="Heading2"/>
        <w:spacing w:line="240" w:lineRule="auto" w:before="46"/>
        <w:ind w:left="636" w:right="148"/>
        <w:jc w:val="left"/>
        <w:rPr>
          <w:rFonts w:ascii="楷体" w:hAnsi="楷体" w:cs="楷体" w:eastAsia="楷体" w:hint="default"/>
          <w:b w:val="0"/>
          <w:bCs w:val="0"/>
        </w:rPr>
      </w:pPr>
      <w:r>
        <w:rPr>
          <w:rFonts w:ascii="楷体" w:hAnsi="楷体" w:cs="楷体" w:eastAsia="楷体" w:hint="default"/>
        </w:rPr>
        <w:t>衍生：横向拓展出境综合服务平台</w:t>
      </w:r>
      <w:r>
        <w:rPr>
          <w:rFonts w:ascii="楷体" w:hAnsi="楷体" w:cs="楷体" w:eastAsia="楷体" w:hint="default"/>
          <w:b w:val="0"/>
          <w:bCs w:val="0"/>
        </w:rPr>
      </w:r>
    </w:p>
    <w:p>
      <w:pPr>
        <w:spacing w:line="345" w:lineRule="auto" w:before="154"/>
        <w:ind w:left="153" w:right="148" w:firstLine="480"/>
        <w:jc w:val="both"/>
        <w:rPr>
          <w:rFonts w:ascii="楷体" w:hAnsi="楷体" w:cs="楷体" w:eastAsia="楷体" w:hint="default"/>
          <w:sz w:val="24"/>
          <w:szCs w:val="24"/>
        </w:rPr>
      </w:pP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19"/>
          <w:sz w:val="24"/>
          <w:szCs w:val="24"/>
        </w:rPr>
        <w:t> </w:t>
      </w:r>
      <w:r>
        <w:rPr>
          <w:rFonts w:ascii="楷体" w:hAnsi="楷体" w:cs="楷体" w:eastAsia="楷体" w:hint="default"/>
          <w:sz w:val="24"/>
          <w:szCs w:val="24"/>
        </w:rPr>
        <w:t>年，我们正式提出了打造领先的出境综合服务平台的战略，这一综合平台将以出境 游业务平台为核心横向有机衍生，基于我们的能力圈，围绕出境游的客户、资源和渠道，有</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pacing w:val="-4"/>
          <w:sz w:val="24"/>
          <w:szCs w:val="24"/>
        </w:rPr>
        <w:t>效拓展“旅游</w:t>
      </w:r>
      <w:r>
        <w:rPr>
          <w:rFonts w:ascii="Times New Roman" w:hAnsi="Times New Roman" w:cs="Times New Roman" w:eastAsia="Times New Roman" w:hint="default"/>
          <w:spacing w:val="-4"/>
          <w:sz w:val="24"/>
          <w:szCs w:val="24"/>
        </w:rPr>
        <w:t>+</w:t>
      </w:r>
      <w:r>
        <w:rPr>
          <w:rFonts w:ascii="楷体" w:hAnsi="楷体" w:cs="楷体" w:eastAsia="楷体" w:hint="default"/>
          <w:spacing w:val="-4"/>
          <w:sz w:val="24"/>
          <w:szCs w:val="24"/>
        </w:rPr>
        <w:t>”业务，以抓住国民出境服务需求的广阔前景和发展空间，更好地服务我们的</w:t>
      </w:r>
      <w:r>
        <w:rPr>
          <w:rFonts w:ascii="楷体" w:hAnsi="楷体" w:cs="楷体" w:eastAsia="楷体" w:hint="default"/>
          <w:spacing w:val="-82"/>
          <w:sz w:val="24"/>
          <w:szCs w:val="24"/>
        </w:rPr>
        <w:t> </w:t>
      </w:r>
      <w:r>
        <w:rPr>
          <w:rFonts w:ascii="楷体" w:hAnsi="楷体" w:cs="楷体" w:eastAsia="楷体" w:hint="default"/>
          <w:spacing w:val="-82"/>
          <w:sz w:val="24"/>
          <w:szCs w:val="24"/>
        </w:rPr>
      </w:r>
      <w:r>
        <w:rPr>
          <w:rFonts w:ascii="楷体" w:hAnsi="楷体" w:cs="楷体" w:eastAsia="楷体" w:hint="default"/>
          <w:sz w:val="24"/>
          <w:szCs w:val="24"/>
        </w:rPr>
        <w:t>出境客户。</w:t>
      </w:r>
    </w:p>
    <w:p>
      <w:pPr>
        <w:spacing w:line="348" w:lineRule="auto" w:before="48"/>
        <w:ind w:left="1053" w:right="14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3"/>
          <w:sz w:val="24"/>
          <w:szCs w:val="24"/>
        </w:rPr>
        <w:t></w:t>
      </w:r>
      <w:r>
        <w:rPr>
          <w:rFonts w:ascii="Times New Roman" w:hAnsi="Times New Roman" w:cs="Times New Roman" w:eastAsia="Times New Roman" w:hint="default"/>
          <w:spacing w:val="-13"/>
          <w:sz w:val="24"/>
          <w:szCs w:val="24"/>
        </w:rPr>
      </w:r>
      <w:r>
        <w:rPr>
          <w:rFonts w:ascii="楷体" w:hAnsi="楷体" w:cs="楷体" w:eastAsia="楷体" w:hint="default"/>
          <w:b/>
          <w:bCs/>
          <w:spacing w:val="3"/>
          <w:sz w:val="24"/>
          <w:szCs w:val="24"/>
        </w:rPr>
        <w:t>目的地生活服务平台：</w:t>
      </w:r>
      <w:r>
        <w:rPr>
          <w:rFonts w:ascii="楷体" w:hAnsi="楷体" w:cs="楷体" w:eastAsia="楷体" w:hint="default"/>
          <w:spacing w:val="3"/>
          <w:sz w:val="24"/>
          <w:szCs w:val="24"/>
        </w:rPr>
        <w:t>除通过德国开元、</w:t>
      </w:r>
      <w:r>
        <w:rPr>
          <w:rFonts w:ascii="Times New Roman" w:hAnsi="Times New Roman" w:cs="Times New Roman" w:eastAsia="Times New Roman" w:hint="default"/>
          <w:spacing w:val="3"/>
          <w:sz w:val="24"/>
          <w:szCs w:val="24"/>
        </w:rPr>
        <w:t>“</w:t>
      </w:r>
      <w:r>
        <w:rPr>
          <w:rFonts w:ascii="楷体" w:hAnsi="楷体" w:cs="楷体" w:eastAsia="楷体" w:hint="default"/>
          <w:spacing w:val="3"/>
          <w:sz w:val="24"/>
          <w:szCs w:val="24"/>
        </w:rPr>
        <w:t>众信天益</w:t>
      </w:r>
      <w:r>
        <w:rPr>
          <w:rFonts w:ascii="Times New Roman" w:hAnsi="Times New Roman" w:cs="Times New Roman" w:eastAsia="Times New Roman" w:hint="default"/>
          <w:spacing w:val="3"/>
          <w:sz w:val="24"/>
          <w:szCs w:val="24"/>
        </w:rPr>
        <w:t>”</w:t>
      </w:r>
      <w:r>
        <w:rPr>
          <w:rFonts w:ascii="楷体" w:hAnsi="楷体" w:cs="楷体" w:eastAsia="楷体" w:hint="default"/>
          <w:spacing w:val="3"/>
          <w:sz w:val="24"/>
          <w:szCs w:val="24"/>
        </w:rPr>
        <w:t>及日本合资旅行社三利株式会 </w:t>
      </w:r>
      <w:r>
        <w:rPr>
          <w:rFonts w:ascii="楷体" w:hAnsi="楷体" w:cs="楷体" w:eastAsia="楷体" w:hint="default"/>
          <w:sz w:val="24"/>
          <w:szCs w:val="24"/>
        </w:rPr>
        <w:t>社提供的目的地参团游及当地生活服务以外，我们投资了洋葱网，与二六三战略合</w:t>
      </w:r>
      <w:r>
        <w:rPr>
          <w:rFonts w:ascii="楷体" w:hAnsi="楷体" w:cs="楷体" w:eastAsia="楷体" w:hint="default"/>
          <w:spacing w:val="2"/>
          <w:sz w:val="24"/>
          <w:szCs w:val="24"/>
        </w:rPr>
        <w:t> </w:t>
      </w:r>
      <w:r>
        <w:rPr>
          <w:rFonts w:ascii="楷体" w:hAnsi="楷体" w:cs="楷体" w:eastAsia="楷体" w:hint="default"/>
          <w:sz w:val="24"/>
          <w:szCs w:val="24"/>
        </w:rPr>
        <w:t>作，开展更广泛的目的地生活服务。</w:t>
      </w:r>
    </w:p>
    <w:p>
      <w:pPr>
        <w:spacing w:line="338" w:lineRule="auto" w:before="46"/>
        <w:ind w:left="1054" w:right="14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1"/>
          <w:sz w:val="24"/>
          <w:szCs w:val="24"/>
        </w:rPr>
        <w:t></w:t>
      </w:r>
      <w:r>
        <w:rPr>
          <w:rFonts w:ascii="Times New Roman" w:hAnsi="Times New Roman" w:cs="Times New Roman" w:eastAsia="Times New Roman" w:hint="default"/>
          <w:spacing w:val="-11"/>
          <w:sz w:val="24"/>
          <w:szCs w:val="24"/>
        </w:rPr>
      </w:r>
      <w:r>
        <w:rPr>
          <w:rFonts w:ascii="楷体" w:hAnsi="楷体" w:cs="楷体" w:eastAsia="楷体" w:hint="default"/>
          <w:b/>
          <w:bCs/>
          <w:spacing w:val="2"/>
          <w:sz w:val="24"/>
          <w:szCs w:val="24"/>
        </w:rPr>
        <w:t>移民置业服务平台：</w:t>
      </w:r>
      <w:r>
        <w:rPr>
          <w:rFonts w:ascii="楷体" w:hAnsi="楷体" w:cs="楷体" w:eastAsia="楷体" w:hint="default"/>
          <w:spacing w:val="2"/>
          <w:sz w:val="24"/>
          <w:szCs w:val="24"/>
        </w:rPr>
        <w:t>我们战略收购杭州四达，并正在北京成立新的移民公司，初步 </w:t>
      </w:r>
      <w:r>
        <w:rPr>
          <w:rFonts w:ascii="楷体" w:hAnsi="楷体" w:cs="楷体" w:eastAsia="楷体" w:hint="default"/>
          <w:sz w:val="24"/>
          <w:szCs w:val="24"/>
        </w:rPr>
        <w:t>开展移民和置业服务。</w:t>
      </w:r>
    </w:p>
    <w:p>
      <w:pPr>
        <w:spacing w:line="338" w:lineRule="auto" w:before="55"/>
        <w:ind w:left="1054" w:right="14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1"/>
          <w:sz w:val="24"/>
          <w:szCs w:val="24"/>
        </w:rPr>
        <w:t></w:t>
      </w:r>
      <w:r>
        <w:rPr>
          <w:rFonts w:ascii="Times New Roman" w:hAnsi="Times New Roman" w:cs="Times New Roman" w:eastAsia="Times New Roman" w:hint="default"/>
          <w:spacing w:val="-11"/>
          <w:sz w:val="24"/>
          <w:szCs w:val="24"/>
        </w:rPr>
      </w:r>
      <w:r>
        <w:rPr>
          <w:rFonts w:ascii="楷体" w:hAnsi="楷体" w:cs="楷体" w:eastAsia="楷体" w:hint="default"/>
          <w:b/>
          <w:bCs/>
          <w:spacing w:val="2"/>
          <w:sz w:val="24"/>
          <w:szCs w:val="24"/>
        </w:rPr>
        <w:t>海外教育服务平台：</w:t>
      </w:r>
      <w:r>
        <w:rPr>
          <w:rFonts w:ascii="楷体" w:hAnsi="楷体" w:cs="楷体" w:eastAsia="楷体" w:hint="default"/>
          <w:spacing w:val="2"/>
          <w:sz w:val="24"/>
          <w:szCs w:val="24"/>
        </w:rPr>
        <w:t>我们组建了专门的海外教育服务团队，参股异乡好居，正在成 </w:t>
      </w:r>
      <w:r>
        <w:rPr>
          <w:rFonts w:ascii="楷体" w:hAnsi="楷体" w:cs="楷体" w:eastAsia="楷体" w:hint="default"/>
          <w:sz w:val="24"/>
          <w:szCs w:val="24"/>
        </w:rPr>
        <w:t>立合资游学公司，开始了海外教育服务的尝试。</w:t>
      </w:r>
    </w:p>
    <w:p>
      <w:pPr>
        <w:spacing w:line="338" w:lineRule="auto" w:before="55"/>
        <w:ind w:left="1054" w:right="151"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7"/>
          <w:sz w:val="24"/>
          <w:szCs w:val="24"/>
        </w:rPr>
        <w:t></w:t>
      </w:r>
      <w:r>
        <w:rPr>
          <w:rFonts w:ascii="Times New Roman" w:hAnsi="Times New Roman" w:cs="Times New Roman" w:eastAsia="Times New Roman" w:hint="default"/>
          <w:spacing w:val="7"/>
          <w:sz w:val="24"/>
          <w:szCs w:val="24"/>
        </w:rPr>
      </w:r>
      <w:r>
        <w:rPr>
          <w:rFonts w:ascii="楷体" w:hAnsi="楷体" w:cs="楷体" w:eastAsia="楷体" w:hint="default"/>
          <w:b/>
          <w:bCs/>
          <w:spacing w:val="-5"/>
          <w:sz w:val="24"/>
          <w:szCs w:val="24"/>
        </w:rPr>
        <w:t>出境互联网金融服务平台：</w:t>
      </w:r>
      <w:r>
        <w:rPr>
          <w:rFonts w:ascii="楷体" w:hAnsi="楷体" w:cs="楷体" w:eastAsia="楷体" w:hint="default"/>
          <w:spacing w:val="-5"/>
          <w:sz w:val="24"/>
          <w:szCs w:val="24"/>
        </w:rPr>
        <w:t>在已有货币兑换公司基础上，我们成立了小额贷款公司，</w:t>
      </w:r>
      <w:r>
        <w:rPr>
          <w:rFonts w:ascii="楷体" w:hAnsi="楷体" w:cs="楷体" w:eastAsia="楷体" w:hint="default"/>
          <w:sz w:val="24"/>
          <w:szCs w:val="24"/>
        </w:rPr>
        <w:t> 合资设立互联网金融公司，初步开展出境服务消费端和供应链的金融业务。</w:t>
      </w:r>
    </w:p>
    <w:p>
      <w:pPr>
        <w:spacing w:line="357" w:lineRule="auto" w:before="55"/>
        <w:ind w:left="634" w:right="148" w:firstLine="2"/>
        <w:jc w:val="left"/>
        <w:rPr>
          <w:rFonts w:ascii="楷体" w:hAnsi="楷体" w:cs="楷体" w:eastAsia="楷体" w:hint="default"/>
          <w:sz w:val="24"/>
          <w:szCs w:val="24"/>
        </w:rPr>
      </w:pPr>
      <w:r>
        <w:rPr>
          <w:rFonts w:ascii="楷体" w:hAnsi="楷体" w:cs="楷体" w:eastAsia="楷体" w:hint="default"/>
          <w:b/>
          <w:bCs/>
          <w:sz w:val="24"/>
          <w:szCs w:val="24"/>
        </w:rPr>
        <w:t>务本：持续做好产品和服务</w:t>
      </w:r>
      <w:r>
        <w:rPr>
          <w:rFonts w:ascii="楷体" w:hAnsi="楷体" w:cs="楷体" w:eastAsia="楷体" w:hint="default"/>
          <w:b/>
          <w:bCs/>
          <w:spacing w:val="1"/>
          <w:w w:val="99"/>
          <w:sz w:val="24"/>
          <w:szCs w:val="24"/>
        </w:rPr>
        <w:t> </w:t>
      </w:r>
      <w:r>
        <w:rPr>
          <w:rFonts w:ascii="楷体" w:hAnsi="楷体" w:cs="楷体" w:eastAsia="楷体" w:hint="default"/>
          <w:sz w:val="24"/>
          <w:szCs w:val="24"/>
        </w:rPr>
        <w:t>君子务本，本立而道生。无论行业风云变幻，无论市场潮起潮落，我们始终不敢忘记产</w:t>
      </w:r>
    </w:p>
    <w:p>
      <w:pPr>
        <w:spacing w:before="36"/>
        <w:ind w:left="154" w:right="148" w:firstLine="0"/>
        <w:jc w:val="left"/>
        <w:rPr>
          <w:rFonts w:ascii="楷体" w:hAnsi="楷体" w:cs="楷体" w:eastAsia="楷体" w:hint="default"/>
          <w:sz w:val="24"/>
          <w:szCs w:val="24"/>
        </w:rPr>
      </w:pPr>
      <w:r>
        <w:rPr>
          <w:rFonts w:ascii="楷体" w:hAnsi="楷体" w:cs="楷体" w:eastAsia="楷体" w:hint="default"/>
          <w:sz w:val="24"/>
          <w:szCs w:val="24"/>
        </w:rPr>
        <w:t>品和服务这个根本，不敢忘记一切为了消费者的初心。</w:t>
      </w:r>
    </w:p>
    <w:p>
      <w:pPr>
        <w:spacing w:after="0"/>
        <w:jc w:val="left"/>
        <w:rPr>
          <w:rFonts w:ascii="楷体" w:hAnsi="楷体" w:cs="楷体" w:eastAsia="楷体" w:hint="default"/>
          <w:sz w:val="24"/>
          <w:szCs w:val="24"/>
        </w:rPr>
        <w:sectPr>
          <w:pgSz w:w="11910" w:h="16840"/>
          <w:pgMar w:header="877" w:footer="982" w:top="1100" w:bottom="1180" w:left="980" w:right="980"/>
        </w:sectPr>
      </w:pPr>
    </w:p>
    <w:p>
      <w:pPr>
        <w:spacing w:line="240" w:lineRule="auto" w:before="7"/>
        <w:rPr>
          <w:rFonts w:ascii="楷体" w:hAnsi="楷体" w:cs="楷体" w:eastAsia="楷体" w:hint="default"/>
          <w:sz w:val="25"/>
          <w:szCs w:val="25"/>
        </w:rPr>
      </w:pPr>
    </w:p>
    <w:p>
      <w:pPr>
        <w:spacing w:line="343" w:lineRule="auto" w:before="26"/>
        <w:ind w:left="1053" w:right="22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1"/>
          <w:sz w:val="24"/>
          <w:szCs w:val="24"/>
        </w:rPr>
        <w:t></w:t>
      </w:r>
      <w:r>
        <w:rPr>
          <w:rFonts w:ascii="Times New Roman" w:hAnsi="Times New Roman" w:cs="Times New Roman" w:eastAsia="Times New Roman" w:hint="default"/>
          <w:spacing w:val="-11"/>
          <w:sz w:val="24"/>
          <w:szCs w:val="24"/>
        </w:rPr>
      </w:r>
      <w:r>
        <w:rPr>
          <w:rFonts w:ascii="楷体" w:hAnsi="楷体" w:cs="楷体" w:eastAsia="楷体" w:hint="default"/>
          <w:b/>
          <w:bCs/>
          <w:spacing w:val="2"/>
          <w:sz w:val="24"/>
          <w:szCs w:val="24"/>
        </w:rPr>
        <w:t>布局自由行和体育旅游产品线。</w:t>
      </w:r>
      <w:r>
        <w:rPr>
          <w:rFonts w:ascii="楷体" w:hAnsi="楷体" w:cs="楷体" w:eastAsia="楷体" w:hint="default"/>
          <w:spacing w:val="2"/>
          <w:sz w:val="24"/>
          <w:szCs w:val="24"/>
        </w:rPr>
        <w:t>在成功战略投资穷游后，我们将与穷游成立合资公 </w:t>
      </w:r>
      <w:r>
        <w:rPr>
          <w:rFonts w:ascii="楷体" w:hAnsi="楷体" w:cs="楷体" w:eastAsia="楷体" w:hint="default"/>
          <w:sz w:val="24"/>
          <w:szCs w:val="24"/>
        </w:rPr>
        <w:t>司，共同开发适合自由行人群的产品，在扩充渠道的同时完善自由行产品。同时，</w:t>
      </w:r>
      <w:r>
        <w:rPr>
          <w:rFonts w:ascii="楷体" w:hAnsi="楷体" w:cs="楷体" w:eastAsia="楷体" w:hint="default"/>
          <w:spacing w:val="2"/>
          <w:sz w:val="24"/>
          <w:szCs w:val="24"/>
        </w:rPr>
        <w:t> </w:t>
      </w:r>
      <w:r>
        <w:rPr>
          <w:rFonts w:ascii="楷体" w:hAnsi="楷体" w:cs="楷体" w:eastAsia="楷体" w:hint="default"/>
          <w:spacing w:val="-4"/>
          <w:sz w:val="24"/>
          <w:szCs w:val="24"/>
        </w:rPr>
        <w:t>我们组建专门的体育旅游平台，与</w:t>
      </w:r>
      <w:r>
        <w:rPr>
          <w:rFonts w:ascii="Times New Roman" w:hAnsi="Times New Roman" w:cs="Times New Roman" w:eastAsia="Times New Roman" w:hint="default"/>
          <w:spacing w:val="-4"/>
          <w:sz w:val="24"/>
          <w:szCs w:val="24"/>
        </w:rPr>
        <w:t>“</w:t>
      </w:r>
      <w:r>
        <w:rPr>
          <w:rFonts w:ascii="楷体" w:hAnsi="楷体" w:cs="楷体" w:eastAsia="楷体" w:hint="default"/>
          <w:spacing w:val="-4"/>
          <w:sz w:val="24"/>
          <w:szCs w:val="24"/>
        </w:rPr>
        <w:t>来跑吧</w:t>
      </w:r>
      <w:r>
        <w:rPr>
          <w:rFonts w:ascii="Times New Roman" w:hAnsi="Times New Roman" w:cs="Times New Roman" w:eastAsia="Times New Roman" w:hint="default"/>
          <w:spacing w:val="-4"/>
          <w:sz w:val="24"/>
          <w:szCs w:val="24"/>
        </w:rPr>
        <w:t>”</w:t>
      </w:r>
      <w:r>
        <w:rPr>
          <w:rFonts w:ascii="楷体" w:hAnsi="楷体" w:cs="楷体" w:eastAsia="楷体" w:hint="default"/>
          <w:spacing w:val="-4"/>
          <w:sz w:val="24"/>
          <w:szCs w:val="24"/>
        </w:rPr>
        <w:t>成立跑步及户外旅游合资公司，参与体育</w:t>
      </w:r>
      <w:r>
        <w:rPr>
          <w:rFonts w:ascii="楷体" w:hAnsi="楷体" w:cs="楷体" w:eastAsia="楷体" w:hint="default"/>
          <w:sz w:val="24"/>
          <w:szCs w:val="24"/>
        </w:rPr>
        <w:t> </w:t>
      </w:r>
      <w:r>
        <w:rPr>
          <w:rFonts w:ascii="楷体" w:hAnsi="楷体" w:cs="楷体" w:eastAsia="楷体" w:hint="default"/>
          <w:spacing w:val="-4"/>
          <w:sz w:val="24"/>
          <w:szCs w:val="24"/>
        </w:rPr>
        <w:t>基金，冠名赞助</w:t>
      </w:r>
      <w:r>
        <w:rPr>
          <w:rFonts w:ascii="Times New Roman" w:hAnsi="Times New Roman" w:cs="Times New Roman" w:eastAsia="Times New Roman" w:hint="default"/>
          <w:spacing w:val="-4"/>
          <w:sz w:val="24"/>
          <w:szCs w:val="24"/>
        </w:rPr>
        <w:t>“</w:t>
      </w:r>
      <w:r>
        <w:rPr>
          <w:rFonts w:ascii="楷体" w:hAnsi="楷体" w:cs="楷体" w:eastAsia="楷体" w:hint="default"/>
          <w:spacing w:val="-4"/>
          <w:sz w:val="24"/>
          <w:szCs w:val="24"/>
        </w:rPr>
        <w:t>京都球侠</w:t>
      </w:r>
      <w:r>
        <w:rPr>
          <w:rFonts w:ascii="Times New Roman" w:hAnsi="Times New Roman" w:cs="Times New Roman" w:eastAsia="Times New Roman" w:hint="default"/>
          <w:spacing w:val="-4"/>
          <w:sz w:val="24"/>
          <w:szCs w:val="24"/>
        </w:rPr>
        <w:t>”</w:t>
      </w:r>
      <w:r>
        <w:rPr>
          <w:rFonts w:ascii="楷体" w:hAnsi="楷体" w:cs="楷体" w:eastAsia="楷体" w:hint="default"/>
          <w:spacing w:val="-4"/>
          <w:sz w:val="24"/>
          <w:szCs w:val="24"/>
        </w:rPr>
        <w:t>，与北京首钢篮球俱乐部达成合作关系，不断丰富体育旅</w:t>
      </w:r>
      <w:r>
        <w:rPr>
          <w:rFonts w:ascii="楷体" w:hAnsi="楷体" w:cs="楷体" w:eastAsia="楷体" w:hint="default"/>
          <w:sz w:val="24"/>
          <w:szCs w:val="24"/>
        </w:rPr>
        <w:t> 游产品。</w:t>
      </w:r>
    </w:p>
    <w:p>
      <w:pPr>
        <w:tabs>
          <w:tab w:pos="1053" w:val="left" w:leader="none"/>
        </w:tabs>
        <w:spacing w:line="352" w:lineRule="auto" w:before="50"/>
        <w:ind w:left="1054" w:right="111" w:hanging="420"/>
        <w:jc w:val="left"/>
        <w:rPr>
          <w:rFonts w:ascii="楷体" w:hAnsi="楷体" w:cs="楷体" w:eastAsia="楷体" w:hint="default"/>
          <w:sz w:val="24"/>
          <w:szCs w:val="24"/>
        </w:rPr>
      </w:pPr>
      <w:r>
        <w:rPr>
          <w:rFonts w:ascii="Wingdings" w:hAnsi="Wingdings" w:cs="Wingdings" w:eastAsia="Wingdings" w:hint="default"/>
          <w:w w:val="95"/>
          <w:sz w:val="24"/>
          <w:szCs w:val="24"/>
        </w:rPr>
        <w:t></w:t>
      </w:r>
      <w:r>
        <w:rPr>
          <w:rFonts w:ascii="Times New Roman" w:hAnsi="Times New Roman" w:cs="Times New Roman" w:eastAsia="Times New Roman" w:hint="default"/>
          <w:w w:val="95"/>
          <w:sz w:val="24"/>
          <w:szCs w:val="24"/>
        </w:rPr>
        <w:tab/>
      </w:r>
      <w:r>
        <w:rPr>
          <w:rFonts w:ascii="楷体" w:hAnsi="楷体" w:cs="楷体" w:eastAsia="楷体" w:hint="default"/>
          <w:b/>
          <w:bCs/>
          <w:sz w:val="24"/>
          <w:szCs w:val="24"/>
        </w:rPr>
        <w:t>不断推出大型活动、大型旅游及海岛游产品。</w:t>
      </w:r>
      <w:r>
        <w:rPr>
          <w:rFonts w:ascii="Times New Roman" w:hAnsi="Times New Roman" w:cs="Times New Roman" w:eastAsia="Times New Roman" w:hint="default"/>
          <w:sz w:val="24"/>
          <w:szCs w:val="24"/>
        </w:rPr>
        <w:t>2015  </w:t>
      </w:r>
      <w:r>
        <w:rPr>
          <w:rFonts w:ascii="楷体" w:hAnsi="楷体" w:cs="楷体" w:eastAsia="楷体" w:hint="default"/>
          <w:sz w:val="24"/>
          <w:szCs w:val="24"/>
        </w:rPr>
        <w:t>年，公司负责全程接待的</w:t>
      </w:r>
      <w:r>
        <w:rPr>
          <w:rFonts w:ascii="楷体" w:hAnsi="楷体" w:cs="楷体" w:eastAsia="楷体" w:hint="default"/>
          <w:spacing w:val="1"/>
          <w:sz w:val="24"/>
          <w:szCs w:val="24"/>
        </w:rPr>
        <w:t> </w:t>
      </w:r>
      <w:r>
        <w:rPr>
          <w:rFonts w:ascii="Times New Roman" w:hAnsi="Times New Roman" w:cs="Times New Roman" w:eastAsia="Times New Roman" w:hint="default"/>
          <w:sz w:val="24"/>
          <w:szCs w:val="24"/>
        </w:rPr>
        <w:t>6,400 </w:t>
      </w:r>
      <w:r>
        <w:rPr>
          <w:rFonts w:ascii="楷体" w:hAnsi="楷体" w:cs="楷体" w:eastAsia="楷体" w:hint="default"/>
          <w:spacing w:val="-1"/>
          <w:sz w:val="24"/>
          <w:szCs w:val="24"/>
        </w:rPr>
        <w:t>人超大赴法商务旅行团获得巨大成功。同年公司启动独家澳大利亚凯恩斯包机项目，</w:t>
      </w:r>
      <w:r>
        <w:rPr>
          <w:rFonts w:ascii="楷体" w:hAnsi="楷体" w:cs="楷体" w:eastAsia="楷体" w:hint="default"/>
          <w:sz w:val="24"/>
          <w:szCs w:val="24"/>
        </w:rPr>
        <w:t> 启动比利时列日大型赴欧旅游项目，为比利时列日机场带来史上最大中国游客团，</w:t>
      </w:r>
      <w:r>
        <w:rPr>
          <w:rFonts w:ascii="楷体" w:hAnsi="楷体" w:cs="楷体" w:eastAsia="楷体" w:hint="default"/>
          <w:spacing w:val="2"/>
          <w:sz w:val="24"/>
          <w:szCs w:val="24"/>
        </w:rPr>
        <w:t> </w:t>
      </w:r>
      <w:r>
        <w:rPr>
          <w:rFonts w:ascii="楷体" w:hAnsi="楷体" w:cs="楷体" w:eastAsia="楷体" w:hint="default"/>
          <w:sz w:val="24"/>
          <w:szCs w:val="24"/>
        </w:rPr>
        <w:t>推出大型赴希腊旅游项目，开创了洲际包机的先河，并开展日本产品大规模推介，</w:t>
      </w:r>
      <w:r>
        <w:rPr>
          <w:rFonts w:ascii="楷体" w:hAnsi="楷体" w:cs="楷体" w:eastAsia="楷体" w:hint="default"/>
          <w:spacing w:val="2"/>
          <w:sz w:val="24"/>
          <w:szCs w:val="24"/>
        </w:rPr>
        <w:t> </w:t>
      </w:r>
      <w:r>
        <w:rPr>
          <w:rFonts w:ascii="楷体" w:hAnsi="楷体" w:cs="楷体" w:eastAsia="楷体" w:hint="default"/>
          <w:sz w:val="24"/>
          <w:szCs w:val="24"/>
        </w:rPr>
        <w:t>推出以色列小众目的地旅游，开通两条银川直飞泰国曼谷包机航线。启动塞班、普</w:t>
      </w:r>
      <w:r>
        <w:rPr>
          <w:rFonts w:ascii="楷体" w:hAnsi="楷体" w:cs="楷体" w:eastAsia="楷体" w:hint="default"/>
          <w:spacing w:val="2"/>
          <w:sz w:val="24"/>
          <w:szCs w:val="24"/>
        </w:rPr>
        <w:t> </w:t>
      </w:r>
      <w:r>
        <w:rPr>
          <w:rFonts w:ascii="楷体" w:hAnsi="楷体" w:cs="楷体" w:eastAsia="楷体" w:hint="default"/>
          <w:sz w:val="24"/>
          <w:szCs w:val="24"/>
        </w:rPr>
        <w:t>吉岛和巴厘岛等海岛游包机。</w:t>
      </w:r>
    </w:p>
    <w:p>
      <w:pPr>
        <w:spacing w:line="345" w:lineRule="auto" w:before="41"/>
        <w:ind w:left="1053" w:right="22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11"/>
          <w:sz w:val="24"/>
          <w:szCs w:val="24"/>
        </w:rPr>
        <w:t></w:t>
      </w:r>
      <w:r>
        <w:rPr>
          <w:rFonts w:ascii="Times New Roman" w:hAnsi="Times New Roman" w:cs="Times New Roman" w:eastAsia="Times New Roman" w:hint="default"/>
          <w:spacing w:val="-11"/>
          <w:sz w:val="24"/>
          <w:szCs w:val="24"/>
        </w:rPr>
      </w:r>
      <w:r>
        <w:rPr>
          <w:rFonts w:ascii="楷体" w:hAnsi="楷体" w:cs="楷体" w:eastAsia="楷体" w:hint="default"/>
          <w:b/>
          <w:bCs/>
          <w:spacing w:val="2"/>
          <w:sz w:val="24"/>
          <w:szCs w:val="24"/>
        </w:rPr>
        <w:t>不断丰富定制旅游产品。</w:t>
      </w:r>
      <w:r>
        <w:rPr>
          <w:rFonts w:ascii="楷体" w:hAnsi="楷体" w:cs="楷体" w:eastAsia="楷体" w:hint="default"/>
          <w:spacing w:val="2"/>
          <w:sz w:val="24"/>
          <w:szCs w:val="24"/>
        </w:rPr>
        <w:t>成立了专门的定制旅游事业部，先后推出了适合家庭组团 </w:t>
      </w:r>
      <w:r>
        <w:rPr>
          <w:rFonts w:ascii="楷体" w:hAnsi="楷体" w:cs="楷体" w:eastAsia="楷体" w:hint="default"/>
          <w:sz w:val="24"/>
          <w:szCs w:val="24"/>
        </w:rPr>
        <w:t>的 </w:t>
      </w:r>
      <w:r>
        <w:rPr>
          <w:rFonts w:ascii="Times New Roman" w:hAnsi="Times New Roman" w:cs="Times New Roman" w:eastAsia="Times New Roman" w:hint="default"/>
          <w:sz w:val="24"/>
          <w:szCs w:val="24"/>
        </w:rPr>
        <w:t>mint tour </w:t>
      </w:r>
      <w:r>
        <w:rPr>
          <w:rFonts w:ascii="楷体" w:hAnsi="楷体" w:cs="楷体" w:eastAsia="楷体" w:hint="default"/>
          <w:sz w:val="24"/>
          <w:szCs w:val="24"/>
        </w:rPr>
        <w:t>产品，自驾游产品，</w:t>
      </w:r>
      <w:r>
        <w:rPr>
          <w:rFonts w:ascii="Times New Roman" w:hAnsi="Times New Roman" w:cs="Times New Roman" w:eastAsia="Times New Roman" w:hint="default"/>
          <w:sz w:val="24"/>
          <w:szCs w:val="24"/>
        </w:rPr>
        <w:t>U</w:t>
      </w:r>
      <w:r>
        <w:rPr>
          <w:rFonts w:ascii="Times New Roman" w:hAnsi="Times New Roman" w:cs="Times New Roman" w:eastAsia="Times New Roman" w:hint="default"/>
          <w:spacing w:val="-5"/>
          <w:sz w:val="24"/>
          <w:szCs w:val="24"/>
        </w:rPr>
        <w:t> </w:t>
      </w:r>
      <w:r>
        <w:rPr>
          <w:rFonts w:ascii="楷体" w:hAnsi="楷体" w:cs="楷体" w:eastAsia="楷体" w:hint="default"/>
          <w:sz w:val="24"/>
          <w:szCs w:val="24"/>
        </w:rPr>
        <w:t>圈产品以及其他许多根据消费者需要单独定制的 产品，如对境外餐饮、奢侈品等行业的专线考察产品等，满足消费者日益增长的定</w:t>
      </w:r>
      <w:r>
        <w:rPr>
          <w:rFonts w:ascii="楷体" w:hAnsi="楷体" w:cs="楷体" w:eastAsia="楷体" w:hint="default"/>
          <w:spacing w:val="2"/>
          <w:sz w:val="24"/>
          <w:szCs w:val="24"/>
        </w:rPr>
        <w:t> </w:t>
      </w:r>
      <w:r>
        <w:rPr>
          <w:rFonts w:ascii="楷体" w:hAnsi="楷体" w:cs="楷体" w:eastAsia="楷体" w:hint="default"/>
          <w:sz w:val="24"/>
          <w:szCs w:val="24"/>
        </w:rPr>
        <w:t>制游需求。</w:t>
      </w:r>
    </w:p>
    <w:p>
      <w:pPr>
        <w:spacing w:line="338" w:lineRule="auto" w:before="48"/>
        <w:ind w:left="1054" w:right="231"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62"/>
          <w:sz w:val="24"/>
          <w:szCs w:val="24"/>
        </w:rPr>
        <w:t></w:t>
      </w:r>
      <w:r>
        <w:rPr>
          <w:rFonts w:ascii="Times New Roman" w:hAnsi="Times New Roman" w:cs="Times New Roman" w:eastAsia="Times New Roman" w:hint="default"/>
          <w:spacing w:val="-62"/>
          <w:sz w:val="24"/>
          <w:szCs w:val="24"/>
        </w:rPr>
      </w:r>
      <w:r>
        <w:rPr>
          <w:rFonts w:ascii="楷体" w:hAnsi="楷体" w:cs="楷体" w:eastAsia="楷体" w:hint="default"/>
          <w:b/>
          <w:bCs/>
          <w:sz w:val="24"/>
          <w:szCs w:val="24"/>
        </w:rPr>
        <w:t>有效提升高端品牌</w:t>
      </w:r>
      <w:r>
        <w:rPr>
          <w:rFonts w:ascii="Times New Roman" w:hAnsi="Times New Roman" w:cs="Times New Roman" w:eastAsia="Times New Roman" w:hint="default"/>
          <w:b/>
          <w:bCs/>
          <w:sz w:val="24"/>
          <w:szCs w:val="24"/>
        </w:rPr>
        <w:t>“</w:t>
      </w:r>
      <w:r>
        <w:rPr>
          <w:rFonts w:ascii="楷体" w:hAnsi="楷体" w:cs="楷体" w:eastAsia="楷体" w:hint="default"/>
          <w:b/>
          <w:bCs/>
          <w:sz w:val="24"/>
          <w:szCs w:val="24"/>
        </w:rPr>
        <w:t>奇迹旅行</w:t>
      </w:r>
      <w:r>
        <w:rPr>
          <w:rFonts w:ascii="Times New Roman" w:hAnsi="Times New Roman" w:cs="Times New Roman" w:eastAsia="Times New Roman" w:hint="default"/>
          <w:b/>
          <w:bCs/>
          <w:sz w:val="24"/>
          <w:szCs w:val="24"/>
        </w:rPr>
        <w:t>”</w:t>
      </w:r>
      <w:r>
        <w:rPr>
          <w:rFonts w:ascii="楷体" w:hAnsi="楷体" w:cs="楷体" w:eastAsia="楷体" w:hint="default"/>
          <w:b/>
          <w:bCs/>
          <w:sz w:val="24"/>
          <w:szCs w:val="24"/>
        </w:rPr>
        <w:t>影响力。</w:t>
      </w: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14"/>
          <w:sz w:val="24"/>
          <w:szCs w:val="24"/>
        </w:rPr>
        <w:t> </w:t>
      </w:r>
      <w:r>
        <w:rPr>
          <w:rFonts w:ascii="楷体" w:hAnsi="楷体" w:cs="楷体" w:eastAsia="楷体" w:hint="default"/>
          <w:sz w:val="24"/>
          <w:szCs w:val="24"/>
        </w:rPr>
        <w:t>年，</w:t>
      </w:r>
      <w:r>
        <w:rPr>
          <w:rFonts w:ascii="Times New Roman" w:hAnsi="Times New Roman" w:cs="Times New Roman" w:eastAsia="Times New Roman" w:hint="default"/>
          <w:sz w:val="24"/>
          <w:szCs w:val="24"/>
        </w:rPr>
        <w:t>“</w:t>
      </w:r>
      <w:r>
        <w:rPr>
          <w:rFonts w:ascii="楷体" w:hAnsi="楷体" w:cs="楷体" w:eastAsia="楷体" w:hint="default"/>
          <w:sz w:val="24"/>
          <w:szCs w:val="24"/>
        </w:rPr>
        <w:t>奇迹旅行</w:t>
      </w:r>
      <w:r>
        <w:rPr>
          <w:rFonts w:ascii="Times New Roman" w:hAnsi="Times New Roman" w:cs="Times New Roman" w:eastAsia="Times New Roman" w:hint="default"/>
          <w:sz w:val="24"/>
          <w:szCs w:val="24"/>
        </w:rPr>
        <w:t>”</w:t>
      </w:r>
      <w:r>
        <w:rPr>
          <w:rFonts w:ascii="楷体" w:hAnsi="楷体" w:cs="楷体" w:eastAsia="楷体" w:hint="default"/>
          <w:sz w:val="24"/>
          <w:szCs w:val="24"/>
        </w:rPr>
        <w:t>在京举办旅游业首届</w:t>
      </w:r>
      <w:r>
        <w:rPr>
          <w:rFonts w:ascii="Times New Roman" w:hAnsi="Times New Roman" w:cs="Times New Roman" w:eastAsia="Times New Roman" w:hint="default"/>
          <w:sz w:val="24"/>
          <w:szCs w:val="24"/>
        </w:rPr>
        <w:t>“</w:t>
      </w:r>
      <w:r>
        <w:rPr>
          <w:rFonts w:ascii="楷体" w:hAnsi="楷体" w:cs="楷体" w:eastAsia="楷体" w:hint="default"/>
          <w:sz w:val="24"/>
          <w:szCs w:val="24"/>
        </w:rPr>
        <w:t>高 </w:t>
      </w:r>
      <w:r>
        <w:rPr>
          <w:rFonts w:ascii="楷体" w:hAnsi="楷体" w:cs="楷体" w:eastAsia="楷体" w:hint="default"/>
          <w:spacing w:val="-6"/>
          <w:sz w:val="24"/>
          <w:szCs w:val="24"/>
        </w:rPr>
        <w:t>端旅游</w:t>
      </w:r>
      <w:r>
        <w:rPr>
          <w:rFonts w:ascii="Times New Roman" w:hAnsi="Times New Roman" w:cs="Times New Roman" w:eastAsia="Times New Roman" w:hint="default"/>
          <w:spacing w:val="-6"/>
          <w:sz w:val="24"/>
          <w:szCs w:val="24"/>
        </w:rPr>
        <w:t>”</w:t>
      </w:r>
      <w:r>
        <w:rPr>
          <w:rFonts w:ascii="楷体" w:hAnsi="楷体" w:cs="楷体" w:eastAsia="楷体" w:hint="default"/>
          <w:spacing w:val="-6"/>
          <w:sz w:val="24"/>
          <w:szCs w:val="24"/>
        </w:rPr>
        <w:t>主题论坛，并成功启动南极包船过大年高端旅游项目，独家代理销售 </w:t>
      </w:r>
      <w:r>
        <w:rPr>
          <w:rFonts w:ascii="Times New Roman" w:hAnsi="Times New Roman" w:cs="Times New Roman" w:eastAsia="Times New Roman" w:hint="default"/>
          <w:sz w:val="24"/>
          <w:szCs w:val="24"/>
        </w:rPr>
        <w:t>BBC</w:t>
      </w:r>
      <w:r>
        <w:rPr>
          <w:rFonts w:ascii="Times New Roman" w:hAnsi="Times New Roman" w:cs="Times New Roman" w:eastAsia="Times New Roman" w:hint="default"/>
          <w:spacing w:val="16"/>
          <w:sz w:val="24"/>
          <w:szCs w:val="24"/>
        </w:rPr>
        <w:t> </w:t>
      </w:r>
      <w:r>
        <w:rPr>
          <w:rFonts w:ascii="楷体" w:hAnsi="楷体" w:cs="楷体" w:eastAsia="楷体" w:hint="default"/>
          <w:sz w:val="24"/>
          <w:szCs w:val="24"/>
        </w:rPr>
        <w:t>与 美国 </w:t>
      </w:r>
      <w:r>
        <w:rPr>
          <w:rFonts w:ascii="Times New Roman" w:hAnsi="Times New Roman" w:cs="Times New Roman" w:eastAsia="Times New Roman" w:hint="default"/>
          <w:spacing w:val="-5"/>
          <w:sz w:val="24"/>
          <w:szCs w:val="24"/>
        </w:rPr>
        <w:t>TAUCK</w:t>
      </w:r>
      <w:r>
        <w:rPr>
          <w:rFonts w:ascii="Times New Roman" w:hAnsi="Times New Roman" w:cs="Times New Roman" w:eastAsia="Times New Roman" w:hint="default"/>
          <w:spacing w:val="-35"/>
          <w:sz w:val="24"/>
          <w:szCs w:val="24"/>
        </w:rPr>
        <w:t> </w:t>
      </w:r>
      <w:r>
        <w:rPr>
          <w:rFonts w:ascii="楷体" w:hAnsi="楷体" w:cs="楷体" w:eastAsia="楷体" w:hint="default"/>
          <w:sz w:val="24"/>
          <w:szCs w:val="24"/>
        </w:rPr>
        <w:t>联手打造的高端自然体验式独家旅游路线，成为</w:t>
      </w:r>
      <w:r>
        <w:rPr>
          <w:rFonts w:ascii="Times New Roman" w:hAnsi="Times New Roman" w:cs="Times New Roman" w:eastAsia="Times New Roman" w:hint="default"/>
          <w:sz w:val="24"/>
          <w:szCs w:val="24"/>
        </w:rPr>
        <w:t>“</w:t>
      </w:r>
      <w:r>
        <w:rPr>
          <w:rFonts w:ascii="楷体" w:hAnsi="楷体" w:cs="楷体" w:eastAsia="楷体" w:hint="default"/>
          <w:sz w:val="24"/>
          <w:szCs w:val="24"/>
        </w:rPr>
        <w:t>爱结一站式婚尚产业 </w:t>
      </w:r>
      <w:r>
        <w:rPr>
          <w:rFonts w:ascii="楷体" w:hAnsi="楷体" w:cs="楷体" w:eastAsia="楷体" w:hint="default"/>
          <w:spacing w:val="-1"/>
          <w:sz w:val="24"/>
          <w:szCs w:val="24"/>
        </w:rPr>
        <w:t>联盟</w:t>
      </w:r>
      <w:r>
        <w:rPr>
          <w:rFonts w:ascii="Times New Roman" w:hAnsi="Times New Roman" w:cs="Times New Roman" w:eastAsia="Times New Roman" w:hint="default"/>
          <w:spacing w:val="-1"/>
          <w:sz w:val="24"/>
          <w:szCs w:val="24"/>
        </w:rPr>
        <w:t>”</w:t>
      </w:r>
      <w:r>
        <w:rPr>
          <w:rFonts w:ascii="楷体" w:hAnsi="楷体" w:cs="楷体" w:eastAsia="楷体" w:hint="default"/>
          <w:spacing w:val="-1"/>
          <w:sz w:val="24"/>
          <w:szCs w:val="24"/>
        </w:rPr>
        <w:t>唯一旅游合作品牌，联手大通福克斯会诊中心推出高端赴美医疗旅游，获评为</w:t>
      </w:r>
      <w:r>
        <w:rPr>
          <w:rFonts w:ascii="楷体" w:hAnsi="楷体" w:cs="楷体" w:eastAsia="楷体" w:hint="default"/>
          <w:sz w:val="24"/>
          <w:szCs w:val="24"/>
        </w:rPr>
        <w:t> </w:t>
      </w:r>
      <w:r>
        <w:rPr>
          <w:rFonts w:ascii="Times New Roman" w:hAnsi="Times New Roman" w:cs="Times New Roman" w:eastAsia="Times New Roman" w:hint="default"/>
          <w:sz w:val="24"/>
          <w:szCs w:val="24"/>
        </w:rPr>
        <w:t>“</w:t>
      </w:r>
      <w:r>
        <w:rPr>
          <w:rFonts w:ascii="楷体" w:hAnsi="楷体" w:cs="楷体" w:eastAsia="楷体" w:hint="default"/>
          <w:sz w:val="24"/>
          <w:szCs w:val="24"/>
        </w:rPr>
        <w:t>中国大陆出境游奢华旅行社</w:t>
      </w:r>
      <w:r>
        <w:rPr>
          <w:rFonts w:ascii="楷体" w:hAnsi="楷体" w:cs="楷体" w:eastAsia="楷体" w:hint="default"/>
          <w:spacing w:val="-68"/>
          <w:sz w:val="24"/>
          <w:szCs w:val="24"/>
        </w:rPr>
        <w:t> </w:t>
      </w:r>
      <w:r>
        <w:rPr>
          <w:rFonts w:ascii="Times New Roman" w:hAnsi="Times New Roman" w:cs="Times New Roman" w:eastAsia="Times New Roman" w:hint="default"/>
          <w:sz w:val="24"/>
          <w:szCs w:val="24"/>
        </w:rPr>
        <w:t>TOP12”</w:t>
      </w:r>
      <w:r>
        <w:rPr>
          <w:rFonts w:ascii="楷体" w:hAnsi="楷体" w:cs="楷体" w:eastAsia="楷体" w:hint="default"/>
          <w:sz w:val="24"/>
          <w:szCs w:val="24"/>
        </w:rPr>
        <w:t>。</w:t>
      </w:r>
    </w:p>
    <w:p>
      <w:pPr>
        <w:spacing w:line="352" w:lineRule="auto" w:before="27"/>
        <w:ind w:left="1053" w:right="226" w:hanging="420"/>
        <w:jc w:val="both"/>
        <w:rPr>
          <w:rFonts w:ascii="楷体" w:hAnsi="楷体" w:cs="楷体" w:eastAsia="楷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r>
      <w:r>
        <w:rPr>
          <w:rFonts w:ascii="楷体" w:hAnsi="楷体" w:cs="楷体" w:eastAsia="楷体" w:hint="default"/>
          <w:b/>
          <w:bCs/>
          <w:sz w:val="24"/>
          <w:szCs w:val="24"/>
        </w:rPr>
        <w:t>跨界合作，提高消费者服务体验。</w:t>
      </w: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37"/>
          <w:sz w:val="24"/>
          <w:szCs w:val="24"/>
        </w:rPr>
        <w:t> </w:t>
      </w:r>
      <w:r>
        <w:rPr>
          <w:rFonts w:ascii="楷体" w:hAnsi="楷体" w:cs="楷体" w:eastAsia="楷体" w:hint="default"/>
          <w:sz w:val="24"/>
          <w:szCs w:val="24"/>
        </w:rPr>
        <w:t>年，公司携手</w:t>
      </w:r>
      <w:r>
        <w:rPr>
          <w:rFonts w:ascii="Times New Roman" w:hAnsi="Times New Roman" w:cs="Times New Roman" w:eastAsia="Times New Roman" w:hint="default"/>
          <w:sz w:val="24"/>
          <w:szCs w:val="24"/>
        </w:rPr>
        <w:t>“</w:t>
      </w:r>
      <w:r>
        <w:rPr>
          <w:rFonts w:ascii="楷体" w:hAnsi="楷体" w:cs="楷体" w:eastAsia="楷体" w:hint="default"/>
          <w:sz w:val="24"/>
          <w:szCs w:val="24"/>
        </w:rPr>
        <w:t>易到用车</w:t>
      </w:r>
      <w:r>
        <w:rPr>
          <w:rFonts w:ascii="Times New Roman" w:hAnsi="Times New Roman" w:cs="Times New Roman" w:eastAsia="Times New Roman" w:hint="default"/>
          <w:sz w:val="24"/>
          <w:szCs w:val="24"/>
        </w:rPr>
        <w:t>”</w:t>
      </w:r>
      <w:r>
        <w:rPr>
          <w:rFonts w:ascii="楷体" w:hAnsi="楷体" w:cs="楷体" w:eastAsia="楷体" w:hint="default"/>
          <w:sz w:val="24"/>
          <w:szCs w:val="24"/>
        </w:rPr>
        <w:t>，为游客提供便捷 的接送机服务。同年公司与国内首屈一指的娱乐文化传媒公司华谊兄弟达成战略合</w:t>
      </w:r>
      <w:r>
        <w:rPr>
          <w:rFonts w:ascii="楷体" w:hAnsi="楷体" w:cs="楷体" w:eastAsia="楷体" w:hint="default"/>
          <w:spacing w:val="2"/>
          <w:sz w:val="24"/>
          <w:szCs w:val="24"/>
        </w:rPr>
        <w:t> </w:t>
      </w:r>
      <w:r>
        <w:rPr>
          <w:rFonts w:ascii="楷体" w:hAnsi="楷体" w:cs="楷体" w:eastAsia="楷体" w:hint="default"/>
          <w:sz w:val="24"/>
          <w:szCs w:val="24"/>
        </w:rPr>
        <w:t>作，推出电影《命中注定》同款意大利旅游产品。同时，公司与多家国内外金融机</w:t>
      </w:r>
      <w:r>
        <w:rPr>
          <w:rFonts w:ascii="楷体" w:hAnsi="楷体" w:cs="楷体" w:eastAsia="楷体" w:hint="default"/>
          <w:spacing w:val="2"/>
          <w:sz w:val="24"/>
          <w:szCs w:val="24"/>
        </w:rPr>
        <w:t> </w:t>
      </w:r>
      <w:r>
        <w:rPr>
          <w:rFonts w:ascii="楷体" w:hAnsi="楷体" w:cs="楷体" w:eastAsia="楷体" w:hint="default"/>
          <w:sz w:val="24"/>
          <w:szCs w:val="24"/>
        </w:rPr>
        <w:t>构展开全面合作，推出联名卡，开展境外用卡奖励、冠名热门路线旅游团、优惠结</w:t>
      </w:r>
      <w:r>
        <w:rPr>
          <w:rFonts w:ascii="楷体" w:hAnsi="楷体" w:cs="楷体" w:eastAsia="楷体" w:hint="default"/>
          <w:spacing w:val="2"/>
          <w:sz w:val="24"/>
          <w:szCs w:val="24"/>
        </w:rPr>
        <w:t> </w:t>
      </w:r>
      <w:r>
        <w:rPr>
          <w:rFonts w:ascii="楷体" w:hAnsi="楷体" w:cs="楷体" w:eastAsia="楷体" w:hint="default"/>
          <w:sz w:val="24"/>
          <w:szCs w:val="24"/>
        </w:rPr>
        <w:t>算等活动，不断优化提升消费者体验。</w:t>
      </w:r>
    </w:p>
    <w:p>
      <w:pPr>
        <w:spacing w:line="357" w:lineRule="auto" w:before="41"/>
        <w:ind w:left="634" w:right="225" w:firstLine="2"/>
        <w:jc w:val="left"/>
        <w:rPr>
          <w:rFonts w:ascii="楷体" w:hAnsi="楷体" w:cs="楷体" w:eastAsia="楷体" w:hint="default"/>
          <w:sz w:val="24"/>
          <w:szCs w:val="24"/>
        </w:rPr>
      </w:pPr>
      <w:r>
        <w:rPr>
          <w:rFonts w:ascii="楷体" w:hAnsi="楷体" w:cs="楷体" w:eastAsia="楷体" w:hint="default"/>
          <w:b/>
          <w:bCs/>
          <w:sz w:val="24"/>
          <w:szCs w:val="24"/>
        </w:rPr>
        <w:t>融合：充分发挥并购的协同作用</w:t>
      </w:r>
      <w:r>
        <w:rPr>
          <w:rFonts w:ascii="楷体" w:hAnsi="楷体" w:cs="楷体" w:eastAsia="楷体" w:hint="default"/>
          <w:b/>
          <w:bCs/>
          <w:spacing w:val="1"/>
          <w:w w:val="99"/>
          <w:sz w:val="24"/>
          <w:szCs w:val="24"/>
        </w:rPr>
        <w:t> </w:t>
      </w:r>
      <w:r>
        <w:rPr>
          <w:rFonts w:ascii="楷体" w:hAnsi="楷体" w:cs="楷体" w:eastAsia="楷体" w:hint="default"/>
          <w:sz w:val="24"/>
          <w:szCs w:val="24"/>
        </w:rPr>
        <w:t>并购首先需要考虑是否符合公司战略，是否符合企业的发展阶段，被投资企业的规模只</w:t>
      </w:r>
    </w:p>
    <w:p>
      <w:pPr>
        <w:spacing w:line="338" w:lineRule="auto" w:before="36"/>
        <w:ind w:left="154" w:right="225" w:firstLine="0"/>
        <w:jc w:val="left"/>
        <w:rPr>
          <w:rFonts w:ascii="楷体" w:hAnsi="楷体" w:cs="楷体" w:eastAsia="楷体" w:hint="default"/>
          <w:sz w:val="24"/>
          <w:szCs w:val="24"/>
        </w:rPr>
      </w:pPr>
      <w:r>
        <w:rPr>
          <w:rFonts w:ascii="楷体" w:hAnsi="楷体" w:cs="楷体" w:eastAsia="楷体" w:hint="default"/>
          <w:spacing w:val="-2"/>
          <w:sz w:val="24"/>
          <w:szCs w:val="24"/>
        </w:rPr>
        <w:t>是考虑因素之一，不一定是规模越大越好。正是基于这一考虑，我们根据上面所述的</w:t>
      </w:r>
      <w:r>
        <w:rPr>
          <w:rFonts w:ascii="Times New Roman" w:hAnsi="Times New Roman" w:cs="Times New Roman" w:eastAsia="Times New Roman" w:hint="default"/>
          <w:spacing w:val="-2"/>
          <w:sz w:val="24"/>
          <w:szCs w:val="24"/>
        </w:rPr>
        <w:t>“</w:t>
      </w:r>
      <w:r>
        <w:rPr>
          <w:rFonts w:ascii="楷体" w:hAnsi="楷体" w:cs="楷体" w:eastAsia="楷体" w:hint="default"/>
          <w:spacing w:val="-2"/>
          <w:sz w:val="24"/>
          <w:szCs w:val="24"/>
        </w:rPr>
        <w:t>一纵一</w:t>
      </w:r>
      <w:r>
        <w:rPr>
          <w:rFonts w:ascii="楷体" w:hAnsi="楷体" w:cs="楷体" w:eastAsia="楷体" w:hint="default"/>
          <w:spacing w:val="-107"/>
          <w:sz w:val="24"/>
          <w:szCs w:val="24"/>
        </w:rPr>
        <w:t> </w:t>
      </w:r>
      <w:r>
        <w:rPr>
          <w:rFonts w:ascii="楷体" w:hAnsi="楷体" w:cs="楷体" w:eastAsia="楷体" w:hint="default"/>
          <w:spacing w:val="-2"/>
          <w:sz w:val="24"/>
          <w:szCs w:val="24"/>
        </w:rPr>
        <w:t>横</w:t>
      </w:r>
      <w:r>
        <w:rPr>
          <w:rFonts w:ascii="Times New Roman" w:hAnsi="Times New Roman" w:cs="Times New Roman" w:eastAsia="Times New Roman" w:hint="default"/>
          <w:spacing w:val="-2"/>
          <w:sz w:val="24"/>
          <w:szCs w:val="24"/>
        </w:rPr>
        <w:t>”</w:t>
      </w:r>
      <w:r>
        <w:rPr>
          <w:rFonts w:ascii="楷体" w:hAnsi="楷体" w:cs="楷体" w:eastAsia="楷体" w:hint="default"/>
          <w:spacing w:val="-2"/>
          <w:sz w:val="24"/>
          <w:szCs w:val="24"/>
        </w:rPr>
        <w:t>战略，在上市以来对不同业态、不同规模、不同阶段、不同区域的企业进行了一系列投资</w:t>
      </w:r>
    </w:p>
    <w:p>
      <w:pPr>
        <w:spacing w:after="0" w:line="338" w:lineRule="auto"/>
        <w:jc w:val="left"/>
        <w:rPr>
          <w:rFonts w:ascii="楷体" w:hAnsi="楷体" w:cs="楷体" w:eastAsia="楷体" w:hint="default"/>
          <w:sz w:val="24"/>
          <w:szCs w:val="24"/>
        </w:rPr>
        <w:sectPr>
          <w:pgSz w:w="11910" w:h="16840"/>
          <w:pgMar w:header="877" w:footer="982" w:top="1100" w:bottom="1180" w:left="980" w:right="900"/>
        </w:sectPr>
      </w:pPr>
    </w:p>
    <w:p>
      <w:pPr>
        <w:spacing w:line="240" w:lineRule="auto" w:before="7"/>
        <w:rPr>
          <w:rFonts w:ascii="楷体" w:hAnsi="楷体" w:cs="楷体" w:eastAsia="楷体" w:hint="default"/>
          <w:sz w:val="25"/>
          <w:szCs w:val="25"/>
        </w:rPr>
      </w:pPr>
    </w:p>
    <w:p>
      <w:pPr>
        <w:spacing w:line="357" w:lineRule="auto" w:before="26"/>
        <w:ind w:left="0" w:right="148" w:firstLine="0"/>
        <w:jc w:val="right"/>
        <w:rPr>
          <w:rFonts w:ascii="楷体" w:hAnsi="楷体" w:cs="楷体" w:eastAsia="楷体" w:hint="default"/>
          <w:sz w:val="24"/>
          <w:szCs w:val="24"/>
        </w:rPr>
      </w:pPr>
      <w:r>
        <w:rPr>
          <w:rFonts w:ascii="楷体" w:hAnsi="楷体" w:cs="楷体" w:eastAsia="楷体" w:hint="default"/>
          <w:spacing w:val="-5"/>
          <w:sz w:val="24"/>
          <w:szCs w:val="24"/>
        </w:rPr>
        <w:t>并购，既完善了我们的战略布局，提升了盈利水平，也提高了我们为消费者更好服务的能力。</w:t>
      </w:r>
      <w:r>
        <w:rPr>
          <w:rFonts w:ascii="楷体" w:hAnsi="楷体" w:cs="楷体" w:eastAsia="楷体" w:hint="default"/>
          <w:sz w:val="24"/>
          <w:szCs w:val="24"/>
        </w:rPr>
        <w:t> 在多年的经营中，我们与国内外的许多旅游企业不断加深了解，许多我们的并购投资对</w:t>
      </w:r>
      <w:r>
        <w:rPr>
          <w:rFonts w:ascii="楷体" w:hAnsi="楷体" w:cs="楷体" w:eastAsia="楷体" w:hint="default"/>
          <w:spacing w:val="1"/>
          <w:sz w:val="24"/>
          <w:szCs w:val="24"/>
        </w:rPr>
        <w:t> </w:t>
      </w:r>
      <w:r>
        <w:rPr>
          <w:rFonts w:ascii="楷体" w:hAnsi="楷体" w:cs="楷体" w:eastAsia="楷体" w:hint="default"/>
          <w:sz w:val="24"/>
          <w:szCs w:val="24"/>
        </w:rPr>
        <w:t>象既是我们的竞争对手，也是我们志同道合的朋友，人合与资合的因素为我们并购投资后的</w:t>
      </w:r>
      <w:r>
        <w:rPr>
          <w:rFonts w:ascii="楷体" w:hAnsi="楷体" w:cs="楷体" w:eastAsia="楷体" w:hint="default"/>
          <w:spacing w:val="-93"/>
          <w:sz w:val="24"/>
          <w:szCs w:val="24"/>
        </w:rPr>
        <w:t> </w:t>
      </w:r>
      <w:r>
        <w:rPr>
          <w:rFonts w:ascii="楷体" w:hAnsi="楷体" w:cs="楷体" w:eastAsia="楷体" w:hint="default"/>
          <w:spacing w:val="-93"/>
          <w:sz w:val="24"/>
          <w:szCs w:val="24"/>
        </w:rPr>
      </w:r>
      <w:r>
        <w:rPr>
          <w:rFonts w:ascii="楷体" w:hAnsi="楷体" w:cs="楷体" w:eastAsia="楷体" w:hint="default"/>
          <w:sz w:val="24"/>
          <w:szCs w:val="24"/>
        </w:rPr>
        <w:t>融合提供了很好的基础。但我们一直不敢掉以轻心，一直在思考并实践如何做好并购投资企</w:t>
      </w:r>
    </w:p>
    <w:p>
      <w:pPr>
        <w:spacing w:line="357" w:lineRule="auto" w:before="36"/>
        <w:ind w:left="634" w:right="148" w:hanging="480"/>
        <w:jc w:val="left"/>
        <w:rPr>
          <w:rFonts w:ascii="楷体" w:hAnsi="楷体" w:cs="楷体" w:eastAsia="楷体" w:hint="default"/>
          <w:sz w:val="24"/>
          <w:szCs w:val="24"/>
        </w:rPr>
      </w:pPr>
      <w:r>
        <w:rPr>
          <w:rFonts w:ascii="楷体" w:hAnsi="楷体" w:cs="楷体" w:eastAsia="楷体" w:hint="default"/>
          <w:sz w:val="24"/>
          <w:szCs w:val="24"/>
        </w:rPr>
        <w:t>业的融合，以实现我们并购投资的初衷，最大限度地发挥协同作用。 </w:t>
      </w:r>
      <w:r>
        <w:rPr>
          <w:rFonts w:ascii="楷体" w:hAnsi="楷体" w:cs="楷体" w:eastAsia="楷体" w:hint="default"/>
          <w:spacing w:val="-6"/>
          <w:sz w:val="24"/>
          <w:szCs w:val="24"/>
        </w:rPr>
        <w:t>对于参控股的不同企业，对于处于不同发展阶段的企业，我们一直采取不同的融合策略，</w:t>
      </w:r>
    </w:p>
    <w:p>
      <w:pPr>
        <w:spacing w:line="357" w:lineRule="auto" w:before="36"/>
        <w:ind w:left="154" w:right="148" w:firstLine="0"/>
        <w:jc w:val="both"/>
        <w:rPr>
          <w:rFonts w:ascii="楷体" w:hAnsi="楷体" w:cs="楷体" w:eastAsia="楷体" w:hint="default"/>
          <w:sz w:val="24"/>
          <w:szCs w:val="24"/>
        </w:rPr>
      </w:pPr>
      <w:r>
        <w:rPr>
          <w:rFonts w:ascii="楷体" w:hAnsi="楷体" w:cs="楷体" w:eastAsia="楷体" w:hint="default"/>
          <w:sz w:val="24"/>
          <w:szCs w:val="24"/>
        </w:rPr>
        <w:t>力求在资源采购上高度协同，在客户与渠道上合作共享，在产品类型上分类协调，以既能水</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乳不分，相守于江湖，又能相对独立，相望于江湖。同时，我们在与并购投资企业的融合过</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程中，不断探索对内部员工的激励措施，以进一步提高内部积极性，保证融合的效果。</w:t>
      </w:r>
    </w:p>
    <w:p>
      <w:pPr>
        <w:spacing w:line="348" w:lineRule="auto" w:before="36"/>
        <w:ind w:left="153" w:right="146" w:firstLine="480"/>
        <w:jc w:val="both"/>
        <w:rPr>
          <w:rFonts w:ascii="Times New Roman" w:hAnsi="Times New Roman" w:cs="Times New Roman" w:eastAsia="Times New Roman" w:hint="default"/>
          <w:sz w:val="24"/>
          <w:szCs w:val="24"/>
        </w:rPr>
      </w:pPr>
      <w:r>
        <w:rPr>
          <w:rFonts w:ascii="楷体" w:hAnsi="楷体" w:cs="楷体" w:eastAsia="楷体" w:hint="default"/>
          <w:sz w:val="24"/>
          <w:szCs w:val="24"/>
        </w:rPr>
        <w:t>这是一个出境游最好的时代，也是一个出境游最</w:t>
      </w:r>
      <w:r>
        <w:rPr>
          <w:rFonts w:ascii="Times New Roman" w:hAnsi="Times New Roman" w:cs="Times New Roman" w:eastAsia="Times New Roman" w:hint="default"/>
          <w:sz w:val="24"/>
          <w:szCs w:val="24"/>
        </w:rPr>
        <w:t>“</w:t>
      </w:r>
      <w:r>
        <w:rPr>
          <w:rFonts w:ascii="楷体" w:hAnsi="楷体" w:cs="楷体" w:eastAsia="楷体" w:hint="default"/>
          <w:sz w:val="24"/>
          <w:szCs w:val="24"/>
        </w:rPr>
        <w:t>坏</w:t>
      </w:r>
      <w:r>
        <w:rPr>
          <w:rFonts w:ascii="Times New Roman" w:hAnsi="Times New Roman" w:cs="Times New Roman" w:eastAsia="Times New Roman" w:hint="default"/>
          <w:sz w:val="24"/>
          <w:szCs w:val="24"/>
        </w:rPr>
        <w:t>”</w:t>
      </w:r>
      <w:r>
        <w:rPr>
          <w:rFonts w:ascii="楷体" w:hAnsi="楷体" w:cs="楷体" w:eastAsia="楷体" w:hint="default"/>
          <w:sz w:val="24"/>
          <w:szCs w:val="24"/>
        </w:rPr>
        <w:t>的时代，机遇中孕育着挑战，挑战</w:t>
      </w:r>
      <w:r>
        <w:rPr>
          <w:rFonts w:ascii="楷体" w:hAnsi="楷体" w:cs="楷体" w:eastAsia="楷体" w:hint="default"/>
          <w:spacing w:val="1"/>
          <w:sz w:val="24"/>
          <w:szCs w:val="24"/>
        </w:rPr>
        <w:t> </w:t>
      </w:r>
      <w:r>
        <w:rPr>
          <w:rFonts w:ascii="楷体" w:hAnsi="楷体" w:cs="楷体" w:eastAsia="楷体" w:hint="default"/>
          <w:sz w:val="24"/>
          <w:szCs w:val="24"/>
        </w:rPr>
        <w:t>中孕育着更大的机遇，我们一直不曾忘记为什么要出发，也一直在前行中思考，在思考中前</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行。未来三到五年，我们将继续坚持</w:t>
      </w:r>
      <w:r>
        <w:rPr>
          <w:rFonts w:ascii="Times New Roman" w:hAnsi="Times New Roman" w:cs="Times New Roman" w:eastAsia="Times New Roman" w:hint="default"/>
          <w:sz w:val="24"/>
          <w:szCs w:val="24"/>
        </w:rPr>
        <w:t>“</w:t>
      </w:r>
      <w:r>
        <w:rPr>
          <w:rFonts w:ascii="楷体" w:hAnsi="楷体" w:cs="楷体" w:eastAsia="楷体" w:hint="default"/>
          <w:sz w:val="24"/>
          <w:szCs w:val="24"/>
        </w:rPr>
        <w:t>一纵一横</w:t>
      </w:r>
      <w:r>
        <w:rPr>
          <w:rFonts w:ascii="Times New Roman" w:hAnsi="Times New Roman" w:cs="Times New Roman" w:eastAsia="Times New Roman" w:hint="default"/>
          <w:sz w:val="24"/>
          <w:szCs w:val="24"/>
        </w:rPr>
        <w:t>”</w:t>
      </w:r>
      <w:r>
        <w:rPr>
          <w:rFonts w:ascii="楷体" w:hAnsi="楷体" w:cs="楷体" w:eastAsia="楷体" w:hint="default"/>
          <w:sz w:val="24"/>
          <w:szCs w:val="24"/>
        </w:rPr>
        <w:t>的资本战略，牢记产品和服务这个根本，做</w:t>
      </w:r>
      <w:r>
        <w:rPr>
          <w:rFonts w:ascii="楷体" w:hAnsi="楷体" w:cs="楷体" w:eastAsia="楷体" w:hint="default"/>
          <w:spacing w:val="-79"/>
          <w:sz w:val="24"/>
          <w:szCs w:val="24"/>
        </w:rPr>
        <w:t> </w:t>
      </w:r>
      <w:r>
        <w:rPr>
          <w:rFonts w:ascii="楷体" w:hAnsi="楷体" w:cs="楷体" w:eastAsia="楷体" w:hint="default"/>
          <w:sz w:val="24"/>
          <w:szCs w:val="24"/>
        </w:rPr>
        <w:t>实出境游业务平台这一核心，完善出境综合服务平台，届时，您必将看到一个规模更大、优</w:t>
      </w:r>
      <w:r>
        <w:rPr>
          <w:rFonts w:ascii="楷体" w:hAnsi="楷体" w:cs="楷体" w:eastAsia="楷体" w:hint="default"/>
          <w:spacing w:val="-83"/>
          <w:sz w:val="24"/>
          <w:szCs w:val="24"/>
        </w:rPr>
        <w:t> </w:t>
      </w:r>
      <w:r>
        <w:rPr>
          <w:rFonts w:ascii="楷体" w:hAnsi="楷体" w:cs="楷体" w:eastAsia="楷体" w:hint="default"/>
          <w:spacing w:val="-83"/>
          <w:sz w:val="24"/>
          <w:szCs w:val="24"/>
        </w:rPr>
      </w:r>
      <w:r>
        <w:rPr>
          <w:rFonts w:ascii="楷体" w:hAnsi="楷体" w:cs="楷体" w:eastAsia="楷体" w:hint="default"/>
          <w:sz w:val="24"/>
          <w:szCs w:val="24"/>
        </w:rPr>
        <w:t>势更突出、竞争力更强的全新众信。未来，你我同行</w:t>
      </w:r>
      <w:r>
        <w:rPr>
          <w:rFonts w:ascii="Times New Roman" w:hAnsi="Times New Roman" w:cs="Times New Roman" w:eastAsia="Times New Roman" w:hint="default"/>
          <w:sz w:val="24"/>
          <w:szCs w:val="24"/>
        </w:rPr>
        <w:t>!</w:t>
      </w:r>
    </w:p>
    <w:p>
      <w:pPr>
        <w:spacing w:after="0" w:line="348" w:lineRule="auto"/>
        <w:jc w:val="both"/>
        <w:rPr>
          <w:rFonts w:ascii="Times New Roman" w:hAnsi="Times New Roman" w:cs="Times New Roman" w:eastAsia="Times New Roman" w:hint="default"/>
          <w:sz w:val="24"/>
          <w:szCs w:val="24"/>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spacing w:line="240" w:lineRule="auto"/>
        <w:ind w:left="715" w:right="0" w:firstLine="2410"/>
        <w:jc w:val="left"/>
        <w:rPr>
          <w:b w:val="0"/>
          <w:bCs w:val="0"/>
        </w:rPr>
      </w:pPr>
      <w:bookmarkStart w:name="_TOC_250010" w:id="2"/>
      <w:r>
        <w:rPr/>
        <w:t>第一节</w:t>
      </w:r>
      <w:r>
        <w:rPr>
          <w:spacing w:val="-11"/>
        </w:rPr>
        <w:t> </w:t>
      </w:r>
      <w:r>
        <w:rPr/>
        <w:t>重要提示、目录和释义</w:t>
      </w:r>
      <w:bookmarkEnd w:id="2"/>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08" w:lineRule="auto" w:before="6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公司负责人冯滨、主管会计工作负责人何静及会计机构负责人（会计主管</w:t>
      </w:r>
      <w:r>
        <w:rPr>
          <w:rFonts w:ascii="宋体" w:hAnsi="宋体" w:cs="宋体" w:eastAsia="宋体" w:hint="default"/>
          <w:b/>
          <w:bCs/>
          <w:spacing w:val="4"/>
          <w:w w:val="99"/>
          <w:sz w:val="28"/>
          <w:szCs w:val="28"/>
        </w:rPr>
        <w:t> </w:t>
      </w:r>
      <w:r>
        <w:rPr>
          <w:rFonts w:ascii="宋体" w:hAnsi="宋体" w:cs="宋体" w:eastAsia="宋体" w:hint="default"/>
          <w:b/>
          <w:bCs/>
          <w:sz w:val="28"/>
          <w:szCs w:val="28"/>
        </w:rPr>
        <w:t>人员）李海涛声明：保证年度报告中财务报告的真实、准确、完整。</w:t>
      </w:r>
      <w:r>
        <w:rPr>
          <w:rFonts w:ascii="宋体" w:hAnsi="宋体" w:cs="宋体" w:eastAsia="宋体" w:hint="default"/>
          <w:sz w:val="28"/>
          <w:szCs w:val="28"/>
        </w:rPr>
      </w:r>
    </w:p>
    <w:p>
      <w:pPr>
        <w:spacing w:line="408" w:lineRule="auto" w:before="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本报告中如有涉及未来计划、业绩预测等方面的内容，均不构成本公司对</w:t>
      </w:r>
      <w:r>
        <w:rPr>
          <w:rFonts w:ascii="宋体" w:hAnsi="宋体" w:cs="宋体" w:eastAsia="宋体" w:hint="default"/>
          <w:sz w:val="28"/>
          <w:szCs w:val="28"/>
        </w:rPr>
      </w:r>
    </w:p>
    <w:p>
      <w:pPr>
        <w:spacing w:line="400" w:lineRule="auto" w:before="61"/>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投资者的实质承诺，敬请广大投资者注意投资风险。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spacing w:val="1"/>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近年来，我国旅游业快速发展，产业规模不断扩大，产业体系日趋完善，</w:t>
      </w:r>
      <w:r>
        <w:rPr>
          <w:rFonts w:ascii="宋体" w:hAnsi="宋体" w:cs="宋体" w:eastAsia="宋体" w:hint="default"/>
          <w:sz w:val="28"/>
          <w:szCs w:val="28"/>
        </w:rPr>
      </w:r>
    </w:p>
    <w:p>
      <w:pPr>
        <w:spacing w:line="403" w:lineRule="auto" w:before="70"/>
        <w:ind w:left="153" w:right="0" w:firstLine="0"/>
        <w:jc w:val="left"/>
        <w:rPr>
          <w:rFonts w:ascii="宋体" w:hAnsi="宋体" w:cs="宋体" w:eastAsia="宋体" w:hint="default"/>
          <w:sz w:val="28"/>
          <w:szCs w:val="28"/>
        </w:rPr>
      </w:pPr>
      <w:r>
        <w:rPr>
          <w:rFonts w:ascii="宋体" w:hAnsi="宋体" w:cs="宋体" w:eastAsia="宋体" w:hint="default"/>
          <w:b/>
          <w:bCs/>
          <w:spacing w:val="-1"/>
          <w:w w:val="95"/>
          <w:sz w:val="28"/>
          <w:szCs w:val="28"/>
        </w:rPr>
        <w:t>已成为我国第三产业中的重要支柱产业。我国出境旅游人次在近年来快速增长，</w:t>
      </w:r>
      <w:r>
        <w:rPr>
          <w:rFonts w:ascii="宋体" w:hAnsi="宋体" w:cs="宋体" w:eastAsia="宋体" w:hint="default"/>
          <w:b/>
          <w:bCs/>
          <w:spacing w:val="45"/>
          <w:w w:val="95"/>
          <w:sz w:val="28"/>
          <w:szCs w:val="28"/>
        </w:rPr>
        <w:t> </w:t>
      </w:r>
      <w:r>
        <w:rPr>
          <w:rFonts w:ascii="宋体" w:hAnsi="宋体" w:cs="宋体" w:eastAsia="宋体" w:hint="default"/>
          <w:b/>
          <w:bCs/>
          <w:spacing w:val="45"/>
          <w:w w:val="95"/>
          <w:sz w:val="28"/>
          <w:szCs w:val="28"/>
        </w:rPr>
      </w:r>
      <w:r>
        <w:rPr>
          <w:rFonts w:ascii="宋体" w:hAnsi="宋体" w:cs="宋体" w:eastAsia="宋体" w:hint="default"/>
          <w:b/>
          <w:bCs/>
          <w:sz w:val="28"/>
          <w:szCs w:val="28"/>
        </w:rPr>
        <w:t>出境消费逐年递增，</w:t>
      </w:r>
      <w:r>
        <w:rPr>
          <w:rFonts w:ascii="Times New Roman" w:hAnsi="Times New Roman" w:cs="Times New Roman" w:eastAsia="Times New Roman" w:hint="default"/>
          <w:b/>
          <w:bCs/>
          <w:sz w:val="28"/>
          <w:szCs w:val="28"/>
        </w:rPr>
        <w:t>2015 </w:t>
      </w:r>
      <w:r>
        <w:rPr>
          <w:rFonts w:ascii="宋体" w:hAnsi="宋体" w:cs="宋体" w:eastAsia="宋体" w:hint="default"/>
          <w:b/>
          <w:bCs/>
          <w:sz w:val="28"/>
          <w:szCs w:val="28"/>
        </w:rPr>
        <w:t>年中国内地公民出境旅游首破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亿人次。行业关注</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度提高，使得旅游行业，特别是出境旅游行业成为产业投资的热点，促进旅游</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行业不断提升线上线下的应用功能和服务水平，行业的整合和演变加速，市场</w:t>
      </w:r>
      <w:r>
        <w:rPr>
          <w:rFonts w:ascii="宋体" w:hAnsi="宋体" w:cs="宋体" w:eastAsia="宋体" w:hint="default"/>
          <w:b/>
          <w:bCs/>
          <w:spacing w:val="3"/>
          <w:w w:val="99"/>
          <w:sz w:val="28"/>
          <w:szCs w:val="28"/>
        </w:rPr>
        <w:t> </w:t>
      </w:r>
      <w:r>
        <w:rPr>
          <w:rFonts w:ascii="宋体" w:hAnsi="宋体" w:cs="宋体" w:eastAsia="宋体" w:hint="default"/>
          <w:b/>
          <w:bCs/>
          <w:sz w:val="28"/>
          <w:szCs w:val="28"/>
        </w:rPr>
        <w:t>竞争日趋激烈。</w:t>
      </w:r>
      <w:r>
        <w:rPr>
          <w:rFonts w:ascii="宋体" w:hAnsi="宋体" w:cs="宋体" w:eastAsia="宋体" w:hint="default"/>
          <w:sz w:val="28"/>
          <w:szCs w:val="28"/>
        </w:rPr>
      </w:r>
    </w:p>
    <w:p>
      <w:pPr>
        <w:spacing w:line="386" w:lineRule="auto" w:before="67"/>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、服务质量控制风险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旅游业直接面向游客，服务具有极为重要的地位。公司作为业内领先的出</w:t>
      </w:r>
      <w:r>
        <w:rPr>
          <w:rFonts w:ascii="宋体" w:hAnsi="宋体" w:cs="宋体" w:eastAsia="宋体" w:hint="default"/>
          <w:sz w:val="28"/>
          <w:szCs w:val="28"/>
        </w:rPr>
      </w:r>
    </w:p>
    <w:p>
      <w:pPr>
        <w:spacing w:line="408" w:lineRule="auto" w:before="87"/>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境旅游运营商，在服务体系方面，通过制定严格的服务质量控制标准、建立完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善的质量监督机制和反馈渠道，不断提升服务质量，提高顾客满意度，取得了</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877" w:footer="982" w:top="1100" w:bottom="1180" w:left="980" w:right="880"/>
        </w:sectPr>
      </w:pPr>
    </w:p>
    <w:p>
      <w:pPr>
        <w:spacing w:line="240" w:lineRule="auto" w:before="12"/>
        <w:rPr>
          <w:rFonts w:ascii="宋体" w:hAnsi="宋体" w:cs="宋体" w:eastAsia="宋体" w:hint="default"/>
          <w:b/>
          <w:bCs/>
          <w:sz w:val="29"/>
          <w:szCs w:val="29"/>
        </w:rPr>
      </w:pPr>
    </w:p>
    <w:p>
      <w:pPr>
        <w:spacing w:line="408" w:lineRule="auto" w:before="13"/>
        <w:ind w:left="153" w:right="1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良好效果。但由于客观环境的多变性、游客偏好的多样性、极端天气变化的偶</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发性以及不同领队素质和能力的差异性等多种因素的影响，将有可能发生游客</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与本公司之间的服务纠纷。如果本公司不能有效地保证服务质量、不能持续不</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断地提升服务质量、不能快速有效地解决纠纷，则会对公司的品牌和业务产生</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不利影响。</w:t>
      </w:r>
      <w:r>
        <w:rPr>
          <w:rFonts w:ascii="宋体" w:hAnsi="宋体" w:cs="宋体" w:eastAsia="宋体" w:hint="default"/>
          <w:sz w:val="28"/>
          <w:szCs w:val="28"/>
        </w:rPr>
      </w:r>
    </w:p>
    <w:p>
      <w:pPr>
        <w:spacing w:line="386" w:lineRule="auto" w:before="61"/>
        <w:ind w:left="715" w:right="148"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、不可抗力风险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旅游行业受自然、政治、经济等因素的影响较大。本公司主要经营出境游</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业务，自然灾害、目的地政治局势不稳定、罢工、流行性疾病等凡是影响到游</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客人身财产安全的事件，都将会影响游客的外出旅游选择，甚至直接导致该目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的地不适合旅游，从而影响公司业绩。</w:t>
      </w:r>
      <w:r>
        <w:rPr>
          <w:rFonts w:ascii="宋体" w:hAnsi="宋体" w:cs="宋体" w:eastAsia="宋体" w:hint="default"/>
          <w:sz w:val="28"/>
          <w:szCs w:val="28"/>
        </w:rPr>
      </w:r>
    </w:p>
    <w:p>
      <w:pPr>
        <w:spacing w:line="386" w:lineRule="auto" w:before="61"/>
        <w:ind w:left="715" w:right="148"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、汇率变动风险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本公司主要经营出境旅游业务，公司的旅游服务活动大都发生在境外，主</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要以人民币对客户进行报价收费，以美元、欧元等外汇向境外合作伙伴进行资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源采购，可能因人民币汇率变动导致公司采购成本出现变化。另汇率波动会影</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响公司产品价格与游客的出行意愿，将对那些对价格敏感性较高的客户造成一</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定的影响。因而汇率的波动将会对公司的收入、利润构成影响。</w:t>
      </w:r>
      <w:r>
        <w:rPr>
          <w:rFonts w:ascii="宋体" w:hAnsi="宋体" w:cs="宋体" w:eastAsia="宋体" w:hint="default"/>
          <w:sz w:val="28"/>
          <w:szCs w:val="28"/>
        </w:rPr>
      </w:r>
    </w:p>
    <w:p>
      <w:pPr>
        <w:spacing w:line="386" w:lineRule="auto" w:before="61"/>
        <w:ind w:left="715" w:right="148"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、收购整合风险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为实现公司的战略目标，存在一些跨国并购及跨地区并购。各并购对象在</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保持独立运营的基础上发挥各自的业务优势与公司进行业务对接、人员融合，</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共同做大做强；从公司整体角度看，各并购对象和公司需在资源上进行对接协</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5"/>
          <w:w w:val="95"/>
          <w:sz w:val="28"/>
          <w:szCs w:val="28"/>
        </w:rPr>
        <w:t>作，在企业文化、管理模式等方面进行融合，能否顺利实现整合具有不确定性，</w:t>
      </w:r>
      <w:r>
        <w:rPr>
          <w:rFonts w:ascii="宋体" w:hAnsi="宋体" w:cs="宋体" w:eastAsia="宋体" w:hint="default"/>
          <w:b/>
          <w:bCs/>
          <w:spacing w:val="60"/>
          <w:w w:val="95"/>
          <w:sz w:val="28"/>
          <w:szCs w:val="28"/>
        </w:rPr>
        <w:t> </w:t>
      </w:r>
      <w:r>
        <w:rPr>
          <w:rFonts w:ascii="宋体" w:hAnsi="宋体" w:cs="宋体" w:eastAsia="宋体" w:hint="default"/>
          <w:b/>
          <w:bCs/>
          <w:spacing w:val="60"/>
          <w:w w:val="95"/>
          <w:sz w:val="28"/>
          <w:szCs w:val="28"/>
        </w:rPr>
      </w:r>
      <w:r>
        <w:rPr>
          <w:rFonts w:ascii="宋体" w:hAnsi="宋体" w:cs="宋体" w:eastAsia="宋体" w:hint="default"/>
          <w:b/>
          <w:bCs/>
          <w:spacing w:val="3"/>
          <w:w w:val="95"/>
          <w:sz w:val="28"/>
          <w:szCs w:val="28"/>
        </w:rPr>
        <w:t>整合过程中若公司未能及时建立起与之相适应的文化体制、组织模式和管理制</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877" w:footer="982" w:top="1100" w:bottom="1180" w:left="980" w:right="980"/>
        </w:sectPr>
      </w:pPr>
    </w:p>
    <w:p>
      <w:pPr>
        <w:spacing w:line="240" w:lineRule="auto" w:before="12"/>
        <w:rPr>
          <w:rFonts w:ascii="宋体" w:hAnsi="宋体" w:cs="宋体" w:eastAsia="宋体" w:hint="default"/>
          <w:b/>
          <w:bCs/>
          <w:sz w:val="29"/>
          <w:szCs w:val="29"/>
        </w:rPr>
      </w:pPr>
    </w:p>
    <w:p>
      <w:pPr>
        <w:spacing w:line="408" w:lineRule="auto" w:before="13"/>
        <w:ind w:left="153" w:right="1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度，可能不能达到并购的预期收益甚至会对各并购对象的经营造成负面影响，</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从而给公司带来收购整合风险。</w:t>
      </w:r>
      <w:r>
        <w:rPr>
          <w:rFonts w:ascii="宋体" w:hAnsi="宋体" w:cs="宋体" w:eastAsia="宋体" w:hint="default"/>
          <w:sz w:val="28"/>
          <w:szCs w:val="28"/>
        </w:rPr>
      </w:r>
    </w:p>
    <w:p>
      <w:pPr>
        <w:spacing w:line="386" w:lineRule="auto" w:before="61"/>
        <w:ind w:left="715" w:right="148"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、商誉减值风险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公司通过一系列的并购实现处延扩展，形成非同一控制下企业合并，在合</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并资产负债表将形成大额商誉。根据《企业会计准则》规定，交易形成的商誉</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不作摊销处理，但需在未来每年年度终了时做减值测试。如果未来境外旅游整</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体萎靡、各并购对象并购后的协同效应未及预期或其他原因导致相关公司未来</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经营状况未达预期，则公司存在商誉减值的风险，从而对上市公司当期损益造</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成不利影响，提请投资者注意风险。</w:t>
      </w:r>
      <w:r>
        <w:rPr>
          <w:rFonts w:ascii="宋体" w:hAnsi="宋体" w:cs="宋体" w:eastAsia="宋体" w:hint="default"/>
          <w:sz w:val="28"/>
          <w:szCs w:val="28"/>
        </w:rPr>
      </w:r>
    </w:p>
    <w:p>
      <w:pPr>
        <w:spacing w:line="386" w:lineRule="auto" w:before="61"/>
        <w:ind w:left="715" w:right="148"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、重大资产重组、配套融资及募投项目投资的不确定性风险</w:t>
      </w:r>
      <w:r>
        <w:rPr>
          <w:rFonts w:ascii="宋体" w:hAnsi="宋体" w:cs="宋体" w:eastAsia="宋体" w:hint="default"/>
          <w:b/>
          <w:bCs/>
          <w:spacing w:val="1"/>
          <w:w w:val="99"/>
          <w:sz w:val="28"/>
          <w:szCs w:val="28"/>
        </w:rPr>
        <w:t> </w:t>
      </w:r>
      <w:r>
        <w:rPr>
          <w:rFonts w:ascii="宋体" w:hAnsi="宋体" w:cs="宋体" w:eastAsia="宋体" w:hint="default"/>
          <w:b/>
          <w:bCs/>
          <w:w w:val="99"/>
          <w:sz w:val="28"/>
          <w:szCs w:val="28"/>
        </w:rPr>
        <w:t>发行股份及支付现金购买华远国旅</w:t>
      </w:r>
      <w:r>
        <w:rPr>
          <w:rFonts w:ascii="宋体" w:hAnsi="宋体" w:cs="宋体" w:eastAsia="宋体" w:hint="default"/>
          <w:b/>
          <w:bCs/>
          <w:spacing w:val="-54"/>
          <w:w w:val="99"/>
          <w:sz w:val="28"/>
          <w:szCs w:val="28"/>
        </w:rPr>
        <w:t> </w:t>
      </w:r>
      <w:r>
        <w:rPr>
          <w:rFonts w:ascii="Times New Roman" w:hAnsi="Times New Roman" w:cs="Times New Roman" w:eastAsia="Times New Roman" w:hint="default"/>
          <w:b/>
          <w:bCs/>
          <w:spacing w:val="-6"/>
          <w:w w:val="99"/>
          <w:sz w:val="28"/>
          <w:szCs w:val="28"/>
        </w:rPr>
        <w:t>100%</w:t>
      </w:r>
      <w:r>
        <w:rPr>
          <w:rFonts w:ascii="宋体" w:hAnsi="宋体" w:cs="宋体" w:eastAsia="宋体" w:hint="default"/>
          <w:b/>
          <w:bCs/>
          <w:spacing w:val="-6"/>
          <w:w w:val="99"/>
          <w:sz w:val="28"/>
          <w:szCs w:val="28"/>
        </w:rPr>
        <w:t>股权、配套融资及募投项目实施的</w:t>
      </w:r>
      <w:r>
        <w:rPr>
          <w:rFonts w:ascii="宋体" w:hAnsi="宋体" w:cs="宋体" w:eastAsia="宋体" w:hint="default"/>
          <w:sz w:val="28"/>
          <w:szCs w:val="28"/>
        </w:rPr>
      </w:r>
    </w:p>
    <w:p>
      <w:pPr>
        <w:spacing w:before="47"/>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不确定性风险。</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年</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月</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15</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日公司</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总股</w:t>
      </w:r>
      <w:r>
        <w:rPr>
          <w:rFonts w:ascii="宋体" w:hAnsi="宋体" w:cs="宋体" w:eastAsia="宋体" w:hint="default"/>
          <w:b/>
          <w:bCs/>
          <w:w w:val="99"/>
          <w:sz w:val="28"/>
          <w:szCs w:val="28"/>
        </w:rPr>
        <w:t>本</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417,484,590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股为基数</w:t>
      </w:r>
      <w:r>
        <w:rPr>
          <w:rFonts w:ascii="宋体" w:hAnsi="宋体" w:cs="宋体" w:eastAsia="宋体" w:hint="default"/>
          <w:b/>
          <w:bCs/>
          <w:spacing w:val="-130"/>
          <w:w w:val="99"/>
          <w:sz w:val="28"/>
          <w:szCs w:val="28"/>
        </w:rPr>
        <w:t>，</w:t>
      </w: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，以资本公积金向全体股东</w:t>
      </w:r>
      <w:r>
        <w:rPr>
          <w:rFonts w:ascii="宋体" w:hAnsi="宋体" w:cs="宋体" w:eastAsia="宋体" w:hint="default"/>
          <w:b/>
          <w:bCs/>
          <w:w w:val="99"/>
          <w:sz w:val="28"/>
          <w:szCs w:val="28"/>
        </w:rPr>
        <w:t>每</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79" w:lineRule="exact" w:before="0"/>
        <w:ind w:left="3750" w:right="374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sdt>
      <w:sdtPr>
        <w:docPartObj>
          <w:docPartGallery w:val="Table of Contents"/>
          <w:docPartUnique/>
        </w:docPartObj>
      </w:sdtPr>
      <w:sdtEndPr/>
      <w:sdtContent>
        <w:p>
          <w:pPr>
            <w:pStyle w:val="TOC1"/>
            <w:tabs>
              <w:tab w:pos="9781" w:val="right" w:leader="dot"/>
            </w:tabs>
            <w:spacing w:line="240" w:lineRule="auto" w:before="708"/>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致股东</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10">
            <w:r>
              <w:rPr/>
              <w:t>第一节 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 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 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7">
            <w:r>
              <w:rPr/>
              <w:t>第四节 管理层讨论与分析</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 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 股份变动及股东情况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4">
            <w:r>
              <w:rPr/>
              <w:t>第七节 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 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 公司治理</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2" w:val="right" w:leader="dot"/>
            </w:tabs>
            <w:spacing w:line="240" w:lineRule="auto" w:before="218"/>
            <w:ind w:right="0"/>
            <w:jc w:val="left"/>
            <w:rPr>
              <w:rFonts w:ascii="Times New Roman" w:hAnsi="Times New Roman" w:cs="Times New Roman" w:eastAsia="Times New Roman" w:hint="default"/>
              <w:b w:val="0"/>
              <w:bCs w:val="0"/>
            </w:rPr>
          </w:pPr>
          <w:hyperlink w:history="true" w:anchor="_TOC_250001">
            <w:r>
              <w:rPr/>
              <w:t>第十节 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980"/>
        </w:sectPr>
      </w:pPr>
    </w:p>
    <w:p>
      <w:pPr>
        <w:spacing w:before="372"/>
        <w:ind w:left="3750" w:right="374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552"/>
        <w:gridCol w:w="620"/>
        <w:gridCol w:w="6467"/>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公司、本公司、众信旅游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江苏众信国际旅行社有限公司，上海众信全资子公司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浙江众信旅行社有限公司，公司下属全资子公司，原杭州众信旅行社有限公司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太原众信旅行社有限公司，公司下属全资子公司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郑州众信国际旅行社有限公司，公司下属全资子公司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辽宁众信旅行社有限公司，公司下属全资子公司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湖南众信旅行社有限公司，公司下属全资子公司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天津众信悠哉网国际旅行社有限公司，公司下属全资子公司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优逸文公关</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北京优逸文公关策划有限公司，公司下属全资子公司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众信商务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众信（北京）国际商务旅行社有限公司，优逸文公关下属全资子公司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优众会展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北京优众会展国际旅行社有限公司，优逸文公关下属控股子公司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优拓航服</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北京优拓航空服务有限公司，公司下属全资子公司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北京九州联合国际旅行社有限公司，公司下属全资子公司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众信奇迹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北京众信奇迹国际旅行社有限公司，公司下属控股子公司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众信嘉业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众信嘉业（北京）国际文化交流有限公司，公司下属全资子公司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广州优盛互联网金融信息服务有限公司，公司下属全资子公司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广州优贷</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广州优贷小额贷款有限公司，公司下属全资子公司</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悠联货币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北京悠联货币汇兑有限公司，原北京乾坤运通商务咨询有限公司，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日更名为悠联货币，公司下属控股子公司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上海巨龙国际旅行社有限公司，公司下属控股子公司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上海优葵</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上海优葵投资管理有限公司，公司下属全资子公司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北京优达出入境服务有限公司，公司下属全资子公司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竹园国际旅行社有限公司，公司下属控股子公司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上海竹园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上海竹园国际旅行社有限公司，竹园国旅下属全资子公司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北京开元周游国际旅行社有限公司，公司下属控股子公司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厦门开元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厦门开元周游国际旅行社有限公司，北京开元下属全资子公司</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552"/>
        <w:gridCol w:w="620"/>
        <w:gridCol w:w="6467"/>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德国开元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Kaiyuan Informaiton &amp; Business</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，北京开元下属全资子公司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法国开元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Kaiyuan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SARL</w:t>
            </w:r>
            <w:r>
              <w:rPr>
                <w:rFonts w:ascii="宋体" w:hAnsi="宋体" w:cs="宋体" w:eastAsia="宋体" w:hint="default"/>
                <w:sz w:val="18"/>
                <w:szCs w:val="18"/>
              </w:rPr>
              <w:t>，德国开元下属全资子公司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法国安赛尔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Sarl</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Ansel</w:t>
            </w:r>
            <w:r>
              <w:rPr>
                <w:rFonts w:ascii="宋体" w:hAnsi="宋体" w:cs="宋体" w:eastAsia="宋体" w:hint="default"/>
                <w:sz w:val="18"/>
                <w:szCs w:val="18"/>
              </w:rPr>
              <w:t>，德国开元下属控股子公司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Hongkong </w:t>
            </w:r>
            <w:r>
              <w:rPr>
                <w:rFonts w:ascii="Times New Roman" w:hAnsi="Times New Roman" w:cs="Times New Roman" w:eastAsia="Times New Roman" w:hint="default"/>
                <w:spacing w:val="-3"/>
                <w:sz w:val="18"/>
                <w:szCs w:val="18"/>
              </w:rPr>
              <w:t>UTour </w:t>
            </w:r>
            <w:r>
              <w:rPr>
                <w:rFonts w:ascii="Times New Roman" w:hAnsi="Times New Roman" w:cs="Times New Roman" w:eastAsia="Times New Roman" w:hint="default"/>
                <w:sz w:val="18"/>
                <w:szCs w:val="18"/>
              </w:rPr>
              <w:t>International Travel Service Co.,</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，公司下属全资子公司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JP</w:t>
            </w:r>
            <w:r>
              <w:rPr>
                <w:rFonts w:ascii="Times New Roman"/>
                <w:spacing w:val="-22"/>
                <w:sz w:val="18"/>
              </w:rPr>
              <w:t> </w:t>
            </w:r>
            <w:r>
              <w:rPr>
                <w:rFonts w:ascii="Times New Roman"/>
                <w:sz w:val="18"/>
              </w:rPr>
              <w:t>Alps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JD Alps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，香港众信的参股公司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（卢森堡）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YT Investments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S.A.R.I</w:t>
            </w:r>
            <w:r>
              <w:rPr>
                <w:rFonts w:ascii="宋体" w:hAnsi="宋体" w:cs="宋体" w:eastAsia="宋体" w:hint="default"/>
                <w:sz w:val="18"/>
                <w:szCs w:val="18"/>
              </w:rPr>
              <w:t>，香港众信的全资子公司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Utour France</w:t>
            </w:r>
            <w:r>
              <w:rPr>
                <w:rFonts w:ascii="宋体" w:hAnsi="宋体" w:cs="宋体" w:eastAsia="宋体" w:hint="default"/>
                <w:sz w:val="18"/>
                <w:szCs w:val="18"/>
              </w:rPr>
              <w:t>，</w:t>
            </w:r>
            <w:r>
              <w:rPr>
                <w:rFonts w:ascii="Times New Roman" w:hAnsi="Times New Roman" w:cs="Times New Roman" w:eastAsia="Times New Roman" w:hint="default"/>
                <w:sz w:val="18"/>
                <w:szCs w:val="18"/>
              </w:rPr>
              <w:t>YT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（卢森堡）的全资子公司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塞舌尔众信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UTour </w:t>
            </w:r>
            <w:r>
              <w:rPr>
                <w:rFonts w:ascii="Times New Roman" w:hAnsi="Times New Roman" w:cs="Times New Roman" w:eastAsia="Times New Roman" w:hint="default"/>
                <w:sz w:val="18"/>
                <w:szCs w:val="18"/>
              </w:rPr>
              <w:t>International Travel Service</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，香港众信的全资子公司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穷游网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QYER Inc.</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香港众信的参股公司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广州酷旅、要出发</w:t>
            </w:r>
          </w:p>
        </w:tc>
        <w:tc>
          <w:tcPr>
            <w:tcW w:w="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广州酷旅旅行社有限公司，公司参股公司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众信天益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West </w:t>
            </w:r>
            <w:r>
              <w:rPr>
                <w:rFonts w:ascii="Times New Roman" w:hAnsi="Times New Roman" w:cs="Times New Roman" w:eastAsia="Times New Roman" w:hint="default"/>
                <w:sz w:val="18"/>
                <w:szCs w:val="18"/>
              </w:rPr>
              <w:t>Coast Holidays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，塞舌尔众信的参股公司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布达米亚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北京布达米亚科技有限公司，公司参股公司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悠哉网络、悠哉旅游网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嘉俪九鼎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r>
              <w:rPr>
                <w:rFonts w:ascii="宋体" w:hAnsi="宋体" w:cs="宋体" w:eastAsia="宋体" w:hint="default"/>
                <w:spacing w:val="-90"/>
                <w:sz w:val="18"/>
                <w:szCs w:val="18"/>
              </w:rPr>
              <w:t>）</w:t>
            </w:r>
            <w:r>
              <w:rPr>
                <w:rFonts w:ascii="宋体" w:hAnsi="宋体" w:cs="宋体" w:eastAsia="宋体" w:hint="default"/>
                <w:sz w:val="18"/>
                <w:szCs w:val="18"/>
              </w:rPr>
              <w:t>，原公司持股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昆吾九鼎投资管理有限公司，原本公司持股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以上股东嘉俪九鼎执行事务合伙人 北京惠通九鼎投资管理有限公司的出资人</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复星国际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复星国际有限公司，香港联交所主板上市公司，股份代码：</w:t>
            </w:r>
            <w:r>
              <w:rPr>
                <w:rFonts w:ascii="Times New Roman" w:hAnsi="Times New Roman" w:cs="Times New Roman" w:eastAsia="Times New Roman" w:hint="default"/>
                <w:sz w:val="18"/>
                <w:szCs w:val="18"/>
              </w:rPr>
              <w:t>00656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Club Med</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地中海俱乐部，香港众信间接参股公司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世界玖玖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世界玖玖（北京）电子商务有限公司，公司参股公司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年假旅行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北京身未动心已远国际旅行社有限公司，公司参股公司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异乡好居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众信奇迹来跑吧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北京众信奇迹来跑吧国际旅行社有限公司，众信奇迹参股公司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晨晖盛景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宁波晨晖盛景股权投资合伙企业（有限合伙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行天下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北京行天下国际旅行社有限公司，公司拟参股公司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优投金鼎智慧旅游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天津优投金鼎智慧旅游资产管理中心（有限合伙</w:t>
            </w:r>
            <w:r>
              <w:rPr>
                <w:rFonts w:ascii="宋体" w:hAnsi="宋体" w:cs="宋体" w:eastAsia="宋体" w:hint="default"/>
                <w:spacing w:val="-90"/>
                <w:sz w:val="18"/>
                <w:szCs w:val="18"/>
              </w:rPr>
              <w:t>）</w:t>
            </w:r>
            <w:r>
              <w:rPr>
                <w:rFonts w:ascii="宋体" w:hAnsi="宋体" w:cs="宋体" w:eastAsia="宋体" w:hint="default"/>
                <w:sz w:val="18"/>
                <w:szCs w:val="18"/>
              </w:rPr>
              <w:t>，公司参股公司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优投金鼎资产管理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天津优投金鼎资产管理有限公司，公司参股公司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同程网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同程网络科技股份有限公司，公司参股公司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北京创新工场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北京创新工场创业投资中心（有限合伙</w:t>
            </w:r>
            <w:r>
              <w:rPr>
                <w:rFonts w:ascii="宋体" w:hAnsi="宋体" w:cs="宋体" w:eastAsia="宋体" w:hint="default"/>
                <w:spacing w:val="-90"/>
                <w:sz w:val="18"/>
                <w:szCs w:val="18"/>
              </w:rPr>
              <w:t>）</w:t>
            </w:r>
            <w:r>
              <w:rPr>
                <w:rFonts w:ascii="宋体" w:hAnsi="宋体" w:cs="宋体" w:eastAsia="宋体" w:hint="default"/>
                <w:sz w:val="18"/>
                <w:szCs w:val="18"/>
              </w:rPr>
              <w:t>，公司参股公司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华远国旅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北京市华远国际旅游有限公司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上海携程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上海携程国际旅行社有限公司</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中信夹层</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中信夹层（上海）投资中心（有限合伙）</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天津湘华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天津湘华资产管理中心（有限合伙）</w:t>
            </w:r>
          </w:p>
        </w:tc>
      </w:tr>
      <w:tr>
        <w:trPr>
          <w:trHeight w:val="98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公司根据市场需求，采购旅游交通、景点、酒店、餐厅等上游资源，事先设计好旅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游产品，通过全国范围内的经营出境游业务的旅行社，包括根据国家旅游局规定可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以从事出境游招徕业务的旅行社，即旅游代理商，推广并销售给终端消费者，由公</w:t>
            </w:r>
          </w:p>
        </w:tc>
      </w:tr>
    </w:tbl>
    <w:p>
      <w:pPr>
        <w:spacing w:after="0" w:line="316"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spacing w:before="44"/>
        <w:ind w:left="0" w:right="109" w:firstLine="0"/>
        <w:jc w:val="right"/>
        <w:rPr>
          <w:rFonts w:ascii="宋体" w:hAnsi="宋体" w:cs="宋体" w:eastAsia="宋体" w:hint="default"/>
          <w:sz w:val="18"/>
          <w:szCs w:val="18"/>
        </w:rPr>
      </w:pPr>
      <w:r>
        <w:rPr/>
        <w:pict>
          <v:shape style="position:absolute;margin-left:56.459999pt;margin-top:-34.568047pt;width:482.7pt;height:203.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620"/>
                    <w:gridCol w:w="6467"/>
                  </w:tblGrid>
                  <w:tr>
                    <w:trPr>
                      <w:trHeight w:val="674" w:hRule="exact"/>
                    </w:trPr>
                    <w:tc>
                      <w:tcPr>
                        <w:tcW w:w="2552"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司为终端消费者提供最终产品和服务，并由公司与旅游代理商之间进行旅游费用结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算的业务</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公司直接面向广大终端消费者推广、销售产品，并提供旅游服务的出境旅游业务 该业务与出境游批发业务相比，主要区别在于不需通过旅游代理商这一中间环节</w:t>
                        </w:r>
                      </w:p>
                    </w:tc>
                  </w:tr>
                  <w:tr>
                    <w:trPr>
                      <w:trHeight w:val="227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商务会奖旅游，在国际上的通用提法为</w:t>
                        </w:r>
                        <w:r>
                          <w:rPr>
                            <w:rFonts w:ascii="Times New Roman" w:hAnsi="Times New Roman" w:cs="Times New Roman" w:eastAsia="Times New Roman" w:hint="default"/>
                            <w:sz w:val="18"/>
                            <w:szCs w:val="18"/>
                          </w:rPr>
                          <w:t>“</w:t>
                        </w:r>
                        <w:r>
                          <w:rPr>
                            <w:rFonts w:ascii="宋体" w:hAnsi="宋体" w:cs="宋体" w:eastAsia="宋体" w:hint="default"/>
                            <w:sz w:val="18"/>
                            <w:szCs w:val="18"/>
                          </w:rPr>
                          <w:t>会展及奖励旅游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会奖旅游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会奖商 </w:t>
                        </w:r>
                        <w:r>
                          <w:rPr>
                            <w:rFonts w:ascii="宋体" w:hAnsi="宋体" w:cs="宋体" w:eastAsia="宋体" w:hint="default"/>
                            <w:spacing w:val="-4"/>
                            <w:sz w:val="18"/>
                            <w:szCs w:val="18"/>
                          </w:rPr>
                          <w:t>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，由会议（</w:t>
                        </w:r>
                        <w:r>
                          <w:rPr>
                            <w:rFonts w:ascii="Times New Roman" w:hAnsi="Times New Roman" w:cs="Times New Roman" w:eastAsia="Times New Roman" w:hint="default"/>
                            <w:spacing w:val="-4"/>
                            <w:sz w:val="18"/>
                            <w:szCs w:val="18"/>
                          </w:rPr>
                          <w:t>Meeting</w:t>
                        </w:r>
                        <w:r>
                          <w:rPr>
                            <w:rFonts w:ascii="宋体" w:hAnsi="宋体" w:cs="宋体" w:eastAsia="宋体" w:hint="default"/>
                            <w:spacing w:val="-4"/>
                            <w:sz w:val="18"/>
                            <w:szCs w:val="18"/>
                          </w:rPr>
                          <w:t>）、奖励旅游（</w:t>
                        </w:r>
                        <w:r>
                          <w:rPr>
                            <w:rFonts w:ascii="Times New Roman" w:hAnsi="Times New Roman" w:cs="Times New Roman" w:eastAsia="Times New Roman" w:hint="default"/>
                            <w:spacing w:val="-4"/>
                            <w:sz w:val="18"/>
                            <w:szCs w:val="18"/>
                          </w:rPr>
                          <w:t>Incentive</w:t>
                        </w:r>
                        <w:r>
                          <w:rPr>
                            <w:rFonts w:ascii="宋体" w:hAnsi="宋体" w:cs="宋体" w:eastAsia="宋体" w:hint="default"/>
                            <w:spacing w:val="-4"/>
                            <w:sz w:val="18"/>
                            <w:szCs w:val="18"/>
                          </w:rPr>
                          <w:t>）、大会（</w:t>
                        </w:r>
                        <w:r>
                          <w:rPr>
                            <w:rFonts w:ascii="Times New Roman" w:hAnsi="Times New Roman" w:cs="Times New Roman" w:eastAsia="Times New Roman" w:hint="default"/>
                            <w:spacing w:val="-4"/>
                            <w:sz w:val="18"/>
                            <w:szCs w:val="18"/>
                          </w:rPr>
                          <w:t>Convention</w:t>
                        </w:r>
                        <w:r>
                          <w:rPr>
                            <w:rFonts w:ascii="宋体" w:hAnsi="宋体" w:cs="宋体" w:eastAsia="宋体" w:hint="default"/>
                            <w:spacing w:val="-4"/>
                            <w:sz w:val="18"/>
                            <w:szCs w:val="18"/>
                          </w:rPr>
                          <w:t>）以及展览</w:t>
                        </w:r>
                      </w:p>
                      <w:p>
                        <w:pPr>
                          <w:pStyle w:val="TableParagraph"/>
                          <w:spacing w:line="314"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Exhibition</w:t>
                        </w:r>
                        <w:r>
                          <w:rPr>
                            <w:rFonts w:ascii="宋体" w:hAnsi="宋体" w:cs="宋体" w:eastAsia="宋体" w:hint="default"/>
                            <w:sz w:val="18"/>
                            <w:szCs w:val="18"/>
                          </w:rPr>
                          <w:t>）组成，简称为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MICE</w:t>
                        </w:r>
                        <w:r>
                          <w:rPr>
                            <w:rFonts w:ascii="宋体" w:hAnsi="宋体" w:cs="宋体" w:eastAsia="宋体" w:hint="default"/>
                            <w:sz w:val="18"/>
                            <w:szCs w:val="18"/>
                          </w:rPr>
                          <w:t>。业务内容系公司为企业、政府和机构等客户 </w:t>
                        </w:r>
                        <w:r>
                          <w:rPr>
                            <w:rFonts w:ascii="宋体" w:hAnsi="宋体" w:cs="宋体" w:eastAsia="宋体" w:hint="default"/>
                            <w:spacing w:val="-3"/>
                            <w:sz w:val="18"/>
                            <w:szCs w:val="18"/>
                          </w:rPr>
                          <w:t>的商务考察培训、差旅会议、奖励旅游、路演发布、大型会议、参展观展等活动提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供全方位的咨询、策划、接待和执行等专业化服务，主要以促进业务发展、塑造企</w:t>
                        </w:r>
                        <w:r>
                          <w:rPr>
                            <w:rFonts w:ascii="宋体" w:hAnsi="宋体" w:cs="宋体" w:eastAsia="宋体" w:hint="default"/>
                            <w:sz w:val="18"/>
                            <w:szCs w:val="18"/>
                          </w:rPr>
                          <w:t> </w:t>
                        </w:r>
                        <w:r>
                          <w:rPr>
                            <w:rFonts w:ascii="宋体" w:hAnsi="宋体" w:cs="宋体" w:eastAsia="宋体" w:hint="default"/>
                            <w:spacing w:val="-2"/>
                            <w:sz w:val="18"/>
                            <w:szCs w:val="18"/>
                          </w:rPr>
                          <w:t>业文化、加强管理为目的。商务会奖旅游已经成为现代旅游业中最重要的细分市场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之一，是西方流行的一种企业管理方式</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148"/>
        <w:jc w:val="left"/>
        <w:rPr>
          <w:b w:val="0"/>
          <w:bCs w:val="0"/>
        </w:rPr>
      </w:pPr>
      <w:bookmarkStart w:name="_TOC_250009" w:id="3"/>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8"/>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002707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3"/>
                <w:sz w:val="18"/>
              </w:rPr>
              <w:t>UTour </w:t>
            </w:r>
            <w:r>
              <w:rPr>
                <w:rFonts w:ascii="Times New Roman"/>
                <w:sz w:val="18"/>
              </w:rPr>
              <w:t>International Travel Service Co.,</w:t>
            </w:r>
            <w:r>
              <w:rPr>
                <w:rFonts w:ascii="Times New Roman"/>
                <w:spacing w:val="-15"/>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www.utourworld.com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8"/>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胡萍</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010-64489955-110055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010-64489955-110055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8"/>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6"/>
        <w:gridCol w:w="5881"/>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148"/>
        <w:jc w:val="left"/>
        <w:rPr>
          <w:b w:val="0"/>
          <w:bCs w:val="0"/>
        </w:rPr>
      </w:pPr>
      <w:r>
        <w:rPr/>
        <w:t>四、注册变更情况</w:t>
      </w:r>
      <w:r>
        <w:rPr>
          <w:b w:val="0"/>
          <w:bCs w:val="0"/>
        </w:rPr>
      </w:r>
    </w:p>
    <w:p>
      <w:pPr>
        <w:spacing w:line="240" w:lineRule="auto" w:before="4"/>
        <w:rPr>
          <w:rFonts w:ascii="宋体" w:hAnsi="宋体" w:cs="宋体" w:eastAsia="宋体" w:hint="default"/>
          <w:b/>
          <w:bCs/>
          <w:sz w:val="25"/>
          <w:szCs w:val="25"/>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3667;top:16;width:24;height:392" coordorigin="3667,16" coordsize="24,392">
              <v:shape style="position:absolute;left:3667;top:16;width:24;height:392" coordorigin="3667,16" coordsize="24,392" path="m3667,407l3691,407,3691,16,3667,16,3667,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630;height:392" coordorigin="37,16" coordsize="3630,392">
              <v:shape style="position:absolute;left:37;top:16;width:3630;height:392" coordorigin="37,16" coordsize="3630,392" path="m37,407l3667,407,3667,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3687;height:2" coordorigin="5,413" coordsize="3687,2">
              <v:shape style="position:absolute;left:5;top:413;width:3687;height:2" coordorigin="5,413" coordsize="3687,0" path="m5,413l3691,413e" filled="false" stroked="true" strokeweight=".48001pt" strokecolor="#000000">
                <v:path arrowok="t"/>
              </v:shape>
            </v:group>
            <v:group style="position:absolute;left:3696;top:14;width:2;height:404" coordorigin="3696,14" coordsize="2,404">
              <v:shape style="position:absolute;left:3696;top:14;width:2;height:404" coordorigin="3696,14" coordsize="0,404" path="m3696,14l3696,418e" filled="false" stroked="true" strokeweight=".48001pt" strokecolor="#000000">
                <v:path arrowok="t"/>
              </v:shape>
            </v:group>
            <v:group style="position:absolute;left:3701;top:413;width:5872;height:2" coordorigin="3701,413" coordsize="5872,2">
              <v:shape style="position:absolute;left:3701;top:413;width:5872;height:2" coordorigin="3701,413" coordsize="5872,0" path="m3701,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3687;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组织机构代码</w:t>
                      </w:r>
                    </w:p>
                  </w:txbxContent>
                </v:textbox>
                <w10:wrap type="none"/>
              </v:shape>
              <v:shape style="position:absolute;left:3696;top:10;width:5882;height:404" type="#_x0000_t202" filled="false" stroked="false">
                <v:textbox inset="0,0,0,0">
                  <w:txbxContent>
                    <w:p>
                      <w:pPr>
                        <w:spacing w:before="97"/>
                        <w:ind w:left="27" w:right="0" w:firstLine="0"/>
                        <w:jc w:val="left"/>
                        <w:rPr>
                          <w:rFonts w:ascii="Times New Roman" w:hAnsi="Times New Roman" w:cs="Times New Roman" w:eastAsia="Times New Roman" w:hint="default"/>
                          <w:sz w:val="18"/>
                          <w:szCs w:val="18"/>
                        </w:rPr>
                      </w:pPr>
                      <w:r>
                        <w:rPr>
                          <w:rFonts w:ascii="Times New Roman"/>
                          <w:sz w:val="18"/>
                        </w:rPr>
                        <w:t>10112658-5</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686"/>
        <w:gridCol w:w="5881"/>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日完成股份制改制后，控股股东未发生变更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48"/>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北京市海淀区西直门北大街甲 </w:t>
            </w:r>
            <w:r>
              <w:rPr>
                <w:rFonts w:ascii="Times New Roman" w:hAnsi="Times New Roman" w:cs="Times New Roman" w:eastAsia="Times New Roman" w:hint="default"/>
                <w:sz w:val="18"/>
                <w:szCs w:val="18"/>
              </w:rPr>
              <w:t>43  </w:t>
            </w:r>
            <w:r>
              <w:rPr>
                <w:rFonts w:ascii="宋体" w:hAnsi="宋体" w:cs="宋体" w:eastAsia="宋体" w:hint="default"/>
                <w:sz w:val="18"/>
                <w:szCs w:val="18"/>
              </w:rPr>
              <w:t>号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戴亮、孙太宏</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孙川、滕建华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丁丁、肖楠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right="148"/>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8,370,070,679.70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4,217,003,082.71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3,005,255,499.97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186,704,704.40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87,468,779.19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181,505,128.37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105,774,803.85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86,798,522.43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12,507,457.68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69,455,632.40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68,231,045.32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3,217,978,900.41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1,072,091,892.87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676,447,632.01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1,564,419,339.26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576,011,623.46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290,853,945.25</w:t>
            </w:r>
          </w:p>
        </w:tc>
      </w:tr>
    </w:tbl>
    <w:p>
      <w:pPr>
        <w:spacing w:line="240" w:lineRule="auto" w:before="2"/>
        <w:rPr>
          <w:rFonts w:ascii="宋体" w:hAnsi="宋体" w:cs="宋体" w:eastAsia="宋体" w:hint="default"/>
          <w:sz w:val="18"/>
          <w:szCs w:val="18"/>
        </w:rPr>
      </w:pPr>
    </w:p>
    <w:p>
      <w:pPr>
        <w:pStyle w:val="Heading2"/>
        <w:spacing w:line="240" w:lineRule="auto" w:before="26"/>
        <w:ind w:right="148"/>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4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48"/>
        <w:jc w:val="left"/>
        <w:rPr>
          <w:b w:val="0"/>
          <w:bCs w:val="0"/>
        </w:rPr>
      </w:pP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1,096,635,359.82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2,039,157,977.89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3,333,606,666.10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1,900,670,675.89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25,779,858.64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32,820,055.48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112,103,547.72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16,001,242.56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25,782,525.78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28,991,795.23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111,399,796.85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15,331,010.51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-113,450,521.60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-24,182,283.79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48,416,829.09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101,723,433.98</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4" w:right="0"/>
              <w:jc w:val="left"/>
              <w:rPr>
                <w:rFonts w:ascii="Times New Roman" w:hAnsi="Times New Roman" w:cs="Times New Roman" w:eastAsia="Times New Roman" w:hint="default"/>
                <w:sz w:val="18"/>
                <w:szCs w:val="18"/>
              </w:rPr>
            </w:pPr>
            <w:r>
              <w:rPr>
                <w:rFonts w:ascii="Times New Roman"/>
                <w:sz w:val="18"/>
              </w:rPr>
              <w:t>-71,975.65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8" w:right="0"/>
              <w:jc w:val="left"/>
              <w:rPr>
                <w:rFonts w:ascii="Times New Roman" w:hAnsi="Times New Roman" w:cs="Times New Roman" w:eastAsia="Times New Roman" w:hint="default"/>
                <w:sz w:val="18"/>
                <w:szCs w:val="18"/>
              </w:rPr>
            </w:pPr>
            <w:r>
              <w:rPr>
                <w:rFonts w:ascii="Times New Roman"/>
                <w:sz w:val="18"/>
              </w:rPr>
              <w:t>-53,919.65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9" w:right="0"/>
              <w:jc w:val="left"/>
              <w:rPr>
                <w:rFonts w:ascii="Times New Roman" w:hAnsi="Times New Roman" w:cs="Times New Roman" w:eastAsia="Times New Roman" w:hint="default"/>
                <w:sz w:val="18"/>
                <w:szCs w:val="18"/>
              </w:rPr>
            </w:pPr>
            <w:r>
              <w:rPr>
                <w:rFonts w:ascii="Times New Roman"/>
                <w:sz w:val="18"/>
              </w:rPr>
              <w:t>-16,324.32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42" w:right="0"/>
              <w:jc w:val="left"/>
              <w:rPr>
                <w:rFonts w:ascii="Times New Roman" w:hAnsi="Times New Roman" w:cs="Times New Roman" w:eastAsia="Times New Roman" w:hint="default"/>
                <w:sz w:val="18"/>
                <w:szCs w:val="18"/>
              </w:rPr>
            </w:pPr>
            <w:r>
              <w:rPr>
                <w:rFonts w:ascii="Times New Roman"/>
                <w:sz w:val="18"/>
              </w:rPr>
              <w:t>4,250,000.00</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43" w:right="0"/>
              <w:jc w:val="left"/>
              <w:rPr>
                <w:rFonts w:ascii="Times New Roman" w:hAnsi="Times New Roman" w:cs="Times New Roman" w:eastAsia="Times New Roman" w:hint="default"/>
                <w:sz w:val="18"/>
                <w:szCs w:val="18"/>
              </w:rPr>
            </w:pPr>
            <w:r>
              <w:rPr>
                <w:rFonts w:ascii="Times New Roman"/>
                <w:sz w:val="18"/>
              </w:rPr>
              <w:t>4,020,000.00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679" w:right="0"/>
              <w:jc w:val="left"/>
              <w:rPr>
                <w:rFonts w:ascii="Times New Roman" w:hAnsi="Times New Roman" w:cs="Times New Roman" w:eastAsia="Times New Roman" w:hint="default"/>
                <w:sz w:val="18"/>
                <w:szCs w:val="18"/>
              </w:rPr>
            </w:pPr>
            <w:r>
              <w:rPr>
                <w:rFonts w:ascii="Times New Roman"/>
                <w:sz w:val="18"/>
              </w:rPr>
              <w:t>910,000.00</w:t>
            </w: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公司上海分社于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月收到上海市黄</w:t>
            </w:r>
          </w:p>
          <w:p>
            <w:pPr>
              <w:pStyle w:val="TableParagraph"/>
              <w:spacing w:line="307"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浦区财政局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万元 区财政扶持资金；上 海众信于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 收到上海市黄浦区财</w:t>
            </w:r>
          </w:p>
        </w:tc>
      </w:tr>
      <w:tr>
        <w:trPr>
          <w:trHeight w:val="1016"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52"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322" w:hRule="exact"/>
        </w:trPr>
        <w:tc>
          <w:tcPr>
            <w:tcW w:w="3296" w:type="dxa"/>
            <w:vMerge w:val="restart"/>
            <w:tcBorders>
              <w:top w:val="single" w:sz="4" w:space="0" w:color="000000"/>
              <w:left w:val="single" w:sz="4" w:space="0" w:color="000000"/>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万元区财政</w:t>
            </w:r>
          </w:p>
        </w:tc>
      </w:tr>
      <w:tr>
        <w:trPr>
          <w:trHeight w:val="307"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扶持资金；竹园国旅</w:t>
            </w:r>
          </w:p>
        </w:tc>
      </w:tr>
      <w:tr>
        <w:trPr>
          <w:trHeight w:val="317"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上海分社于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p>
        </w:tc>
      </w:tr>
      <w:tr>
        <w:trPr>
          <w:trHeight w:val="307"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月收到上海市黄浦区</w:t>
            </w:r>
          </w:p>
        </w:tc>
      </w:tr>
      <w:tr>
        <w:trPr>
          <w:trHeight w:val="318" w:hRule="exact"/>
        </w:trPr>
        <w:tc>
          <w:tcPr>
            <w:tcW w:w="3296" w:type="dxa"/>
            <w:vMerge/>
            <w:tcBorders>
              <w:left w:val="single" w:sz="4" w:space="0" w:color="000000"/>
              <w:right w:val="single" w:sz="4" w:space="0" w:color="000000"/>
            </w:tcBorders>
            <w:shd w:val="clear" w:color="auto" w:fill="D3D3D3"/>
          </w:tcPr>
          <w:p>
            <w:pP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万财政扶</w:t>
            </w:r>
          </w:p>
        </w:tc>
      </w:tr>
      <w:tr>
        <w:trPr>
          <w:trHeight w:val="352" w:hRule="exact"/>
        </w:trPr>
        <w:tc>
          <w:tcPr>
            <w:tcW w:w="3296" w:type="dxa"/>
            <w:vMerge/>
            <w:tcBorders>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持资金。</w:t>
            </w:r>
          </w:p>
        </w:tc>
      </w:tr>
      <w:tr>
        <w:trPr>
          <w:trHeight w:val="357"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w:t>
            </w:r>
          </w:p>
        </w:tc>
        <w:tc>
          <w:tcPr>
            <w:tcW w:w="1519" w:type="dxa"/>
            <w:vMerge w:val="restart"/>
            <w:tcBorders>
              <w:top w:val="single" w:sz="4" w:space="0" w:color="000000"/>
              <w:left w:val="single" w:sz="4" w:space="0" w:color="000000"/>
              <w:right w:val="single" w:sz="4" w:space="0" w:color="000000"/>
            </w:tcBorders>
          </w:tcPr>
          <w:p>
            <w:pP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316"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投资成本小于取得投资时应享有被投资单</w:t>
            </w:r>
          </w:p>
        </w:tc>
        <w:tc>
          <w:tcPr>
            <w:tcW w:w="1519" w:type="dxa"/>
            <w:vMerge/>
            <w:tcBorders>
              <w:left w:val="single" w:sz="4" w:space="0" w:color="000000"/>
              <w:right w:val="single" w:sz="4" w:space="0" w:color="000000"/>
            </w:tcBorders>
          </w:tcPr>
          <w:p>
            <w:pP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30,860.78</w:t>
            </w: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53"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19" w:type="dxa"/>
            <w:vMerge/>
            <w:tcBorders>
              <w:left w:val="single" w:sz="4" w:space="0" w:color="000000"/>
              <w:bottom w:val="single" w:sz="4" w:space="0" w:color="000000"/>
              <w:right w:val="single" w:sz="4" w:space="0" w:color="000000"/>
            </w:tcBorders>
          </w:tcPr>
          <w:p>
            <w:pP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-587,414.65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1,821,568.95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979,020.09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223,418.92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289,464.72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5,199,576.03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2,967,921.04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670,256.76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84"/>
        <w:jc w:val="center"/>
        <w:rPr>
          <w:b w:val="0"/>
          <w:bCs w:val="0"/>
        </w:rPr>
      </w:pPr>
      <w:bookmarkStart w:name="_TOC_250008" w:id="4"/>
      <w:r>
        <w:rPr/>
        <w:t>第三节</w:t>
      </w:r>
      <w:r>
        <w:rPr>
          <w:spacing w:val="-1"/>
        </w:rPr>
        <w:t> </w:t>
      </w:r>
      <w:r>
        <w:rPr/>
        <w:t>公司业务概要</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Heading3"/>
        <w:spacing w:line="240" w:lineRule="auto" w:before="35"/>
        <w:ind w:right="0"/>
        <w:jc w:val="left"/>
        <w:rPr>
          <w:b w:val="0"/>
          <w:bCs w:val="0"/>
        </w:rPr>
      </w:pPr>
      <w:r>
        <w:rPr/>
        <w:t>一、报告期内公司从事的主要业务</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left="153" w:right="0" w:firstLine="480"/>
        <w:jc w:val="left"/>
      </w:pPr>
      <w:r>
        <w:rPr>
          <w:spacing w:val="-5"/>
        </w:rPr>
        <w:t>公司主要从事出境游批发、出境游零售和商务会奖旅游业务，并以出境游为基础向多方面多角度延伸，</w:t>
      </w:r>
      <w:r>
        <w:rPr/>
        <w:t> 拓展游学及留学教育、移民置业、健康医疗、旅游金融、保险等各类出境服务业务领域，加强目的地资源 及客源地渠道两头布局，初步形成了出境综合服务平台的雏形。</w:t>
      </w:r>
    </w:p>
    <w:p>
      <w:pPr>
        <w:pStyle w:val="BodyText"/>
        <w:spacing w:line="408" w:lineRule="auto" w:before="166"/>
        <w:ind w:left="153" w:right="209" w:firstLine="480"/>
        <w:jc w:val="both"/>
      </w:pPr>
      <w:r>
        <w:rPr>
          <w:spacing w:val="-2"/>
        </w:rPr>
        <w:t>作为旅游产品制造者和服务提供者，公司通过整合旅游资源，研发符合不同层次需求、有主题的、有</w:t>
      </w:r>
      <w:r>
        <w:rPr/>
        <w:t> </w:t>
      </w:r>
      <w:r>
        <w:rPr>
          <w:spacing w:val="-1"/>
        </w:rPr>
        <w:t>特色的、性价比高的出境游产品（跟团游、半自由行、境外地接服务、碎片化产品）；以及根据客户需求</w:t>
      </w:r>
      <w:r>
        <w:rPr>
          <w:spacing w:val="-85"/>
        </w:rPr>
        <w:t> </w:t>
      </w:r>
      <w:r>
        <w:rPr>
          <w:spacing w:val="-85"/>
        </w:rPr>
      </w:r>
      <w:r>
        <w:rPr>
          <w:spacing w:val="-1"/>
        </w:rPr>
        <w:t>设计创意新颖、切合主题的商务会奖旅游方案；同时提供个人外币兑换、旅游消费信贷、供应链金融等旅</w:t>
      </w:r>
      <w:r>
        <w:rPr>
          <w:spacing w:val="-82"/>
        </w:rPr>
        <w:t> </w:t>
      </w:r>
      <w:r>
        <w:rPr>
          <w:spacing w:val="-82"/>
        </w:rPr>
      </w:r>
      <w:r>
        <w:rPr>
          <w:spacing w:val="-1"/>
        </w:rPr>
        <w:t>游衍生金融服务。出境游产品以批发、零售等方式销售给客户，最终由公司为客户提供有组织、有计划的</w:t>
      </w:r>
      <w:r>
        <w:rPr>
          <w:spacing w:val="-82"/>
        </w:rPr>
        <w:t> </w:t>
      </w:r>
      <w:r>
        <w:rPr>
          <w:spacing w:val="-82"/>
        </w:rPr>
      </w:r>
      <w:r>
        <w:rPr>
          <w:spacing w:val="-1"/>
        </w:rPr>
        <w:t>组团、发团、机票、签证、境内外行程安排、安全保障等全方位旅游服务。其中批发业务通过代理商销售</w:t>
      </w:r>
      <w:r>
        <w:rPr>
          <w:spacing w:val="-83"/>
        </w:rPr>
        <w:t> </w:t>
      </w:r>
      <w:r>
        <w:rPr>
          <w:spacing w:val="-83"/>
        </w:rPr>
      </w:r>
      <w:r>
        <w:rPr>
          <w:spacing w:val="-1"/>
        </w:rPr>
        <w:t>给终端消费者，零售业务通过门店、网站及移动端平台、呼叫中心和大客户拓展及会员制营销等方式销售</w:t>
      </w:r>
      <w:r>
        <w:rPr>
          <w:spacing w:val="-83"/>
        </w:rPr>
        <w:t> </w:t>
      </w:r>
      <w:r>
        <w:rPr>
          <w:spacing w:val="-83"/>
        </w:rPr>
      </w:r>
      <w:r>
        <w:rPr/>
        <w:t>给终端消费者。商务会奖通过专业团队拓展企业、政府部门等客户，实现销售并提供服务。</w:t>
      </w:r>
    </w:p>
    <w:p>
      <w:pPr>
        <w:pStyle w:val="BodyText"/>
        <w:spacing w:line="396" w:lineRule="auto" w:before="166"/>
        <w:ind w:left="153" w:right="209" w:firstLine="480"/>
        <w:jc w:val="both"/>
      </w:pPr>
      <w:r>
        <w:rPr>
          <w:spacing w:val="-2"/>
        </w:rPr>
        <w:t>目前，公司已发展成为国内领先的大型出境游运营商，在欧洲、大洋洲、非洲、美洲等长线出国游及</w:t>
      </w:r>
      <w:r>
        <w:rPr/>
        <w:t> </w:t>
      </w:r>
      <w:r>
        <w:rPr>
          <w:spacing w:val="-1"/>
        </w:rPr>
        <w:t>亚洲短线周边游上具有了较强的竞争优势。众信旅游与竹园国旅均为北京市旅行社等级评定委员会评定的</w:t>
      </w:r>
      <w:r>
        <w:rPr>
          <w:spacing w:val="-81"/>
        </w:rPr>
        <w:t> </w:t>
      </w:r>
      <w:r>
        <w:rPr>
          <w:spacing w:val="-81"/>
        </w:rPr>
      </w:r>
      <w:r>
        <w:rPr>
          <w:rFonts w:ascii="Times New Roman" w:hAnsi="Times New Roman" w:cs="Times New Roman" w:eastAsia="Times New Roman" w:hint="default"/>
          <w:spacing w:val="-6"/>
        </w:rPr>
        <w:t>5A</w:t>
      </w:r>
      <w:r>
        <w:rPr>
          <w:spacing w:val="-6"/>
        </w:rPr>
        <w:t>级旅行社。</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20</w:t>
      </w:r>
      <w:r>
        <w:rPr>
          <w:spacing w:val="-6"/>
        </w:rPr>
        <w:t>日，在国家旅游局公布的《关于</w:t>
      </w:r>
      <w:r>
        <w:rPr>
          <w:rFonts w:ascii="Times New Roman" w:hAnsi="Times New Roman" w:cs="Times New Roman" w:eastAsia="Times New Roman" w:hint="default"/>
          <w:spacing w:val="-6"/>
        </w:rPr>
        <w:t>2014</w:t>
      </w:r>
      <w:r>
        <w:rPr>
          <w:spacing w:val="-6"/>
        </w:rPr>
        <w:t>年度全国旅行社统计调查排强名单的公告》</w:t>
      </w:r>
      <w:r>
        <w:rPr>
          <w:spacing w:val="-72"/>
        </w:rPr>
        <w:t> </w:t>
      </w:r>
      <w:r>
        <w:rPr>
          <w:spacing w:val="2"/>
        </w:rPr>
        <w:t>中，公司在</w:t>
      </w:r>
      <w:r>
        <w:rPr>
          <w:rFonts w:ascii="Times New Roman" w:hAnsi="Times New Roman" w:cs="Times New Roman" w:eastAsia="Times New Roman" w:hint="default"/>
          <w:spacing w:val="2"/>
        </w:rPr>
        <w:t>“2014</w:t>
      </w:r>
      <w:r>
        <w:rPr>
          <w:spacing w:val="2"/>
        </w:rPr>
        <w:t>年度全国百强旅行社</w:t>
      </w:r>
      <w:r>
        <w:rPr>
          <w:rFonts w:ascii="Times New Roman" w:hAnsi="Times New Roman" w:cs="Times New Roman" w:eastAsia="Times New Roman" w:hint="default"/>
          <w:spacing w:val="2"/>
        </w:rPr>
        <w:t>”</w:t>
      </w:r>
      <w:r>
        <w:rPr>
          <w:spacing w:val="2"/>
        </w:rPr>
        <w:t>中名列第三、在</w:t>
      </w:r>
      <w:r>
        <w:rPr>
          <w:rFonts w:ascii="Times New Roman" w:hAnsi="Times New Roman" w:cs="Times New Roman" w:eastAsia="Times New Roman" w:hint="default"/>
          <w:spacing w:val="2"/>
        </w:rPr>
        <w:t>“2014</w:t>
      </w:r>
      <w:r>
        <w:rPr>
          <w:spacing w:val="2"/>
        </w:rPr>
        <w:t>年度税收十强旅行社</w:t>
      </w:r>
      <w:r>
        <w:rPr>
          <w:rFonts w:ascii="Times New Roman" w:hAnsi="Times New Roman" w:cs="Times New Roman" w:eastAsia="Times New Roman" w:hint="default"/>
          <w:spacing w:val="2"/>
        </w:rPr>
        <w:t>”</w:t>
      </w:r>
      <w:r>
        <w:rPr>
          <w:spacing w:val="2"/>
        </w:rPr>
        <w:t>中名列第二，在</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年度全国旅行社集团二十强</w:t>
      </w:r>
      <w:r>
        <w:rPr>
          <w:rFonts w:ascii="Times New Roman" w:hAnsi="Times New Roman" w:cs="Times New Roman" w:eastAsia="Times New Roman" w:hint="default"/>
        </w:rPr>
        <w:t>”</w:t>
      </w:r>
      <w:r>
        <w:rPr/>
        <w:t>中名列第七，竹园国旅在</w:t>
      </w:r>
      <w:r>
        <w:rPr>
          <w:rFonts w:ascii="Times New Roman" w:hAnsi="Times New Roman" w:cs="Times New Roman" w:eastAsia="Times New Roman" w:hint="default"/>
        </w:rPr>
        <w:t>“2014</w:t>
      </w:r>
      <w:r>
        <w:rPr/>
        <w:t>年度全国百强旅行社</w:t>
      </w:r>
      <w:r>
        <w:rPr>
          <w:rFonts w:ascii="Times New Roman" w:hAnsi="Times New Roman" w:cs="Times New Roman" w:eastAsia="Times New Roman" w:hint="default"/>
        </w:rPr>
        <w:t>”</w:t>
      </w:r>
      <w:r>
        <w:rPr/>
        <w:t>中名列第七，在</w:t>
      </w:r>
      <w:r>
        <w:rPr>
          <w:rFonts w:ascii="Times New Roman" w:hAnsi="Times New Roman" w:cs="Times New Roman" w:eastAsia="Times New Roman" w:hint="default"/>
        </w:rPr>
        <w:t>“2014</w:t>
      </w:r>
      <w:r>
        <w:rPr/>
        <w:t>年</w:t>
      </w:r>
      <w:r>
        <w:rPr>
          <w:spacing w:val="-91"/>
        </w:rPr>
        <w:t> </w:t>
      </w:r>
      <w:r>
        <w:rPr/>
        <w:t>度税收十强旅行社</w:t>
      </w:r>
      <w:r>
        <w:rPr>
          <w:rFonts w:ascii="Times New Roman" w:hAnsi="Times New Roman" w:cs="Times New Roman" w:eastAsia="Times New Roman" w:hint="default"/>
        </w:rPr>
        <w:t>”</w:t>
      </w:r>
      <w:r>
        <w:rPr/>
        <w:t>中名列第五。</w:t>
      </w: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报告期因对外投资项目较多，股权资产增长较多</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报告期因对外投资项目较多，可供出售金融资产增长较多</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报告期因对竹园国旅和北京开元等公司进行非同一控制下企业合并，因而形成商誉</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08" w:lineRule="auto" w:before="15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三、核心竞争力分析</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报告期内，公司业务进一步发展壮大，核心竞争能力进一步加强。主要体现在以下方面：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、报告期市场规模与占有率不断提升，规模经营优势突出。</w:t>
      </w:r>
      <w:r>
        <w:rPr>
          <w:rFonts w:ascii="宋体" w:hAnsi="宋体" w:cs="宋体" w:eastAsia="宋体" w:hint="default"/>
          <w:sz w:val="21"/>
          <w:szCs w:val="21"/>
        </w:rPr>
        <w:t>旅游服务收入从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年的</w:t>
      </w:r>
      <w:r>
        <w:rPr>
          <w:rFonts w:ascii="Times New Roman" w:hAnsi="Times New Roman" w:cs="Times New Roman" w:eastAsia="Times New Roman" w:hint="default"/>
          <w:sz w:val="21"/>
          <w:szCs w:val="21"/>
        </w:rPr>
        <w:t>42</w:t>
      </w:r>
      <w:r>
        <w:rPr>
          <w:rFonts w:ascii="宋体" w:hAnsi="宋体" w:cs="宋体" w:eastAsia="宋体" w:hint="default"/>
          <w:sz w:val="21"/>
          <w:szCs w:val="21"/>
        </w:rPr>
        <w:t>亿元增长到</w:t>
      </w:r>
    </w:p>
    <w:p>
      <w:pPr>
        <w:pStyle w:val="BodyText"/>
        <w:spacing w:line="386" w:lineRule="auto" w:before="14"/>
        <w:ind w:left="153" w:right="0"/>
        <w:jc w:val="left"/>
      </w:pPr>
      <w:r>
        <w:rPr>
          <w:rFonts w:ascii="Times New Roman" w:hAnsi="Times New Roman" w:cs="Times New Roman" w:eastAsia="Times New Roman" w:hint="default"/>
          <w:spacing w:val="-1"/>
        </w:rPr>
        <w:t>2015</w:t>
      </w:r>
      <w:r>
        <w:rPr>
          <w:spacing w:val="-1"/>
        </w:rPr>
        <w:t>年的</w:t>
      </w:r>
      <w:r>
        <w:rPr>
          <w:rFonts w:ascii="Times New Roman" w:hAnsi="Times New Roman" w:cs="Times New Roman" w:eastAsia="Times New Roman" w:hint="default"/>
          <w:spacing w:val="-1"/>
        </w:rPr>
        <w:t>83</w:t>
      </w:r>
      <w:r>
        <w:rPr>
          <w:spacing w:val="-1"/>
        </w:rPr>
        <w:t>亿元，服务人次大幅增长。规模的扩大为旅游产品的丰富、资源整合及成本控制、产业链的延</w:t>
      </w:r>
      <w:r>
        <w:rPr>
          <w:spacing w:val="-83"/>
        </w:rPr>
        <w:t> </w:t>
      </w:r>
      <w:r>
        <w:rPr>
          <w:spacing w:val="-83"/>
        </w:rPr>
      </w:r>
      <w:r>
        <w:rPr/>
        <w:t>升、旅游衍生产品的推出提供了坚实的消费客户基础。</w:t>
      </w:r>
    </w:p>
    <w:p>
      <w:pPr>
        <w:pStyle w:val="BodyText"/>
        <w:spacing w:line="403" w:lineRule="auto" w:before="65"/>
        <w:ind w:left="153" w:right="0" w:firstLine="482"/>
        <w:jc w:val="left"/>
      </w:pPr>
      <w:r>
        <w:rPr>
          <w:rFonts w:ascii="Times New Roman" w:hAnsi="Times New Roman" w:cs="Times New Roman" w:eastAsia="Times New Roman" w:hint="default"/>
          <w:b/>
          <w:bCs/>
        </w:rPr>
        <w:t>2</w:t>
      </w:r>
      <w:r>
        <w:rPr>
          <w:rFonts w:ascii="宋体" w:hAnsi="宋体" w:cs="宋体" w:eastAsia="宋体" w:hint="default"/>
          <w:b/>
          <w:bCs/>
        </w:rPr>
        <w:t>、产品品种丰富度、覆盖广度与深度优势，游客服务体验不断提升。</w:t>
      </w:r>
      <w:r>
        <w:rPr/>
        <w:t>出境游产品的丰富与出境口岸 城市的增加，方便了游客的出行；目的地已覆盖全球主要旅游目的地，为游客出行提供了多目的地选择；</w:t>
      </w:r>
      <w:r>
        <w:rPr>
          <w:spacing w:val="-34"/>
        </w:rPr>
        <w:t> </w:t>
      </w:r>
      <w:r>
        <w:rPr>
          <w:spacing w:val="-34"/>
        </w:rPr>
      </w:r>
      <w:r>
        <w:rPr/>
        <w:t>出行产品密度与档次结构，为游客出行提供了层次性选择。除跟团游外，为满足多样化、个性化的客户需</w:t>
      </w:r>
      <w:r>
        <w:rPr/>
        <w:t> 求，推出了定制游、自由行、半自由行、碎片化产品、境外参团等产品与服务，不断增强客户的旅游与服 </w:t>
      </w:r>
      <w:r>
        <w:rPr>
          <w:spacing w:val="-5"/>
        </w:rPr>
        <w:t>务体验。同时为推行全方位服务，公司适时推出了出境游与出境服务相关的个人外币兑换、出境金融服务。</w:t>
      </w:r>
    </w:p>
    <w:p>
      <w:pPr>
        <w:pStyle w:val="BodyText"/>
        <w:spacing w:line="391" w:lineRule="auto" w:before="50"/>
        <w:ind w:right="211" w:firstLine="471"/>
        <w:jc w:val="both"/>
      </w:pPr>
      <w:r>
        <w:rPr>
          <w:rFonts w:ascii="Times New Roman" w:hAnsi="Times New Roman" w:cs="Times New Roman" w:eastAsia="Times New Roman" w:hint="default"/>
          <w:b/>
          <w:bCs/>
        </w:rPr>
        <w:t>3</w:t>
      </w:r>
      <w:r>
        <w:rPr>
          <w:rFonts w:ascii="宋体" w:hAnsi="宋体" w:cs="宋体" w:eastAsia="宋体" w:hint="default"/>
          <w:b/>
          <w:bCs/>
        </w:rPr>
        <w:t>、突出的渠道能力。</w:t>
      </w:r>
      <w:r>
        <w:rPr/>
        <w:t>公司零售业务通过门店、网站及移动端平台、呼叫中心和大客户拓展及会员制 </w:t>
      </w:r>
      <w:r>
        <w:rPr>
          <w:spacing w:val="-1"/>
        </w:rPr>
        <w:t>营销等方式，以及穷游、悠哉、要出发等合作伙伴销售给终端消费者，正形成覆盖华北地区主要城市的零</w:t>
      </w:r>
      <w:r>
        <w:rPr>
          <w:spacing w:val="-82"/>
        </w:rPr>
        <w:t> </w:t>
      </w:r>
      <w:r>
        <w:rPr>
          <w:spacing w:val="-82"/>
        </w:rPr>
      </w:r>
      <w:r>
        <w:rPr>
          <w:spacing w:val="-2"/>
        </w:rPr>
        <w:t>售体系，华东、华中地区零售业务也正在进一步完善。批发业务通过代理商销售给终端消费者</w:t>
      </w:r>
      <w:r>
        <w:rPr>
          <w:rFonts w:ascii="Times New Roman" w:hAnsi="Times New Roman" w:cs="Times New Roman" w:eastAsia="Times New Roman" w:hint="default"/>
          <w:spacing w:val="-2"/>
        </w:rPr>
        <w:t>,</w:t>
      </w:r>
      <w:r>
        <w:rPr>
          <w:spacing w:val="-2"/>
        </w:rPr>
        <w:t>代理商既有</w:t>
      </w:r>
      <w:r>
        <w:rPr>
          <w:spacing w:val="-89"/>
        </w:rPr>
        <w:t> </w:t>
      </w:r>
      <w:r>
        <w:rPr>
          <w:rFonts w:ascii="Times New Roman" w:hAnsi="Times New Roman" w:cs="Times New Roman" w:eastAsia="Times New Roman" w:hint="default"/>
          <w:spacing w:val="-1"/>
        </w:rPr>
        <w:t>OTA</w:t>
      </w:r>
      <w:r>
        <w:rPr>
          <w:spacing w:val="-1"/>
        </w:rPr>
        <w:t>也有传统旅行社。批发渠道通过在全国主要二线省会城市落地销售队伍，并将渠道销售工作进一步下</w:t>
      </w:r>
      <w:r>
        <w:rPr>
          <w:spacing w:val="-94"/>
        </w:rPr>
        <w:t> </w:t>
      </w:r>
      <w:r>
        <w:rPr>
          <w:spacing w:val="-94"/>
        </w:rPr>
      </w:r>
      <w:r>
        <w:rPr/>
        <w:t>沉至三四线城市，同时辅之以</w:t>
      </w:r>
      <w:r>
        <w:rPr>
          <w:rFonts w:ascii="Times New Roman" w:hAnsi="Times New Roman" w:cs="Times New Roman" w:eastAsia="Times New Roman" w:hint="default"/>
        </w:rPr>
        <w:t>PC</w:t>
      </w:r>
      <w:r>
        <w:rPr/>
        <w:t>端与移动端同业分销系统，已形成覆盖全国的线上线下批发销售体系。</w:t>
      </w:r>
    </w:p>
    <w:p>
      <w:pPr>
        <w:pStyle w:val="BodyText"/>
        <w:spacing w:line="398" w:lineRule="auto" w:before="30"/>
        <w:ind w:right="209" w:firstLine="420"/>
        <w:jc w:val="both"/>
      </w:pPr>
      <w:r>
        <w:rPr>
          <w:rFonts w:ascii="Times New Roman" w:hAnsi="Times New Roman" w:cs="Times New Roman" w:eastAsia="Times New Roman" w:hint="default"/>
          <w:b/>
          <w:bCs/>
        </w:rPr>
        <w:t>4</w:t>
      </w:r>
      <w:r>
        <w:rPr>
          <w:rFonts w:ascii="宋体" w:hAnsi="宋体" w:cs="宋体" w:eastAsia="宋体" w:hint="default"/>
          <w:b/>
          <w:bCs/>
        </w:rPr>
        <w:t>、不断优化的电子信息系统优势。</w:t>
      </w:r>
      <w:r>
        <w:rPr/>
        <w:t>公司自建企业资源管理系统，实现产品、价格和库存的实时对接</w:t>
      </w:r>
      <w:r>
        <w:rPr>
          <w:spacing w:val="1"/>
        </w:rPr>
        <w:t> </w:t>
      </w:r>
      <w:r>
        <w:rPr>
          <w:spacing w:val="-1"/>
        </w:rPr>
        <w:t>和在线预订，不断优化并扩充电子商务平台模块与功能，并为未来更大的系统集成、公司并购提供了系统</w:t>
      </w:r>
      <w:r>
        <w:rPr>
          <w:spacing w:val="-83"/>
        </w:rPr>
        <w:t> </w:t>
      </w:r>
      <w:r>
        <w:rPr>
          <w:spacing w:val="-83"/>
        </w:rPr>
      </w:r>
      <w:r>
        <w:rPr>
          <w:spacing w:val="-2"/>
        </w:rPr>
        <w:t>保障。在营销推广方面，实现线上</w:t>
      </w:r>
      <w:r>
        <w:rPr>
          <w:rFonts w:ascii="Times New Roman" w:hAnsi="Times New Roman" w:cs="Times New Roman" w:eastAsia="Times New Roman" w:hint="default"/>
          <w:spacing w:val="-2"/>
        </w:rPr>
        <w:t>PC</w:t>
      </w:r>
      <w:r>
        <w:rPr>
          <w:spacing w:val="-2"/>
        </w:rPr>
        <w:t>与移动端平台、第三方平台向批发、零售端提供业务支持与渠道；实</w:t>
      </w:r>
      <w:r>
        <w:rPr>
          <w:spacing w:val="-86"/>
        </w:rPr>
        <w:t> </w:t>
      </w:r>
      <w:r>
        <w:rPr>
          <w:spacing w:val="-86"/>
        </w:rPr>
      </w:r>
      <w:r>
        <w:rPr>
          <w:spacing w:val="-1"/>
        </w:rPr>
        <w:t>现线上线下的顺利对接，提升用户体验；打通线上线下流程，持续优化数据，实现对用户进行从线上到线</w:t>
      </w:r>
      <w:r>
        <w:rPr>
          <w:spacing w:val="-82"/>
        </w:rPr>
        <w:t> </w:t>
      </w:r>
      <w:r>
        <w:rPr>
          <w:spacing w:val="-82"/>
        </w:rPr>
      </w:r>
      <w:r>
        <w:rPr/>
        <w:t>下、从线下到线上的有效引导，提升资源的利用效率。</w:t>
      </w:r>
    </w:p>
    <w:p>
      <w:pPr>
        <w:pStyle w:val="BodyText"/>
        <w:spacing w:line="398" w:lineRule="auto" w:before="54"/>
        <w:ind w:right="210" w:firstLine="420"/>
        <w:jc w:val="both"/>
      </w:pPr>
      <w:r>
        <w:rPr>
          <w:rFonts w:ascii="Times New Roman" w:hAnsi="Times New Roman" w:cs="Times New Roman" w:eastAsia="Times New Roman" w:hint="default"/>
          <w:b/>
          <w:bCs/>
        </w:rPr>
        <w:t>5</w:t>
      </w:r>
      <w:r>
        <w:rPr>
          <w:rFonts w:ascii="宋体" w:hAnsi="宋体" w:cs="宋体" w:eastAsia="宋体" w:hint="default"/>
          <w:b/>
          <w:bCs/>
        </w:rPr>
        <w:t>、产业链上中下游一体化优势。</w:t>
      </w:r>
      <w:r>
        <w:rPr/>
        <w:t>纵向不断完善出境游上、中、下游业务，实现客户获取渠道、资源</w:t>
      </w:r>
      <w:r>
        <w:rPr>
          <w:spacing w:val="1"/>
        </w:rPr>
        <w:t> </w:t>
      </w:r>
      <w:r>
        <w:rPr>
          <w:spacing w:val="-1"/>
        </w:rPr>
        <w:t>可控与可得性、产品与服务提供的完美对接，贯通出境游产业链，实现一体化。降低了采购成本、保证了</w:t>
      </w:r>
      <w:r>
        <w:rPr>
          <w:spacing w:val="-83"/>
        </w:rPr>
        <w:t> </w:t>
      </w:r>
      <w:r>
        <w:rPr>
          <w:spacing w:val="-83"/>
        </w:rPr>
      </w:r>
      <w:r>
        <w:rPr/>
        <w:t>产品与服务质量，提高了客户体验，形成整个产业链上中下游互相良性促进。</w:t>
      </w:r>
    </w:p>
    <w:p>
      <w:pPr>
        <w:pStyle w:val="BodyText"/>
        <w:spacing w:line="398" w:lineRule="auto" w:before="54"/>
        <w:ind w:right="206" w:firstLine="420"/>
        <w:jc w:val="both"/>
      </w:pPr>
      <w:r>
        <w:rPr>
          <w:rFonts w:ascii="Times New Roman" w:hAnsi="Times New Roman" w:cs="Times New Roman" w:eastAsia="Times New Roman" w:hint="default"/>
          <w:b/>
          <w:bCs/>
        </w:rPr>
        <w:t>6</w:t>
      </w:r>
      <w:r>
        <w:rPr>
          <w:rFonts w:ascii="宋体" w:hAnsi="宋体" w:cs="宋体" w:eastAsia="宋体" w:hint="default"/>
          <w:b/>
          <w:bCs/>
        </w:rPr>
        <w:t>、业务协同优势</w:t>
      </w:r>
      <w:r>
        <w:rPr/>
        <w:t>。随着公司发展战略的逐步实施，在原有的出境游批发、零售、商务会奖三大业务</w:t>
      </w:r>
      <w:r>
        <w:rPr>
          <w:spacing w:val="2"/>
        </w:rPr>
        <w:t> </w:t>
      </w:r>
      <w:r>
        <w:rPr/>
        <w:t>协同的基础上，发展其他“出境游+”业务，包括移民置业、游学留学、出境金融等出境服务业务，和核</w:t>
      </w:r>
      <w:r>
        <w:rPr>
          <w:spacing w:val="-34"/>
        </w:rPr>
        <w:t> </w:t>
      </w:r>
      <w:r>
        <w:rPr>
          <w:spacing w:val="-34"/>
        </w:rPr>
      </w:r>
      <w:r>
        <w:rPr/>
        <w:t>心出境游业务互相促进、协同发展，进一步巩固并加强了业务协同优势。</w:t>
      </w:r>
    </w:p>
    <w:p>
      <w:pPr>
        <w:spacing w:after="0" w:line="398" w:lineRule="auto"/>
        <w:jc w:val="both"/>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126" w:right="0"/>
        <w:jc w:val="left"/>
        <w:rPr>
          <w:b w:val="0"/>
          <w:bCs w:val="0"/>
        </w:rPr>
      </w:pPr>
      <w:bookmarkStart w:name="_TOC_250007" w:id="5"/>
      <w:r>
        <w:rPr/>
        <w:t>第四节</w:t>
      </w:r>
      <w:r>
        <w:rPr>
          <w:spacing w:val="-9"/>
        </w:rPr>
        <w:t> </w:t>
      </w:r>
      <w:r>
        <w:rPr/>
        <w:t>管理层讨论与分析</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2"/>
        <w:spacing w:line="240" w:lineRule="auto" w:before="26"/>
        <w:ind w:right="0"/>
        <w:jc w:val="left"/>
        <w:rPr>
          <w:b w:val="0"/>
          <w:bCs w:val="0"/>
        </w:rPr>
      </w:pPr>
      <w:r>
        <w:rPr/>
        <w:t>一、概述</w:t>
      </w:r>
      <w:r>
        <w:rPr>
          <w:b w:val="0"/>
          <w:bCs w:val="0"/>
        </w:rPr>
      </w:r>
    </w:p>
    <w:p>
      <w:pPr>
        <w:spacing w:line="240" w:lineRule="auto" w:before="0"/>
        <w:rPr>
          <w:rFonts w:ascii="宋体" w:hAnsi="宋体" w:cs="宋体" w:eastAsia="宋体" w:hint="default"/>
          <w:b/>
          <w:bCs/>
          <w:sz w:val="24"/>
          <w:szCs w:val="24"/>
        </w:rPr>
      </w:pPr>
    </w:p>
    <w:p>
      <w:pPr>
        <w:pStyle w:val="BodyText"/>
        <w:spacing w:line="400" w:lineRule="auto" w:before="163"/>
        <w:ind w:left="153" w:right="0" w:firstLine="525"/>
        <w:jc w:val="left"/>
      </w:pPr>
      <w:r>
        <w:rPr>
          <w:rFonts w:ascii="Times New Roman" w:hAnsi="Times New Roman" w:cs="Times New Roman" w:eastAsia="Times New Roman" w:hint="default"/>
        </w:rPr>
        <w:t>2015</w:t>
      </w:r>
      <w:r>
        <w:rPr/>
        <w:t>年，中国经济呈现出新常态，表现为从高速增长转为中高速增长，经济结构优化升级，增长驱 </w:t>
      </w:r>
      <w:r>
        <w:rPr>
          <w:spacing w:val="-5"/>
        </w:rPr>
        <w:t>动力正加快由工业主导向服务业主导转变。国家政策支持、国民消费意识和消费能力不断增强、签证便利、</w:t>
      </w:r>
      <w:r>
        <w:rPr>
          <w:spacing w:val="-101"/>
        </w:rPr>
        <w:t> </w:t>
      </w:r>
      <w:r>
        <w:rPr>
          <w:spacing w:val="-101"/>
        </w:rPr>
      </w:r>
      <w:r>
        <w:rPr/>
        <w:t>出境口岸城市增多等多重利好因素推动出境旅游及出境服务市场蓬勃发展，出境旅游继续保持高速增长，</w:t>
      </w:r>
      <w:r>
        <w:rPr>
          <w:spacing w:val="-34"/>
        </w:rPr>
        <w:t> </w:t>
      </w:r>
      <w:r>
        <w:rPr>
          <w:spacing w:val="-34"/>
        </w:rPr>
      </w:r>
      <w:r>
        <w:rPr/>
        <w:t>全年出境旅游</w:t>
      </w:r>
      <w:r>
        <w:rPr>
          <w:rFonts w:ascii="Times New Roman" w:hAnsi="Times New Roman" w:cs="Times New Roman" w:eastAsia="Times New Roman" w:hint="default"/>
        </w:rPr>
        <w:t>1.2</w:t>
      </w:r>
      <w:r>
        <w:rPr/>
        <w:t>亿人次。旅游企业之间的整合在加剧，线上线下不同类型企业的融合在加快，这些变化不 断地在重塑行业格局，模糊企业边界，市场集中度在进一步提高。大数据管理分析能力，产品和服务能力 及资本运营能力日益成为行业的核心竞争力。</w:t>
      </w:r>
    </w:p>
    <w:p>
      <w:pPr>
        <w:pStyle w:val="BodyText"/>
        <w:spacing w:line="408" w:lineRule="auto" w:before="172"/>
        <w:ind w:left="153" w:right="0" w:firstLine="420"/>
        <w:jc w:val="left"/>
      </w:pPr>
      <w:r>
        <w:rPr/>
        <w:t>国民出境消费需求结构不断变化，单纯的出境旅游不再是唯一目的，游学及留学教育、医疗、移民、 置业、出境金融等出境服务市场将不断扩大，国民出境服务需求的广阔前景和发展空间打开了出境服务行 业发展的广度和深度，对接国民出境服务需求，公司将打造上述各类出境服务业务平台及目的地生活服务 平台，拓展公司发展空间。发展战略在国内领先的出境旅游运营商基础上实现升级，力争成为国内最具竞 争力的全方位出境综合服务平台。</w:t>
      </w:r>
    </w:p>
    <w:p>
      <w:pPr>
        <w:pStyle w:val="BodyText"/>
        <w:spacing w:line="408" w:lineRule="auto"/>
        <w:ind w:left="153" w:right="102" w:firstLine="420"/>
        <w:jc w:val="both"/>
      </w:pPr>
      <w:r>
        <w:rPr/>
        <w:t>报告期内，公司积极应对市场变化，充分运用自身资源优势，行业发展机会，不断发展出境游业务， 取得了较好的经营业绩。以此为依托通过一系列并购举措，在目的地资源及生活服务、产品设计与服务、</w:t>
      </w:r>
      <w:r>
        <w:rPr>
          <w:spacing w:val="-34"/>
        </w:rPr>
        <w:t> </w:t>
      </w:r>
      <w:r>
        <w:rPr>
          <w:spacing w:val="-34"/>
        </w:rPr>
      </w:r>
      <w:r>
        <w:rPr/>
        <w:t>线上线下营销渠道三方面进行产业链纵向扩张，不断完善出境游业务布局。</w:t>
      </w:r>
    </w:p>
    <w:p>
      <w:pPr>
        <w:pStyle w:val="BodyText"/>
        <w:spacing w:line="408" w:lineRule="auto"/>
        <w:ind w:left="153" w:right="210" w:firstLine="420"/>
        <w:jc w:val="both"/>
      </w:pPr>
      <w:r>
        <w:rPr>
          <w:spacing w:val="-1"/>
        </w:rPr>
        <w:t>围绕着公司从领先的出境旅游运营商向全方位的出境综合服务提供商的战略升级的落地，积极布局与</w:t>
      </w:r>
      <w:r>
        <w:rPr/>
        <w:t> </w:t>
      </w:r>
      <w:r>
        <w:rPr>
          <w:spacing w:val="-1"/>
        </w:rPr>
        <w:t>发力全方位出境综合服务平台建设。根据既定的并购策略与目的，进行标的公司筛选、谈判，实现股权并</w:t>
      </w:r>
      <w:r>
        <w:rPr>
          <w:spacing w:val="-82"/>
        </w:rPr>
        <w:t> </w:t>
      </w:r>
      <w:r>
        <w:rPr>
          <w:spacing w:val="-82"/>
        </w:rPr>
      </w:r>
      <w:r>
        <w:rPr>
          <w:spacing w:val="-1"/>
        </w:rPr>
        <w:t>购或业务合作。如并购了欧洲地接产品与服务提供商德国开元，经过董事会审议通过，拟发行股份及支付</w:t>
      </w:r>
      <w:r>
        <w:rPr>
          <w:spacing w:val="-83"/>
        </w:rPr>
        <w:t> </w:t>
      </w:r>
      <w:r>
        <w:rPr>
          <w:spacing w:val="-83"/>
        </w:rPr>
      </w:r>
      <w:r>
        <w:rPr/>
        <w:t>现金购买华远国旅</w:t>
      </w:r>
      <w:r>
        <w:rPr>
          <w:rFonts w:ascii="Times New Roman" w:hAnsi="Times New Roman" w:cs="Times New Roman" w:eastAsia="Times New Roman" w:hint="default"/>
        </w:rPr>
        <w:t>100%</w:t>
      </w:r>
      <w:r>
        <w:rPr/>
        <w:t>股份并募集配套资金，并将与携程达成深入战略合作。</w:t>
      </w:r>
    </w:p>
    <w:p>
      <w:pPr>
        <w:pStyle w:val="BodyText"/>
        <w:spacing w:line="408" w:lineRule="auto" w:before="14"/>
        <w:ind w:left="589" w:right="242"/>
        <w:jc w:val="left"/>
      </w:pPr>
      <w:r>
        <w:rPr/>
        <w:t>报告期内，公司经营业绩与上年同期相比有较大幅度上升，呈现快速增长态势。 报告期，公司实现营业收入</w:t>
      </w:r>
      <w:r>
        <w:rPr>
          <w:rFonts w:ascii="Times New Roman" w:hAnsi="Times New Roman" w:cs="Times New Roman" w:eastAsia="Times New Roman" w:hint="default"/>
        </w:rPr>
        <w:t>837,007.07</w:t>
      </w:r>
      <w:r>
        <w:rPr/>
        <w:t>万元，比上年同期增长</w:t>
      </w:r>
      <w:r>
        <w:rPr>
          <w:rFonts w:ascii="Times New Roman" w:hAnsi="Times New Roman" w:cs="Times New Roman" w:eastAsia="Times New Roman" w:hint="default"/>
        </w:rPr>
        <w:t>98.48%</w:t>
      </w:r>
      <w:r>
        <w:rPr/>
        <w:t>；营业利润</w:t>
      </w:r>
      <w:r>
        <w:rPr>
          <w:rFonts w:ascii="Times New Roman" w:hAnsi="Times New Roman" w:cs="Times New Roman" w:eastAsia="Times New Roman" w:hint="default"/>
        </w:rPr>
        <w:t>25,402.27</w:t>
      </w:r>
      <w:r>
        <w:rPr/>
        <w:t>万元，比上</w:t>
      </w:r>
    </w:p>
    <w:p>
      <w:pPr>
        <w:pStyle w:val="BodyText"/>
        <w:spacing w:line="240" w:lineRule="auto" w:before="14"/>
        <w:ind w:right="0"/>
        <w:jc w:val="left"/>
      </w:pPr>
      <w:r>
        <w:rPr/>
        <w:t>年同期增长</w:t>
      </w:r>
      <w:r>
        <w:rPr>
          <w:rFonts w:ascii="Times New Roman" w:hAnsi="Times New Roman" w:cs="Times New Roman" w:eastAsia="Times New Roman" w:hint="default"/>
        </w:rPr>
        <w:t>76.01%</w:t>
      </w:r>
      <w:r>
        <w:rPr/>
        <w:t>；归属于上市公司股东的净利润</w:t>
      </w:r>
      <w:r>
        <w:rPr>
          <w:rFonts w:ascii="Times New Roman" w:hAnsi="Times New Roman" w:cs="Times New Roman" w:eastAsia="Times New Roman" w:hint="default"/>
        </w:rPr>
        <w:t>18.670.47</w:t>
      </w:r>
      <w:r>
        <w:rPr/>
        <w:t>万元，比上年同期增长</w:t>
      </w:r>
      <w:r>
        <w:rPr>
          <w:rFonts w:ascii="Times New Roman" w:hAnsi="Times New Roman" w:cs="Times New Roman" w:eastAsia="Times New Roman" w:hint="default"/>
        </w:rPr>
        <w:t>71.69%</w:t>
      </w:r>
      <w:r>
        <w:rPr/>
        <w:t>；基本每股收益</w:t>
      </w:r>
    </w:p>
    <w:p>
      <w:pPr>
        <w:pStyle w:val="BodyText"/>
        <w:spacing w:line="240" w:lineRule="auto" w:before="177"/>
        <w:ind w:right="0"/>
        <w:jc w:val="left"/>
      </w:pPr>
      <w:r>
        <w:rPr>
          <w:rFonts w:ascii="Times New Roman" w:hAnsi="Times New Roman" w:cs="Times New Roman" w:eastAsia="Times New Roman" w:hint="default"/>
        </w:rPr>
        <w:t>0.471</w:t>
      </w:r>
      <w:r>
        <w:rPr/>
        <w:t>元，比上年同期增长</w:t>
      </w:r>
      <w:r>
        <w:rPr>
          <w:rFonts w:ascii="Times New Roman" w:hAnsi="Times New Roman" w:cs="Times New Roman" w:eastAsia="Times New Roman" w:hint="default"/>
        </w:rPr>
        <w:t>50%</w:t>
      </w:r>
      <w:r>
        <w:rPr/>
        <w:t>。</w:t>
      </w:r>
    </w:p>
    <w:p>
      <w:pPr>
        <w:pStyle w:val="Heading3"/>
        <w:spacing w:line="240" w:lineRule="auto" w:before="177"/>
        <w:ind w:left="634" w:right="0"/>
        <w:jc w:val="left"/>
        <w:rPr>
          <w:b w:val="0"/>
          <w:bCs w:val="0"/>
        </w:rPr>
      </w:pPr>
      <w:r>
        <w:rPr>
          <w:rFonts w:ascii="Times New Roman" w:hAnsi="Times New Roman" w:cs="Times New Roman" w:eastAsia="Times New Roman" w:hint="default"/>
        </w:rPr>
        <w:t>1</w:t>
      </w:r>
      <w:r>
        <w:rPr/>
        <w:t>、出境游业务</w:t>
      </w:r>
      <w:r>
        <w:rPr>
          <w:b w:val="0"/>
          <w:bCs w:val="0"/>
        </w:rPr>
      </w:r>
    </w:p>
    <w:p>
      <w:pPr>
        <w:pStyle w:val="BodyText"/>
        <w:spacing w:line="240" w:lineRule="auto" w:before="177"/>
        <w:ind w:left="589"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15</w:t>
      </w:r>
      <w:r>
        <w:rPr/>
        <w:t>年</w:t>
      </w:r>
      <w:r>
        <w:rPr>
          <w:spacing w:val="-93"/>
        </w:rPr>
        <w:t>，</w:t>
      </w:r>
      <w:r>
        <w:rPr/>
        <w:t>实</w:t>
      </w:r>
      <w:r>
        <w:rPr>
          <w:spacing w:val="-2"/>
        </w:rPr>
        <w:t>现</w:t>
      </w:r>
      <w:r>
        <w:rPr/>
        <w:t>出境游营业收入</w:t>
      </w:r>
      <w:r>
        <w:rPr>
          <w:rFonts w:ascii="Times New Roman" w:hAnsi="Times New Roman" w:cs="Times New Roman" w:eastAsia="Times New Roman" w:hint="default"/>
        </w:rPr>
        <w:t>7</w:t>
      </w:r>
      <w:r>
        <w:rPr>
          <w:rFonts w:ascii="Times New Roman" w:hAnsi="Times New Roman" w:cs="Times New Roman" w:eastAsia="Times New Roman" w:hint="default"/>
          <w:spacing w:val="-1"/>
        </w:rPr>
        <w:t>4</w:t>
      </w:r>
      <w:r>
        <w:rPr>
          <w:rFonts w:ascii="Times New Roman" w:hAnsi="Times New Roman" w:cs="Times New Roman" w:eastAsia="Times New Roman" w:hint="default"/>
        </w:rPr>
        <w:t>9,</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09</w:t>
      </w:r>
      <w:r>
        <w:rPr/>
        <w:t>万元</w:t>
      </w:r>
      <w:r>
        <w:rPr>
          <w:spacing w:val="-93"/>
        </w:rPr>
        <w:t>，</w:t>
      </w:r>
      <w:r>
        <w:rPr/>
        <w:t>同</w:t>
      </w:r>
      <w:r>
        <w:rPr>
          <w:spacing w:val="-2"/>
        </w:rPr>
        <w:t>比</w:t>
      </w:r>
      <w:r>
        <w:rPr/>
        <w:t>增长</w:t>
      </w:r>
      <w:r>
        <w:rPr>
          <w:rFonts w:ascii="Times New Roman" w:hAnsi="Times New Roman" w:cs="Times New Roman" w:eastAsia="Times New Roman" w:hint="default"/>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spacing w:val="-93"/>
        </w:rPr>
        <w:t>，</w:t>
      </w:r>
      <w:r>
        <w:rPr/>
        <w:t>其中</w:t>
      </w:r>
      <w:r>
        <w:rPr>
          <w:spacing w:val="-93"/>
        </w:rPr>
        <w:t>，</w:t>
      </w:r>
      <w:r>
        <w:rPr/>
        <w:t>出境游批发业务收入</w:t>
      </w:r>
      <w:r>
        <w:rPr>
          <w:rFonts w:ascii="Times New Roman" w:hAnsi="Times New Roman" w:cs="Times New Roman" w:eastAsia="Times New Roman" w:hint="default"/>
        </w:rPr>
        <w:t>5</w:t>
      </w:r>
      <w:r>
        <w:rPr>
          <w:rFonts w:ascii="Times New Roman" w:hAnsi="Times New Roman" w:cs="Times New Roman" w:eastAsia="Times New Roman" w:hint="default"/>
          <w:spacing w:val="-1"/>
        </w:rPr>
        <w:t>8</w:t>
      </w:r>
      <w:r>
        <w:rPr>
          <w:rFonts w:ascii="Times New Roman" w:hAnsi="Times New Roman" w:cs="Times New Roman" w:eastAsia="Times New Roman" w:hint="default"/>
        </w:rPr>
        <w:t>4,</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32</w:t>
      </w:r>
    </w:p>
    <w:p>
      <w:pPr>
        <w:pStyle w:val="BodyText"/>
        <w:spacing w:line="240" w:lineRule="auto" w:before="177"/>
        <w:ind w:right="0"/>
        <w:jc w:val="left"/>
      </w:pPr>
      <w:r>
        <w:rPr/>
        <w:t>万元，同比增长</w:t>
      </w:r>
      <w:r>
        <w:rPr>
          <w:rFonts w:ascii="Times New Roman" w:hAnsi="Times New Roman" w:cs="Times New Roman" w:eastAsia="Times New Roman" w:hint="default"/>
        </w:rPr>
        <w:t>131.82%</w:t>
      </w:r>
      <w:r>
        <w:rPr/>
        <w:t>；出境游零售业务收入</w:t>
      </w:r>
      <w:r>
        <w:rPr>
          <w:rFonts w:ascii="Times New Roman" w:hAnsi="Times New Roman" w:cs="Times New Roman" w:eastAsia="Times New Roman" w:hint="default"/>
        </w:rPr>
        <w:t>164,968.76</w:t>
      </w:r>
      <w:r>
        <w:rPr/>
        <w:t>万元，同比增长</w:t>
      </w:r>
      <w:r>
        <w:rPr>
          <w:rFonts w:ascii="Times New Roman" w:hAnsi="Times New Roman" w:cs="Times New Roman" w:eastAsia="Times New Roman" w:hint="default"/>
        </w:rPr>
        <w:t>62.66%</w:t>
      </w:r>
      <w:r>
        <w:rPr/>
        <w:t>。</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636" w:right="1473" w:hanging="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）出境游批发业务</w:t>
      </w:r>
      <w:r>
        <w:rPr>
          <w:rFonts w:ascii="宋体" w:hAnsi="宋体" w:cs="宋体" w:eastAsia="宋体" w:hint="default"/>
          <w:b/>
          <w:bCs/>
          <w:spacing w:val="1"/>
          <w:w w:val="99"/>
        </w:rPr>
        <w:t> </w:t>
      </w:r>
      <w:r>
        <w:rPr>
          <w:rFonts w:ascii="Times New Roman" w:hAnsi="Times New Roman" w:cs="Times New Roman" w:eastAsia="Times New Roman" w:hint="default"/>
        </w:rPr>
        <w:t>2015</w:t>
      </w:r>
      <w:r>
        <w:rPr/>
        <w:t>年出境游批发业务收入</w:t>
      </w:r>
      <w:r>
        <w:rPr>
          <w:rFonts w:ascii="Times New Roman" w:hAnsi="Times New Roman" w:cs="Times New Roman" w:eastAsia="Times New Roman" w:hint="default"/>
        </w:rPr>
        <w:t>584,362.32</w:t>
      </w:r>
      <w:r>
        <w:rPr/>
        <w:t>万元，同比增长</w:t>
      </w:r>
      <w:r>
        <w:rPr>
          <w:rFonts w:ascii="Times New Roman" w:hAnsi="Times New Roman" w:cs="Times New Roman" w:eastAsia="Times New Roman" w:hint="default"/>
        </w:rPr>
        <w:t>131.82%</w:t>
      </w:r>
      <w:r>
        <w:rPr/>
        <w:t>，主要原因为： 外延扩展方面，公司</w:t>
      </w:r>
      <w:r>
        <w:rPr>
          <w:rFonts w:ascii="Times New Roman" w:hAnsi="Times New Roman" w:cs="Times New Roman" w:eastAsia="Times New Roman" w:hint="default"/>
        </w:rPr>
        <w:t>3</w:t>
      </w:r>
      <w:r>
        <w:rPr/>
        <w:t>月份完成对竹园国旅的收购，合并会计报表增加了公司的收入。</w:t>
      </w:r>
    </w:p>
    <w:p>
      <w:pPr>
        <w:pStyle w:val="BodyText"/>
        <w:spacing w:line="408" w:lineRule="auto" w:before="35"/>
        <w:ind w:right="0" w:firstLine="420"/>
        <w:jc w:val="left"/>
      </w:pPr>
      <w:r>
        <w:rPr/>
        <w:t>资源采购与产品研发协同方面，完成竹园国旅并购后，公司在资源采购、产品研发上发挥规模优势， 提升了对上游资源的议价能力，在包机等项目产品的合作上形成了一定的局部资源垄断，由此降低了产品 成本，扩大了市场份额，提升了出境游批发业务营业额。</w:t>
      </w:r>
    </w:p>
    <w:p>
      <w:pPr>
        <w:pStyle w:val="BodyText"/>
        <w:spacing w:line="408" w:lineRule="auto"/>
        <w:ind w:right="0" w:firstLine="420"/>
        <w:jc w:val="left"/>
      </w:pPr>
      <w:r>
        <w:rPr>
          <w:spacing w:val="-1"/>
        </w:rPr>
        <w:t>渠道建设方面，批发渠道继续在全国各二线省会城市落地销售队伍，销售人员进一步增加，渠道销售</w:t>
      </w:r>
      <w:r>
        <w:rPr/>
        <w:t> 工作进一步下沉至三四线城市，加大地推活动力度，拓展分销渠道的覆盖面，带来了收入的增长。</w:t>
      </w:r>
    </w:p>
    <w:p>
      <w:pPr>
        <w:pStyle w:val="BodyText"/>
        <w:spacing w:line="386" w:lineRule="auto"/>
        <w:ind w:right="0" w:firstLine="525"/>
        <w:jc w:val="left"/>
      </w:pPr>
      <w:r>
        <w:rPr/>
        <w:t>产品线拓展方面，</w:t>
      </w:r>
      <w:r>
        <w:rPr>
          <w:rFonts w:ascii="Times New Roman" w:hAnsi="Times New Roman" w:cs="Times New Roman" w:eastAsia="Times New Roman" w:hint="default"/>
        </w:rPr>
        <w:t>2015</w:t>
      </w:r>
      <w:r>
        <w:rPr/>
        <w:t>年欧美澳等长线旅游产品不断丰富，推出符合市场需求相应产品；在二线城 市加大了短线产品的投入，丰富当地口岸出境的短线产品，使得营业收入平稳快速增长。</w:t>
      </w:r>
    </w:p>
    <w:p>
      <w:pPr>
        <w:pStyle w:val="BodyText"/>
        <w:spacing w:line="386" w:lineRule="auto" w:before="65"/>
        <w:ind w:left="574" w:right="0" w:firstLine="59"/>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）出境游零售业务</w:t>
      </w:r>
      <w:r>
        <w:rPr>
          <w:rFonts w:ascii="宋体" w:hAnsi="宋体" w:cs="宋体" w:eastAsia="宋体" w:hint="default"/>
          <w:b/>
          <w:bCs/>
          <w:spacing w:val="1"/>
          <w:w w:val="99"/>
        </w:rPr>
        <w:t> </w:t>
      </w:r>
      <w:r>
        <w:rPr>
          <w:rFonts w:ascii="Times New Roman" w:hAnsi="Times New Roman" w:cs="Times New Roman" w:eastAsia="Times New Roman" w:hint="default"/>
        </w:rPr>
        <w:t>2015</w:t>
      </w:r>
      <w:r>
        <w:rPr/>
        <w:t>年出境游零售业务实现收入</w:t>
      </w:r>
      <w:r>
        <w:rPr>
          <w:rFonts w:ascii="Times New Roman" w:hAnsi="Times New Roman" w:cs="Times New Roman" w:eastAsia="Times New Roman" w:hint="default"/>
        </w:rPr>
        <w:t>164,968.76</w:t>
      </w:r>
      <w:r>
        <w:rPr/>
        <w:t>万元，同比增长</w:t>
      </w:r>
      <w:r>
        <w:rPr>
          <w:rFonts w:ascii="Times New Roman" w:hAnsi="Times New Roman" w:cs="Times New Roman" w:eastAsia="Times New Roman" w:hint="default"/>
        </w:rPr>
        <w:t>62.66%</w:t>
      </w:r>
      <w:r>
        <w:rPr/>
        <w:t>。主要原因为： </w:t>
      </w:r>
      <w:r>
        <w:rPr>
          <w:spacing w:val="-1"/>
        </w:rPr>
        <w:t>零售实体渠道方面，公司继续推进募投项目实体店建设计划；全面采取预售措施，提早售卖，通过收</w:t>
      </w:r>
    </w:p>
    <w:p>
      <w:pPr>
        <w:pStyle w:val="BodyText"/>
        <w:spacing w:line="393" w:lineRule="auto" w:before="65"/>
        <w:ind w:right="0"/>
        <w:jc w:val="left"/>
      </w:pPr>
      <w:r>
        <w:rPr/>
        <w:t>客判断市场；大客户拓展与会员营销方面，深挖渠道资源，加强与银行、企业客户合作，不断地举办各种 地推活动，使得营业收入快速增长。如公司在</w:t>
      </w:r>
      <w:r>
        <w:rPr>
          <w:rFonts w:ascii="Times New Roman" w:hAnsi="Times New Roman" w:cs="Times New Roman" w:eastAsia="Times New Roman" w:hint="default"/>
        </w:rPr>
        <w:t>2013</w:t>
      </w:r>
      <w:r>
        <w:rPr/>
        <w:t>年进入天津市场，瞄准了中高端的品牌定位，与媒体、</w:t>
      </w:r>
      <w:r>
        <w:rPr>
          <w:spacing w:val="-38"/>
        </w:rPr>
        <w:t> </w:t>
      </w:r>
      <w:r>
        <w:rPr>
          <w:spacing w:val="-38"/>
        </w:rPr>
      </w:r>
      <w:r>
        <w:rPr/>
        <w:t>境外旅游局进行合作提升品牌形象，开发天津起止产品，</w:t>
      </w:r>
      <w:r>
        <w:rPr>
          <w:rFonts w:ascii="Times New Roman" w:hAnsi="Times New Roman" w:cs="Times New Roman" w:eastAsia="Times New Roman" w:hint="default"/>
        </w:rPr>
        <w:t>2015</w:t>
      </w:r>
      <w:r>
        <w:rPr/>
        <w:t>年开展密集型的、各种类型的地推活动，全 年</w:t>
      </w:r>
      <w:r>
        <w:rPr>
          <w:rFonts w:ascii="Times New Roman" w:hAnsi="Times New Roman" w:cs="Times New Roman" w:eastAsia="Times New Roman" w:hint="default"/>
        </w:rPr>
        <w:t>200</w:t>
      </w:r>
      <w:r>
        <w:rPr/>
        <w:t>余场，使得营业收入快速增长。</w:t>
      </w:r>
    </w:p>
    <w:p>
      <w:pPr>
        <w:pStyle w:val="BodyText"/>
        <w:spacing w:line="391" w:lineRule="auto" w:before="28"/>
        <w:ind w:right="0" w:firstLine="480"/>
        <w:jc w:val="left"/>
      </w:pPr>
      <w:r>
        <w:rPr/>
        <w:t>线上拓展方面，线上打通了众信旅游网、悠哉网，加大与穷游网、要出发等线上运营商的合作力度，</w:t>
      </w:r>
      <w:r>
        <w:rPr>
          <w:spacing w:val="1"/>
        </w:rPr>
        <w:t> </w:t>
      </w:r>
      <w:r>
        <w:rPr/>
        <w:t>一方面继续加大线上对线下的支持，线上同步配合线下活动，如</w:t>
      </w:r>
      <w:r>
        <w:rPr>
          <w:rFonts w:ascii="Times New Roman" w:hAnsi="Times New Roman" w:cs="Times New Roman" w:eastAsia="Times New Roman" w:hint="default"/>
        </w:rPr>
        <w:t>BITE</w:t>
      </w:r>
      <w:r>
        <w:rPr/>
        <w:t>旅交会、达人带路产品发布会、体育 旅游产品发布会等，另一方面开展自身推广活动，举办了</w:t>
      </w:r>
      <w:r>
        <w:rPr>
          <w:rFonts w:ascii="Times New Roman" w:hAnsi="Times New Roman" w:cs="Times New Roman" w:eastAsia="Times New Roman" w:hint="default"/>
        </w:rPr>
        <w:t>520</w:t>
      </w:r>
      <w:r>
        <w:rPr/>
        <w:t>囤物节，双十一大促等大型线上促销活动。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月，首次参加阿里旅行线上大促的上海众信的天猫旗舰店在双十一期间，取得支付金额行业排名 第三、访客人数排名第二的成绩，其中无线端销售占比超过</w:t>
      </w:r>
      <w:r>
        <w:rPr>
          <w:rFonts w:ascii="Times New Roman" w:hAnsi="Times New Roman" w:cs="Times New Roman" w:eastAsia="Times New Roman" w:hint="default"/>
        </w:rPr>
        <w:t>50%</w:t>
      </w:r>
      <w:r>
        <w:rPr/>
        <w:t>。</w:t>
      </w:r>
    </w:p>
    <w:p>
      <w:pPr>
        <w:pStyle w:val="BodyText"/>
        <w:spacing w:line="408" w:lineRule="auto" w:before="30"/>
        <w:ind w:right="209" w:firstLine="480"/>
        <w:jc w:val="both"/>
      </w:pPr>
      <w:r>
        <w:rPr>
          <w:spacing w:val="-2"/>
        </w:rPr>
        <w:t>零售品牌推广方面，公司本期继续通过线下活动宣传与线上品牌露出，及跨界合作等方式进行品牌推</w:t>
      </w:r>
      <w:r>
        <w:rPr/>
        <w:t> </w:t>
      </w:r>
      <w:r>
        <w:rPr>
          <w:spacing w:val="-1"/>
        </w:rPr>
        <w:t>广，同时通过实体店面的统一标准化设计、店员服务质量的标准化、提升一线导游领队的人性化服务、产</w:t>
      </w:r>
      <w:r>
        <w:rPr>
          <w:spacing w:val="-82"/>
        </w:rPr>
        <w:t> </w:t>
      </w:r>
      <w:r>
        <w:rPr>
          <w:spacing w:val="-82"/>
        </w:rPr>
      </w:r>
      <w:r>
        <w:rPr/>
        <w:t>品的人性化设计等，增加产品服务客户体验，进行品牌宣传。</w:t>
      </w:r>
    </w:p>
    <w:p>
      <w:pPr>
        <w:pStyle w:val="Heading3"/>
        <w:spacing w:line="240" w:lineRule="auto" w:before="46"/>
        <w:ind w:left="634" w:right="0"/>
        <w:jc w:val="left"/>
        <w:rPr>
          <w:b w:val="0"/>
          <w:bCs w:val="0"/>
        </w:rPr>
      </w:pPr>
      <w:r>
        <w:rPr>
          <w:rFonts w:ascii="Times New Roman" w:hAnsi="Times New Roman" w:cs="Times New Roman" w:eastAsia="Times New Roman" w:hint="default"/>
        </w:rPr>
        <w:t>2</w:t>
      </w:r>
      <w:r>
        <w:rPr/>
        <w:t>、商务会奖旅游业务</w:t>
      </w:r>
      <w:r>
        <w:rPr>
          <w:b w:val="0"/>
          <w:bCs w:val="0"/>
        </w:rPr>
      </w:r>
    </w:p>
    <w:p>
      <w:pPr>
        <w:pStyle w:val="BodyText"/>
        <w:spacing w:line="386" w:lineRule="auto" w:before="177"/>
        <w:ind w:left="636" w:right="200"/>
        <w:jc w:val="left"/>
      </w:pPr>
      <w:r>
        <w:rPr>
          <w:rFonts w:ascii="Times New Roman" w:hAnsi="Times New Roman" w:cs="Times New Roman" w:eastAsia="Times New Roman" w:hint="default"/>
        </w:rPr>
        <w:t>2015</w:t>
      </w:r>
      <w:r>
        <w:rPr/>
        <w:t>年，商务会奖旅游业务实现收入</w:t>
      </w:r>
      <w:r>
        <w:rPr>
          <w:rFonts w:ascii="Times New Roman" w:hAnsi="Times New Roman" w:cs="Times New Roman" w:eastAsia="Times New Roman" w:hint="default"/>
        </w:rPr>
        <w:t>80,832.15</w:t>
      </w:r>
      <w:r>
        <w:rPr/>
        <w:t>万元，同比增长</w:t>
      </w:r>
      <w:r>
        <w:rPr>
          <w:rFonts w:ascii="Times New Roman" w:hAnsi="Times New Roman" w:cs="Times New Roman" w:eastAsia="Times New Roman" w:hint="default"/>
        </w:rPr>
        <w:t>18.60%</w:t>
      </w:r>
      <w:r>
        <w:rPr/>
        <w:t>。主要原因为： </w:t>
      </w:r>
      <w:r>
        <w:rPr>
          <w:spacing w:val="-2"/>
        </w:rPr>
        <w:t>商务会奖业务布局初步成形，截至</w:t>
      </w:r>
      <w:r>
        <w:rPr>
          <w:rFonts w:ascii="Times New Roman" w:hAnsi="Times New Roman" w:cs="Times New Roman" w:eastAsia="Times New Roman" w:hint="default"/>
          <w:spacing w:val="-2"/>
        </w:rPr>
        <w:t>2015</w:t>
      </w:r>
      <w:r>
        <w:rPr>
          <w:spacing w:val="-2"/>
        </w:rPr>
        <w:t>年底已设立了上海、成都、青岛、广州四家分公司，贴近了主</w:t>
      </w:r>
    </w:p>
    <w:p>
      <w:pPr>
        <w:pStyle w:val="BodyText"/>
        <w:spacing w:line="386" w:lineRule="auto" w:before="35"/>
        <w:ind w:right="0"/>
        <w:jc w:val="left"/>
      </w:pPr>
      <w:r>
        <w:rPr>
          <w:spacing w:val="-1"/>
        </w:rPr>
        <w:t>要客户市场。公司加大力度拓展保险、金融、教育、</w:t>
      </w:r>
      <w:r>
        <w:rPr>
          <w:rFonts w:ascii="Times New Roman" w:hAnsi="Times New Roman" w:cs="Times New Roman" w:eastAsia="Times New Roman" w:hint="default"/>
          <w:spacing w:val="-1"/>
        </w:rPr>
        <w:t>IT</w:t>
      </w:r>
      <w:r>
        <w:rPr>
          <w:spacing w:val="-1"/>
        </w:rPr>
        <w:t>、能源等行业板块客户，促进了商务会奖业务服务</w:t>
      </w:r>
      <w:r>
        <w:rPr>
          <w:spacing w:val="-73"/>
        </w:rPr>
        <w:t> </w:t>
      </w:r>
      <w:r>
        <w:rPr>
          <w:spacing w:val="-73"/>
        </w:rPr>
      </w:r>
      <w:r>
        <w:rPr>
          <w:spacing w:val="-1"/>
        </w:rPr>
        <w:t>客户类型的多样化，取得了较好的业绩。大型项目的成功承接显示着众信商务会奖高水平的组织协调运作</w:t>
      </w:r>
    </w:p>
    <w:p>
      <w:pPr>
        <w:spacing w:after="0" w:line="386" w:lineRule="auto"/>
        <w:jc w:val="left"/>
        <w:sectPr>
          <w:footerReference w:type="default" r:id="rId10"/>
          <w:pgSz w:w="11910" w:h="16840"/>
          <w:pgMar w:footer="982" w:header="877" w:top="1100" w:bottom="1180" w:left="980" w:right="920"/>
          <w:pgNumType w:start="20"/>
        </w:sectPr>
      </w:pPr>
    </w:p>
    <w:p>
      <w:pPr>
        <w:spacing w:line="240" w:lineRule="auto" w:before="8"/>
        <w:rPr>
          <w:rFonts w:ascii="宋体" w:hAnsi="宋体" w:cs="宋体" w:eastAsia="宋体" w:hint="default"/>
          <w:sz w:val="26"/>
          <w:szCs w:val="26"/>
        </w:rPr>
      </w:pPr>
    </w:p>
    <w:p>
      <w:pPr>
        <w:pStyle w:val="BodyText"/>
        <w:spacing w:line="386" w:lineRule="auto" w:before="35"/>
        <w:ind w:right="148"/>
        <w:jc w:val="left"/>
      </w:pPr>
      <w:r>
        <w:rPr>
          <w:spacing w:val="-1"/>
        </w:rPr>
        <w:t>能力，提升众信商务会奖业务</w:t>
      </w:r>
      <w:r>
        <w:rPr>
          <w:rFonts w:ascii="Times New Roman" w:hAnsi="Times New Roman" w:cs="Times New Roman" w:eastAsia="Times New Roman" w:hint="default"/>
          <w:spacing w:val="-1"/>
        </w:rPr>
        <w:t>U-MICE</w:t>
      </w:r>
      <w:r>
        <w:rPr>
          <w:spacing w:val="-1"/>
        </w:rPr>
        <w:t>品牌形象。如</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月公司承接了天狮集团</w:t>
      </w:r>
      <w:r>
        <w:rPr>
          <w:rFonts w:ascii="Times New Roman" w:hAnsi="Times New Roman" w:cs="Times New Roman" w:eastAsia="Times New Roman" w:hint="default"/>
          <w:spacing w:val="-1"/>
        </w:rPr>
        <w:t>20</w:t>
      </w:r>
      <w:r>
        <w:rPr>
          <w:spacing w:val="-1"/>
        </w:rPr>
        <w:t>周年庆典</w:t>
      </w:r>
      <w:r>
        <w:rPr>
          <w:rFonts w:ascii="Times New Roman" w:hAnsi="Times New Roman" w:cs="Times New Roman" w:eastAsia="Times New Roman" w:hint="default"/>
          <w:spacing w:val="-1"/>
        </w:rPr>
        <w:t>6000</w:t>
      </w:r>
      <w:r>
        <w:rPr>
          <w:spacing w:val="-1"/>
        </w:rPr>
        <w:t>余人赴</w:t>
      </w:r>
      <w:r>
        <w:rPr>
          <w:spacing w:val="-96"/>
        </w:rPr>
        <w:t> </w:t>
      </w:r>
      <w:r>
        <w:rPr>
          <w:spacing w:val="-96"/>
        </w:rPr>
      </w:r>
      <w:r>
        <w:rPr/>
        <w:t>法国游活动。</w:t>
      </w:r>
    </w:p>
    <w:p>
      <w:pPr>
        <w:pStyle w:val="Heading3"/>
        <w:spacing w:line="240" w:lineRule="auto" w:before="65"/>
        <w:ind w:left="633" w:right="148"/>
        <w:jc w:val="left"/>
        <w:rPr>
          <w:b w:val="0"/>
          <w:bCs w:val="0"/>
        </w:rPr>
      </w:pPr>
      <w:r>
        <w:rPr>
          <w:rFonts w:ascii="Times New Roman" w:hAnsi="Times New Roman" w:cs="Times New Roman" w:eastAsia="Times New Roman" w:hint="default"/>
        </w:rPr>
        <w:t>3</w:t>
      </w:r>
      <w:r>
        <w:rPr/>
        <w:t>、旅游金融（外币兑换业务与小贷业务）</w:t>
      </w:r>
      <w:r>
        <w:rPr>
          <w:b w:val="0"/>
          <w:bCs w:val="0"/>
        </w:rPr>
      </w:r>
    </w:p>
    <w:p>
      <w:pPr>
        <w:pStyle w:val="BodyText"/>
        <w:spacing w:line="391" w:lineRule="auto" w:before="177"/>
        <w:ind w:left="153" w:right="148" w:firstLine="420"/>
        <w:jc w:val="left"/>
      </w:pPr>
      <w:r>
        <w:rPr>
          <w:rFonts w:ascii="Times New Roman" w:hAnsi="Times New Roman" w:cs="Times New Roman" w:eastAsia="Times New Roman" w:hint="default"/>
          <w:spacing w:val="-1"/>
        </w:rPr>
        <w:t>2015</w:t>
      </w:r>
      <w:r>
        <w:rPr>
          <w:spacing w:val="-1"/>
        </w:rPr>
        <w:t>年是众信旅游金融业务的布局年，货币兑换业务快速发展，供应链金融服务正式实施，消费金融</w:t>
      </w:r>
      <w:r>
        <w:rPr/>
        <w:t> </w:t>
      </w:r>
      <w:r>
        <w:rPr>
          <w:spacing w:val="-2"/>
        </w:rPr>
        <w:t>服务稳步推进。悠联货币</w:t>
      </w:r>
      <w:r>
        <w:rPr>
          <w:rFonts w:ascii="Times New Roman" w:hAnsi="Times New Roman" w:cs="Times New Roman" w:eastAsia="Times New Roman" w:hint="default"/>
          <w:spacing w:val="-2"/>
        </w:rPr>
        <w:t>2015</w:t>
      </w:r>
      <w:r>
        <w:rPr>
          <w:spacing w:val="-2"/>
        </w:rPr>
        <w:t>年外币兑换金额为</w:t>
      </w:r>
      <w:r>
        <w:rPr>
          <w:rFonts w:ascii="Times New Roman" w:hAnsi="Times New Roman" w:cs="Times New Roman" w:eastAsia="Times New Roman" w:hint="default"/>
          <w:spacing w:val="-2"/>
        </w:rPr>
        <w:t>12,644.00</w:t>
      </w:r>
      <w:r>
        <w:rPr>
          <w:spacing w:val="-2"/>
        </w:rPr>
        <w:t>万元，较</w:t>
      </w:r>
      <w:r>
        <w:rPr>
          <w:rFonts w:ascii="Times New Roman" w:hAnsi="Times New Roman" w:cs="Times New Roman" w:eastAsia="Times New Roman" w:hint="default"/>
          <w:spacing w:val="-2"/>
        </w:rPr>
        <w:t>2014</w:t>
      </w:r>
      <w:r>
        <w:rPr>
          <w:spacing w:val="-2"/>
        </w:rPr>
        <w:t>年增长超过</w:t>
      </w:r>
      <w:r>
        <w:rPr>
          <w:rFonts w:ascii="Times New Roman" w:hAnsi="Times New Roman" w:cs="Times New Roman" w:eastAsia="Times New Roman" w:hint="default"/>
          <w:spacing w:val="-2"/>
        </w:rPr>
        <w:t>400%</w:t>
      </w:r>
      <w:r>
        <w:rPr>
          <w:spacing w:val="-2"/>
        </w:rPr>
        <w:t>。业务快速增长主</w:t>
      </w:r>
      <w:r>
        <w:rPr>
          <w:spacing w:val="-98"/>
        </w:rPr>
        <w:t> </w:t>
      </w:r>
      <w:r>
        <w:rPr>
          <w:spacing w:val="-98"/>
        </w:rPr>
      </w:r>
      <w:r>
        <w:rPr>
          <w:spacing w:val="-1"/>
        </w:rPr>
        <w:t>要原因为丰富和优化钞源，可供兑换币种增加至</w:t>
      </w:r>
      <w:r>
        <w:rPr>
          <w:rFonts w:ascii="Times New Roman" w:hAnsi="Times New Roman" w:cs="Times New Roman" w:eastAsia="Times New Roman" w:hint="default"/>
          <w:spacing w:val="-1"/>
        </w:rPr>
        <w:t>16</w:t>
      </w:r>
      <w:r>
        <w:rPr>
          <w:spacing w:val="-1"/>
        </w:rPr>
        <w:t>个，优化欧元、日元、韩币、泰铢等需求量大的钞源成</w:t>
      </w:r>
      <w:r>
        <w:rPr>
          <w:spacing w:val="-84"/>
        </w:rPr>
        <w:t> </w:t>
      </w:r>
      <w:r>
        <w:rPr>
          <w:spacing w:val="-84"/>
        </w:rPr>
      </w:r>
      <w:r>
        <w:rPr>
          <w:spacing w:val="-1"/>
        </w:rPr>
        <w:t>本，确保钞源足量供应，充分利用众信旅游的销售渠道向客户推广兑换服务，客户知晓度和认可度得以大</w:t>
      </w:r>
      <w:r>
        <w:rPr>
          <w:spacing w:val="-83"/>
        </w:rPr>
        <w:t> </w:t>
      </w:r>
      <w:r>
        <w:rPr>
          <w:spacing w:val="-83"/>
        </w:rPr>
      </w:r>
      <w:r>
        <w:rPr/>
        <w:t>幅提升。</w:t>
      </w:r>
      <w:r>
        <w:rPr>
          <w:rFonts w:ascii="Times New Roman" w:hAnsi="Times New Roman" w:cs="Times New Roman" w:eastAsia="Times New Roman" w:hint="default"/>
        </w:rPr>
        <w:t>2015</w:t>
      </w:r>
      <w:r>
        <w:rPr/>
        <w:t>年，开设货币兑换网点</w:t>
      </w:r>
      <w:r>
        <w:rPr>
          <w:rFonts w:ascii="Times New Roman" w:hAnsi="Times New Roman" w:cs="Times New Roman" w:eastAsia="Times New Roman" w:hint="default"/>
        </w:rPr>
        <w:t>5</w:t>
      </w:r>
      <w:r>
        <w:rPr/>
        <w:t>个，均在众信旅游门店开设，货币兑换公司已经具备了申请全国性 </w:t>
      </w:r>
      <w:r>
        <w:rPr>
          <w:spacing w:val="-1"/>
        </w:rPr>
        <w:t>货币兑换牌照的资格。未来线上下单、线下取钞的</w:t>
      </w:r>
      <w:r>
        <w:rPr>
          <w:rFonts w:ascii="Times New Roman" w:hAnsi="Times New Roman" w:cs="Times New Roman" w:eastAsia="Times New Roman" w:hint="default"/>
          <w:spacing w:val="-1"/>
        </w:rPr>
        <w:t>O2O</w:t>
      </w:r>
      <w:r>
        <w:rPr>
          <w:spacing w:val="-1"/>
        </w:rPr>
        <w:t>系统开发完成，互联网兑换的新模式将成为悠联货</w:t>
      </w:r>
      <w:r>
        <w:rPr>
          <w:spacing w:val="-73"/>
        </w:rPr>
        <w:t> </w:t>
      </w:r>
      <w:r>
        <w:rPr>
          <w:spacing w:val="-73"/>
        </w:rPr>
      </w:r>
      <w:r>
        <w:rPr/>
        <w:t>币快速发展的强劲支撑。</w:t>
      </w:r>
    </w:p>
    <w:p>
      <w:pPr>
        <w:pStyle w:val="BodyText"/>
        <w:spacing w:line="386" w:lineRule="auto" w:before="61"/>
        <w:ind w:left="153" w:right="148" w:firstLine="538"/>
        <w:jc w:val="left"/>
      </w:pPr>
      <w:r>
        <w:rPr>
          <w:spacing w:val="-2"/>
        </w:rPr>
        <w:t>广州优贷小贷公司累计放贷金额达</w:t>
      </w:r>
      <w:r>
        <w:rPr>
          <w:rFonts w:ascii="Times New Roman" w:hAnsi="Times New Roman" w:cs="Times New Roman" w:eastAsia="Times New Roman" w:hint="default"/>
          <w:spacing w:val="-2"/>
        </w:rPr>
        <w:t>8830</w:t>
      </w:r>
      <w:r>
        <w:rPr>
          <w:spacing w:val="-2"/>
        </w:rPr>
        <w:t>万元，占注册资本的</w:t>
      </w:r>
      <w:r>
        <w:rPr>
          <w:rFonts w:ascii="Times New Roman" w:hAnsi="Times New Roman" w:cs="Times New Roman" w:eastAsia="Times New Roman" w:hint="default"/>
          <w:spacing w:val="-2"/>
        </w:rPr>
        <w:t>88.3%</w:t>
      </w:r>
      <w:r>
        <w:rPr>
          <w:spacing w:val="-2"/>
        </w:rPr>
        <w:t>，主要客户为旅游产业链上下游企</w:t>
      </w:r>
      <w:r>
        <w:rPr/>
        <w:t> 业，小贷业务的快速增长反映出旅游产业供应链金融和消费金融需求的旺盛。</w:t>
      </w:r>
    </w:p>
    <w:p>
      <w:pPr>
        <w:spacing w:line="240" w:lineRule="auto" w:before="3"/>
        <w:rPr>
          <w:rFonts w:ascii="宋体" w:hAnsi="宋体" w:cs="宋体" w:eastAsia="宋体" w:hint="default"/>
          <w:sz w:val="20"/>
          <w:szCs w:val="20"/>
        </w:rPr>
      </w:pPr>
    </w:p>
    <w:p>
      <w:pPr>
        <w:pStyle w:val="Heading2"/>
        <w:spacing w:line="240" w:lineRule="auto"/>
        <w:ind w:right="148"/>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48"/>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8,370,070,679.70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4,217,003,082.71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8,365,157,023.93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4,216,560,176.53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4,913,655.77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442,906.18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1,009.41%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5,843,623,247.88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2,520,785,703.02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1,649,687,645.00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1,014,200,066.58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808,321,530.53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681,574,406.93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其他旅游业务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63,524,600.52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4,913,655.77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442,906.18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1,009.41%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3,718,117,336.89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2,090,062,441.73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508,335,652.48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244,300,761.06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853,121,186.90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355,520,732.96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245,415,774.85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116,437,475.56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2,334,271,359.02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1,116,816,552.09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523,222,667.06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245,901,578.67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130,637,917.83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47,963,540.64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56,948,784.67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8,365,157,023.93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7,603,576,263.13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5,843,560,689.27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5,422,936,939.62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1,649,687,645.00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1,397,538,030.87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808,321,530.53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743,193,953.60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3,718,117,336.89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3,306,336,955.07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2,334,271,359.02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2,188,668,029.31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853,121,186.90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785,195,317.90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7,603,576,263.13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3,846,891,116.11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181,811.23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-30.25%</w:t>
            </w:r>
          </w:p>
        </w:tc>
      </w:tr>
    </w:tbl>
    <w:p>
      <w:pPr>
        <w:spacing w:line="240" w:lineRule="auto" w:before="6"/>
        <w:rPr>
          <w:rFonts w:ascii="宋体" w:hAnsi="宋体" w:cs="宋体" w:eastAsia="宋体" w:hint="default"/>
          <w:sz w:val="27"/>
          <w:szCs w:val="2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5,422,936,939.62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2,326,506,109.41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1,397,538,030.87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892,234,104.46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商务会奖旅游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743,193,953.60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628,150,902.24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其他旅游业务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39,907,339.04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181,811.23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-30.25%</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19" w:lineRule="auto"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pacing w:val="-2"/>
          <w:sz w:val="18"/>
          <w:szCs w:val="18"/>
        </w:rPr>
        <w:t>报告期内，公司完成对竹园国旅、北京开元的非同一控制下企业合并，新设子公司</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家，并将众信商务股权出售给优逸文商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4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1"/>
        <w:gridCol w:w="5456"/>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1,215,214,635.96</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14.52%</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546,682,223.23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249,064,576.23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211,097,182.30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106,105,039.86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102,265,614.34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1,215,214,635.96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11"/>
        <w:gridCol w:w="5456"/>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1,254,209,782.80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479,404,397.51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227,005,516.82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203,943,644.55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200,653,975.21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143,202,248.71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1,254,209,782.80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3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367,013,733.44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187,825,001.44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主要为本期销售人员增长，相关人员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薪酬及办公费增长，及本期对竹园国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旅、北京开元的非同一控制下企业合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并带来的增长</w:t>
            </w:r>
          </w:p>
        </w:tc>
      </w:tr>
      <w:tr>
        <w:trPr>
          <w:trHeight w:val="133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90,072,297.38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37,190,750.10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142.19%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主要为本期管理人员增长，相关人员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薪酬及办公费增长，及本期对竹园国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旅、北京开元的非同一控制下企业合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并带来的增长</w:t>
            </w:r>
          </w:p>
        </w:tc>
      </w:tr>
      <w:tr>
        <w:trPr>
          <w:trHeight w:val="67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3,715,177.21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9" w:right="0"/>
              <w:jc w:val="left"/>
              <w:rPr>
                <w:rFonts w:ascii="Times New Roman" w:hAnsi="Times New Roman" w:cs="Times New Roman" w:eastAsia="Times New Roman" w:hint="default"/>
                <w:sz w:val="18"/>
                <w:szCs w:val="18"/>
              </w:rPr>
            </w:pPr>
            <w:r>
              <w:rPr>
                <w:rFonts w:ascii="Times New Roman"/>
                <w:sz w:val="18"/>
              </w:rPr>
              <w:t>-24,493,161.98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-115.17%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主要为本期利息支出和金融机构手 续费有所增长，以及本期对竹园国</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67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旅、北京开元的非同一控制下企业合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并带来的增长</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214"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660"/>
        <w:gridCol w:w="2230"/>
        <w:gridCol w:w="2339"/>
        <w:gridCol w:w="2339"/>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8,290,070,169.10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4,285,144,442.16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93.46%</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8,277,562,711.42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4,215,688,809.76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96.35%</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12,507,457.68</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69,455,632.40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-81.99%</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95,562.22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258,000.00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-62.96%</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246,280,936.44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111,503,977.61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120.87%</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-246,185,374.22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-111,245,977.61</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121.30%</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1,192,318,055.39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345,840,579.72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244.76%</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419,447,008.44</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162,104,343.00</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158.75%</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772,871,046.95</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183,736,236.72</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320.64%</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542,836,001.19</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142,240,418.17</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281.63%</w:t>
            </w:r>
          </w:p>
        </w:tc>
      </w:tr>
    </w:tbl>
    <w:p>
      <w:pPr>
        <w:spacing w:before="88"/>
        <w:ind w:left="21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240" w:lineRule="auto" w:before="10"/>
        <w:rPr>
          <w:rFonts w:ascii="宋体" w:hAnsi="宋体" w:cs="宋体" w:eastAsia="宋体" w:hint="default"/>
          <w:sz w:val="17"/>
          <w:szCs w:val="17"/>
        </w:rPr>
      </w:pPr>
    </w:p>
    <w:p>
      <w:pPr>
        <w:spacing w:before="0"/>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z w:val="18"/>
          <w:szCs w:val="18"/>
        </w:rPr>
        <w:t>经营活动产生的现金流量净额较上年同期减少</w:t>
      </w:r>
      <w:r>
        <w:rPr>
          <w:rFonts w:ascii="Times New Roman" w:hAnsi="Times New Roman" w:cs="Times New Roman" w:eastAsia="Times New Roman" w:hint="default"/>
          <w:sz w:val="18"/>
          <w:szCs w:val="18"/>
        </w:rPr>
        <w:t>81.99%</w:t>
      </w:r>
      <w:r>
        <w:rPr>
          <w:rFonts w:ascii="宋体" w:hAnsi="宋体" w:cs="宋体" w:eastAsia="宋体" w:hint="default"/>
          <w:sz w:val="18"/>
          <w:szCs w:val="18"/>
        </w:rPr>
        <w:t>，主要原因为报告期公司开展小额贷款业务贷出款项所致；</w:t>
      </w:r>
    </w:p>
    <w:p>
      <w:pPr>
        <w:spacing w:line="240" w:lineRule="auto" w:before="9"/>
        <w:rPr>
          <w:rFonts w:ascii="宋体" w:hAnsi="宋体" w:cs="宋体" w:eastAsia="宋体" w:hint="default"/>
          <w:sz w:val="16"/>
          <w:szCs w:val="16"/>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投资活动产生的现金流量净额较上年同期减少</w:t>
      </w:r>
      <w:r>
        <w:rPr>
          <w:rFonts w:ascii="Times New Roman" w:hAnsi="Times New Roman" w:cs="Times New Roman" w:eastAsia="Times New Roman" w:hint="default"/>
          <w:sz w:val="18"/>
          <w:szCs w:val="18"/>
        </w:rPr>
        <w:t>121.3%</w:t>
      </w:r>
      <w:r>
        <w:rPr>
          <w:rFonts w:ascii="宋体" w:hAnsi="宋体" w:cs="宋体" w:eastAsia="宋体" w:hint="default"/>
          <w:sz w:val="18"/>
          <w:szCs w:val="18"/>
        </w:rPr>
        <w:t>，主要原因为报告期对外投资增加所致；</w:t>
      </w:r>
    </w:p>
    <w:p>
      <w:pPr>
        <w:spacing w:line="240" w:lineRule="auto" w:before="9"/>
        <w:rPr>
          <w:rFonts w:ascii="宋体" w:hAnsi="宋体" w:cs="宋体" w:eastAsia="宋体" w:hint="default"/>
          <w:sz w:val="16"/>
          <w:szCs w:val="16"/>
        </w:rPr>
      </w:pPr>
    </w:p>
    <w:p>
      <w:pPr>
        <w:spacing w:line="451" w:lineRule="auto" w:before="0"/>
        <w:ind w:left="214" w:right="158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筹资活动产生的现金流量净额较上年同期增加</w:t>
      </w:r>
      <w:r>
        <w:rPr>
          <w:rFonts w:ascii="Times New Roman" w:hAnsi="Times New Roman" w:cs="Times New Roman" w:eastAsia="Times New Roman" w:hint="default"/>
          <w:sz w:val="18"/>
          <w:szCs w:val="18"/>
        </w:rPr>
        <w:t>320.64%</w:t>
      </w:r>
      <w:r>
        <w:rPr>
          <w:rFonts w:ascii="宋体" w:hAnsi="宋体" w:cs="宋体" w:eastAsia="宋体" w:hint="default"/>
          <w:sz w:val="18"/>
          <w:szCs w:val="18"/>
        </w:rPr>
        <w:t>，主要原因为报告期向银行贷款增加所致； 报告期内公司经营活动产生的现金净流量与本年度净利润存在重大差异的原因说明</w:t>
      </w:r>
    </w:p>
    <w:p>
      <w:pPr>
        <w:spacing w:line="451" w:lineRule="auto" w:before="74"/>
        <w:ind w:left="214" w:right="38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报告期内公司经营活动产生的现金流量净额与本年度净利润的差异原因为：</w:t>
      </w:r>
    </w:p>
    <w:p>
      <w:pPr>
        <w:spacing w:before="74"/>
        <w:ind w:left="2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小额贷款业务贷出款项；</w:t>
      </w:r>
    </w:p>
    <w:p>
      <w:pPr>
        <w:spacing w:line="240" w:lineRule="auto" w:before="9"/>
        <w:rPr>
          <w:rFonts w:ascii="宋体" w:hAnsi="宋体" w:cs="宋体" w:eastAsia="宋体" w:hint="default"/>
          <w:sz w:val="16"/>
          <w:szCs w:val="16"/>
        </w:rPr>
      </w:pPr>
    </w:p>
    <w:p>
      <w:pPr>
        <w:spacing w:line="451" w:lineRule="auto" w:before="0"/>
        <w:ind w:left="214" w:right="13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33"/>
          <w:sz w:val="18"/>
          <w:szCs w:val="18"/>
        </w:rPr>
        <w:t> </w:t>
      </w:r>
      <w:r>
        <w:rPr>
          <w:rFonts w:ascii="宋体" w:hAnsi="宋体" w:cs="宋体" w:eastAsia="宋体" w:hint="default"/>
          <w:spacing w:val="-1"/>
          <w:sz w:val="18"/>
          <w:szCs w:val="18"/>
        </w:rPr>
        <w:t>公司收入规模增长，特别是出境游批发业务增长较多，形成一定的应收账款，使得销售商品提供劳务收到的现金小于</w:t>
      </w:r>
      <w:r>
        <w:rPr>
          <w:rFonts w:ascii="宋体" w:hAnsi="宋体" w:cs="宋体" w:eastAsia="宋体" w:hint="default"/>
          <w:sz w:val="18"/>
          <w:szCs w:val="18"/>
        </w:rPr>
        <w:t> 营业收入；</w:t>
      </w:r>
    </w:p>
    <w:p>
      <w:pPr>
        <w:spacing w:line="451" w:lineRule="auto" w:before="74"/>
        <w:ind w:left="214" w:right="168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根据销售计划，公司为了保障资源的供应和有效控制成本，公司支付了较多的预付款项和押金；</w:t>
      </w:r>
      <w:r>
        <w:rPr>
          <w:rFonts w:ascii="宋体" w:hAnsi="宋体" w:cs="宋体" w:eastAsia="宋体" w:hint="default"/>
          <w:sz w:val="18"/>
          <w:szCs w:val="18"/>
        </w:rPr>
        <w:t> 综上原因，报告期内公司经营活动产生的现金流量净额小于本年度净利润。</w:t>
      </w:r>
    </w:p>
    <w:p>
      <w:pPr>
        <w:spacing w:after="0" w:line="451" w:lineRule="auto"/>
        <w:jc w:val="left"/>
        <w:rPr>
          <w:rFonts w:ascii="宋体" w:hAnsi="宋体" w:cs="宋体" w:eastAsia="宋体" w:hint="default"/>
          <w:sz w:val="18"/>
          <w:szCs w:val="18"/>
        </w:rPr>
        <w:sectPr>
          <w:pgSz w:w="11910" w:h="16840"/>
          <w:pgMar w:header="877" w:footer="982" w:top="1100" w:bottom="1180" w:left="920" w:right="980"/>
        </w:sectPr>
      </w:pPr>
    </w:p>
    <w:p>
      <w:pPr>
        <w:spacing w:line="240" w:lineRule="auto" w:before="9"/>
        <w:rPr>
          <w:rFonts w:ascii="宋体" w:hAnsi="宋体" w:cs="宋体" w:eastAsia="宋体" w:hint="default"/>
          <w:sz w:val="19"/>
          <w:szCs w:val="19"/>
        </w:rPr>
      </w:pPr>
    </w:p>
    <w:p>
      <w:pPr>
        <w:pStyle w:val="Heading2"/>
        <w:spacing w:line="240" w:lineRule="auto" w:before="26"/>
        <w:ind w:left="214"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23"/>
        <w:gridCol w:w="1916"/>
        <w:gridCol w:w="1622"/>
        <w:gridCol w:w="2452"/>
        <w:gridCol w:w="2056"/>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BFBFBF"/>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5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-1,760.12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2452"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7,674,473.65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2.98%</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计提坏账准备和贷款减值准 备</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4,374,385.87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1.70%</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主要为政府补助和非流动资 产处置利得</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783,776.17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0.30%</w:t>
            </w:r>
          </w:p>
        </w:tc>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主要为对外捐赠和非流动资 产处置损失</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214" w:right="0"/>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4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60"/>
        <w:gridCol w:w="1384"/>
        <w:gridCol w:w="992"/>
        <w:gridCol w:w="1417"/>
        <w:gridCol w:w="992"/>
        <w:gridCol w:w="851"/>
        <w:gridCol w:w="2834"/>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BFBFBF"/>
          </w:tcPr>
          <w:p>
            <w:pPr/>
          </w:p>
        </w:tc>
        <w:tc>
          <w:tcPr>
            <w:tcW w:w="2376"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29" w:right="149"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34"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BFBFBF"/>
          </w:tcPr>
          <w:p>
            <w:pPr/>
          </w:p>
        </w:tc>
        <w:tc>
          <w:tcPr>
            <w:tcW w:w="138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310" w:right="13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311" w:right="12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1" w:type="dxa"/>
            <w:vMerge/>
            <w:tcBorders>
              <w:left w:val="single" w:sz="4" w:space="0" w:color="000000"/>
              <w:bottom w:val="single" w:sz="4" w:space="0" w:color="000000"/>
              <w:right w:val="single" w:sz="4" w:space="0" w:color="000000"/>
            </w:tcBorders>
            <w:shd w:val="clear" w:color="auto" w:fill="BFBFBF"/>
          </w:tcPr>
          <w:p>
            <w:pPr/>
          </w:p>
        </w:tc>
        <w:tc>
          <w:tcPr>
            <w:tcW w:w="2834" w:type="dxa"/>
            <w:vMerge/>
            <w:tcBorders>
              <w:left w:val="single" w:sz="4" w:space="0" w:color="000000"/>
              <w:bottom w:val="single" w:sz="4" w:space="0" w:color="000000"/>
              <w:right w:val="single" w:sz="4" w:space="0" w:color="000000"/>
            </w:tcBorders>
            <w:shd w:val="clear" w:color="auto" w:fill="BFBFBF"/>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960,400,494.97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414,441,501.86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-8.82%</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报告期新增银行贷款较多，以及发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行股份收到资金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451,180,853.05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164,709,596.59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-1.34%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公司业务增长，及与竹园国旅的企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业合并带来的增长</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370,282.61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432,960.45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-0.03%</w:t>
            </w: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37,391,989.88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1.16%</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1.16%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对众信天益等投资</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10,593,742.50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6,156,918.50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-0.24%</w:t>
            </w:r>
          </w:p>
        </w:tc>
        <w:tc>
          <w:tcPr>
            <w:tcW w:w="28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6,119,000.00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18.70%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报告期末银行借款余额较大</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479,032,431.96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219,464,300.02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-5.58%</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公司业务增长，及与竹园国旅的企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业合并带来的增长</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244,422,594.52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132,772,180.53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-4.78%</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公司业务增长，及与竹园国旅的企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业合并带来的增长</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86,975,500.00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center"/>
              <w:rPr>
                <w:rFonts w:ascii="Times New Roman" w:hAnsi="Times New Roman" w:cs="Times New Roman" w:eastAsia="Times New Roman" w:hint="default"/>
                <w:sz w:val="18"/>
                <w:szCs w:val="18"/>
              </w:rPr>
            </w:pPr>
            <w:r>
              <w:rPr>
                <w:rFonts w:ascii="Times New Roman"/>
                <w:sz w:val="18"/>
              </w:rPr>
              <w:t>2.70%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报告期内开展小贷业务产生</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241,141,400.00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7.40%</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报告期对外投资金额较大</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547,447,315.74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2,874,162.87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16.74%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both"/>
              <w:rPr>
                <w:rFonts w:ascii="宋体" w:hAnsi="宋体" w:cs="宋体" w:eastAsia="宋体" w:hint="default"/>
                <w:sz w:val="18"/>
                <w:szCs w:val="18"/>
              </w:rPr>
            </w:pPr>
            <w:r>
              <w:rPr>
                <w:rFonts w:ascii="宋体" w:hAnsi="宋体" w:cs="宋体" w:eastAsia="宋体" w:hint="default"/>
                <w:sz w:val="18"/>
                <w:szCs w:val="18"/>
              </w:rPr>
              <w:t>报告期因对竹园国旅和北京开元 等公司进行非同一控制下企业合 同，因而形成商誉</w:t>
            </w:r>
          </w:p>
        </w:tc>
      </w:tr>
    </w:tbl>
    <w:p>
      <w:pPr>
        <w:spacing w:after="0" w:line="316" w:lineRule="auto"/>
        <w:jc w:val="both"/>
        <w:rPr>
          <w:rFonts w:ascii="宋体" w:hAnsi="宋体" w:cs="宋体" w:eastAsia="宋体" w:hint="default"/>
          <w:sz w:val="18"/>
          <w:szCs w:val="18"/>
        </w:rPr>
        <w:sectPr>
          <w:pgSz w:w="11910" w:h="16840"/>
          <w:pgMar w:header="877" w:footer="982" w:top="1100" w:bottom="1180" w:left="920" w:right="72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560"/>
        <w:gridCol w:w="1384"/>
        <w:gridCol w:w="992"/>
        <w:gridCol w:w="1417"/>
        <w:gridCol w:w="992"/>
        <w:gridCol w:w="851"/>
        <w:gridCol w:w="2834"/>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109,268,483.58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72,482,439.15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-3.36%</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与竹园国旅的企业合并带来的增 长</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474,619,914.82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201,750,543.02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-4.07%</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公司业务增长，及与竹园国旅的企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业合并带来的增长</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325,129,304.43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219,175,503.46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-10.34%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公司业务增长，及与竹园国旅的企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业合并带来的增长</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214"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277,196,347.84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27,619.63%</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4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654"/>
        <w:gridCol w:w="652"/>
        <w:gridCol w:w="623"/>
        <w:gridCol w:w="1298"/>
        <w:gridCol w:w="601"/>
        <w:gridCol w:w="677"/>
        <w:gridCol w:w="618"/>
        <w:gridCol w:w="547"/>
        <w:gridCol w:w="688"/>
        <w:gridCol w:w="592"/>
        <w:gridCol w:w="592"/>
        <w:gridCol w:w="539"/>
        <w:gridCol w:w="568"/>
        <w:gridCol w:w="709"/>
        <w:gridCol w:w="709"/>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1" w:right="140"/>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0" w:right="13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2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6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5" w:right="11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7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3" w:right="15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122"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4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8" w:right="176"/>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6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8" w:right="15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9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9" w:lineRule="auto" w:before="51"/>
              <w:ind w:left="109" w:right="110"/>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0"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3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3" w:right="173"/>
              <w:jc w:val="both"/>
              <w:rPr>
                <w:rFonts w:ascii="宋体" w:hAnsi="宋体" w:cs="宋体" w:eastAsia="宋体" w:hint="default"/>
                <w:sz w:val="18"/>
                <w:szCs w:val="18"/>
              </w:rPr>
            </w:pPr>
            <w:r>
              <w:rPr>
                <w:rFonts w:ascii="宋体" w:hAnsi="宋体" w:cs="宋体" w:eastAsia="宋体" w:hint="default"/>
                <w:sz w:val="18"/>
                <w:szCs w:val="18"/>
              </w:rPr>
              <w:t>本 期 投 资 盈 亏</w:t>
            </w:r>
          </w:p>
        </w:tc>
        <w:tc>
          <w:tcPr>
            <w:tcW w:w="56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8" w:right="18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70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9" w:right="16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69" w:right="168"/>
              <w:jc w:val="left"/>
              <w:rPr>
                <w:rFonts w:ascii="宋体" w:hAnsi="宋体" w:cs="宋体" w:eastAsia="宋体" w:hint="default"/>
                <w:sz w:val="18"/>
                <w:szCs w:val="18"/>
              </w:rPr>
            </w:pPr>
            <w:r>
              <w:rPr>
                <w:rFonts w:ascii="宋体" w:hAnsi="宋体" w:cs="宋体" w:eastAsia="宋体" w:hint="default"/>
                <w:sz w:val="18"/>
                <w:szCs w:val="18"/>
              </w:rPr>
              <w:t>（如 有）</w:t>
            </w:r>
          </w:p>
        </w:tc>
        <w:tc>
          <w:tcPr>
            <w:tcW w:w="70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9" w:right="168"/>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69" w:right="168"/>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88"/>
              <w:jc w:val="left"/>
              <w:rPr>
                <w:rFonts w:ascii="Times New Roman" w:hAnsi="Times New Roman" w:cs="Times New Roman" w:eastAsia="Times New Roman" w:hint="default"/>
                <w:sz w:val="18"/>
                <w:szCs w:val="18"/>
              </w:rPr>
            </w:pPr>
            <w:r>
              <w:rPr>
                <w:rFonts w:ascii="Times New Roman"/>
                <w:sz w:val="18"/>
              </w:rPr>
              <w:t>Club Med</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度假 村业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其他</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86,552,400.00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1.73</w:t>
            </w:r>
          </w:p>
          <w:p>
            <w:pPr>
              <w:pStyle w:val="TableParagraph"/>
              <w:spacing w:line="240" w:lineRule="auto" w:before="106"/>
              <w:ind w:left="235" w:right="0"/>
              <w:jc w:val="center"/>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复星 国际</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长 期</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2"/>
              <w:jc w:val="both"/>
              <w:rPr>
                <w:rFonts w:ascii="宋体" w:hAnsi="宋体" w:cs="宋体" w:eastAsia="宋体" w:hint="default"/>
                <w:sz w:val="18"/>
                <w:szCs w:val="18"/>
              </w:rPr>
            </w:pPr>
            <w:r>
              <w:rPr>
                <w:rFonts w:ascii="宋体" w:hAnsi="宋体" w:cs="宋体" w:eastAsia="宋体" w:hint="default"/>
                <w:sz w:val="18"/>
                <w:szCs w:val="18"/>
              </w:rPr>
              <w:t>度假 村业 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完成</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对外 投资 进展 公告</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（四）</w:t>
            </w:r>
          </w:p>
        </w:tc>
      </w:tr>
      <w:tr>
        <w:trPr>
          <w:trHeight w:val="40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86,552,400.00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20" w:right="700"/>
        </w:sectPr>
      </w:pPr>
    </w:p>
    <w:p>
      <w:pPr>
        <w:spacing w:line="240" w:lineRule="auto" w:before="9"/>
        <w:rPr>
          <w:rFonts w:ascii="宋体" w:hAnsi="宋体" w:cs="宋体" w:eastAsia="宋体" w:hint="default"/>
          <w:sz w:val="20"/>
          <w:szCs w:val="20"/>
        </w:rPr>
      </w:pPr>
    </w:p>
    <w:p>
      <w:pPr>
        <w:pStyle w:val="Heading3"/>
        <w:spacing w:line="240" w:lineRule="auto" w:before="35"/>
        <w:ind w:right="14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14,921.53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4,729.02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10,665.55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4,429.36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存放在募 集资金专 用账户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20,250.00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15,346.06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15,346.06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4,986.98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存放在募 集资金专 用账户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35,171.53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20,075.08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26,011.61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9,416.34</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74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51"/>
                <w:sz w:val="18"/>
                <w:szCs w:val="18"/>
              </w:rPr>
              <w:t>、</w:t>
            </w:r>
            <w:r>
              <w:rPr>
                <w:rFonts w:ascii="宋体" w:hAnsi="宋体" w:cs="宋体" w:eastAsia="宋体" w:hint="default"/>
                <w:sz w:val="18"/>
                <w:szCs w:val="18"/>
              </w:rPr>
              <w:t>经中国证券监督管理委员</w:t>
            </w:r>
            <w:r>
              <w:rPr>
                <w:rFonts w:ascii="宋体" w:hAnsi="宋体" w:cs="宋体" w:eastAsia="宋体" w:hint="default"/>
                <w:spacing w:val="-51"/>
                <w:sz w:val="18"/>
                <w:szCs w:val="18"/>
              </w:rPr>
              <w:t>会</w:t>
            </w:r>
            <w:r>
              <w:rPr>
                <w:rFonts w:ascii="宋体" w:hAnsi="宋体" w:cs="宋体" w:eastAsia="宋体" w:hint="default"/>
                <w:sz w:val="18"/>
                <w:szCs w:val="18"/>
              </w:rPr>
              <w:t>《关于核准北京众信国际旅行股份有限公司首次公开发行股票的批复</w:t>
            </w:r>
            <w:r>
              <w:rPr>
                <w:rFonts w:ascii="宋体" w:hAnsi="宋体" w:cs="宋体" w:eastAsia="宋体" w:hint="default"/>
                <w:spacing w:val="-141"/>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1661</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号）核准并经深圳证券交易所同意，公司公开发行新股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元，募集资金总额为人民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168,763,500.00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元，扣除公司公开发行新股分摊的发行费用人民币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19,605,676.39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元，公司实际募集资金净额为人民币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149,157,823.61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元。以上募集资金已由北京中证天通会计师事务所（特殊普通合伙）于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日出具的中证天通</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验字第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号《验资报告》验证确认。此次公司公开发行新股实际募集资金净额比公司募集资金投资计划金额</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149,215,300.00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57,476.39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元，该部分资金由公司以自有资金补足。</w:t>
            </w:r>
          </w:p>
          <w:p>
            <w:pPr>
              <w:pStyle w:val="TableParagraph"/>
              <w:spacing w:line="300" w:lineRule="auto" w:before="10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、经中国证券监督管理委员会《关于核准北京众信国际旅行社股份有限公司向郭洪斌等发行股份购买资产并募集配套资 </w:t>
            </w:r>
            <w:r>
              <w:rPr>
                <w:rFonts w:ascii="宋体" w:hAnsi="宋体" w:cs="宋体" w:eastAsia="宋体" w:hint="default"/>
                <w:spacing w:val="-5"/>
                <w:sz w:val="18"/>
                <w:szCs w:val="18"/>
              </w:rPr>
              <w:t>金的批复》（证监许可</w:t>
            </w:r>
            <w:r>
              <w:rPr>
                <w:rFonts w:ascii="Times New Roman" w:hAnsi="Times New Roman" w:cs="Times New Roman" w:eastAsia="Times New Roman" w:hint="default"/>
                <w:spacing w:val="-5"/>
                <w:sz w:val="18"/>
                <w:szCs w:val="18"/>
              </w:rPr>
              <w:t>[2015]354</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号）核准，向九泰基金管理有限公司、深圳前海瑞联一号投资中心（有限合伙）、冯滨和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白斌非公开发行 </w:t>
            </w:r>
            <w:r>
              <w:rPr>
                <w:rFonts w:ascii="Times New Roman" w:hAnsi="Times New Roman" w:cs="Times New Roman" w:eastAsia="Times New Roman" w:hint="default"/>
                <w:sz w:val="18"/>
                <w:szCs w:val="18"/>
              </w:rPr>
              <w:t>2,574,791 </w:t>
            </w:r>
            <w:r>
              <w:rPr>
                <w:rFonts w:ascii="宋体" w:hAnsi="宋体" w:cs="宋体" w:eastAsia="宋体" w:hint="default"/>
                <w:spacing w:val="-1"/>
                <w:sz w:val="18"/>
                <w:szCs w:val="18"/>
              </w:rPr>
              <w:t>股人民币普通股（</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股），发行价格为</w:t>
            </w:r>
            <w:r>
              <w:rPr>
                <w:rFonts w:ascii="宋体" w:hAnsi="宋体" w:cs="宋体" w:eastAsia="宋体" w:hint="default"/>
                <w:sz w:val="18"/>
                <w:szCs w:val="18"/>
              </w:rPr>
              <w:t> </w:t>
            </w:r>
            <w:r>
              <w:rPr>
                <w:rFonts w:ascii="Times New Roman" w:hAnsi="Times New Roman" w:cs="Times New Roman" w:eastAsia="Times New Roman" w:hint="default"/>
                <w:sz w:val="18"/>
                <w:szCs w:val="18"/>
              </w:rPr>
              <w:t>81.56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股，募集资金总额为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209,999,953.96</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元，扣除</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发行费用 </w:t>
            </w:r>
            <w:r>
              <w:rPr>
                <w:rFonts w:ascii="Times New Roman" w:hAnsi="Times New Roman" w:cs="Times New Roman" w:eastAsia="Times New Roman" w:hint="default"/>
                <w:sz w:val="18"/>
                <w:szCs w:val="18"/>
              </w:rPr>
              <w:t>120  </w:t>
            </w:r>
            <w:r>
              <w:rPr>
                <w:rFonts w:ascii="宋体" w:hAnsi="宋体" w:cs="宋体" w:eastAsia="宋体" w:hint="default"/>
                <w:sz w:val="18"/>
                <w:szCs w:val="18"/>
              </w:rPr>
              <w:t>万元，公司实际募集资金净额为人民币 </w:t>
            </w:r>
            <w:r>
              <w:rPr>
                <w:rFonts w:ascii="Times New Roman" w:hAnsi="Times New Roman" w:cs="Times New Roman" w:eastAsia="Times New Roman" w:hint="default"/>
                <w:sz w:val="18"/>
                <w:szCs w:val="18"/>
              </w:rPr>
              <w:t>208,799,953.96 </w:t>
            </w:r>
            <w:r>
              <w:rPr>
                <w:rFonts w:ascii="宋体" w:hAnsi="宋体" w:cs="宋体" w:eastAsia="宋体" w:hint="default"/>
                <w:sz w:val="18"/>
                <w:szCs w:val="18"/>
              </w:rPr>
              <w:t>元。截至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Times New Roman" w:hAnsi="Times New Roman" w:cs="Times New Roman" w:eastAsia="Times New Roman" w:hint="default"/>
                <w:sz w:val="18"/>
                <w:szCs w:val="18"/>
              </w:rPr>
              <w:t>208,799,953.96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已经汇入公司在中国民生银行国贸支行开立的账户</w:t>
            </w:r>
            <w:r>
              <w:rPr>
                <w:rFonts w:ascii="宋体" w:hAnsi="宋体" w:cs="宋体" w:eastAsia="宋体" w:hint="default"/>
                <w:spacing w:val="-86"/>
                <w:sz w:val="18"/>
                <w:szCs w:val="18"/>
              </w:rPr>
              <w:t>，</w:t>
            </w:r>
            <w:r>
              <w:rPr>
                <w:rFonts w:ascii="宋体" w:hAnsi="宋体" w:cs="宋体" w:eastAsia="宋体" w:hint="default"/>
                <w:sz w:val="18"/>
                <w:szCs w:val="18"/>
              </w:rPr>
              <w:t>以上募集资金已由北京中证天通会计师事务</w:t>
            </w:r>
            <w:r>
              <w:rPr>
                <w:rFonts w:ascii="宋体" w:hAnsi="宋体" w:cs="宋体" w:eastAsia="宋体" w:hint="default"/>
                <w:spacing w:val="-86"/>
                <w:sz w:val="18"/>
                <w:szCs w:val="18"/>
              </w:rPr>
              <w:t>所</w:t>
            </w:r>
            <w:r>
              <w:rPr>
                <w:rFonts w:ascii="宋体" w:hAnsi="宋体" w:cs="宋体" w:eastAsia="宋体" w:hint="default"/>
                <w:sz w:val="18"/>
                <w:szCs w:val="18"/>
              </w:rPr>
              <w:t>（特殊普通合伙</w:t>
            </w:r>
            <w:r>
              <w:rPr>
                <w:rFonts w:ascii="宋体" w:hAnsi="宋体" w:cs="宋体" w:eastAsia="宋体" w:hint="default"/>
                <w:spacing w:val="-86"/>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日出具的验资报告（中证天通</w:t>
            </w:r>
            <w:r>
              <w:rPr>
                <w:rFonts w:ascii="Times New Roman" w:hAnsi="Times New Roman" w:cs="Times New Roman" w:eastAsia="Times New Roman" w:hint="default"/>
                <w:sz w:val="18"/>
                <w:szCs w:val="18"/>
              </w:rPr>
              <w:t>[2015]</w:t>
            </w:r>
            <w:r>
              <w:rPr>
                <w:rFonts w:ascii="宋体" w:hAnsi="宋体" w:cs="宋体" w:eastAsia="宋体" w:hint="default"/>
                <w:sz w:val="18"/>
                <w:szCs w:val="18"/>
              </w:rPr>
              <w:t>验字 </w:t>
            </w:r>
            <w:r>
              <w:rPr>
                <w:rFonts w:ascii="Times New Roman" w:hAnsi="Times New Roman" w:cs="Times New Roman" w:eastAsia="Times New Roman" w:hint="default"/>
                <w:sz w:val="18"/>
                <w:szCs w:val="18"/>
              </w:rPr>
              <w:t>1-1062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号）进行了审验（此次发行费用总额为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万元，募集资金</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202,499,953.96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、公司上市后，以募集资金置换预先已投入募集资金投资项目实体营销网络建设项目中自筹资金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2,671.33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换以往年度投入金额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，北京中证天通会计师事务所（特殊普通合伙）于</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日出具</w:t>
            </w:r>
            <w:r>
              <w:rPr>
                <w:rFonts w:ascii="宋体" w:hAnsi="宋体" w:cs="宋体" w:eastAsia="宋体" w:hint="default"/>
                <w:spacing w:val="-39"/>
                <w:sz w:val="18"/>
                <w:szCs w:val="18"/>
              </w:rPr>
              <w:t>了</w:t>
            </w:r>
            <w:r>
              <w:rPr>
                <w:rFonts w:ascii="宋体" w:hAnsi="宋体" w:cs="宋体" w:eastAsia="宋体" w:hint="default"/>
                <w:sz w:val="18"/>
                <w:szCs w:val="18"/>
              </w:rPr>
              <w:t>《关于北京众信国际旅行社股份有限公司以自筹资金预先投入募集资金投资项目的鉴证报告</w:t>
            </w:r>
            <w:r>
              <w:rPr>
                <w:rFonts w:ascii="宋体" w:hAnsi="宋体" w:cs="宋体" w:eastAsia="宋体" w:hint="default"/>
                <w:spacing w:val="-129"/>
                <w:sz w:val="18"/>
                <w:szCs w:val="18"/>
              </w:rPr>
              <w:t>》</w:t>
            </w:r>
            <w:r>
              <w:rPr>
                <w:rFonts w:ascii="宋体" w:hAnsi="宋体" w:cs="宋体" w:eastAsia="宋体" w:hint="default"/>
                <w:sz w:val="18"/>
                <w:szCs w:val="18"/>
              </w:rPr>
              <w:t>（中</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证天通</w:t>
            </w:r>
            <w:r>
              <w:rPr>
                <w:rFonts w:ascii="Times New Roman" w:hAnsi="Times New Roman" w:cs="Times New Roman" w:eastAsia="Times New Roman" w:hint="default"/>
                <w:sz w:val="18"/>
                <w:szCs w:val="18"/>
              </w:rPr>
              <w:t>[2014]</w:t>
            </w:r>
            <w:r>
              <w:rPr>
                <w:rFonts w:ascii="宋体" w:hAnsi="宋体" w:cs="宋体" w:eastAsia="宋体" w:hint="default"/>
                <w:sz w:val="18"/>
                <w:szCs w:val="18"/>
              </w:rPr>
              <w:t>审字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1-1054 </w:t>
            </w:r>
            <w:r>
              <w:rPr>
                <w:rFonts w:ascii="宋体" w:hAnsi="宋体" w:cs="宋体" w:eastAsia="宋体" w:hint="default"/>
                <w:spacing w:val="-4"/>
                <w:sz w:val="18"/>
                <w:szCs w:val="18"/>
              </w:rPr>
              <w:t>号）确认了公司以自筹资金预先投入募集项目的资金情况。</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年实际使用募集资金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3,283.97</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年实际使用募集资金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20,075.08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万元，截至报期末，公司已实际累计投入募集资金人民币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26,011.61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万元，尚未</w:t>
            </w:r>
          </w:p>
        </w:tc>
      </w:tr>
    </w:tbl>
    <w:p>
      <w:pPr>
        <w:spacing w:after="0" w:line="24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4"/>
          <w:szCs w:val="24"/>
        </w:rPr>
      </w:pPr>
    </w:p>
    <w:p>
      <w:pPr>
        <w:spacing w:line="362" w:lineRule="exact"/>
        <w:ind w:left="15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2pt;height:18.150pt;mso-position-horizontal-relative:char;mso-position-vertical-relative:line" type="#_x0000_t202" filled="false" stroked="true" strokeweight=".47998pt" strokecolor="#000000">
            <w10:anchorlock/>
            <v:textbox inset="0,0,0,0">
              <w:txbxContent>
                <w:p>
                  <w:pPr>
                    <w:spacing w:before="11"/>
                    <w:ind w:left="22" w:right="0" w:firstLine="0"/>
                    <w:jc w:val="left"/>
                    <w:rPr>
                      <w:rFonts w:ascii="宋体" w:hAnsi="宋体" w:cs="宋体" w:eastAsia="宋体" w:hint="default"/>
                      <w:sz w:val="18"/>
                      <w:szCs w:val="18"/>
                    </w:rPr>
                  </w:pPr>
                  <w:r>
                    <w:rPr>
                      <w:rFonts w:ascii="宋体" w:hAnsi="宋体" w:cs="宋体" w:eastAsia="宋体" w:hint="default"/>
                      <w:sz w:val="18"/>
                      <w:szCs w:val="18"/>
                    </w:rPr>
                    <w:t>使用的募集资金余额人民币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9,416.34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含利息收入</w:t>
                  </w:r>
                  <w:r>
                    <w:rPr>
                      <w:rFonts w:ascii="宋体" w:hAnsi="宋体" w:cs="宋体" w:eastAsia="宋体" w:hint="default"/>
                      <w:spacing w:val="-90"/>
                      <w:sz w:val="18"/>
                      <w:szCs w:val="18"/>
                    </w:rPr>
                    <w:t>）</w:t>
                  </w:r>
                  <w:r>
                    <w:rPr>
                      <w:rFonts w:ascii="宋体" w:hAnsi="宋体" w:cs="宋体" w:eastAsia="宋体" w:hint="default"/>
                      <w:sz w:val="18"/>
                      <w:szCs w:val="18"/>
                    </w:rPr>
                    <w:t>。</w:t>
                  </w:r>
                </w:p>
              </w:txbxContent>
            </v:textbox>
          </v:shape>
        </w:pict>
      </w:r>
      <w:r>
        <w:rPr>
          <w:rFonts w:ascii="宋体" w:hAnsi="宋体" w:cs="宋体" w:eastAsia="宋体" w:hint="default"/>
          <w:position w:val="-6"/>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实体营销网络建设项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8,324.39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4,988.11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旅游电子商务项目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4,563.34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1,159.17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3,617.92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商务会奖分公司项目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1,552.94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2,059.52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竹园国旅电子商务运 营建设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35,171.53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35,171.53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20,075.07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26,011.61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5,130.4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35,171.53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35,171.53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20,075.07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26,011.61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5,130.4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日公司第三届董事会第十三会议审议并通过了《关于</w:t>
            </w:r>
            <w:r>
              <w:rPr>
                <w:rFonts w:ascii="Times New Roman" w:hAnsi="Times New Roman" w:cs="Times New Roman" w:eastAsia="Times New Roman" w:hint="default"/>
                <w:sz w:val="18"/>
                <w:szCs w:val="18"/>
              </w:rPr>
              <w:t>“</w:t>
            </w:r>
            <w:r>
              <w:rPr>
                <w:rFonts w:ascii="宋体" w:hAnsi="宋体" w:cs="宋体" w:eastAsia="宋体" w:hint="default"/>
                <w:sz w:val="18"/>
                <w:szCs w:val="18"/>
              </w:rPr>
              <w:t>商务会奖分公司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 </w:t>
            </w:r>
            <w:r>
              <w:rPr>
                <w:rFonts w:ascii="宋体" w:hAnsi="宋体" w:cs="宋体" w:eastAsia="宋体" w:hint="default"/>
                <w:spacing w:val="-5"/>
                <w:sz w:val="18"/>
                <w:szCs w:val="18"/>
              </w:rPr>
              <w:t>部分实施地点调整的议案》，决议原计划在深圳设立商务会奖深圳分公司调整为在广州设立商务会奖</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广州分公司。</w:t>
            </w:r>
          </w:p>
        </w:tc>
      </w:tr>
    </w:tbl>
    <w:p>
      <w:pPr>
        <w:spacing w:after="0" w:line="309"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70" w:firstLine="0"/>
        <w:jc w:val="right"/>
        <w:rPr>
          <w:rFonts w:ascii="宋体" w:hAnsi="宋体" w:cs="宋体" w:eastAsia="宋体" w:hint="default"/>
          <w:sz w:val="18"/>
          <w:szCs w:val="18"/>
        </w:rPr>
      </w:pPr>
      <w:r>
        <w:rPr/>
        <w:pict>
          <v:shape style="position:absolute;margin-left:56.459999pt;margin-top:-199.025925pt;width:479.1pt;height:60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516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hanging="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日，公司第二届董事会第四十八次会议决议、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 临时股东大会审议并通过了《关于变更部分募投项目实施主体并使用募集资金对全资子公司增资的 </w:t>
                        </w:r>
                        <w:r>
                          <w:rPr>
                            <w:rFonts w:ascii="宋体" w:hAnsi="宋体" w:cs="宋体" w:eastAsia="宋体" w:hint="default"/>
                            <w:spacing w:val="-4"/>
                            <w:sz w:val="18"/>
                            <w:szCs w:val="18"/>
                          </w:rPr>
                          <w:t>议案》，</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商务会奖分公司项目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实施主体由公司变更为公司下属全资子公司众信（北京）国际商务旅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行社有限公司，商务会奖北京分公司不再设立，其投资资金由众信商务使用，经营效益由众信商务 完成。商务会奖上海分公司、深圳分公司由众信商务实施。</w:t>
                        </w:r>
                      </w:p>
                      <w:p>
                        <w:pPr>
                          <w:pStyle w:val="TableParagraph"/>
                          <w:spacing w:line="300" w:lineRule="auto" w:before="62"/>
                          <w:ind w:left="22" w:right="2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日，公司第三届董事会第十次会议决议、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年第六次临 </w:t>
                        </w:r>
                        <w:r>
                          <w:rPr>
                            <w:rFonts w:ascii="宋体" w:hAnsi="宋体" w:cs="宋体" w:eastAsia="宋体" w:hint="default"/>
                            <w:spacing w:val="-6"/>
                            <w:sz w:val="18"/>
                            <w:szCs w:val="18"/>
                          </w:rPr>
                          <w:t>时股东大会审议并通过了《关于</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实体营销网络建设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募投项目调整的议案》，（</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）根据目前旅游市场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和公司业务发展情况，公司将原来实体营销网络建设项目中的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家零售门店现调整为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家，并调 </w:t>
                        </w:r>
                        <w:r>
                          <w:rPr>
                            <w:rFonts w:ascii="宋体" w:hAnsi="宋体" w:cs="宋体" w:eastAsia="宋体" w:hint="default"/>
                            <w:spacing w:val="-3"/>
                            <w:sz w:val="18"/>
                            <w:szCs w:val="18"/>
                          </w:rPr>
                          <w:t>整了上海、天津体验店和旗舰店的单店投资额。（</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）由于目前公司在上海已经设立了全资子公司上</w:t>
                        </w:r>
                        <w:r>
                          <w:rPr>
                            <w:rFonts w:ascii="宋体" w:hAnsi="宋体" w:cs="宋体" w:eastAsia="宋体" w:hint="default"/>
                            <w:spacing w:val="-49"/>
                            <w:sz w:val="18"/>
                            <w:szCs w:val="18"/>
                          </w:rPr>
                          <w:t> </w:t>
                        </w:r>
                        <w:r>
                          <w:rPr>
                            <w:rFonts w:ascii="宋体" w:hAnsi="宋体" w:cs="宋体" w:eastAsia="宋体" w:hint="default"/>
                            <w:sz w:val="18"/>
                            <w:szCs w:val="18"/>
                          </w:rPr>
                          <w:t>海众信国际旅行社有限公司（以下简称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上海众信</w:t>
                        </w:r>
                        <w:r>
                          <w:rPr>
                            <w:rFonts w:ascii="Times New Roman" w:hAnsi="Times New Roman" w:cs="Times New Roman" w:eastAsia="Times New Roman" w:hint="default"/>
                            <w:sz w:val="18"/>
                            <w:szCs w:val="18"/>
                          </w:rPr>
                          <w:t>”</w:t>
                        </w:r>
                        <w:r>
                          <w:rPr>
                            <w:rFonts w:ascii="宋体" w:hAnsi="宋体" w:cs="宋体" w:eastAsia="宋体" w:hint="default"/>
                            <w:sz w:val="18"/>
                            <w:szCs w:val="18"/>
                          </w:rPr>
                          <w:t>）且该公司于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日取得</w:t>
                        </w:r>
                        <w:r>
                          <w:rPr>
                            <w:rFonts w:ascii="Times New Roman" w:hAnsi="Times New Roman" w:cs="Times New Roman" w:eastAsia="Times New Roman" w:hint="default"/>
                            <w:sz w:val="18"/>
                            <w:szCs w:val="18"/>
                          </w:rPr>
                          <w:t>“</w:t>
                        </w:r>
                        <w:r>
                          <w:rPr>
                            <w:rFonts w:ascii="宋体" w:hAnsi="宋体" w:cs="宋体" w:eastAsia="宋体" w:hint="default"/>
                            <w:sz w:val="18"/>
                            <w:szCs w:val="18"/>
                          </w:rPr>
                          <w:t>出境旅游业 务</w:t>
                        </w:r>
                        <w:r>
                          <w:rPr>
                            <w:rFonts w:ascii="Times New Roman" w:hAnsi="Times New Roman" w:cs="Times New Roman" w:eastAsia="Times New Roman" w:hint="default"/>
                            <w:sz w:val="18"/>
                            <w:szCs w:val="18"/>
                          </w:rPr>
                          <w:t>”</w:t>
                        </w:r>
                        <w:r>
                          <w:rPr>
                            <w:rFonts w:ascii="宋体" w:hAnsi="宋体" w:cs="宋体" w:eastAsia="宋体" w:hint="default"/>
                            <w:sz w:val="18"/>
                            <w:szCs w:val="18"/>
                          </w:rPr>
                          <w:t>经营资质，目前公司将上海营销中心所辖南京分公司的实施主体由公司变更为上海众信，同时 将在上海市开设的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家零售门店的实施主体由公司变更为上海众信。</w:t>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日公司第三届董事会第三十四次会议审议并通过了《关于部分募投项目调整的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主要调整内容</w:t>
                        </w:r>
                        <w:r>
                          <w:rPr>
                            <w:rFonts w:ascii="宋体" w:hAnsi="宋体" w:cs="宋体" w:eastAsia="宋体" w:hint="default"/>
                            <w:spacing w:val="-23"/>
                            <w:sz w:val="18"/>
                            <w:szCs w:val="18"/>
                          </w:rPr>
                          <w:t>为</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3"/>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实体营销网络建设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家零售门店中部分门店的开设城市及</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门店类型</w:t>
                        </w:r>
                        <w:r>
                          <w:rPr>
                            <w:rFonts w:ascii="宋体" w:hAnsi="宋体" w:cs="宋体" w:eastAsia="宋体" w:hint="default"/>
                            <w:spacing w:val="-18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竹园国旅电子商务运营建设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项目资金使用计划进度调整为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前使用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月投入使用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公司以自筹资金预先已投入募集资金投资项目共计人民币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26,713,297.09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p>
                        <w:pPr>
                          <w:pStyle w:val="TableParagraph"/>
                          <w:spacing w:line="300" w:lineRule="auto" w:before="61"/>
                          <w:ind w:left="22" w:right="43"/>
                          <w:jc w:val="left"/>
                          <w:rPr>
                            <w:rFonts w:ascii="宋体" w:hAnsi="宋体" w:cs="宋体" w:eastAsia="宋体" w:hint="default"/>
                            <w:sz w:val="18"/>
                            <w:szCs w:val="18"/>
                          </w:rPr>
                        </w:pPr>
                        <w:r>
                          <w:rPr>
                            <w:rFonts w:ascii="宋体" w:hAnsi="宋体" w:cs="宋体" w:eastAsia="宋体" w:hint="default"/>
                            <w:sz w:val="18"/>
                            <w:szCs w:val="18"/>
                          </w:rPr>
                          <w:t>用于</w:t>
                        </w:r>
                        <w:r>
                          <w:rPr>
                            <w:rFonts w:ascii="Times New Roman" w:hAnsi="Times New Roman" w:cs="Times New Roman" w:eastAsia="Times New Roman" w:hint="default"/>
                            <w:sz w:val="18"/>
                            <w:szCs w:val="18"/>
                          </w:rPr>
                          <w:t>“</w:t>
                        </w:r>
                        <w:r>
                          <w:rPr>
                            <w:rFonts w:ascii="宋体" w:hAnsi="宋体" w:cs="宋体" w:eastAsia="宋体" w:hint="default"/>
                            <w:sz w:val="18"/>
                            <w:szCs w:val="18"/>
                          </w:rPr>
                          <w:t>实体营销网络建设项目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。北京中证天通会计师事务所（特殊普通合伙）于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3"/>
                            <w:sz w:val="18"/>
                            <w:szCs w:val="18"/>
                          </w:rPr>
                          <w:t>出具了《关于北京众信国际旅行社股份有限公司以自筹资金预先投入募集资金投资项目的鉴证报告</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审字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公司第二届董事会第四十三次会议审议通过</w:t>
                        </w:r>
                        <w:r>
                          <w:rPr>
                            <w:rFonts w:ascii="宋体" w:hAnsi="宋体" w:cs="宋体" w:eastAsia="宋体" w:hint="default"/>
                            <w:spacing w:val="-45"/>
                            <w:sz w:val="18"/>
                            <w:szCs w:val="18"/>
                          </w:rPr>
                          <w:t>了</w:t>
                        </w:r>
                        <w:r>
                          <w:rPr>
                            <w:rFonts w:ascii="宋体" w:hAnsi="宋体" w:cs="宋体" w:eastAsia="宋体" w:hint="default"/>
                            <w:sz w:val="18"/>
                            <w:szCs w:val="18"/>
                          </w:rPr>
                          <w:t>《关于以募集资金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置换预先已投入募集资金投资项目中自筹资金的议案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，同意公司以募集资金人民币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26,713,29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.09</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pacing w:val="-4"/>
                            <w:sz w:val="18"/>
                            <w:szCs w:val="18"/>
                          </w:rPr>
                          <w:t>元置换已预先投入募集资金投资项目中同等金额的自筹资金。截至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日该置换工作已完 成。</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3"/>
        <w:rPr>
          <w:rFonts w:ascii="宋体" w:hAnsi="宋体" w:cs="宋体" w:eastAsia="宋体" w:hint="default"/>
          <w:sz w:val="26"/>
          <w:szCs w:val="26"/>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left="214"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214" w:right="75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214"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214"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20" w:right="900"/>
        </w:sectPr>
      </w:pPr>
    </w:p>
    <w:p>
      <w:pPr>
        <w:spacing w:before="44"/>
        <w:ind w:left="2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21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00" w:bottom="280" w:left="920" w:right="900"/>
          <w:cols w:num="2" w:equalWidth="0">
            <w:col w:w="4909" w:space="4010"/>
            <w:col w:w="1171"/>
          </w:cols>
        </w:sectPr>
      </w:pP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623"/>
        <w:gridCol w:w="623"/>
        <w:gridCol w:w="697"/>
        <w:gridCol w:w="1252"/>
        <w:gridCol w:w="1340"/>
        <w:gridCol w:w="1342"/>
        <w:gridCol w:w="1476"/>
        <w:gridCol w:w="1250"/>
        <w:gridCol w:w="1252"/>
      </w:tblGrid>
      <w:tr>
        <w:trPr>
          <w:trHeight w:val="714" w:hRule="exact"/>
        </w:trPr>
        <w:tc>
          <w:tcPr>
            <w:tcW w:w="62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26" w:right="125"/>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62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25" w:right="125"/>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69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63" w:right="162"/>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12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47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6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竹园</w:t>
            </w:r>
          </w:p>
        </w:tc>
        <w:tc>
          <w:tcPr>
            <w:tcW w:w="6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6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旅行</w:t>
            </w:r>
          </w:p>
        </w:tc>
        <w:tc>
          <w:tcPr>
            <w:tcW w:w="125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国旅</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社服</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13,704,171.00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503,221,540.68</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266,824,417.80</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2,843,362,035.12</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89,860,073.28</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68,376,068.43</w:t>
            </w:r>
          </w:p>
        </w:tc>
      </w:tr>
      <w:tr>
        <w:trPr>
          <w:trHeight w:val="353" w:hRule="exact"/>
        </w:trPr>
        <w:tc>
          <w:tcPr>
            <w:tcW w:w="623"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5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对公司资产规模、收入规模、盈利状况 均有较大提升</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对公司资产规模、收入规模、盈利状况 均有提升</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重庆众信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众信嘉业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bl>
    <w:p>
      <w:pPr>
        <w:spacing w:after="0" w:line="240" w:lineRule="auto"/>
        <w:jc w:val="left"/>
        <w:rPr>
          <w:rFonts w:ascii="宋体" w:hAnsi="宋体" w:cs="宋体" w:eastAsia="宋体" w:hint="default"/>
          <w:sz w:val="18"/>
          <w:szCs w:val="18"/>
        </w:rPr>
        <w:sectPr>
          <w:type w:val="continuous"/>
          <w:pgSz w:w="11910" w:h="16840"/>
          <w:pgMar w:top="1400" w:bottom="280" w:left="920" w:right="900"/>
        </w:sectPr>
      </w:pPr>
    </w:p>
    <w:p>
      <w:pPr>
        <w:spacing w:line="240" w:lineRule="auto" w:before="13"/>
        <w:rPr>
          <w:rFonts w:ascii="宋体" w:hAnsi="宋体" w:cs="宋体" w:eastAsia="宋体" w:hint="default"/>
          <w:sz w:val="21"/>
          <w:szCs w:val="21"/>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50" w:firstLine="480"/>
        <w:jc w:val="both"/>
      </w:pPr>
      <w:r>
        <w:rPr>
          <w:spacing w:val="-2"/>
        </w:rPr>
        <w:t>公司董事会认真分析了未来出境游与出境服务行业的发展趋势，结合公司战略规划和实际，对公司未</w:t>
      </w:r>
      <w:r>
        <w:rPr/>
        <w:t> 来发展及</w:t>
      </w:r>
      <w:r>
        <w:rPr>
          <w:rFonts w:ascii="Times New Roman" w:hAnsi="Times New Roman" w:cs="Times New Roman" w:eastAsia="Times New Roman" w:hint="default"/>
        </w:rPr>
        <w:t>2016</w:t>
      </w:r>
      <w:r>
        <w:rPr/>
        <w:t>年经营计划规划如下：</w:t>
      </w:r>
    </w:p>
    <w:p>
      <w:pPr>
        <w:pStyle w:val="Heading3"/>
        <w:spacing w:line="240" w:lineRule="auto" w:before="14"/>
        <w:ind w:left="634" w:right="148"/>
        <w:jc w:val="left"/>
        <w:rPr>
          <w:b w:val="0"/>
          <w:bCs w:val="0"/>
        </w:rPr>
      </w:pPr>
      <w:r>
        <w:rPr>
          <w:rFonts w:ascii="Times New Roman" w:hAnsi="Times New Roman" w:cs="Times New Roman" w:eastAsia="Times New Roman" w:hint="default"/>
        </w:rPr>
        <w:t>1</w:t>
      </w:r>
      <w:r>
        <w:rPr/>
        <w:t>、行业发展趋势与格局</w:t>
      </w:r>
      <w:r>
        <w:rPr>
          <w:b w:val="0"/>
          <w:bCs w:val="0"/>
        </w:rPr>
      </w:r>
    </w:p>
    <w:p>
      <w:pPr>
        <w:spacing w:line="386" w:lineRule="auto" w:before="177"/>
        <w:ind w:left="574" w:right="1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）多重利好因素推动出境旅游及出境服务市场蓬勃发展</w:t>
      </w:r>
      <w:r>
        <w:rPr>
          <w:rFonts w:ascii="宋体" w:hAnsi="宋体" w:cs="宋体" w:eastAsia="宋体" w:hint="default"/>
          <w:b/>
          <w:bCs/>
          <w:w w:val="99"/>
          <w:sz w:val="21"/>
          <w:szCs w:val="21"/>
        </w:rPr>
        <w:t> </w:t>
      </w:r>
      <w:r>
        <w:rPr>
          <w:rFonts w:ascii="宋体" w:hAnsi="宋体" w:cs="宋体" w:eastAsia="宋体" w:hint="default"/>
          <w:spacing w:val="-1"/>
          <w:sz w:val="21"/>
          <w:szCs w:val="21"/>
        </w:rPr>
        <w:t>中国经济呈现出新常态，从高速增长转为中高速增长，经济结构优化升级，增长驱动力正加快由工业</w:t>
      </w:r>
    </w:p>
    <w:p>
      <w:pPr>
        <w:pStyle w:val="BodyText"/>
        <w:spacing w:line="403" w:lineRule="auto" w:before="65"/>
        <w:ind w:right="148"/>
        <w:jc w:val="both"/>
      </w:pPr>
      <w:r>
        <w:rPr>
          <w:spacing w:val="-1"/>
        </w:rPr>
        <w:t>主导向服务业主导转变。随着我国经济的持续发展和人民生活水平的逐步提高，国民的消费意识和消费能</w:t>
      </w:r>
      <w:r>
        <w:rPr>
          <w:spacing w:val="-81"/>
        </w:rPr>
        <w:t> </w:t>
      </w:r>
      <w:r>
        <w:rPr>
          <w:spacing w:val="-81"/>
        </w:rPr>
      </w:r>
      <w:r>
        <w:rPr>
          <w:spacing w:val="-5"/>
        </w:rPr>
        <w:t>力不断增强，消费升级的红利逐渐到来，推动出境游行业的潜力不断释放，高速增长态势明显。另一方面，</w:t>
      </w:r>
      <w:r>
        <w:rPr>
          <w:spacing w:val="-102"/>
        </w:rPr>
        <w:t> </w:t>
      </w:r>
      <w:r>
        <w:rPr>
          <w:spacing w:val="-102"/>
        </w:rPr>
      </w:r>
      <w:r>
        <w:rPr>
          <w:spacing w:val="-1"/>
        </w:rPr>
        <w:t>国家政策的大力支持、签证条件的逐渐放宽、移动互联网带来的线上渠道便利化、人民币加入</w:t>
      </w:r>
      <w:r>
        <w:rPr>
          <w:rFonts w:ascii="Times New Roman" w:hAnsi="Times New Roman" w:cs="Times New Roman" w:eastAsia="Times New Roman" w:hint="default"/>
          <w:spacing w:val="-1"/>
        </w:rPr>
        <w:t>SDR</w:t>
      </w:r>
      <w:r>
        <w:rPr>
          <w:spacing w:val="-1"/>
        </w:rPr>
        <w:t>（特别</w:t>
      </w:r>
      <w:r>
        <w:rPr>
          <w:spacing w:val="-72"/>
        </w:rPr>
        <w:t> </w:t>
      </w:r>
      <w:r>
        <w:rPr>
          <w:spacing w:val="-5"/>
        </w:rPr>
        <w:t>提款权）以及汇率变化等因素都使得出境旅游变得更为便利、实惠，出境游日趋表现出生活必需品的特性，</w:t>
      </w:r>
      <w:r>
        <w:rPr>
          <w:spacing w:val="-101"/>
        </w:rPr>
        <w:t> </w:t>
      </w:r>
      <w:r>
        <w:rPr>
          <w:spacing w:val="-101"/>
        </w:rPr>
      </w:r>
      <w:r>
        <w:rPr/>
        <w:t>出境旅游迎来广阔的发展空间。</w:t>
      </w:r>
    </w:p>
    <w:p>
      <w:pPr>
        <w:pStyle w:val="BodyText"/>
        <w:spacing w:line="398" w:lineRule="auto" w:before="50"/>
        <w:ind w:left="153" w:right="150" w:firstLine="422"/>
        <w:jc w:val="both"/>
      </w:pPr>
      <w:r>
        <w:rPr/>
        <w:t>伴随着</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政策的落地，</w:t>
      </w:r>
      <w:r>
        <w:rPr>
          <w:rFonts w:ascii="Times New Roman" w:hAnsi="Times New Roman" w:cs="Times New Roman" w:eastAsia="Times New Roman" w:hint="default"/>
        </w:rPr>
        <w:t>“</w:t>
      </w:r>
      <w:r>
        <w:rPr/>
        <w:t>融合</w:t>
      </w:r>
      <w:r>
        <w:rPr>
          <w:rFonts w:ascii="Times New Roman" w:hAnsi="Times New Roman" w:cs="Times New Roman" w:eastAsia="Times New Roman" w:hint="default"/>
        </w:rPr>
        <w:t>”</w:t>
      </w:r>
      <w:r>
        <w:rPr/>
        <w:t>将成为大国崛起背景下的新常态。货物和资本的流动在根本上 带动了人的流动，</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以出境游的发展作为开端，未来将深入走向出境综合服务领域。伴随着中产阶 </w:t>
      </w:r>
      <w:r>
        <w:rPr>
          <w:spacing w:val="-5"/>
        </w:rPr>
        <w:t>级消费需求升级，单纯的观光、度假不再是出国旅游的唯一目的，游学及留学教育、移民置业、健康医疗、</w:t>
      </w:r>
      <w:r>
        <w:rPr/>
        <w:t> </w:t>
      </w:r>
      <w:r>
        <w:rPr>
          <w:spacing w:val="-1"/>
        </w:rPr>
        <w:t>旅游金融等各类出境服务需求将不断增加，出境服务市场将如目前的出境游市场一样在未来几年被持续打</w:t>
      </w:r>
      <w:r>
        <w:rPr>
          <w:spacing w:val="-81"/>
        </w:rPr>
        <w:t> </w:t>
      </w:r>
      <w:r>
        <w:rPr>
          <w:spacing w:val="-81"/>
        </w:rPr>
      </w:r>
      <w:r>
        <w:rPr/>
        <w:t>开扩大，具有广阔前景和发展空间。</w:t>
      </w:r>
    </w:p>
    <w:p>
      <w:pPr>
        <w:spacing w:line="386" w:lineRule="auto" w:before="54"/>
        <w:ind w:left="573" w:right="1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）旅游行业整合加快，线上线下持续融合，行业格局不断变化</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旅游企业之间整合加剧，线上线下不同类型企业融合加快，不断重塑行业格局，模糊企业边界，市场</w:t>
      </w:r>
    </w:p>
    <w:p>
      <w:pPr>
        <w:pStyle w:val="BodyText"/>
        <w:spacing w:line="408" w:lineRule="auto" w:before="65"/>
        <w:ind w:left="153" w:right="151"/>
        <w:jc w:val="both"/>
      </w:pPr>
      <w:r>
        <w:rPr>
          <w:spacing w:val="-1"/>
        </w:rPr>
        <w:t>集中度进一步提高。企业呈现出愈加开放合作的态势，微观层面持续竞争的同时，宏观层面、资本层面的</w:t>
      </w:r>
      <w:r>
        <w:rPr>
          <w:spacing w:val="-82"/>
        </w:rPr>
        <w:t> </w:t>
      </w:r>
      <w:r>
        <w:rPr>
          <w:spacing w:val="-82"/>
        </w:rPr>
      </w:r>
      <w:r>
        <w:rPr>
          <w:spacing w:val="-1"/>
        </w:rPr>
        <w:t>合作在加深。这也要求业内企业适应行业趋势，进一步用好资本平台，加快行业整合，不断做强做大，提</w:t>
      </w:r>
      <w:r>
        <w:rPr>
          <w:spacing w:val="-83"/>
        </w:rPr>
        <w:t> </w:t>
      </w:r>
      <w:r>
        <w:rPr>
          <w:spacing w:val="-83"/>
        </w:rPr>
      </w:r>
      <w:r>
        <w:rPr/>
        <w:t>高行业地位。</w:t>
      </w:r>
    </w:p>
    <w:p>
      <w:pPr>
        <w:spacing w:line="386" w:lineRule="auto" w:before="46"/>
        <w:ind w:left="573" w:right="14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旅游</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互联网</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、大数据管理分析能力，产品和服务能力日益成为行业的核心竞争力</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国人出境游经验逐步丰富，更加愿意为好的产品买单，个性化和定制化需求日益增长，出境游行业将</w:t>
      </w:r>
    </w:p>
    <w:p>
      <w:pPr>
        <w:pStyle w:val="BodyText"/>
        <w:spacing w:line="408" w:lineRule="auto" w:before="65"/>
        <w:ind w:left="153" w:right="148"/>
        <w:jc w:val="both"/>
      </w:pPr>
      <w:r>
        <w:rPr>
          <w:spacing w:val="-5"/>
        </w:rPr>
        <w:t>进一步回归产品和服务，注重服务体验，产品和服务能力成为企业可持续发展的基本保障。随着智能手机、</w:t>
      </w:r>
      <w:r>
        <w:rPr>
          <w:spacing w:val="-101"/>
        </w:rPr>
        <w:t> </w:t>
      </w:r>
      <w:r>
        <w:rPr>
          <w:spacing w:val="-101"/>
        </w:rPr>
      </w:r>
      <w:r>
        <w:rPr>
          <w:spacing w:val="-1"/>
        </w:rPr>
        <w:t>平板设备等便携式通讯设备的普及，消费习惯发生很大变化，信息化平台和移动互联网技术在出境服务领</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域深度运用，利用大数据管理分析来更好地理解消费者需求，提供旅游延展服务，将是行业获取收入的重</w:t>
      </w:r>
      <w:r>
        <w:rPr>
          <w:spacing w:val="-83"/>
        </w:rPr>
        <w:t> </w:t>
      </w:r>
      <w:r>
        <w:rPr>
          <w:spacing w:val="-83"/>
        </w:rPr>
      </w:r>
      <w:r>
        <w:rPr/>
        <w:t>要手段。</w:t>
      </w:r>
    </w:p>
    <w:p>
      <w:pPr>
        <w:pStyle w:val="BodyText"/>
        <w:spacing w:line="408" w:lineRule="auto"/>
        <w:ind w:left="153" w:right="208" w:firstLine="420"/>
        <w:jc w:val="both"/>
      </w:pPr>
      <w:r>
        <w:rPr>
          <w:spacing w:val="-1"/>
        </w:rPr>
        <w:t>可以看出，未来旅行社行业的竞争将不是简单的旅行社之间点对点的竞争，而是各个旅行社所掌控的</w:t>
      </w:r>
      <w:r>
        <w:rPr/>
        <w:t> </w:t>
      </w:r>
      <w:r>
        <w:rPr>
          <w:spacing w:val="-5"/>
        </w:rPr>
        <w:t>服务价值链之间线与线的竞争。随着出境游市场在渠道、产品与服务、目的地资源等各方面竞争越演越烈，</w:t>
      </w:r>
      <w:r>
        <w:rPr>
          <w:spacing w:val="-101"/>
        </w:rPr>
        <w:t> </w:t>
      </w:r>
      <w:r>
        <w:rPr>
          <w:spacing w:val="-101"/>
        </w:rPr>
      </w:r>
      <w:r>
        <w:rPr>
          <w:spacing w:val="-1"/>
        </w:rPr>
        <w:t>成功的旅游集团多通过横向一体化、纵向一体化实现规模扩张和上下游资源整合。基于我国强大的人口基</w:t>
      </w:r>
      <w:r>
        <w:rPr>
          <w:spacing w:val="-81"/>
        </w:rPr>
        <w:t> </w:t>
      </w:r>
      <w:r>
        <w:rPr>
          <w:spacing w:val="-81"/>
        </w:rPr>
      </w:r>
      <w:r>
        <w:rPr>
          <w:spacing w:val="-1"/>
        </w:rPr>
        <w:t>数和居民消费升级，以出境游为开端，未来能够掌控境外目的地资源，有效地控制成本并能在境外目的地</w:t>
      </w:r>
      <w:r>
        <w:rPr>
          <w:spacing w:val="-83"/>
        </w:rPr>
        <w:t> </w:t>
      </w:r>
      <w:r>
        <w:rPr>
          <w:spacing w:val="-83"/>
        </w:rPr>
      </w:r>
      <w:r>
        <w:rPr>
          <w:spacing w:val="-1"/>
        </w:rPr>
        <w:t>提供落地的个性化服务；在国内拥有更好的线上线下不同类型的分销渠道；拥有大数据管理分析能力，掌</w:t>
      </w:r>
      <w:r>
        <w:rPr>
          <w:spacing w:val="-83"/>
        </w:rPr>
        <w:t> </w:t>
      </w:r>
      <w:r>
        <w:rPr>
          <w:spacing w:val="-83"/>
        </w:rPr>
      </w:r>
      <w:r>
        <w:rPr>
          <w:spacing w:val="-1"/>
        </w:rPr>
        <w:t>握和满足出境游和出境服务需求，拉伸服务链条的企业将有希望成为中国最大乃至世界级的出境综合服务</w:t>
      </w:r>
      <w:r>
        <w:rPr>
          <w:spacing w:val="-81"/>
        </w:rPr>
        <w:t> </w:t>
      </w:r>
      <w:r>
        <w:rPr>
          <w:spacing w:val="-81"/>
        </w:rPr>
      </w:r>
      <w:r>
        <w:rPr/>
        <w:t>公司。</w:t>
      </w:r>
    </w:p>
    <w:p>
      <w:pPr>
        <w:pStyle w:val="BodyText"/>
        <w:spacing w:line="386" w:lineRule="auto"/>
        <w:ind w:left="634" w:right="198" w:hanging="1"/>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spacing w:val="1"/>
          <w:w w:val="99"/>
        </w:rPr>
        <w:t> </w:t>
      </w:r>
      <w:r>
        <w:rPr>
          <w:spacing w:val="-2"/>
        </w:rPr>
        <w:t>公司积极应对市场变化，充分运用自身资源与资本市场平台优势，采取“一纵一横”发展战略，围绕</w:t>
      </w:r>
    </w:p>
    <w:p>
      <w:pPr>
        <w:pStyle w:val="BodyText"/>
        <w:spacing w:line="405" w:lineRule="auto" w:before="65"/>
        <w:ind w:right="0"/>
        <w:jc w:val="left"/>
      </w:pPr>
      <w:r>
        <w:rPr/>
        <w:t>出境游业务这一核心，在目的地资源、产品设计与服务、线上线下营销渠道三方面进行产业链一体化纵向 扩张，不断巩固和加强出境游业务优势；并以出境游业务为核心，横向拓展“旅游+”业务，包括游学及 留学教育、健康医疗、移民置业、旅游金融等一系列出境服务综合服务，打造全方位出境综合服务平台。</w:t>
      </w:r>
      <w:r>
        <w:rPr>
          <w:spacing w:val="-36"/>
        </w:rPr>
        <w:t> </w:t>
      </w:r>
      <w:r>
        <w:rPr>
          <w:spacing w:val="-36"/>
        </w:rPr>
      </w:r>
      <w:r>
        <w:rPr/>
        <w:t>出境综合服务平台包括出境游业务平台、目的地生活服务平台、海外教育服务平台、移民置业服务平台、</w:t>
      </w:r>
      <w:r>
        <w:rPr>
          <w:spacing w:val="-36"/>
        </w:rPr>
        <w:t> </w:t>
      </w:r>
      <w:r>
        <w:rPr>
          <w:spacing w:val="-36"/>
        </w:rPr>
      </w:r>
      <w:r>
        <w:rPr/>
        <w:t>出境互联网金融服务平台以及</w:t>
      </w:r>
      <w:r>
        <w:rPr>
          <w:rFonts w:ascii="Times New Roman" w:hAnsi="Times New Roman" w:cs="Times New Roman" w:eastAsia="Times New Roman" w:hint="default"/>
        </w:rPr>
        <w:t>“</w:t>
      </w:r>
      <w:r>
        <w:rPr/>
        <w:t>出境云</w:t>
      </w:r>
      <w:r>
        <w:rPr>
          <w:rFonts w:ascii="Times New Roman" w:hAnsi="Times New Roman" w:cs="Times New Roman" w:eastAsia="Times New Roman" w:hint="default"/>
        </w:rPr>
        <w:t>”</w:t>
      </w:r>
      <w:r>
        <w:rPr/>
        <w:t>大数据管理分析平台等子平台。以</w:t>
      </w:r>
      <w:r>
        <w:rPr>
          <w:rFonts w:ascii="Times New Roman" w:hAnsi="Times New Roman" w:cs="Times New Roman" w:eastAsia="Times New Roman" w:hint="default"/>
        </w:rPr>
        <w:t>“</w:t>
      </w:r>
      <w:r>
        <w:rPr/>
        <w:t>出境云</w:t>
      </w:r>
      <w:r>
        <w:rPr>
          <w:rFonts w:ascii="Times New Roman" w:hAnsi="Times New Roman" w:cs="Times New Roman" w:eastAsia="Times New Roman" w:hint="default"/>
        </w:rPr>
        <w:t>”</w:t>
      </w:r>
      <w:r>
        <w:rPr/>
        <w:t>大数据管理分析平台为 </w:t>
      </w:r>
      <w:r>
        <w:rPr>
          <w:spacing w:val="-5"/>
        </w:rPr>
        <w:t>基础，对接各子业务平台电子商务系统，提供大数据支持，实现客户共享、资源共享，发挥业务协同作用，</w:t>
      </w:r>
      <w:r>
        <w:rPr/>
        <w:t> 加强国内客源地渠道和海外目的地资源两端控制，最终成为国内最具竞争力的出境综合服务平台。</w:t>
      </w:r>
    </w:p>
    <w:p>
      <w:pPr>
        <w:pStyle w:val="BodyText"/>
        <w:spacing w:line="408" w:lineRule="auto" w:before="48"/>
        <w:ind w:right="211" w:firstLine="420"/>
        <w:jc w:val="both"/>
      </w:pPr>
      <w:r>
        <w:rPr>
          <w:spacing w:val="-1"/>
        </w:rPr>
        <w:t>在出境游领域，公司将继续抓住市场快速发展的黄金时机，以服务品质为前提，以产品为核心，继续</w:t>
      </w:r>
      <w:r>
        <w:rPr/>
        <w:t> </w:t>
      </w:r>
      <w:r>
        <w:rPr>
          <w:spacing w:val="-1"/>
        </w:rPr>
        <w:t>强化批发零售一体，线上线下结合的多渠道运营的发展战略，形成出境游批发、出境游零售、商务会奖三</w:t>
      </w:r>
      <w:r>
        <w:rPr>
          <w:spacing w:val="-82"/>
        </w:rPr>
        <w:t> </w:t>
      </w:r>
      <w:r>
        <w:rPr>
          <w:spacing w:val="-82"/>
        </w:rPr>
      </w:r>
      <w:r>
        <w:rPr/>
        <w:t>大业务相互促进，协同发展的格局。</w:t>
      </w:r>
    </w:p>
    <w:p>
      <w:pPr>
        <w:spacing w:after="0" w:line="408" w:lineRule="auto"/>
        <w:jc w:val="both"/>
        <w:sectPr>
          <w:pgSz w:w="11910" w:h="16840"/>
          <w:pgMar w:header="877" w:footer="982" w:top="1100" w:bottom="1180" w:left="980" w:right="920"/>
        </w:sectPr>
      </w:pPr>
    </w:p>
    <w:p>
      <w:pPr>
        <w:spacing w:line="240" w:lineRule="auto" w:before="10"/>
        <w:rPr>
          <w:rFonts w:ascii="宋体" w:hAnsi="宋体" w:cs="宋体" w:eastAsia="宋体" w:hint="default"/>
          <w:sz w:val="24"/>
          <w:szCs w:val="24"/>
        </w:rPr>
      </w:pPr>
    </w:p>
    <w:p>
      <w:pPr>
        <w:spacing w:line="6540" w:lineRule="exact"/>
        <w:ind w:left="1373" w:right="0" w:firstLine="0"/>
        <w:rPr>
          <w:rFonts w:ascii="宋体" w:hAnsi="宋体" w:cs="宋体" w:eastAsia="宋体" w:hint="default"/>
          <w:sz w:val="20"/>
          <w:szCs w:val="20"/>
        </w:rPr>
      </w:pPr>
      <w:r>
        <w:rPr>
          <w:rFonts w:ascii="宋体" w:hAnsi="宋体" w:cs="宋体" w:eastAsia="宋体" w:hint="default"/>
          <w:position w:val="-130"/>
          <w:sz w:val="20"/>
          <w:szCs w:val="20"/>
        </w:rPr>
        <w:drawing>
          <wp:inline distT="0" distB="0" distL="0" distR="0">
            <wp:extent cx="4834057" cy="415337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834057" cy="4153376"/>
                    </a:xfrm>
                    <a:prstGeom prst="rect">
                      <a:avLst/>
                    </a:prstGeom>
                  </pic:spPr>
                </pic:pic>
              </a:graphicData>
            </a:graphic>
          </wp:inline>
        </w:drawing>
      </w:r>
      <w:r>
        <w:rPr>
          <w:rFonts w:ascii="宋体" w:hAnsi="宋体" w:cs="宋体" w:eastAsia="宋体" w:hint="default"/>
          <w:position w:val="-130"/>
          <w:sz w:val="20"/>
          <w:szCs w:val="20"/>
        </w:rPr>
      </w:r>
    </w:p>
    <w:p>
      <w:pPr>
        <w:spacing w:line="240" w:lineRule="auto" w:before="8"/>
        <w:rPr>
          <w:rFonts w:ascii="宋体" w:hAnsi="宋体" w:cs="宋体" w:eastAsia="宋体" w:hint="default"/>
          <w:sz w:val="26"/>
          <w:szCs w:val="26"/>
        </w:rPr>
      </w:pPr>
    </w:p>
    <w:p>
      <w:pPr>
        <w:pStyle w:val="Heading3"/>
        <w:spacing w:line="240" w:lineRule="auto" w:before="35"/>
        <w:ind w:left="634"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年经营计划和主要目标</w:t>
      </w:r>
      <w:r>
        <w:rPr>
          <w:b w:val="0"/>
          <w:bCs w:val="0"/>
        </w:rPr>
      </w:r>
    </w:p>
    <w:p>
      <w:pPr>
        <w:pStyle w:val="BodyText"/>
        <w:spacing w:line="398" w:lineRule="auto" w:before="177"/>
        <w:ind w:right="210" w:firstLine="420"/>
        <w:jc w:val="both"/>
      </w:pPr>
      <w:r>
        <w:rPr>
          <w:rFonts w:ascii="Times New Roman" w:hAnsi="Times New Roman" w:cs="Times New Roman" w:eastAsia="Times New Roman" w:hint="default"/>
          <w:spacing w:val="-1"/>
        </w:rPr>
        <w:t>2016</w:t>
      </w:r>
      <w:r>
        <w:rPr>
          <w:spacing w:val="-1"/>
        </w:rPr>
        <w:t>年，公司将积极创新思维，依托公司核心竞争力，内生与外延结合，在保持出境游业务快速增长</w:t>
      </w:r>
      <w:r>
        <w:rPr/>
        <w:t> </w:t>
      </w:r>
      <w:r>
        <w:rPr>
          <w:spacing w:val="-1"/>
        </w:rPr>
        <w:t>的基础上，积极稳妥推进重大资产重组项目的完成，进一步完善出境综合服务平台，为未来持续稳健发展</w:t>
      </w:r>
      <w:r>
        <w:rPr>
          <w:spacing w:val="-83"/>
        </w:rPr>
        <w:t> </w:t>
      </w:r>
      <w:r>
        <w:rPr>
          <w:spacing w:val="-83"/>
        </w:rPr>
      </w:r>
      <w:r>
        <w:rPr/>
        <w:t>奠定坚实基础。</w:t>
      </w:r>
    </w:p>
    <w:p>
      <w:pPr>
        <w:spacing w:line="386" w:lineRule="auto" w:before="54"/>
        <w:ind w:left="594" w:right="0" w:hanging="1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）出境游批发业务，通过内生增长与外延并购整合，进一步扩大批发市场份额和优势</w:t>
      </w:r>
      <w:r>
        <w:rPr>
          <w:rFonts w:ascii="宋体" w:hAnsi="宋体" w:cs="宋体" w:eastAsia="宋体" w:hint="default"/>
          <w:b/>
          <w:bCs/>
          <w:spacing w:val="1"/>
          <w:w w:val="99"/>
          <w:sz w:val="21"/>
          <w:szCs w:val="21"/>
        </w:rPr>
        <w:t> </w:t>
      </w:r>
      <w:r>
        <w:rPr>
          <w:rFonts w:ascii="宋体" w:hAnsi="宋体" w:cs="宋体" w:eastAsia="宋体" w:hint="default"/>
          <w:sz w:val="21"/>
          <w:szCs w:val="21"/>
        </w:rPr>
        <w:t>发挥规模和业务协同效应，提高资源获取能力，降低资源成本；整合客户资源，加强渠道网点建设，</w:t>
      </w:r>
    </w:p>
    <w:p>
      <w:pPr>
        <w:pStyle w:val="BodyText"/>
        <w:spacing w:line="408" w:lineRule="auto" w:before="65"/>
        <w:ind w:right="210"/>
        <w:jc w:val="both"/>
      </w:pPr>
      <w:r>
        <w:rPr>
          <w:spacing w:val="-1"/>
        </w:rPr>
        <w:t>进一步下沉至三四线城市，加强对全国范围内代理商客户服务，加强与代理商粘性；根据市场需求，开发</w:t>
      </w:r>
      <w:r>
        <w:rPr>
          <w:spacing w:val="-82"/>
        </w:rPr>
        <w:t> </w:t>
      </w:r>
      <w:r>
        <w:rPr>
          <w:spacing w:val="-82"/>
        </w:rPr>
      </w:r>
      <w:r>
        <w:rPr>
          <w:spacing w:val="-5"/>
        </w:rPr>
        <w:t>性价比高、可选性多，适应各区域、多层次市场需求的产品，增加口岸城市产品供应，增加短线产品供应。</w:t>
      </w:r>
      <w:r>
        <w:rPr/>
        <w:t> </w:t>
      </w:r>
      <w:r>
        <w:rPr>
          <w:spacing w:val="-1"/>
        </w:rPr>
        <w:t>继续选择具有一定目的地优势与区域优势的优质批发商，通过并购或其他合作方式，进行深度合作，完善</w:t>
      </w:r>
      <w:r>
        <w:rPr>
          <w:spacing w:val="-83"/>
        </w:rPr>
        <w:t> </w:t>
      </w:r>
      <w:r>
        <w:rPr>
          <w:spacing w:val="-83"/>
        </w:rPr>
      </w:r>
      <w:r>
        <w:rPr/>
        <w:t>公司批发业务境内境外布局，进一步扩大批发业务市场份额和优势。</w:t>
      </w:r>
    </w:p>
    <w:p>
      <w:pPr>
        <w:pStyle w:val="Heading3"/>
        <w:spacing w:line="240" w:lineRule="auto" w:before="46"/>
        <w:ind w:left="576" w:right="0"/>
        <w:jc w:val="left"/>
        <w:rPr>
          <w:b w:val="0"/>
          <w:bCs w:val="0"/>
        </w:rPr>
      </w:pPr>
      <w:r>
        <w:rPr/>
        <w:t>（</w:t>
      </w:r>
      <w:r>
        <w:rPr>
          <w:rFonts w:ascii="Times New Roman" w:hAnsi="Times New Roman" w:cs="Times New Roman" w:eastAsia="Times New Roman" w:hint="default"/>
        </w:rPr>
        <w:t>2</w:t>
      </w:r>
      <w:r>
        <w:rPr/>
        <w:t>）零售业务方面，实现京津冀市场一体化布局运营，积极拓展上海市场，选择性布局部分二线城</w:t>
      </w:r>
      <w:r>
        <w:rPr>
          <w:b w:val="0"/>
          <w:bCs w:val="0"/>
        </w:rPr>
      </w:r>
    </w:p>
    <w:p>
      <w:pPr>
        <w:pStyle w:val="Heading3"/>
        <w:spacing w:line="240" w:lineRule="auto" w:before="177"/>
        <w:ind w:right="0"/>
        <w:jc w:val="both"/>
        <w:rPr>
          <w:b w:val="0"/>
          <w:bCs w:val="0"/>
        </w:rPr>
      </w:pPr>
      <w:r>
        <w:rPr>
          <w:w w:val="99"/>
        </w:rPr>
        <w:t>市</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0" w:firstLine="420"/>
        <w:jc w:val="left"/>
      </w:pPr>
      <w:r>
        <w:rPr>
          <w:spacing w:val="-6"/>
        </w:rPr>
        <w:t>积极在主要重点城市扩充零售网点，丰富门店功能，配合电子商务建设，建立上线下结合的服务体系。</w:t>
      </w:r>
      <w:r>
        <w:rPr/>
        <w:t> 实现京津冀市场一体化布局运营，积极拓展上海市场，选择性布局部分二线城市，成熟一地，发展一片，</w:t>
      </w:r>
      <w:r>
        <w:rPr>
          <w:spacing w:val="-34"/>
        </w:rPr>
        <w:t> </w:t>
      </w:r>
      <w:r>
        <w:rPr>
          <w:spacing w:val="-34"/>
        </w:rPr>
      </w:r>
      <w:r>
        <w:rPr/>
        <w:t>以点带面，推进全国实体零售市场体系建设。继续辅之以会员俱乐部、大客户推广、异业合作等方式拓展</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50"/>
        <w:jc w:val="both"/>
      </w:pPr>
      <w:r>
        <w:rPr>
          <w:spacing w:val="-1"/>
        </w:rPr>
        <w:t>零售业务，深挖老客户资源。根据零售市场需求产品特点，加强产品供给的丰富性、层次性，提升高性价</w:t>
      </w:r>
      <w:r>
        <w:rPr>
          <w:spacing w:val="-83"/>
        </w:rPr>
        <w:t> </w:t>
      </w:r>
      <w:r>
        <w:rPr>
          <w:spacing w:val="-83"/>
        </w:rPr>
      </w:r>
      <w:r>
        <w:rPr>
          <w:spacing w:val="-1"/>
        </w:rPr>
        <w:t>比产品和定制化产品比重，适当延长售卖期，提高单店产出与盈利能力。同时加强与公司发展的其他平台</w:t>
      </w:r>
      <w:r>
        <w:rPr>
          <w:spacing w:val="-83"/>
        </w:rPr>
        <w:t> </w:t>
      </w:r>
      <w:r>
        <w:rPr>
          <w:spacing w:val="-83"/>
        </w:rPr>
      </w:r>
      <w:r>
        <w:rPr/>
        <w:t>业务的协调布局、共促共进。</w:t>
      </w:r>
    </w:p>
    <w:p>
      <w:pPr>
        <w:pStyle w:val="Heading3"/>
        <w:spacing w:line="386" w:lineRule="auto" w:before="46"/>
        <w:ind w:left="153" w:right="198" w:firstLine="422"/>
        <w:jc w:val="both"/>
        <w:rPr>
          <w:b w:val="0"/>
          <w:bCs w:val="0"/>
        </w:rPr>
      </w:pPr>
      <w:r>
        <w:rPr/>
        <w:t>（</w:t>
      </w:r>
      <w:r>
        <w:rPr>
          <w:rFonts w:ascii="Times New Roman" w:hAnsi="Times New Roman" w:cs="Times New Roman" w:eastAsia="Times New Roman" w:hint="default"/>
        </w:rPr>
        <w:t>3</w:t>
      </w:r>
      <w:r>
        <w:rPr/>
        <w:t>）继续推进公司信息化建设与电子商务网络，构建前台与后台、线上线下相结合的管理与服务、</w:t>
      </w:r>
      <w:r>
        <w:rPr>
          <w:spacing w:val="1"/>
          <w:w w:val="99"/>
        </w:rPr>
        <w:t> </w:t>
      </w:r>
      <w:r>
        <w:rPr/>
        <w:t>销售体系</w:t>
      </w:r>
      <w:r>
        <w:rPr>
          <w:b w:val="0"/>
          <w:bCs w:val="0"/>
        </w:rPr>
      </w:r>
    </w:p>
    <w:p>
      <w:pPr>
        <w:pStyle w:val="BodyText"/>
        <w:spacing w:line="400" w:lineRule="auto" w:before="65"/>
        <w:ind w:left="153" w:right="150" w:firstLine="423"/>
        <w:jc w:val="both"/>
      </w:pPr>
      <w:r>
        <w:rPr/>
        <w:t>根据</w:t>
      </w:r>
      <w:r>
        <w:rPr>
          <w:rFonts w:ascii="Times New Roman" w:hAnsi="Times New Roman" w:cs="Times New Roman" w:eastAsia="Times New Roman" w:hint="default"/>
        </w:rPr>
        <w:t>“</w:t>
      </w:r>
      <w:r>
        <w:rPr/>
        <w:t>出境云</w:t>
      </w:r>
      <w:r>
        <w:rPr>
          <w:rFonts w:ascii="Times New Roman" w:hAnsi="Times New Roman" w:cs="Times New Roman" w:eastAsia="Times New Roman" w:hint="default"/>
        </w:rPr>
        <w:t>”</w:t>
      </w:r>
      <w:r>
        <w:rPr/>
        <w:t>大数据管理分析平台建设要求与进度安排，兼顾现行信息系统与电子商务系统建设的现 </w:t>
      </w:r>
      <w:r>
        <w:rPr>
          <w:spacing w:val="-1"/>
        </w:rPr>
        <w:t>实需要，协调推进公司的信息化建设与电子商务网络建设。强化自有电商平台建设，继续与第三方平台合</w:t>
      </w:r>
      <w:r>
        <w:rPr>
          <w:spacing w:val="-83"/>
        </w:rPr>
        <w:t> </w:t>
      </w:r>
      <w:r>
        <w:rPr>
          <w:spacing w:val="-83"/>
        </w:rPr>
      </w:r>
      <w:r>
        <w:rPr>
          <w:spacing w:val="-1"/>
        </w:rPr>
        <w:t>作，加强推广力度。通过优化系统，打通线上线下流程，持续优化数据，提升资源利用效率。同时，根据</w:t>
      </w:r>
      <w:r>
        <w:rPr>
          <w:spacing w:val="-85"/>
        </w:rPr>
        <w:t> </w:t>
      </w:r>
      <w:r>
        <w:rPr>
          <w:spacing w:val="-85"/>
        </w:rPr>
      </w:r>
      <w:r>
        <w:rPr/>
        <w:t>各服务平台业务的进展，对应开发与之相适应的电子商务支持系统。</w:t>
      </w:r>
    </w:p>
    <w:p>
      <w:pPr>
        <w:pStyle w:val="Heading3"/>
        <w:spacing w:line="240" w:lineRule="auto" w:before="52"/>
        <w:ind w:left="576" w:right="148"/>
        <w:jc w:val="left"/>
        <w:rPr>
          <w:b w:val="0"/>
          <w:bCs w:val="0"/>
        </w:rPr>
      </w:pPr>
      <w:r>
        <w:rPr/>
        <w:t>（</w:t>
      </w:r>
      <w:r>
        <w:rPr>
          <w:rFonts w:ascii="Times New Roman" w:hAnsi="Times New Roman" w:cs="Times New Roman" w:eastAsia="Times New Roman" w:hint="default"/>
        </w:rPr>
        <w:t>4</w:t>
      </w:r>
      <w:r>
        <w:rPr/>
        <w:t>）向上游资源端拓展，提高资源保障能力，落地目的地服务，扩大出境服务目的地优势</w:t>
      </w:r>
      <w:r>
        <w:rPr>
          <w:b w:val="0"/>
          <w:bCs w:val="0"/>
        </w:rPr>
      </w:r>
    </w:p>
    <w:p>
      <w:pPr>
        <w:pStyle w:val="BodyText"/>
        <w:spacing w:line="400" w:lineRule="auto" w:before="177"/>
        <w:ind w:left="153" w:right="150" w:firstLine="360"/>
        <w:jc w:val="both"/>
      </w:pPr>
      <w:r>
        <w:rPr>
          <w:rFonts w:ascii="Times New Roman" w:hAnsi="Times New Roman" w:cs="Times New Roman" w:eastAsia="Times New Roman" w:hint="default"/>
        </w:rPr>
        <w:t>2016</w:t>
      </w:r>
      <w:r>
        <w:rPr/>
        <w:t>年公司将更加注重向上游资源端的拓展，通过继续加强与上游资源方的战略合作，视情况提高直 </w:t>
      </w:r>
      <w:r>
        <w:rPr>
          <w:spacing w:val="-1"/>
        </w:rPr>
        <w:t>采比例，通过直接及外部合作股权投资等方式布局世界主要旅游目的地资源，直接掌控一些轻资产类的资</w:t>
      </w:r>
      <w:r>
        <w:rPr>
          <w:spacing w:val="-81"/>
        </w:rPr>
        <w:t> </w:t>
      </w:r>
      <w:r>
        <w:rPr>
          <w:spacing w:val="-81"/>
        </w:rPr>
      </w:r>
      <w:r>
        <w:rPr>
          <w:spacing w:val="-1"/>
        </w:rPr>
        <w:t>源，尽可能参与上游资源运营，加强资源掌控能力，提升出境游业务竞争力，为消费者提供有效的目的地</w:t>
      </w:r>
      <w:r>
        <w:rPr>
          <w:spacing w:val="-82"/>
        </w:rPr>
        <w:t> </w:t>
      </w:r>
      <w:r>
        <w:rPr>
          <w:spacing w:val="-82"/>
        </w:rPr>
      </w:r>
      <w:r>
        <w:rPr/>
        <w:t>服务，进一步完善海外目的地生活平台。</w:t>
      </w:r>
    </w:p>
    <w:p>
      <w:pPr>
        <w:spacing w:line="386" w:lineRule="auto" w:before="52"/>
        <w:ind w:left="576" w:right="13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匠人之心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理念，加强产品管控，优化产品品质</w:t>
      </w:r>
      <w:r>
        <w:rPr>
          <w:rFonts w:ascii="宋体" w:hAnsi="宋体" w:cs="宋体" w:eastAsia="宋体" w:hint="default"/>
          <w:b/>
          <w:bCs/>
          <w:spacing w:val="1"/>
          <w:w w:val="99"/>
          <w:sz w:val="21"/>
          <w:szCs w:val="21"/>
        </w:rPr>
        <w:t> </w:t>
      </w:r>
      <w:r>
        <w:rPr>
          <w:rFonts w:ascii="宋体" w:hAnsi="宋体" w:cs="宋体" w:eastAsia="宋体" w:hint="default"/>
          <w:sz w:val="21"/>
          <w:szCs w:val="21"/>
        </w:rPr>
        <w:t>继续加强产品管控，更加强调业务流程规范性、产品的标准化、人性化、精细化，以</w:t>
      </w:r>
      <w:r>
        <w:rPr>
          <w:rFonts w:ascii="Times New Roman" w:hAnsi="Times New Roman" w:cs="Times New Roman" w:eastAsia="Times New Roman" w:hint="default"/>
          <w:sz w:val="21"/>
          <w:szCs w:val="21"/>
        </w:rPr>
        <w:t>“</w:t>
      </w:r>
      <w:r>
        <w:rPr>
          <w:rFonts w:ascii="宋体" w:hAnsi="宋体" w:cs="宋体" w:eastAsia="宋体" w:hint="default"/>
          <w:sz w:val="21"/>
          <w:szCs w:val="21"/>
        </w:rPr>
        <w:t>匠人之心</w:t>
      </w:r>
      <w:r>
        <w:rPr>
          <w:rFonts w:ascii="Times New Roman" w:hAnsi="Times New Roman" w:cs="Times New Roman" w:eastAsia="Times New Roman" w:hint="default"/>
          <w:sz w:val="21"/>
          <w:szCs w:val="21"/>
        </w:rPr>
        <w:t>”</w:t>
      </w:r>
      <w:r>
        <w:rPr>
          <w:rFonts w:ascii="宋体" w:hAnsi="宋体" w:cs="宋体" w:eastAsia="宋体" w:hint="default"/>
          <w:sz w:val="21"/>
          <w:szCs w:val="21"/>
        </w:rPr>
        <w:t>精心</w:t>
      </w:r>
    </w:p>
    <w:p>
      <w:pPr>
        <w:pStyle w:val="BodyText"/>
        <w:spacing w:line="386" w:lineRule="auto" w:before="35"/>
        <w:ind w:left="153" w:right="151"/>
        <w:jc w:val="both"/>
      </w:pPr>
      <w:r>
        <w:rPr/>
        <w:t>打造</w:t>
      </w:r>
      <w:r>
        <w:rPr>
          <w:rFonts w:ascii="Times New Roman" w:hAnsi="Times New Roman" w:cs="Times New Roman" w:eastAsia="Times New Roman" w:hint="default"/>
        </w:rPr>
        <w:t>“</w:t>
      </w:r>
      <w:r>
        <w:rPr/>
        <w:t>众信制造</w:t>
      </w:r>
      <w:r>
        <w:rPr>
          <w:rFonts w:ascii="Times New Roman" w:hAnsi="Times New Roman" w:cs="Times New Roman" w:eastAsia="Times New Roman" w:hint="default"/>
        </w:rPr>
        <w:t>”</w:t>
      </w:r>
      <w:r>
        <w:rPr/>
        <w:t>旅游产品，对产品进行更为细致的主题系列分类，推出各类精品线路，进一步打造产品及 服务品牌。</w:t>
      </w:r>
    </w:p>
    <w:p>
      <w:pPr>
        <w:spacing w:line="386" w:lineRule="auto" w:before="65"/>
        <w:ind w:left="636" w:right="136" w:hanging="6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）继续大力发展商务会奖旅游业务</w:t>
      </w:r>
      <w:r>
        <w:rPr>
          <w:rFonts w:ascii="宋体" w:hAnsi="宋体" w:cs="宋体" w:eastAsia="宋体" w:hint="default"/>
          <w:b/>
          <w:bCs/>
          <w:w w:val="99"/>
          <w:sz w:val="21"/>
          <w:szCs w:val="21"/>
        </w:rPr>
        <w:t> </w:t>
      </w:r>
      <w:r>
        <w:rPr>
          <w:rFonts w:ascii="宋体" w:hAnsi="宋体" w:cs="宋体" w:eastAsia="宋体" w:hint="default"/>
          <w:spacing w:val="-2"/>
          <w:sz w:val="21"/>
          <w:szCs w:val="21"/>
        </w:rPr>
        <w:t>以现有网络为基础，进一步贴近客户，挖掘中小企业客户的消费需求，完善商务会奖业务布局，进一</w:t>
      </w:r>
    </w:p>
    <w:p>
      <w:pPr>
        <w:pStyle w:val="BodyText"/>
        <w:spacing w:line="240" w:lineRule="auto" w:before="65"/>
        <w:ind w:left="153" w:right="0"/>
        <w:jc w:val="both"/>
      </w:pPr>
      <w:r>
        <w:rPr>
          <w:spacing w:val="-5"/>
        </w:rPr>
        <w:t>步优化团队结构，提高大型项目承接能力，继续丰富客户类型，提高服务不同客户的能力，提升品牌形象。</w:t>
      </w:r>
    </w:p>
    <w:p>
      <w:pPr>
        <w:spacing w:line="240" w:lineRule="auto" w:before="10"/>
        <w:rPr>
          <w:rFonts w:ascii="宋体" w:hAnsi="宋体" w:cs="宋体" w:eastAsia="宋体" w:hint="default"/>
          <w:sz w:val="14"/>
          <w:szCs w:val="14"/>
        </w:rPr>
      </w:pPr>
    </w:p>
    <w:p>
      <w:pPr>
        <w:spacing w:line="408" w:lineRule="auto" w:before="0"/>
        <w:ind w:left="576" w:right="148" w:firstLine="0"/>
        <w:jc w:val="left"/>
        <w:rPr>
          <w:rFonts w:ascii="宋体" w:hAnsi="宋体" w:cs="宋体" w:eastAsia="宋体" w:hint="default"/>
          <w:sz w:val="21"/>
          <w:szCs w:val="21"/>
        </w:rPr>
      </w:pPr>
      <w:r>
        <w:rPr>
          <w:rFonts w:ascii="宋体" w:hAnsi="宋体" w:cs="宋体" w:eastAsia="宋体" w:hint="default"/>
          <w:b/>
          <w:bCs/>
          <w:sz w:val="21"/>
          <w:szCs w:val="21"/>
        </w:rPr>
        <w:t>（7）旅游金融、游学、移民、体育旅游、健康旅游等出境服务平台项目业务的发展与开展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年将继续加强和开展旅游金融、游学、移民、体育旅游、健康医疗等出境服务平台各项目业</w:t>
      </w:r>
    </w:p>
    <w:p>
      <w:pPr>
        <w:pStyle w:val="BodyText"/>
        <w:spacing w:line="408" w:lineRule="auto" w:before="14"/>
        <w:ind w:left="153" w:right="151"/>
        <w:jc w:val="both"/>
      </w:pPr>
      <w:r>
        <w:rPr>
          <w:spacing w:val="-1"/>
        </w:rPr>
        <w:t>务，根据各项目的市场发展情况，结合公司资金情况、人员储备、资源共享等多方面因素，进一步丰富出</w:t>
      </w:r>
      <w:r>
        <w:rPr>
          <w:spacing w:val="-83"/>
        </w:rPr>
        <w:t> </w:t>
      </w:r>
      <w:r>
        <w:rPr>
          <w:spacing w:val="-83"/>
        </w:rPr>
      </w:r>
      <w:r>
        <w:rPr/>
        <w:t>境综合服务平台内涵。</w:t>
      </w:r>
    </w:p>
    <w:p>
      <w:pPr>
        <w:spacing w:line="386" w:lineRule="auto" w:before="46"/>
        <w:ind w:left="576" w:right="14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）积极稳妥推进重大资产重组项目的完成，加强与携程及中信产业基金合作</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积极稳妥推进本次与华远国旅重大资产重组项目的完成，同时，通过本次重组携程将直接成为公司的</w:t>
      </w:r>
    </w:p>
    <w:p>
      <w:pPr>
        <w:pStyle w:val="BodyText"/>
        <w:spacing w:line="408" w:lineRule="auto" w:before="65"/>
        <w:ind w:left="153" w:right="151"/>
        <w:jc w:val="both"/>
      </w:pPr>
      <w:r>
        <w:rPr>
          <w:spacing w:val="-1"/>
        </w:rPr>
        <w:t>重要股东，公司将在与穷游、悠哉、要出发战略合作基础上，在出境游平台这一业务核心及出境服务各平</w:t>
      </w:r>
      <w:r>
        <w:rPr>
          <w:spacing w:val="-82"/>
        </w:rPr>
        <w:t> </w:t>
      </w:r>
      <w:r>
        <w:rPr>
          <w:spacing w:val="-82"/>
        </w:rPr>
      </w:r>
      <w:r>
        <w:rPr>
          <w:spacing w:val="-1"/>
        </w:rPr>
        <w:t>台上与携程深化股权及业务合作内容，进行产品研发、资源采购、分销、服务、线上线下层面对接等全方</w:t>
      </w:r>
      <w:r>
        <w:rPr>
          <w:spacing w:val="-83"/>
        </w:rPr>
        <w:t> </w:t>
      </w:r>
      <w:r>
        <w:rPr>
          <w:spacing w:val="-83"/>
        </w:rPr>
      </w:r>
      <w:r>
        <w:rPr/>
        <w:t>面深入合作，并将通过本次交易与中信产业基金进行更为密切的资本合作。</w:t>
      </w:r>
    </w:p>
    <w:p>
      <w:pPr>
        <w:spacing w:after="0" w:line="408" w:lineRule="auto"/>
        <w:jc w:val="both"/>
        <w:sectPr>
          <w:footerReference w:type="default" r:id="rId12"/>
          <w:pgSz w:w="11910" w:h="16840"/>
          <w:pgMar w:footer="982" w:header="877" w:top="1100" w:bottom="1180" w:left="980" w:right="980"/>
          <w:pgNumType w:start="3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2"/>
        <w:spacing w:line="240" w:lineRule="auto" w:before="26"/>
        <w:ind w:right="148"/>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谈论的主要内容：见巨潮资讯网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谈论的主要内容：见巨潮资讯网</w:t>
            </w:r>
          </w:p>
          <w:p>
            <w:pPr>
              <w:pStyle w:val="TableParagraph"/>
              <w:spacing w:line="240" w:lineRule="auto" w:before="116"/>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43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749"/>
        <w:jc w:val="center"/>
        <w:rPr>
          <w:b w:val="0"/>
          <w:bCs w:val="0"/>
        </w:rPr>
      </w:pPr>
      <w:bookmarkStart w:name="_TOC_250006" w:id="6"/>
      <w:r>
        <w:rPr/>
        <w:t>第五节</w:t>
      </w:r>
      <w:r>
        <w:rPr>
          <w:spacing w:val="-5"/>
        </w:rPr>
        <w:t> </w:t>
      </w:r>
      <w:r>
        <w:rPr/>
        <w:t>重要事项</w:t>
      </w:r>
      <w:bookmarkEnd w:id="6"/>
      <w:r>
        <w:rPr>
          <w:b w:val="0"/>
          <w:bCs w:val="0"/>
        </w:rPr>
      </w:r>
    </w:p>
    <w:p>
      <w:pPr>
        <w:spacing w:line="240" w:lineRule="auto" w:before="10"/>
        <w:rPr>
          <w:rFonts w:ascii="宋体" w:hAnsi="宋体" w:cs="宋体" w:eastAsia="宋体" w:hint="default"/>
          <w:b/>
          <w:bCs/>
          <w:sz w:val="44"/>
          <w:szCs w:val="44"/>
        </w:rPr>
      </w:pPr>
    </w:p>
    <w:p>
      <w:pPr>
        <w:pStyle w:val="Heading2"/>
        <w:spacing w:line="240" w:lineRule="auto"/>
        <w:ind w:right="148"/>
        <w:jc w:val="left"/>
        <w:rPr>
          <w:b w:val="0"/>
          <w:bCs w:val="0"/>
        </w:rPr>
      </w:pPr>
      <w:r>
        <w:rPr/>
        <w:t>一、公司普通股利润分配及资本公积金转增股本情况</w:t>
      </w:r>
      <w:r>
        <w:rPr>
          <w:b w:val="0"/>
          <w:bCs w:val="0"/>
        </w:rPr>
      </w:r>
    </w:p>
    <w:p>
      <w:pPr>
        <w:spacing w:before="202"/>
        <w:ind w:left="154" w:right="148"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240" w:lineRule="auto" w:before="10"/>
        <w:rPr>
          <w:rFonts w:ascii="宋体" w:hAnsi="宋体" w:cs="宋体" w:eastAsia="宋体" w:hint="default"/>
          <w:sz w:val="17"/>
          <w:szCs w:val="17"/>
        </w:rPr>
      </w:pPr>
    </w:p>
    <w:p>
      <w:pPr>
        <w:spacing w:before="0"/>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386" w:lineRule="auto" w:before="0"/>
        <w:ind w:right="149" w:firstLine="419"/>
        <w:jc w:val="both"/>
      </w:pPr>
      <w:r>
        <w:rPr>
          <w:spacing w:val="-1"/>
        </w:rPr>
        <w:t>本公司</w:t>
      </w:r>
      <w:r>
        <w:rPr>
          <w:rFonts w:ascii="Times New Roman" w:hAnsi="Times New Roman" w:cs="Times New Roman" w:eastAsia="Times New Roman" w:hint="default"/>
          <w:spacing w:val="-1"/>
        </w:rPr>
        <w:t>2014</w:t>
      </w:r>
      <w:r>
        <w:rPr>
          <w:spacing w:val="-1"/>
        </w:rPr>
        <w:t>年度权益分派方案已获</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5</w:t>
      </w:r>
      <w:r>
        <w:rPr>
          <w:spacing w:val="-1"/>
        </w:rPr>
        <w:t>日召开的</w:t>
      </w:r>
      <w:r>
        <w:rPr>
          <w:rFonts w:ascii="Times New Roman" w:hAnsi="Times New Roman" w:cs="Times New Roman" w:eastAsia="Times New Roman" w:hint="default"/>
          <w:spacing w:val="-1"/>
        </w:rPr>
        <w:t>2014</w:t>
      </w:r>
      <w:r>
        <w:rPr>
          <w:spacing w:val="-1"/>
        </w:rPr>
        <w:t>年度股东大会审议通过，</w:t>
      </w:r>
      <w:r>
        <w:rPr>
          <w:rFonts w:ascii="Times New Roman" w:hAnsi="Times New Roman" w:cs="Times New Roman" w:eastAsia="Times New Roman" w:hint="default"/>
          <w:spacing w:val="-1"/>
        </w:rPr>
        <w:t>2014</w:t>
      </w:r>
      <w:r>
        <w:rPr>
          <w:spacing w:val="-1"/>
        </w:rPr>
        <w:t>年度权益分</w:t>
      </w:r>
      <w:r>
        <w:rPr/>
        <w:t> </w:t>
      </w:r>
      <w:r>
        <w:rPr>
          <w:spacing w:val="-2"/>
        </w:rPr>
        <w:t>派方案为：以总股本</w:t>
      </w:r>
      <w:r>
        <w:rPr>
          <w:rFonts w:ascii="Times New Roman" w:hAnsi="Times New Roman" w:cs="Times New Roman" w:eastAsia="Times New Roman" w:hint="default"/>
          <w:spacing w:val="-2"/>
        </w:rPr>
        <w:t>69,489,165</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2.00</w:t>
      </w:r>
      <w:r>
        <w:rPr>
          <w:spacing w:val="-2"/>
        </w:rPr>
        <w:t>元人民币现金（含税）；同时，以资本</w:t>
      </w:r>
      <w:r>
        <w:rPr>
          <w:spacing w:val="-81"/>
        </w:rPr>
        <w:t> </w:t>
      </w:r>
      <w:r>
        <w:rPr>
          <w:spacing w:val="-81"/>
        </w:rPr>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股，共分配利润</w:t>
      </w:r>
      <w:r>
        <w:rPr>
          <w:rFonts w:ascii="Times New Roman" w:hAnsi="Times New Roman" w:cs="Times New Roman" w:eastAsia="Times New Roman" w:hint="default"/>
        </w:rPr>
        <w:t>13,897,833.00</w:t>
      </w:r>
      <w:r>
        <w:rPr/>
        <w:t>元，截至本报告公布日，本次利润分配已经 实施完毕。</w:t>
      </w:r>
    </w:p>
    <w:p>
      <w:pPr>
        <w:pStyle w:val="BodyText"/>
        <w:spacing w:line="386" w:lineRule="auto" w:before="65"/>
        <w:ind w:right="148" w:firstLine="419"/>
        <w:jc w:val="left"/>
      </w:pPr>
      <w:r>
        <w:rPr/>
        <w:pict>
          <v:shape style="position:absolute;margin-left:56.459999pt;margin-top:70.292809pt;width:479.1pt;height:172.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公司</w:t>
      </w:r>
      <w:r>
        <w:rPr>
          <w:rFonts w:ascii="Times New Roman" w:hAnsi="Times New Roman" w:cs="Times New Roman" w:eastAsia="Times New Roman" w:hint="default"/>
        </w:rPr>
        <w:t>2015</w:t>
      </w:r>
      <w:r>
        <w:rPr/>
        <w:t>年半年度权益分派方案已获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2015</w:t>
      </w:r>
      <w:r>
        <w:rPr/>
        <w:t>年第四次临时股东大会审议通过， </w:t>
      </w:r>
      <w:r>
        <w:rPr>
          <w:rFonts w:ascii="Times New Roman" w:hAnsi="Times New Roman" w:cs="Times New Roman" w:eastAsia="Times New Roman" w:hint="default"/>
          <w:spacing w:val="-1"/>
        </w:rPr>
        <w:t>2015</w:t>
      </w:r>
      <w:r>
        <w:rPr>
          <w:spacing w:val="-1"/>
        </w:rPr>
        <w:t>年半年度权益分派方案为：以公司现有总股本</w:t>
      </w:r>
      <w:r>
        <w:rPr>
          <w:rFonts w:ascii="Times New Roman" w:hAnsi="Times New Roman" w:cs="Times New Roman" w:eastAsia="Times New Roman" w:hint="default"/>
          <w:spacing w:val="-1"/>
        </w:rPr>
        <w:t>208,767,495</w:t>
      </w:r>
      <w:r>
        <w:rPr>
          <w:spacing w:val="-1"/>
        </w:rPr>
        <w:t>股为基数，以资本公积金向全体股东每</w:t>
      </w:r>
      <w:r>
        <w:rPr>
          <w:rFonts w:ascii="Times New Roman" w:hAnsi="Times New Roman" w:cs="Times New Roman" w:eastAsia="Times New Roman" w:hint="default"/>
          <w:spacing w:val="-1"/>
        </w:rPr>
        <w:t>10</w:t>
      </w:r>
      <w:r>
        <w:rPr>
          <w:spacing w:val="-1"/>
        </w:rPr>
        <w:t>股</w:t>
      </w:r>
      <w:r>
        <w:rPr>
          <w:spacing w:val="-82"/>
        </w:rPr>
        <w:t> </w:t>
      </w:r>
      <w:r>
        <w:rPr/>
        <w:t>转增</w:t>
      </w:r>
      <w:r>
        <w:rPr>
          <w:rFonts w:ascii="Times New Roman" w:hAnsi="Times New Roman" w:cs="Times New Roman" w:eastAsia="Times New Roman" w:hint="default"/>
        </w:rPr>
        <w:t>10.00</w:t>
      </w:r>
      <w:r>
        <w:rPr/>
        <w:t>股，截至本报告公布日，本次利润分配已经实施完毕。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386" w:lineRule="auto" w:before="35"/>
        <w:ind w:left="574" w:right="400" w:hanging="421"/>
        <w:jc w:val="left"/>
        <w:rPr>
          <w:rFonts w:ascii="宋体" w:hAnsi="宋体" w:cs="宋体" w:eastAsia="宋体" w:hint="default"/>
          <w:sz w:val="21"/>
          <w:szCs w:val="21"/>
        </w:rPr>
      </w:pPr>
      <w:r>
        <w:rPr>
          <w:rFonts w:ascii="宋体" w:hAnsi="宋体" w:cs="宋体" w:eastAsia="宋体" w:hint="default"/>
          <w:b/>
          <w:bCs/>
          <w:w w:val="99"/>
          <w:sz w:val="21"/>
          <w:szCs w:val="21"/>
        </w:rPr>
        <w:t>公司近</w:t>
      </w:r>
      <w:r>
        <w:rPr>
          <w:rFonts w:ascii="宋体" w:hAnsi="宋体" w:cs="宋体" w:eastAsia="宋体" w:hint="default"/>
          <w:b/>
          <w:bCs/>
          <w:spacing w:val="-51"/>
          <w:w w:val="99"/>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2"/>
          <w:w w:val="99"/>
          <w:sz w:val="21"/>
          <w:szCs w:val="21"/>
        </w:rPr>
        <w:t>年（包括本报告期）的普通股股利分配方案（预案）、资本公积金转增股本方案（预案）情况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年度权益分派方案：以公司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日首次公开发行股份并上市发行后的总股本</w:t>
      </w:r>
    </w:p>
    <w:p>
      <w:pPr>
        <w:pStyle w:val="BodyText"/>
        <w:spacing w:line="386" w:lineRule="auto" w:before="35"/>
        <w:ind w:left="574" w:right="148" w:hanging="421"/>
        <w:jc w:val="left"/>
      </w:pPr>
      <w:r>
        <w:rPr>
          <w:rFonts w:ascii="Times New Roman" w:hAnsi="Times New Roman" w:cs="Times New Roman" w:eastAsia="Times New Roman" w:hint="default"/>
          <w:spacing w:val="-4"/>
        </w:rPr>
        <w:t>58,290,000</w:t>
      </w:r>
      <w:r>
        <w:rPr>
          <w:spacing w:val="-4"/>
        </w:rPr>
        <w:t>股为基数，向全体股东每</w:t>
      </w:r>
      <w:r>
        <w:rPr>
          <w:rFonts w:ascii="Times New Roman" w:hAnsi="Times New Roman" w:cs="Times New Roman" w:eastAsia="Times New Roman" w:hint="default"/>
          <w:spacing w:val="-4"/>
        </w:rPr>
        <w:t>10</w:t>
      </w:r>
      <w:r>
        <w:rPr>
          <w:spacing w:val="-4"/>
        </w:rPr>
        <w:t>股派发现金股利人民币</w:t>
      </w:r>
      <w:r>
        <w:rPr>
          <w:rFonts w:ascii="Times New Roman" w:hAnsi="Times New Roman" w:cs="Times New Roman" w:eastAsia="Times New Roman" w:hint="default"/>
          <w:spacing w:val="-4"/>
        </w:rPr>
        <w:t>2.00</w:t>
      </w:r>
      <w:r>
        <w:rPr>
          <w:spacing w:val="-4"/>
        </w:rPr>
        <w:t>元（含税），共分配利润</w:t>
      </w:r>
      <w:r>
        <w:rPr>
          <w:rFonts w:ascii="Times New Roman" w:hAnsi="Times New Roman" w:cs="Times New Roman" w:eastAsia="Times New Roman" w:hint="default"/>
          <w:spacing w:val="-4"/>
        </w:rPr>
        <w:t>11,658,000.00</w:t>
      </w:r>
      <w:r>
        <w:rPr>
          <w:spacing w:val="-4"/>
        </w:rPr>
        <w:t>元。</w:t>
      </w:r>
      <w:r>
        <w:rPr>
          <w:spacing w:val="-102"/>
        </w:rPr>
        <w:t> </w:t>
      </w:r>
      <w:r>
        <w:rPr/>
        <w:t>公司</w:t>
      </w:r>
      <w:r>
        <w:rPr>
          <w:rFonts w:ascii="Times New Roman" w:hAnsi="Times New Roman" w:cs="Times New Roman" w:eastAsia="Times New Roman" w:hint="default"/>
        </w:rPr>
        <w:t>2014</w:t>
      </w:r>
      <w:r>
        <w:rPr/>
        <w:t>年度权益分派方案为：以总股本</w:t>
      </w:r>
      <w:r>
        <w:rPr>
          <w:rFonts w:ascii="Times New Roman" w:hAnsi="Times New Roman" w:cs="Times New Roman" w:eastAsia="Times New Roman" w:hint="default"/>
        </w:rPr>
        <w:t>69,489,165</w:t>
      </w:r>
      <w:r>
        <w:rPr/>
        <w:t>股为基数，向全体股东每</w:t>
      </w:r>
      <w:r>
        <w:rPr>
          <w:rFonts w:ascii="Times New Roman" w:hAnsi="Times New Roman" w:cs="Times New Roman" w:eastAsia="Times New Roman" w:hint="default"/>
        </w:rPr>
        <w:t>10</w:t>
      </w:r>
      <w:r>
        <w:rPr/>
        <w:t>股派发现金股利人民</w:t>
      </w:r>
    </w:p>
    <w:p>
      <w:pPr>
        <w:pStyle w:val="BodyText"/>
        <w:spacing w:line="386" w:lineRule="auto" w:before="35"/>
        <w:ind w:left="574" w:right="148" w:hanging="421"/>
        <w:jc w:val="left"/>
      </w:pPr>
      <w:r>
        <w:rPr/>
        <w:t>币</w:t>
      </w:r>
      <w:r>
        <w:rPr>
          <w:rFonts w:ascii="Times New Roman" w:hAnsi="Times New Roman" w:cs="Times New Roman" w:eastAsia="Times New Roman" w:hint="default"/>
        </w:rPr>
        <w:t>2.00</w:t>
      </w:r>
      <w:r>
        <w:rPr/>
        <w:t>元（含税），共分配利润</w:t>
      </w:r>
      <w:r>
        <w:rPr>
          <w:rFonts w:ascii="Times New Roman" w:hAnsi="Times New Roman" w:cs="Times New Roman" w:eastAsia="Times New Roman" w:hint="default"/>
        </w:rPr>
        <w:t>13,897,833.00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w:t>
      </w:r>
      <w:r>
        <w:rPr>
          <w:spacing w:val="-2"/>
        </w:rPr>
        <w:t> </w:t>
      </w:r>
      <w:r>
        <w:rPr>
          <w:spacing w:val="-1"/>
        </w:rPr>
        <w:t>公司</w:t>
      </w:r>
      <w:r>
        <w:rPr>
          <w:rFonts w:ascii="Times New Roman" w:hAnsi="Times New Roman" w:cs="Times New Roman" w:eastAsia="Times New Roman" w:hint="default"/>
          <w:spacing w:val="-1"/>
        </w:rPr>
        <w:t>2015</w:t>
      </w:r>
      <w:r>
        <w:rPr>
          <w:spacing w:val="-1"/>
        </w:rPr>
        <w:t>年半年度权益分派方案为：以公司现有总股本</w:t>
      </w:r>
      <w:r>
        <w:rPr>
          <w:rFonts w:ascii="Times New Roman" w:hAnsi="Times New Roman" w:cs="Times New Roman" w:eastAsia="Times New Roman" w:hint="default"/>
          <w:spacing w:val="-1"/>
        </w:rPr>
        <w:t>208,767,495</w:t>
      </w:r>
      <w:r>
        <w:rPr>
          <w:spacing w:val="-1"/>
        </w:rPr>
        <w:t>股为基数，以资本公积金向全体股</w:t>
      </w:r>
    </w:p>
    <w:p>
      <w:pPr>
        <w:pStyle w:val="BodyText"/>
        <w:spacing w:line="386" w:lineRule="auto" w:before="35"/>
        <w:ind w:left="574" w:right="148" w:hanging="420"/>
        <w:jc w:val="left"/>
      </w:pPr>
      <w:r>
        <w:rPr/>
        <w:t>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 </w:t>
      </w:r>
      <w:r>
        <w:rPr>
          <w:spacing w:val="-1"/>
        </w:rPr>
        <w:t>公司</w:t>
      </w:r>
      <w:r>
        <w:rPr>
          <w:rFonts w:ascii="Times New Roman" w:hAnsi="Times New Roman" w:cs="Times New Roman" w:eastAsia="Times New Roman" w:hint="default"/>
          <w:spacing w:val="-1"/>
        </w:rPr>
        <w:t>2015</w:t>
      </w:r>
      <w:r>
        <w:rPr>
          <w:spacing w:val="-1"/>
        </w:rPr>
        <w:t>年度权益分派方案为：以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日公司总股本</w:t>
      </w:r>
      <w:r>
        <w:rPr>
          <w:rFonts w:ascii="Times New Roman" w:hAnsi="Times New Roman" w:cs="Times New Roman" w:eastAsia="Times New Roman" w:hint="default"/>
          <w:spacing w:val="-1"/>
        </w:rPr>
        <w:t>417,484,590</w:t>
      </w:r>
      <w:r>
        <w:rPr>
          <w:spacing w:val="-1"/>
        </w:rPr>
        <w:t>股为基数（回购注销后），</w:t>
      </w:r>
    </w:p>
    <w:p>
      <w:pPr>
        <w:pStyle w:val="BodyText"/>
        <w:spacing w:line="240" w:lineRule="auto" w:before="35"/>
        <w:ind w:right="148"/>
        <w:jc w:val="left"/>
      </w:pPr>
      <w:r>
        <w:rPr/>
        <w:t>拟向全体股东每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w:t>
      </w:r>
      <w:r>
        <w:rPr/>
        <w:t>元（含税），共计分配现金股利</w:t>
      </w:r>
      <w:r>
        <w:rPr>
          <w:rFonts w:ascii="Times New Roman" w:hAnsi="Times New Roman" w:cs="Times New Roman" w:eastAsia="Times New Roman" w:hint="default"/>
        </w:rPr>
        <w:t>20,874,229.50</w:t>
      </w:r>
      <w:r>
        <w:rPr>
          <w:rFonts w:ascii="Times New Roman" w:hAnsi="Times New Roman" w:cs="Times New Roman" w:eastAsia="Times New Roman" w:hint="default"/>
          <w:spacing w:val="20"/>
        </w:rPr>
        <w:t> </w:t>
      </w:r>
      <w:r>
        <w:rPr/>
        <w:t>元，以资本公</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48"/>
        <w:jc w:val="left"/>
      </w:pPr>
      <w:r>
        <w:rPr/>
        <w:t>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44"/>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20,874,229.50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186,704,704.40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13,897,833.00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87,468,779.19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157" w:firstLine="0"/>
        <w:jc w:val="right"/>
        <w:rPr>
          <w:rFonts w:ascii="宋体" w:hAnsi="宋体" w:cs="宋体" w:eastAsia="宋体" w:hint="default"/>
          <w:sz w:val="18"/>
          <w:szCs w:val="18"/>
        </w:rPr>
      </w:pPr>
      <w:r>
        <w:rPr/>
        <w:pict>
          <v:shape style="position:absolute;margin-left:56.459999pt;margin-top:-346.367981pt;width:479.1pt;height:365.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417,484,590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20,874,229.50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359,209,311.72</w:t>
                        </w:r>
                      </w:p>
                    </w:tc>
                  </w:tr>
                  <w:tr>
                    <w:trPr>
                      <w:trHeight w:val="403"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8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89"/>
                          <w:ind w:left="22" w:right="20" w:firstLine="360"/>
                          <w:jc w:val="both"/>
                          <w:rPr>
                            <w:rFonts w:ascii="宋体" w:hAnsi="宋体" w:cs="宋体" w:eastAsia="宋体" w:hint="default"/>
                            <w:sz w:val="18"/>
                            <w:szCs w:val="18"/>
                          </w:rPr>
                        </w:pPr>
                        <w:r>
                          <w:rPr>
                            <w:rFonts w:ascii="宋体" w:hAnsi="宋体" w:cs="宋体" w:eastAsia="宋体" w:hint="default"/>
                            <w:spacing w:val="-1"/>
                            <w:sz w:val="18"/>
                            <w:szCs w:val="18"/>
                          </w:rPr>
                          <w:t>经北京中证天通会计师事务所（特殊普通合伙）审计（中证天通</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审字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1-1022</w:t>
                        </w:r>
                        <w:r>
                          <w:rPr>
                            <w:rFonts w:ascii="Times New Roman" w:hAnsi="Times New Roman" w:cs="Times New Roman" w:eastAsia="Times New Roman" w:hint="default"/>
                            <w:spacing w:val="3"/>
                            <w:sz w:val="18"/>
                            <w:szCs w:val="18"/>
                          </w:rPr>
                          <w:t> </w:t>
                        </w:r>
                        <w:r>
                          <w:rPr>
                            <w:rFonts w:ascii="宋体" w:hAnsi="宋体" w:cs="宋体" w:eastAsia="宋体" w:hint="default"/>
                            <w:spacing w:val="-17"/>
                            <w:sz w:val="18"/>
                            <w:szCs w:val="18"/>
                          </w:rPr>
                          <w:t>号），本公司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年度实现归属于 上市公司股东的净利润（合并数）</w:t>
                        </w:r>
                        <w:r>
                          <w:rPr>
                            <w:rFonts w:ascii="Times New Roman" w:hAnsi="Times New Roman" w:cs="Times New Roman" w:eastAsia="Times New Roman" w:hint="default"/>
                            <w:sz w:val="18"/>
                            <w:szCs w:val="18"/>
                          </w:rPr>
                          <w:t>186,704,704.40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元，母公司净利润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102,196,429.38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元。依据《公司法》及公司章程的有关</w:t>
                        </w:r>
                        <w:r>
                          <w:rPr>
                            <w:rFonts w:ascii="宋体" w:hAnsi="宋体" w:cs="宋体" w:eastAsia="宋体" w:hint="default"/>
                            <w:sz w:val="18"/>
                            <w:szCs w:val="18"/>
                          </w:rPr>
                          <w:t> 规定，拟定公司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年度利润分配方案如下：</w:t>
                        </w:r>
                      </w:p>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10,219,642,94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）提取法定盈余公积金后剩余利润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91,976,786.44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元，加以前年度累计未分配利润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267,232,525.28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年度可</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供股东分配的利润为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359,209,311.72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8"/>
                            <w:sz w:val="18"/>
                            <w:szCs w:val="18"/>
                          </w:rPr>
                          <w:t>）</w:t>
                        </w:r>
                        <w:r>
                          <w:rPr>
                            <w:rFonts w:ascii="宋体" w:hAnsi="宋体" w:cs="宋体" w:eastAsia="宋体" w:hint="default"/>
                            <w:sz w:val="18"/>
                            <w:szCs w:val="18"/>
                          </w:rPr>
                          <w:t>以公司截至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417,484,590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股</w:t>
                        </w:r>
                        <w:r>
                          <w:rPr>
                            <w:rFonts w:ascii="宋体" w:hAnsi="宋体" w:cs="宋体" w:eastAsia="宋体" w:hint="default"/>
                            <w:sz w:val="18"/>
                            <w:szCs w:val="18"/>
                          </w:rPr>
                          <w:t>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目前中登公司登记的公司总股本为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417,534,990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pacing w:val="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7"/>
          <w:szCs w:val="27"/>
        </w:rPr>
      </w:pPr>
    </w:p>
    <w:p>
      <w:pPr>
        <w:spacing w:line="2370"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481.95pt;height:118.5pt;mso-position-horizontal-relative:char;mso-position-vertical-relative:line" coordorigin="0,0" coordsize="9639,2370">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2361" coordorigin="10,5" coordsize="2,2361">
              <v:shape style="position:absolute;left:10;top:5;width:2;height:2361" coordorigin="10,5" coordsize="0,2361" path="m10,5l10,2365e" filled="false" stroked="true" strokeweight=".48001pt" strokecolor="#000000">
                <v:path arrowok="t"/>
              </v:shape>
            </v:group>
            <v:group style="position:absolute;left:5;top:2360;width:9568;height:2" coordorigin="5,2360" coordsize="9568,2">
              <v:shape style="position:absolute;left:5;top:2360;width:9568;height:2" coordorigin="5,2360" coordsize="9568,0" path="m5,2360l9572,2360e" filled="false" stroked="true" strokeweight=".47998pt" strokecolor="#000000">
                <v:path arrowok="t"/>
              </v:shape>
            </v:group>
            <v:group style="position:absolute;left:9577;top:5;width:2;height:2361" coordorigin="9577,5" coordsize="2,2361">
              <v:shape style="position:absolute;left:9577;top:5;width:2;height:2361" coordorigin="9577,5" coordsize="0,2361" path="m9577,5l9577,2365e" filled="false" stroked="true" strokeweight=".47998pt" strokecolor="#000000">
                <v:path arrowok="t"/>
              </v:shape>
              <v:shape style="position:absolute;left:0;top:0;width:9639;height:2370" type="#_x0000_t202" filled="false" stroked="false">
                <v:textbox inset="0,0,0,0">
                  <w:txbxContent>
                    <w:p>
                      <w:pPr>
                        <w:spacing w:before="103"/>
                        <w:ind w:left="37" w:right="0" w:firstLine="0"/>
                        <w:jc w:val="left"/>
                        <w:rPr>
                          <w:rFonts w:ascii="宋体" w:hAnsi="宋体" w:cs="宋体" w:eastAsia="宋体" w:hint="default"/>
                          <w:sz w:val="18"/>
                          <w:szCs w:val="18"/>
                        </w:rPr>
                      </w:pPr>
                      <w:r>
                        <w:rPr>
                          <w:rFonts w:ascii="宋体" w:hAnsi="宋体" w:cs="宋体" w:eastAsia="宋体" w:hint="default"/>
                          <w:sz w:val="18"/>
                          <w:szCs w:val="18"/>
                        </w:rPr>
                        <w:t>差额部分正在办理回购注销</w:t>
                      </w:r>
                      <w:r>
                        <w:rPr>
                          <w:rFonts w:ascii="Times New Roman" w:hAnsi="Times New Roman" w:cs="Times New Roman" w:eastAsia="Times New Roman" w:hint="default"/>
                          <w:sz w:val="18"/>
                          <w:szCs w:val="18"/>
                        </w:rPr>
                        <w:t>)</w:t>
                      </w:r>
                      <w:r>
                        <w:rPr>
                          <w:rFonts w:ascii="宋体" w:hAnsi="宋体" w:cs="宋体" w:eastAsia="宋体" w:hint="default"/>
                          <w:sz w:val="18"/>
                          <w:szCs w:val="18"/>
                        </w:rPr>
                        <w:t>，拟向全体股东每</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现金股利人民币</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w:t>
                      </w:r>
                      <w:r>
                        <w:rPr>
                          <w:rFonts w:ascii="宋体" w:hAnsi="宋体" w:cs="宋体" w:eastAsia="宋体" w:hint="default"/>
                          <w:spacing w:val="-2"/>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，共分配利润</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20,874,22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Times New Roman" w:hAnsi="Times New Roman" w:cs="Times New Roman" w:eastAsia="Times New Roman" w:hint="default"/>
                          <w:sz w:val="19"/>
                          <w:szCs w:val="19"/>
                        </w:rPr>
                      </w:pPr>
                    </w:p>
                    <w:p>
                      <w:pPr>
                        <w:spacing w:before="0"/>
                        <w:ind w:left="37" w:right="0" w:firstLine="0"/>
                        <w:jc w:val="left"/>
                        <w:rPr>
                          <w:rFonts w:ascii="宋体" w:hAnsi="宋体" w:cs="宋体" w:eastAsia="宋体" w:hint="default"/>
                          <w:sz w:val="18"/>
                          <w:szCs w:val="18"/>
                        </w:rPr>
                      </w:pPr>
                      <w:r>
                        <w:rPr>
                          <w:rFonts w:ascii="宋体" w:hAnsi="宋体" w:cs="宋体" w:eastAsia="宋体" w:hint="default"/>
                          <w:sz w:val="18"/>
                          <w:szCs w:val="18"/>
                        </w:rPr>
                        <w:t>利润分配后，剩余未分配利润 </w:t>
                      </w:r>
                      <w:r>
                        <w:rPr>
                          <w:rFonts w:ascii="Times New Roman" w:hAnsi="Times New Roman" w:cs="Times New Roman" w:eastAsia="Times New Roman" w:hint="default"/>
                          <w:sz w:val="18"/>
                          <w:szCs w:val="18"/>
                        </w:rPr>
                        <w:t>338,335,082.22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元转入下一年度；</w:t>
                      </w:r>
                    </w:p>
                    <w:p>
                      <w:pPr>
                        <w:spacing w:line="240" w:lineRule="auto" w:before="0"/>
                        <w:rPr>
                          <w:rFonts w:ascii="Times New Roman" w:hAnsi="Times New Roman" w:cs="Times New Roman" w:eastAsia="Times New Roman" w:hint="default"/>
                          <w:sz w:val="19"/>
                          <w:szCs w:val="19"/>
                        </w:rPr>
                      </w:pPr>
                    </w:p>
                    <w:p>
                      <w:pPr>
                        <w:spacing w:before="0"/>
                        <w:ind w:left="39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）拟以总股本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417,484,590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股为基数，以资本公积向全体股东每</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股转增</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 本次资本公积金转增股本完成</w:t>
                      </w:r>
                    </w:p>
                    <w:p>
                      <w:pPr>
                        <w:spacing w:line="470" w:lineRule="atLeast" w:before="0"/>
                        <w:ind w:left="37" w:right="0" w:firstLine="0"/>
                        <w:jc w:val="left"/>
                        <w:rPr>
                          <w:rFonts w:ascii="宋体" w:hAnsi="宋体" w:cs="宋体" w:eastAsia="宋体" w:hint="default"/>
                          <w:sz w:val="18"/>
                          <w:szCs w:val="18"/>
                        </w:rPr>
                      </w:pPr>
                      <w:r>
                        <w:rPr>
                          <w:rFonts w:ascii="宋体" w:hAnsi="宋体" w:cs="宋体" w:eastAsia="宋体" w:hint="default"/>
                          <w:sz w:val="18"/>
                          <w:szCs w:val="18"/>
                        </w:rPr>
                        <w:t>后，公司总股本由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417,484,590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股变更为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834,969,180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股。转增前，资本公积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697,047,387.45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元，转增股本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417,484,590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 转增后，尚余资本公积 </w:t>
                      </w:r>
                      <w:r>
                        <w:rPr>
                          <w:rFonts w:ascii="Times New Roman" w:hAnsi="Times New Roman" w:cs="Times New Roman" w:eastAsia="Times New Roman" w:hint="default"/>
                          <w:sz w:val="18"/>
                          <w:szCs w:val="18"/>
                        </w:rPr>
                        <w:t>279,562,797.45 </w:t>
                      </w:r>
                      <w:r>
                        <w:rPr>
                          <w:rFonts w:ascii="宋体" w:hAnsi="宋体" w:cs="宋体" w:eastAsia="宋体" w:hint="default"/>
                          <w:sz w:val="18"/>
                          <w:szCs w:val="18"/>
                        </w:rPr>
                        <w:t>元</w:t>
                      </w:r>
                      <w:r>
                        <w:rPr>
                          <w:rFonts w:ascii="宋体" w:hAnsi="宋体" w:cs="宋体" w:eastAsia="宋体" w:hint="default"/>
                          <w:spacing w:val="-47"/>
                          <w:sz w:val="18"/>
                          <w:szCs w:val="18"/>
                        </w:rPr>
                        <w:t> </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46"/>
          <w:sz w:val="20"/>
          <w:szCs w:val="20"/>
        </w:rPr>
      </w:r>
    </w:p>
    <w:p>
      <w:pPr>
        <w:spacing w:after="0" w:line="2370" w:lineRule="exact"/>
        <w:rPr>
          <w:rFonts w:ascii="Times New Roman" w:hAnsi="Times New Roman" w:cs="Times New Roman" w:eastAsia="Times New Roman" w:hint="default"/>
          <w:sz w:val="20"/>
          <w:szCs w:val="20"/>
        </w:rPr>
        <w:sectPr>
          <w:pgSz w:w="11910" w:h="16840"/>
          <w:pgMar w:header="877" w:footer="982" w:top="1100" w:bottom="1180" w:left="980" w:right="980"/>
        </w:sectPr>
      </w:pPr>
    </w:p>
    <w:p>
      <w:pPr>
        <w:pStyle w:val="Heading2"/>
        <w:spacing w:line="240" w:lineRule="auto" w:before="30"/>
        <w:ind w:left="219" w:right="0"/>
        <w:jc w:val="left"/>
        <w:rPr>
          <w:b w:val="0"/>
          <w:bCs w:val="0"/>
        </w:rPr>
      </w:pPr>
      <w:r>
        <w:rPr/>
        <w:pict>
          <v:group style="position:absolute;margin-left:70.490997pt;margin-top:2.25562pt;width:700.95pt;height:.1pt;mso-position-horizontal-relative:page;mso-position-vertical-relative:paragraph;z-index:-966688" coordorigin="1410,45" coordsize="14019,2">
            <v:shape style="position:absolute;left:1410;top:45;width:14019;height:2" coordorigin="1410,45" coordsize="14019,0" path="m1410,45l15428,45e" filled="false" stroked="true" strokeweight=".72pt" strokecolor="#000000">
              <v:path arrowok="t"/>
            </v:shape>
            <w10:wrap type="none"/>
          </v:group>
        </w:pict>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9"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2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401" w:hRule="exact"/>
        </w:trPr>
        <w:tc>
          <w:tcPr>
            <w:tcW w:w="11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1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6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23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98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62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6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收购报告</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vMerge w:val="restart"/>
            <w:tcBorders>
              <w:top w:val="single" w:sz="4" w:space="0" w:color="000000"/>
              <w:left w:val="single" w:sz="4" w:space="0" w:color="000000"/>
              <w:right w:val="single" w:sz="4" w:space="0" w:color="000000"/>
            </w:tcBorders>
          </w:tcPr>
          <w:p>
            <w:pPr/>
          </w:p>
        </w:tc>
        <w:tc>
          <w:tcPr>
            <w:tcW w:w="62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987" w:type="dxa"/>
            <w:vMerge w:val="restart"/>
            <w:tcBorders>
              <w:top w:val="single" w:sz="4" w:space="0" w:color="000000"/>
              <w:left w:val="single" w:sz="4" w:space="0" w:color="000000"/>
              <w:right w:val="single" w:sz="4" w:space="0" w:color="000000"/>
            </w:tcBorders>
          </w:tcPr>
          <w:p>
            <w:pPr/>
          </w:p>
        </w:tc>
      </w:tr>
      <w:tr>
        <w:trPr>
          <w:trHeight w:val="311"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书或权益</w:t>
            </w: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变动报告</w:t>
            </w: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书中所作</w:t>
            </w: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6" w:hRule="exact"/>
        </w:trPr>
        <w:tc>
          <w:tcPr>
            <w:tcW w:w="11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3" w:hRule="exact"/>
        </w:trPr>
        <w:tc>
          <w:tcPr>
            <w:tcW w:w="11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九泰基金管理有</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b/>
                <w:bCs/>
                <w:sz w:val="18"/>
                <w:szCs w:val="18"/>
              </w:rPr>
              <w:t>鉴于北京众信国际旅行社股份有限公司（以下简称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众信旅游</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）拟通过向竹</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时所作承</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z w:val="18"/>
                <w:szCs w:val="18"/>
              </w:rPr>
              <w:t>园国际旅行社有限公司（以下简称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竹园国旅</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）全体股东发行新股的方式，</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z w:val="18"/>
                <w:szCs w:val="18"/>
              </w:rPr>
              <w:t>收购竹园国旅</w:t>
            </w:r>
            <w:r>
              <w:rPr>
                <w:rFonts w:ascii="宋体" w:hAnsi="宋体" w:cs="宋体" w:eastAsia="宋体" w:hint="default"/>
                <w:b/>
                <w:bCs/>
                <w:spacing w:val="-42"/>
                <w:sz w:val="18"/>
                <w:szCs w:val="18"/>
              </w:rPr>
              <w:t> </w:t>
            </w:r>
            <w:r>
              <w:rPr>
                <w:rFonts w:ascii="Times New Roman" w:hAnsi="Times New Roman" w:cs="Times New Roman" w:eastAsia="Times New Roman" w:hint="default"/>
                <w:b/>
                <w:bCs/>
                <w:spacing w:val="-3"/>
                <w:sz w:val="18"/>
                <w:szCs w:val="18"/>
              </w:rPr>
              <w:t>70%</w:t>
            </w:r>
            <w:r>
              <w:rPr>
                <w:rFonts w:ascii="宋体" w:hAnsi="宋体" w:cs="宋体" w:eastAsia="宋体" w:hint="default"/>
                <w:b/>
                <w:bCs/>
                <w:spacing w:val="-3"/>
                <w:sz w:val="18"/>
                <w:szCs w:val="18"/>
              </w:rPr>
              <w:t>股权，同时向九泰基金管理有限公司（以下简称</w:t>
            </w:r>
            <w:r>
              <w:rPr>
                <w:rFonts w:ascii="Times New Roman" w:hAnsi="Times New Roman" w:cs="Times New Roman" w:eastAsia="Times New Roman" w:hint="default"/>
                <w:b/>
                <w:bCs/>
                <w:spacing w:val="-3"/>
                <w:sz w:val="18"/>
                <w:szCs w:val="18"/>
              </w:rPr>
              <w:t>“</w:t>
            </w:r>
            <w:r>
              <w:rPr>
                <w:rFonts w:ascii="宋体" w:hAnsi="宋体" w:cs="宋体" w:eastAsia="宋体" w:hint="default"/>
                <w:b/>
                <w:bCs/>
                <w:spacing w:val="-3"/>
                <w:sz w:val="18"/>
                <w:szCs w:val="18"/>
              </w:rPr>
              <w:t>本公司</w:t>
            </w:r>
            <w:r>
              <w:rPr>
                <w:rFonts w:ascii="Times New Roman" w:hAnsi="Times New Roman" w:cs="Times New Roman" w:eastAsia="Times New Roman" w:hint="default"/>
                <w:b/>
                <w:bCs/>
                <w:spacing w:val="-3"/>
                <w:sz w:val="18"/>
                <w:szCs w:val="18"/>
              </w:rPr>
              <w:t>”</w:t>
            </w:r>
            <w:r>
              <w:rPr>
                <w:rFonts w:ascii="宋体" w:hAnsi="宋体" w:cs="宋体" w:eastAsia="宋体" w:hint="default"/>
                <w:b/>
                <w:bCs/>
                <w:spacing w:val="-3"/>
                <w:sz w:val="18"/>
                <w:szCs w:val="18"/>
              </w:rPr>
              <w:t>）</w:t>
            </w:r>
            <w:r>
              <w:rPr>
                <w:rFonts w:ascii="宋体" w:hAnsi="宋体" w:cs="宋体" w:eastAsia="宋体" w:hint="default"/>
                <w:spacing w:val="-3"/>
                <w:sz w:val="18"/>
                <w:szCs w:val="18"/>
              </w:rPr>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3"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拟设</w:t>
            </w:r>
            <w:r>
              <w:rPr>
                <w:rFonts w:ascii="宋体" w:hAnsi="宋体" w:cs="宋体" w:eastAsia="宋体" w:hint="default"/>
                <w:b/>
                <w:bCs/>
                <w:w w:val="99"/>
                <w:sz w:val="18"/>
                <w:szCs w:val="18"/>
              </w:rPr>
              <w:t>立</w:t>
            </w:r>
            <w:r>
              <w:rPr>
                <w:rFonts w:ascii="宋体" w:hAnsi="宋体" w:cs="宋体" w:eastAsia="宋体" w:hint="default"/>
                <w:b/>
                <w:bCs/>
                <w:spacing w:val="1"/>
                <w:w w:val="99"/>
                <w:sz w:val="18"/>
                <w:szCs w:val="18"/>
              </w:rPr>
              <w:t>的</w:t>
            </w:r>
            <w:r>
              <w:rPr>
                <w:rFonts w:ascii="宋体" w:hAnsi="宋体" w:cs="宋体" w:eastAsia="宋体" w:hint="default"/>
                <w:b/>
                <w:bCs/>
                <w:w w:val="99"/>
                <w:sz w:val="18"/>
                <w:szCs w:val="18"/>
              </w:rPr>
              <w:t>资产</w:t>
            </w:r>
            <w:r>
              <w:rPr>
                <w:rFonts w:ascii="宋体" w:hAnsi="宋体" w:cs="宋体" w:eastAsia="宋体" w:hint="default"/>
                <w:b/>
                <w:bCs/>
                <w:spacing w:val="1"/>
                <w:w w:val="99"/>
                <w:sz w:val="18"/>
                <w:szCs w:val="18"/>
              </w:rPr>
              <w:t>管理</w:t>
            </w:r>
            <w:r>
              <w:rPr>
                <w:rFonts w:ascii="宋体" w:hAnsi="宋体" w:cs="宋体" w:eastAsia="宋体" w:hint="default"/>
                <w:b/>
                <w:bCs/>
                <w:w w:val="99"/>
                <w:sz w:val="18"/>
                <w:szCs w:val="18"/>
              </w:rPr>
              <w:t>计</w:t>
            </w:r>
            <w:r>
              <w:rPr>
                <w:rFonts w:ascii="宋体" w:hAnsi="宋体" w:cs="宋体" w:eastAsia="宋体" w:hint="default"/>
                <w:b/>
                <w:bCs/>
                <w:spacing w:val="1"/>
                <w:w w:val="99"/>
                <w:sz w:val="18"/>
                <w:szCs w:val="18"/>
              </w:rPr>
              <w:t>划</w:t>
            </w:r>
            <w:r>
              <w:rPr>
                <w:rFonts w:ascii="宋体" w:hAnsi="宋体" w:cs="宋体" w:eastAsia="宋体" w:hint="default"/>
                <w:b/>
                <w:bCs/>
                <w:w w:val="99"/>
                <w:sz w:val="18"/>
                <w:szCs w:val="18"/>
              </w:rPr>
              <w:t>定向</w:t>
            </w:r>
            <w:r>
              <w:rPr>
                <w:rFonts w:ascii="宋体" w:hAnsi="宋体" w:cs="宋体" w:eastAsia="宋体" w:hint="default"/>
                <w:b/>
                <w:bCs/>
                <w:spacing w:val="1"/>
                <w:w w:val="99"/>
                <w:sz w:val="18"/>
                <w:szCs w:val="18"/>
              </w:rPr>
              <w:t>发行</w:t>
            </w:r>
            <w:r>
              <w:rPr>
                <w:rFonts w:ascii="宋体" w:hAnsi="宋体" w:cs="宋体" w:eastAsia="宋体" w:hint="default"/>
                <w:b/>
                <w:bCs/>
                <w:w w:val="99"/>
                <w:sz w:val="18"/>
                <w:szCs w:val="18"/>
              </w:rPr>
              <w:t>股</w:t>
            </w:r>
            <w:r>
              <w:rPr>
                <w:rFonts w:ascii="宋体" w:hAnsi="宋体" w:cs="宋体" w:eastAsia="宋体" w:hint="default"/>
                <w:b/>
                <w:bCs/>
                <w:spacing w:val="1"/>
                <w:w w:val="99"/>
                <w:sz w:val="18"/>
                <w:szCs w:val="18"/>
              </w:rPr>
              <w:t>份</w:t>
            </w:r>
            <w:r>
              <w:rPr>
                <w:rFonts w:ascii="宋体" w:hAnsi="宋体" w:cs="宋体" w:eastAsia="宋体" w:hint="default"/>
                <w:b/>
                <w:bCs/>
                <w:w w:val="99"/>
                <w:sz w:val="18"/>
                <w:szCs w:val="18"/>
              </w:rPr>
              <w:t>募集</w:t>
            </w:r>
            <w:r>
              <w:rPr>
                <w:rFonts w:ascii="宋体" w:hAnsi="宋体" w:cs="宋体" w:eastAsia="宋体" w:hint="default"/>
                <w:b/>
                <w:bCs/>
                <w:spacing w:val="1"/>
                <w:w w:val="99"/>
                <w:sz w:val="18"/>
                <w:szCs w:val="18"/>
              </w:rPr>
              <w:t>配套</w:t>
            </w:r>
            <w:r>
              <w:rPr>
                <w:rFonts w:ascii="宋体" w:hAnsi="宋体" w:cs="宋体" w:eastAsia="宋体" w:hint="default"/>
                <w:b/>
                <w:bCs/>
                <w:w w:val="99"/>
                <w:sz w:val="18"/>
                <w:szCs w:val="18"/>
              </w:rPr>
              <w:t>资</w:t>
            </w:r>
            <w:r>
              <w:rPr>
                <w:rFonts w:ascii="宋体" w:hAnsi="宋体" w:cs="宋体" w:eastAsia="宋体" w:hint="default"/>
                <w:b/>
                <w:bCs/>
                <w:spacing w:val="1"/>
                <w:w w:val="99"/>
                <w:sz w:val="18"/>
                <w:szCs w:val="18"/>
              </w:rPr>
              <w:t>金</w:t>
            </w:r>
            <w:r>
              <w:rPr>
                <w:rFonts w:ascii="宋体" w:hAnsi="宋体" w:cs="宋体" w:eastAsia="宋体" w:hint="default"/>
                <w:b/>
                <w:bCs/>
                <w:w w:val="99"/>
                <w:sz w:val="18"/>
                <w:szCs w:val="18"/>
              </w:rPr>
              <w:t>（以</w:t>
            </w:r>
            <w:r>
              <w:rPr>
                <w:rFonts w:ascii="宋体" w:hAnsi="宋体" w:cs="宋体" w:eastAsia="宋体" w:hint="default"/>
                <w:b/>
                <w:bCs/>
                <w:spacing w:val="1"/>
                <w:w w:val="99"/>
                <w:sz w:val="18"/>
                <w:szCs w:val="18"/>
              </w:rPr>
              <w:t>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次重</w:t>
            </w:r>
            <w:r>
              <w:rPr>
                <w:rFonts w:ascii="宋体" w:hAnsi="宋体" w:cs="宋体" w:eastAsia="宋体" w:hint="default"/>
                <w:b/>
                <w:bCs/>
                <w:spacing w:val="1"/>
                <w:w w:val="99"/>
                <w:sz w:val="18"/>
                <w:szCs w:val="18"/>
              </w:rPr>
              <w:t>组</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b/>
                <w:bCs/>
                <w:sz w:val="18"/>
                <w:szCs w:val="18"/>
              </w:rPr>
              <w:t>本次重组完成后，本公司将成为众信旅游股东，现作出如下确认和承诺：</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一、本公司拟设立资产管理计划认购本次交易中众信旅游锁价发行的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1,471,309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股股票，认购金额为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二、本公司拟设立的资产管理计划的资金来源为认购方自有资金，最终出资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不存在任何杠杆融资结构化设计产品，不存在代持，不存在来源于众信旅游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及其现任董事、监事和高级管理人员的情况。</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三、本公司及本公司董事、监事、高级管理人员不存在泄露本次重组事宜的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相关内幕信息及利用该内幕信息进行内幕交易的情形。</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76"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本公司若违反上述承诺，将承担因此而给众信旅游造成的一切损失。</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深圳前海瑞联一</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鉴于北京众信国际旅行社股份有限公司（以下简称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众信旅游</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）拟通过向竹</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号投资中心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z w:val="18"/>
                <w:szCs w:val="18"/>
              </w:rPr>
              <w:t>园国际旅行社有限公司（以下简称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竹园国旅</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）全体股东发行新股的方式，</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53" w:hRule="exact"/>
        </w:trPr>
        <w:tc>
          <w:tcPr>
            <w:tcW w:w="110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收购</w:t>
            </w:r>
            <w:r>
              <w:rPr>
                <w:rFonts w:ascii="宋体" w:hAnsi="宋体" w:cs="宋体" w:eastAsia="宋体" w:hint="default"/>
                <w:b/>
                <w:bCs/>
                <w:w w:val="99"/>
                <w:sz w:val="18"/>
                <w:szCs w:val="18"/>
              </w:rPr>
              <w:t>竹</w:t>
            </w:r>
            <w:r>
              <w:rPr>
                <w:rFonts w:ascii="宋体" w:hAnsi="宋体" w:cs="宋体" w:eastAsia="宋体" w:hint="default"/>
                <w:b/>
                <w:bCs/>
                <w:spacing w:val="1"/>
                <w:w w:val="99"/>
                <w:sz w:val="18"/>
                <w:szCs w:val="18"/>
              </w:rPr>
              <w:t>园</w:t>
            </w:r>
            <w:r>
              <w:rPr>
                <w:rFonts w:ascii="宋体" w:hAnsi="宋体" w:cs="宋体" w:eastAsia="宋体" w:hint="default"/>
                <w:b/>
                <w:bCs/>
                <w:w w:val="99"/>
                <w:sz w:val="18"/>
                <w:szCs w:val="18"/>
              </w:rPr>
              <w:t>国旅</w:t>
            </w:r>
            <w:r>
              <w:rPr>
                <w:rFonts w:ascii="宋体" w:hAnsi="宋体" w:cs="宋体" w:eastAsia="宋体" w:hint="default"/>
                <w:b/>
                <w:bCs/>
                <w:spacing w:val="-44"/>
                <w:sz w:val="18"/>
                <w:szCs w:val="18"/>
              </w:rPr>
              <w:t> </w:t>
            </w:r>
            <w:r>
              <w:rPr>
                <w:rFonts w:ascii="Times New Roman" w:hAnsi="Times New Roman" w:cs="Times New Roman" w:eastAsia="Times New Roman" w:hint="default"/>
                <w:b/>
                <w:bCs/>
                <w:spacing w:val="-2"/>
                <w:sz w:val="18"/>
                <w:szCs w:val="18"/>
              </w:rPr>
              <w:t>7</w:t>
            </w:r>
            <w:r>
              <w:rPr>
                <w:rFonts w:ascii="Times New Roman" w:hAnsi="Times New Roman" w:cs="Times New Roman" w:eastAsia="Times New Roman" w:hint="default"/>
                <w:b/>
                <w:bCs/>
                <w:sz w:val="18"/>
                <w:szCs w:val="18"/>
              </w:rPr>
              <w:t>0</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1"/>
                <w:w w:val="99"/>
                <w:sz w:val="18"/>
                <w:szCs w:val="18"/>
              </w:rPr>
              <w:t>股权</w:t>
            </w:r>
            <w:r>
              <w:rPr>
                <w:rFonts w:ascii="宋体" w:hAnsi="宋体" w:cs="宋体" w:eastAsia="宋体" w:hint="default"/>
                <w:b/>
                <w:bCs/>
                <w:spacing w:val="-26"/>
                <w:w w:val="99"/>
                <w:sz w:val="18"/>
                <w:szCs w:val="18"/>
              </w:rPr>
              <w:t>，</w:t>
            </w:r>
            <w:r>
              <w:rPr>
                <w:rFonts w:ascii="宋体" w:hAnsi="宋体" w:cs="宋体" w:eastAsia="宋体" w:hint="default"/>
                <w:b/>
                <w:bCs/>
                <w:spacing w:val="1"/>
                <w:w w:val="99"/>
                <w:sz w:val="18"/>
                <w:szCs w:val="18"/>
              </w:rPr>
              <w:t>同</w:t>
            </w:r>
            <w:r>
              <w:rPr>
                <w:rFonts w:ascii="宋体" w:hAnsi="宋体" w:cs="宋体" w:eastAsia="宋体" w:hint="default"/>
                <w:b/>
                <w:bCs/>
                <w:w w:val="99"/>
                <w:sz w:val="18"/>
                <w:szCs w:val="18"/>
              </w:rPr>
              <w:t>时</w:t>
            </w:r>
            <w:r>
              <w:rPr>
                <w:rFonts w:ascii="宋体" w:hAnsi="宋体" w:cs="宋体" w:eastAsia="宋体" w:hint="default"/>
                <w:b/>
                <w:bCs/>
                <w:spacing w:val="1"/>
                <w:w w:val="99"/>
                <w:sz w:val="18"/>
                <w:szCs w:val="18"/>
              </w:rPr>
              <w:t>向深</w:t>
            </w:r>
            <w:r>
              <w:rPr>
                <w:rFonts w:ascii="宋体" w:hAnsi="宋体" w:cs="宋体" w:eastAsia="宋体" w:hint="default"/>
                <w:b/>
                <w:bCs/>
                <w:w w:val="99"/>
                <w:sz w:val="18"/>
                <w:szCs w:val="18"/>
              </w:rPr>
              <w:t>圳</w:t>
            </w:r>
            <w:r>
              <w:rPr>
                <w:rFonts w:ascii="宋体" w:hAnsi="宋体" w:cs="宋体" w:eastAsia="宋体" w:hint="default"/>
                <w:b/>
                <w:bCs/>
                <w:spacing w:val="1"/>
                <w:w w:val="99"/>
                <w:sz w:val="18"/>
                <w:szCs w:val="18"/>
              </w:rPr>
              <w:t>前</w:t>
            </w:r>
            <w:r>
              <w:rPr>
                <w:rFonts w:ascii="宋体" w:hAnsi="宋体" w:cs="宋体" w:eastAsia="宋体" w:hint="default"/>
                <w:b/>
                <w:bCs/>
                <w:w w:val="99"/>
                <w:sz w:val="18"/>
                <w:szCs w:val="18"/>
              </w:rPr>
              <w:t>海瑞</w:t>
            </w:r>
            <w:r>
              <w:rPr>
                <w:rFonts w:ascii="宋体" w:hAnsi="宋体" w:cs="宋体" w:eastAsia="宋体" w:hint="default"/>
                <w:b/>
                <w:bCs/>
                <w:spacing w:val="1"/>
                <w:w w:val="99"/>
                <w:sz w:val="18"/>
                <w:szCs w:val="18"/>
              </w:rPr>
              <w:t>联一</w:t>
            </w:r>
            <w:r>
              <w:rPr>
                <w:rFonts w:ascii="宋体" w:hAnsi="宋体" w:cs="宋体" w:eastAsia="宋体" w:hint="default"/>
                <w:b/>
                <w:bCs/>
                <w:w w:val="99"/>
                <w:sz w:val="18"/>
                <w:szCs w:val="18"/>
              </w:rPr>
              <w:t>号</w:t>
            </w:r>
            <w:r>
              <w:rPr>
                <w:rFonts w:ascii="宋体" w:hAnsi="宋体" w:cs="宋体" w:eastAsia="宋体" w:hint="default"/>
                <w:b/>
                <w:bCs/>
                <w:spacing w:val="1"/>
                <w:w w:val="99"/>
                <w:sz w:val="18"/>
                <w:szCs w:val="18"/>
              </w:rPr>
              <w:t>投</w:t>
            </w:r>
            <w:r>
              <w:rPr>
                <w:rFonts w:ascii="宋体" w:hAnsi="宋体" w:cs="宋体" w:eastAsia="宋体" w:hint="default"/>
                <w:b/>
                <w:bCs/>
                <w:w w:val="99"/>
                <w:sz w:val="18"/>
                <w:szCs w:val="18"/>
              </w:rPr>
              <w:t>资中</w:t>
            </w:r>
            <w:r>
              <w:rPr>
                <w:rFonts w:ascii="宋体" w:hAnsi="宋体" w:cs="宋体" w:eastAsia="宋体" w:hint="default"/>
                <w:b/>
                <w:bCs/>
                <w:spacing w:val="-26"/>
                <w:w w:val="99"/>
                <w:sz w:val="18"/>
                <w:szCs w:val="18"/>
              </w:rPr>
              <w:t>心</w:t>
            </w:r>
            <w:r>
              <w:rPr>
                <w:rFonts w:ascii="宋体" w:hAnsi="宋体" w:cs="宋体" w:eastAsia="宋体" w:hint="default"/>
                <w:b/>
                <w:bCs/>
                <w:spacing w:val="1"/>
                <w:w w:val="99"/>
                <w:sz w:val="18"/>
                <w:szCs w:val="18"/>
              </w:rPr>
              <w:t>（有</w:t>
            </w:r>
            <w:r>
              <w:rPr>
                <w:rFonts w:ascii="宋体" w:hAnsi="宋体" w:cs="宋体" w:eastAsia="宋体" w:hint="default"/>
                <w:b/>
                <w:bCs/>
                <w:w w:val="99"/>
                <w:sz w:val="18"/>
                <w:szCs w:val="18"/>
              </w:rPr>
              <w:t>限</w:t>
            </w:r>
            <w:r>
              <w:rPr>
                <w:rFonts w:ascii="宋体" w:hAnsi="宋体" w:cs="宋体" w:eastAsia="宋体" w:hint="default"/>
                <w:b/>
                <w:bCs/>
                <w:spacing w:val="1"/>
                <w:w w:val="99"/>
                <w:sz w:val="18"/>
                <w:szCs w:val="18"/>
              </w:rPr>
              <w:t>合</w:t>
            </w:r>
            <w:r>
              <w:rPr>
                <w:rFonts w:ascii="宋体" w:hAnsi="宋体" w:cs="宋体" w:eastAsia="宋体" w:hint="default"/>
                <w:b/>
                <w:bCs/>
                <w:w w:val="99"/>
                <w:sz w:val="18"/>
                <w:szCs w:val="18"/>
              </w:rPr>
              <w:t>伙</w:t>
            </w:r>
            <w:r>
              <w:rPr>
                <w:rFonts w:ascii="宋体" w:hAnsi="宋体" w:cs="宋体" w:eastAsia="宋体" w:hint="default"/>
                <w:b/>
                <w:bCs/>
                <w:spacing w:val="-117"/>
                <w:w w:val="99"/>
                <w:sz w:val="18"/>
                <w:szCs w:val="18"/>
              </w:rPr>
              <w:t>）</w:t>
            </w:r>
            <w:r>
              <w:rPr>
                <w:rFonts w:ascii="宋体" w:hAnsi="宋体" w:cs="宋体" w:eastAsia="宋体" w:hint="default"/>
                <w:b/>
                <w:bCs/>
                <w:spacing w:val="2"/>
                <w:w w:val="99"/>
                <w:sz w:val="18"/>
                <w:szCs w:val="18"/>
              </w:rPr>
              <w:t>（以</w:t>
            </w:r>
            <w:r>
              <w:rPr>
                <w:rFonts w:ascii="宋体" w:hAnsi="宋体" w:cs="宋体" w:eastAsia="宋体" w:hint="default"/>
                <w:sz w:val="18"/>
                <w:szCs w:val="18"/>
              </w:rPr>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bl>
    <w:p>
      <w:pPr>
        <w:spacing w:after="0" w:line="240" w:lineRule="auto"/>
        <w:jc w:val="left"/>
        <w:rPr>
          <w:rFonts w:ascii="宋体" w:hAnsi="宋体" w:cs="宋体" w:eastAsia="宋体" w:hint="default"/>
          <w:sz w:val="18"/>
          <w:szCs w:val="18"/>
        </w:rPr>
        <w:sectPr>
          <w:headerReference w:type="default" r:id="rId14"/>
          <w:footerReference w:type="default" r:id="rId15"/>
          <w:pgSz w:w="16840" w:h="11910" w:orient="landscape"/>
          <w:pgMar w:header="867" w:footer="978" w:top="1060" w:bottom="1160" w:left="1220" w:right="820"/>
          <w:pgNumType w:start="4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下简称</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1"/>
                <w:w w:val="99"/>
                <w:sz w:val="18"/>
                <w:szCs w:val="18"/>
              </w:rPr>
              <w:t>本</w:t>
            </w:r>
            <w:r>
              <w:rPr>
                <w:rFonts w:ascii="宋体" w:hAnsi="宋体" w:cs="宋体" w:eastAsia="宋体" w:hint="default"/>
                <w:b/>
                <w:bCs/>
                <w:w w:val="99"/>
                <w:sz w:val="18"/>
                <w:szCs w:val="18"/>
              </w:rPr>
              <w:t>合伙</w:t>
            </w:r>
            <w:r>
              <w:rPr>
                <w:rFonts w:ascii="宋体" w:hAnsi="宋体" w:cs="宋体" w:eastAsia="宋体" w:hint="default"/>
                <w:b/>
                <w:bCs/>
                <w:spacing w:val="1"/>
                <w:w w:val="99"/>
                <w:sz w:val="18"/>
                <w:szCs w:val="18"/>
              </w:rPr>
              <w:t>企业</w:t>
            </w:r>
            <w:r>
              <w:rPr>
                <w:rFonts w:ascii="Times New Roman" w:hAnsi="Times New Roman" w:cs="Times New Roman" w:eastAsia="Times New Roman" w:hint="default"/>
                <w:b/>
                <w:bCs/>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定</w:t>
            </w:r>
            <w:r>
              <w:rPr>
                <w:rFonts w:ascii="宋体" w:hAnsi="宋体" w:cs="宋体" w:eastAsia="宋体" w:hint="default"/>
                <w:b/>
                <w:bCs/>
                <w:w w:val="99"/>
                <w:sz w:val="18"/>
                <w:szCs w:val="18"/>
              </w:rPr>
              <w:t>向发</w:t>
            </w:r>
            <w:r>
              <w:rPr>
                <w:rFonts w:ascii="宋体" w:hAnsi="宋体" w:cs="宋体" w:eastAsia="宋体" w:hint="default"/>
                <w:b/>
                <w:bCs/>
                <w:spacing w:val="1"/>
                <w:w w:val="99"/>
                <w:sz w:val="18"/>
                <w:szCs w:val="18"/>
              </w:rPr>
              <w:t>行股</w:t>
            </w:r>
            <w:r>
              <w:rPr>
                <w:rFonts w:ascii="宋体" w:hAnsi="宋体" w:cs="宋体" w:eastAsia="宋体" w:hint="default"/>
                <w:b/>
                <w:bCs/>
                <w:w w:val="99"/>
                <w:sz w:val="18"/>
                <w:szCs w:val="18"/>
              </w:rPr>
              <w:t>份</w:t>
            </w:r>
            <w:r>
              <w:rPr>
                <w:rFonts w:ascii="宋体" w:hAnsi="宋体" w:cs="宋体" w:eastAsia="宋体" w:hint="default"/>
                <w:b/>
                <w:bCs/>
                <w:spacing w:val="1"/>
                <w:w w:val="99"/>
                <w:sz w:val="18"/>
                <w:szCs w:val="18"/>
              </w:rPr>
              <w:t>募</w:t>
            </w:r>
            <w:r>
              <w:rPr>
                <w:rFonts w:ascii="宋体" w:hAnsi="宋体" w:cs="宋体" w:eastAsia="宋体" w:hint="default"/>
                <w:b/>
                <w:bCs/>
                <w:w w:val="99"/>
                <w:sz w:val="18"/>
                <w:szCs w:val="18"/>
              </w:rPr>
              <w:t>集配</w:t>
            </w:r>
            <w:r>
              <w:rPr>
                <w:rFonts w:ascii="宋体" w:hAnsi="宋体" w:cs="宋体" w:eastAsia="宋体" w:hint="default"/>
                <w:b/>
                <w:bCs/>
                <w:spacing w:val="1"/>
                <w:w w:val="99"/>
                <w:sz w:val="18"/>
                <w:szCs w:val="18"/>
              </w:rPr>
              <w:t>套资</w:t>
            </w:r>
            <w:r>
              <w:rPr>
                <w:rFonts w:ascii="宋体" w:hAnsi="宋体" w:cs="宋体" w:eastAsia="宋体" w:hint="default"/>
                <w:b/>
                <w:bCs/>
                <w:w w:val="99"/>
                <w:sz w:val="18"/>
                <w:szCs w:val="18"/>
              </w:rPr>
              <w:t>金</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以下</w:t>
            </w:r>
            <w:r>
              <w:rPr>
                <w:rFonts w:ascii="宋体" w:hAnsi="宋体" w:cs="宋体" w:eastAsia="宋体" w:hint="default"/>
                <w:b/>
                <w:bCs/>
                <w:spacing w:val="1"/>
                <w:w w:val="99"/>
                <w:sz w:val="18"/>
                <w:szCs w:val="18"/>
              </w:rPr>
              <w:t>简称</w:t>
            </w:r>
            <w:r>
              <w:rPr>
                <w:rFonts w:ascii="Times New Roman" w:hAnsi="Times New Roman" w:cs="Times New Roman" w:eastAsia="Times New Roman" w:hint="default"/>
                <w:b/>
                <w:bCs/>
                <w:sz w:val="18"/>
                <w:szCs w:val="18"/>
              </w:rPr>
              <w:t>“</w:t>
            </w:r>
            <w:r>
              <w:rPr>
                <w:rFonts w:ascii="宋体" w:hAnsi="宋体" w:cs="宋体" w:eastAsia="宋体" w:hint="default"/>
                <w:b/>
                <w:bCs/>
                <w:w w:val="99"/>
                <w:sz w:val="18"/>
                <w:szCs w:val="18"/>
              </w:rPr>
              <w:t>本</w:t>
            </w:r>
            <w:r>
              <w:rPr>
                <w:rFonts w:ascii="宋体" w:hAnsi="宋体" w:cs="宋体" w:eastAsia="宋体" w:hint="default"/>
                <w:b/>
                <w:bCs/>
                <w:spacing w:val="1"/>
                <w:w w:val="99"/>
                <w:sz w:val="18"/>
                <w:szCs w:val="18"/>
              </w:rPr>
              <w:t>次</w:t>
            </w:r>
            <w:r>
              <w:rPr>
                <w:rFonts w:ascii="宋体" w:hAnsi="宋体" w:cs="宋体" w:eastAsia="宋体" w:hint="default"/>
                <w:b/>
                <w:bCs/>
                <w:w w:val="99"/>
                <w:sz w:val="18"/>
                <w:szCs w:val="18"/>
              </w:rPr>
              <w:t>重组</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88"/>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w w:val="95"/>
                <w:sz w:val="18"/>
                <w:szCs w:val="18"/>
              </w:rPr>
              <w:t>本次重组完成后，本合伙企业将成为众信旅游股东，现做出如下确认和承诺：</w:t>
            </w:r>
            <w:r>
              <w:rPr>
                <w:rFonts w:ascii="宋体" w:hAnsi="宋体" w:cs="宋体" w:eastAsia="宋体" w:hint="default"/>
                <w:sz w:val="18"/>
                <w:szCs w:val="18"/>
              </w:rPr>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 本公司拟认购本次交易中众信旅游锁价发行的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股股票，认购金</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2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12"/>
                <w:sz w:val="18"/>
                <w:szCs w:val="18"/>
              </w:rPr>
              <w:t> </w:t>
            </w:r>
            <w:r>
              <w:rPr>
                <w:rFonts w:ascii="宋体" w:hAnsi="宋体" w:cs="宋体" w:eastAsia="宋体" w:hint="default"/>
                <w:sz w:val="18"/>
                <w:szCs w:val="18"/>
              </w:rPr>
              <w:t>本合伙企业拥有认购上市公司非公开发行股份的资金实力。本合伙企业</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由华泰瑞联基金管理有限公司（以下简称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华泰瑞联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）及北京华泰瑞联并购基</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金中心（有限合伙</w:t>
            </w:r>
            <w:r>
              <w:rPr>
                <w:rFonts w:ascii="宋体" w:hAnsi="宋体" w:cs="宋体" w:eastAsia="宋体" w:hint="default"/>
                <w:spacing w:val="-90"/>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华泰瑞联</w:t>
            </w:r>
            <w:r>
              <w:rPr>
                <w:rFonts w:ascii="宋体" w:hAnsi="宋体" w:cs="宋体" w:eastAsia="宋体" w:hint="default"/>
                <w:spacing w:val="1"/>
                <w:sz w:val="18"/>
                <w:szCs w:val="18"/>
              </w:rPr>
              <w:t>并</w:t>
            </w:r>
            <w:r>
              <w:rPr>
                <w:rFonts w:ascii="宋体" w:hAnsi="宋体" w:cs="宋体" w:eastAsia="宋体" w:hint="default"/>
                <w:sz w:val="18"/>
                <w:szCs w:val="18"/>
              </w:rPr>
              <w:t>购基金</w:t>
            </w:r>
            <w:r>
              <w:rPr>
                <w:rFonts w:ascii="Times New Roman" w:hAnsi="Times New Roman" w:cs="Times New Roman" w:eastAsia="Times New Roman" w:hint="default"/>
                <w:sz w:val="18"/>
                <w:szCs w:val="18"/>
              </w:rPr>
              <w:t>”</w:t>
            </w:r>
            <w:r>
              <w:rPr>
                <w:rFonts w:ascii="宋体" w:hAnsi="宋体" w:cs="宋体" w:eastAsia="宋体" w:hint="default"/>
                <w:sz w:val="18"/>
                <w:szCs w:val="18"/>
              </w:rPr>
              <w:t>）发起设立，认缴出资额</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万元，其中，华泰瑞联认缴出资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万元，华泰瑞联并购基金</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认缴出资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华泰瑞联并购基金的合伙人认缴出资额合计为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目前已完成了第一期出资合计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亿元。华泰瑞联及华泰瑞联并购基金将在众</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信旅游本次交易获得中国证监会核准时实缴不低于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万元出资，以使本合</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2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伙企业有足够资金履行认购合同。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1"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12"/>
                <w:sz w:val="18"/>
                <w:szCs w:val="18"/>
              </w:rPr>
              <w:t> </w:t>
            </w:r>
            <w:r>
              <w:rPr>
                <w:rFonts w:ascii="宋体" w:hAnsi="宋体" w:cs="宋体" w:eastAsia="宋体" w:hint="default"/>
                <w:sz w:val="18"/>
                <w:szCs w:val="18"/>
              </w:rPr>
              <w:t>本合伙企业本次认购资金来源于自有资金，不存在代持，不存在任何杠</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杆融资结构化设计产品，不存在来源于众信旅游及其现任董事、监事和高级</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管理人员的情况。</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1"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四、 本合伙企业及本合伙企业普通合伙人、执行事务合伙人、董事、监事、</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高级管理人员不存在泄露本次重组事宜的相关内幕信息及利用该内幕信息进</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行内幕交易的情形。</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五、 本合伙企业及本合伙企业普通合伙人、执行事务合伙人、董事、监事、</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高级管理人员与众信旅游、众信旅游实际控制人、众信旅游董事、监事、高</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级管理人员不存在任何形式的关联关系，本合伙企业不存在被认定为众信旅</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6"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游关联方的情形。</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3"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募集配套资金认购对象关于本次认购事宜的承诺：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日，冯滨、</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白斌分别出</w:t>
            </w:r>
            <w:r>
              <w:rPr>
                <w:rFonts w:ascii="宋体" w:hAnsi="宋体" w:cs="宋体" w:eastAsia="宋体" w:hint="default"/>
                <w:spacing w:val="-6"/>
                <w:sz w:val="18"/>
                <w:szCs w:val="18"/>
              </w:rPr>
              <w:t>具</w:t>
            </w:r>
            <w:r>
              <w:rPr>
                <w:rFonts w:ascii="宋体" w:hAnsi="宋体" w:cs="宋体" w:eastAsia="宋体" w:hint="default"/>
                <w:sz w:val="18"/>
                <w:szCs w:val="18"/>
              </w:rPr>
              <w:t>《关于本次认购事宜的承诺函</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确认其认购本次募集配套资金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的资金来源为自有资金，不存在通过认购本次募集配套资金形成为他人代持</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55"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股份的情形。</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关于本次发行股份锁定期的承诺：</w:t>
            </w:r>
            <w:r>
              <w:rPr>
                <w:rFonts w:ascii="宋体" w:hAnsi="宋体" w:cs="宋体" w:eastAsia="宋体" w:hint="default"/>
                <w:sz w:val="18"/>
                <w:szCs w:val="18"/>
              </w:rPr>
              <w:t>郭洪斌承诺其持有的竹园国旅股权在本次</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上述承诺处于履行过</w:t>
            </w: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发行完成前已满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个月，其股份锁定期为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个月，在法定锁定期满后，通</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程中，未发生违反承诺</w:t>
            </w:r>
          </w:p>
        </w:tc>
      </w:tr>
      <w:tr>
        <w:trPr>
          <w:trHeight w:val="351"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过本次收购取得的上市公司股票中的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35%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2,113,340</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股）自动解禁，余下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未解锁股票（</w:t>
            </w:r>
            <w:r>
              <w:rPr>
                <w:rFonts w:ascii="Times New Roman" w:hAnsi="Times New Roman" w:cs="Times New Roman" w:eastAsia="Times New Roman" w:hint="default"/>
                <w:sz w:val="18"/>
                <w:szCs w:val="18"/>
              </w:rPr>
              <w:t>3,924,775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股）按业绩实现进度在满足条件后分三次解禁，股份</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解锁比例在竹园国旅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年度《专项审核报告》出</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具后，每期最多可解锁比例为：</w:t>
            </w:r>
            <w:r>
              <w:rPr>
                <w:rFonts w:ascii="Times New Roman" w:hAnsi="Times New Roman" w:cs="Times New Roman" w:eastAsia="Times New Roman" w:hint="default"/>
                <w:sz w:val="18"/>
                <w:szCs w:val="18"/>
              </w:rPr>
              <w:t>17.05%</w:t>
            </w:r>
            <w:r>
              <w:rPr>
                <w:rFonts w:ascii="宋体" w:hAnsi="宋体" w:cs="宋体" w:eastAsia="宋体" w:hint="default"/>
                <w:sz w:val="18"/>
                <w:szCs w:val="18"/>
              </w:rPr>
              <w:t>、</w:t>
            </w:r>
            <w:r>
              <w:rPr>
                <w:rFonts w:ascii="Times New Roman" w:hAnsi="Times New Roman" w:cs="Times New Roman" w:eastAsia="Times New Roman" w:hint="default"/>
                <w:sz w:val="18"/>
                <w:szCs w:val="18"/>
              </w:rPr>
              <w:t>21.31%</w:t>
            </w:r>
            <w:r>
              <w:rPr>
                <w:rFonts w:ascii="宋体" w:hAnsi="宋体" w:cs="宋体" w:eastAsia="宋体" w:hint="default"/>
                <w:sz w:val="18"/>
                <w:szCs w:val="18"/>
              </w:rPr>
              <w:t>、</w:t>
            </w:r>
            <w:r>
              <w:rPr>
                <w:rFonts w:ascii="Times New Roman" w:hAnsi="Times New Roman" w:cs="Times New Roman" w:eastAsia="Times New Roman" w:hint="default"/>
                <w:sz w:val="18"/>
                <w:szCs w:val="18"/>
              </w:rPr>
              <w:t>26.64%</w:t>
            </w:r>
            <w:r>
              <w:rPr>
                <w:rFonts w:ascii="宋体" w:hAnsi="宋体" w:cs="宋体" w:eastAsia="宋体" w:hint="default"/>
                <w:sz w:val="18"/>
                <w:szCs w:val="18"/>
              </w:rPr>
              <w:t>。</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关于本次发行股份锁定期的承诺：</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本企业通过本次重组获得的众信旅游</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上述承诺处于履行过</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的新增股份，自新增股份上市之日起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个月内将不以任何方式进行转让，</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程中，未发生违反承诺</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上海祥禾泓安股</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包括但不限于通过证券市场公开转让或通过协议方式转让，也不委托他人管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权投资合伙企业</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理本公司持有的众信旅游股份。</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津富德伟业企业</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管理咨询中心</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九泰基金管理有</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关于本次发行股份锁定期的承诺：</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本企业通过本次发行获得的众信旅游</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上述承诺处于履行过</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的新增股份，自该等股份上市之日起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个月内将不以任何方式进行转让，</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程中，未发生违反承诺</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瑞联一号投资中</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包括但不限于通过证券市场公开转让或通过协议方式转让。</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冯</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业绩承诺及</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关于竹园国旅业绩的承诺及补偿措施：</w:t>
            </w:r>
            <w:r>
              <w:rPr>
                <w:rFonts w:ascii="宋体" w:hAnsi="宋体" w:cs="宋体" w:eastAsia="宋体" w:hint="default"/>
                <w:sz w:val="18"/>
                <w:szCs w:val="18"/>
              </w:rPr>
              <w:t>竹园国旅原股东承诺竹园国旅扣除非</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经常性损益后归属母公司所有者的净利润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年度不低于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7,062</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年度不低于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8,828</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万元。补偿义务人为：郭洪斌、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陆勇、何静蔚、苏杰、张一满、李爽合计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名自然人交易对方。标的公司专</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项审核报告出具后，如实现净利润数低于承诺净利润数而需要补偿义务人进</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行补偿的情形，众信旅游应在需补偿当年年报公告后按照协议规定的公式计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算并确定补偿义务人当年应补偿金额，同时根据当年应补偿金额确定补偿义</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务人当年应补偿的股份数量（以下简称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应补偿股份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）及应补偿的现金数（以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应补</w:t>
            </w:r>
            <w:r>
              <w:rPr>
                <w:rFonts w:ascii="宋体" w:hAnsi="宋体" w:cs="宋体" w:eastAsia="宋体" w:hint="default"/>
                <w:spacing w:val="1"/>
                <w:sz w:val="18"/>
                <w:szCs w:val="18"/>
              </w:rPr>
              <w:t>偿</w:t>
            </w:r>
            <w:r>
              <w:rPr>
                <w:rFonts w:ascii="宋体" w:hAnsi="宋体" w:cs="宋体" w:eastAsia="宋体" w:hint="default"/>
                <w:sz w:val="18"/>
                <w:szCs w:val="18"/>
              </w:rPr>
              <w:t>现金数</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，向补偿义务人就承担补偿义务事宜发出书面通知，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并在需补偿当年的众信旅游年度报告公告后一个月内由董事会审议股份补偿</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相关事宜，并全权办理对应补偿股份的回购及注销事宜。补偿期限内每个会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计年度应补偿金额的计算公式如下：当年应补偿金额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（截至当期期末累积承</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诺净利润数－截至当期期末累积实现净利润数）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补偿期限内各年的承诺净利</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标的股权的交易价格－已补偿金额。上述公式所称补偿期限为</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年三个会计年度。在逐年补偿的情况下，各年计算</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的应补偿金额小于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取值，即已经补偿的金额不冲回。每名补偿义</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务人应补偿股份数的计算公式如下：应补偿股份数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（本次交易前该名补偿义务人持有竹园国旅股份数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本次交易前全体</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补偿义务人持有竹园国旅股份数）－该补偿义务人已补偿股份数</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）资产</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减值测试及补偿  补偿期限届满后，众信旅游应当聘请会计师事务所在出具</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当年度竹园国旅审计报告时对标的股权进行减值测试，并在出具竹园国旅年</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度审计报告时出具减值测试报告。经减值测试如：标的股权期末减值额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补偿</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已补偿现金数，则补偿义务人应当参</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照本协议第四条约定的补偿程序另行进行补偿。补偿义务人另需补偿的金额</w:t>
            </w:r>
            <w:r>
              <w:rPr>
                <w:rFonts w:ascii="Times New Roman" w:hAnsi="Times New Roman" w:cs="Times New Roman" w:eastAsia="Times New Roman" w:hint="default"/>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期末减值额－（补偿期限内已补偿股份总数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已补偿现金数</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）补偿股份的调整  各方同意，若众信旅游在补偿期限内有现金分红的，</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其按协议约定公式计算的应补偿股份数在回购股份实施前上述年度累积获得</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的分红收益，应随之赠送给众信旅游；若众信旅游在补偿期限内实施送股、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公积金转增股本的，则补偿股份的数量应调整为：按协议约定公式计算的应</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补偿股份数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送股或转增比例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关于避免与上市公司同业竞争的承诺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本次重组前，除竹园国旅外，本人及本</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人控制的其他企业（如有）</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本合伙企业不存在直接或间接经营与竹园国旅或</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上市公司相同或相似业务的情形。本人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本合伙企业承诺：本次重组完成后，</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在作为上市公司股东期间，本人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本合伙企业控制的其他企</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业不会直接或间接从事任何与上市公司及其下属公司主要经营业务构成同业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竞争或潜在同业竞争关系的生产与经营，亦不会投资任何与上市公司及其下</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属公司主要经营业务构成同业竞争或潜在同业竞争关系的其他企业；如在上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本合伙企业控制的其他企业获得的商业机会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与上市公司及其下属公司主营业务发生同业竞争或可能发生同业竞争的，本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本合伙企业将立即通知上市公司，并尽力将该商业机会给予上市公司，以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避免与上市公司及下属公司形成同业竞争或潜在同业竞争，以确保上市公司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及上市公司其他股东利益不受损害。</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77" w:hRule="exact"/>
        </w:trPr>
        <w:tc>
          <w:tcPr>
            <w:tcW w:w="1102"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关于避免与上市公司同业竞争的承诺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本次交易完成后，作为众信旅游本次配</w:t>
            </w:r>
          </w:p>
        </w:tc>
        <w:tc>
          <w:tcPr>
            <w:tcW w:w="141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套融资过程中非公开发行股份的股份认购方，冯滨就避免与众信旅游同业竞</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争事宜出具了《关于避免同业竞争的承诺函</w:t>
            </w:r>
            <w:r>
              <w:rPr>
                <w:rFonts w:ascii="宋体" w:hAnsi="宋体" w:cs="宋体" w:eastAsia="宋体" w:hint="default"/>
                <w:spacing w:val="-90"/>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本次重组完成后，在</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作为众信旅游实际控制人期间，本人及本人控制的其他企业不会直接或间接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从事任何与众信旅游及其下属公司主要经营业务构成同业竞争或潜在同业竞</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争关系的生产与经营，亦不会投资任何与众信旅游及其下属公司主要经营业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务构成同业竞争或潜在同业竞争关系的其他企业；如在上述期间，本人或本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人控制的其他企业获得的商业机会与众信旅游及其下属公司主营业务发生同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业竞争或可能发生同业竞争的，本人将立即通知众信旅游，并尽力将该商业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机会给予众信旅游，以避免与众信旅游及下属公司形成同业竞争或潜在同业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竞争，以确保众信旅游及众信旅游其他股东利益不受损害。</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关于避免与上市公司同业竞争的承诺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本次交易完成后，作为众信旅游本次配</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套融资过程中非公开发行股份的股份认购方，白斌就避免与众信旅游同业竞</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争事宜出具了《关于避免同业竞争的承诺函</w:t>
            </w:r>
            <w:r>
              <w:rPr>
                <w:rFonts w:ascii="宋体" w:hAnsi="宋体" w:cs="宋体" w:eastAsia="宋体" w:hint="default"/>
                <w:spacing w:val="-90"/>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本次重组完成后，在</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作为众信旅游股东期间，本人及本人控制的其他企业不会直接或间接从事任</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何与众信旅游及其下属公司主要经营业务构成同业竞争或潜在同业竞争关系</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的生产与经营，亦不会投资任何与众信旅游及其下属公司主要经营业务构成</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同业竞争或潜在同业竞争关系的其他企业；如在上述期间，本人或本人控制</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的其他企业获得的商业机会与众信旅游及其下属公司主营业务发生同业竞争</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或可能发生同业竞争的，本人将立即通知众信旅游，并尽力将该商业机会给</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予众信旅游，以避免与众信旅游及下属公司形成同业竞争或潜在同业竞争，</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以确保众信旅游及众信旅游其他股东利益不受损害。</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关于规范关联交易的承诺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为减少和规范可能与众信旅游发生的关联交易，充</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分保护重组完成后上市公司的利益，郭洪斌、陆勇、何静蔚、苏杰、张一满、</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李爽、上海祥禾和天津富德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名交易对方出具了《关于规范关联交易的承诺</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，就规范与众信旅游关联交易事宜作出如下确认和承诺：</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在本次</w:t>
            </w:r>
            <w:r>
              <w:rPr>
                <w:rFonts w:ascii="宋体" w:hAnsi="宋体" w:cs="宋体" w:eastAsia="宋体" w:hint="default"/>
                <w:spacing w:val="1"/>
                <w:sz w:val="18"/>
                <w:szCs w:val="18"/>
              </w:rPr>
              <w:t>重</w:t>
            </w:r>
            <w:r>
              <w:rPr>
                <w:rFonts w:ascii="宋体" w:hAnsi="宋体" w:cs="宋体" w:eastAsia="宋体" w:hint="default"/>
                <w:sz w:val="18"/>
                <w:szCs w:val="18"/>
              </w:rPr>
              <w:t>组完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本合伙企业控制的企业将尽可能避免和减少与</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上市公司的关联交易，对于无法避免或有合理理由存在的关联交易，本人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本合伙企业控制的企业将与上市公司按照公平、公允、等价</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1" w:hRule="exact"/>
        </w:trPr>
        <w:tc>
          <w:tcPr>
            <w:tcW w:w="1102"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有偿等原则依法签订协议，履行合法程序，并将按照有关法律、法规、其他</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规范性文件以及《北京众信国际旅行社股份有限公司章程》等的规定，依法</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履行相关内部决策批准程序并及时履行信息披露义务，保证不以与市场价格</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相比显失公允的条件与上市公司进行交易，保证不利用关联交易非法转移上</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市公司的资金、利润，亦不利用该类交易从事任何损害上市公司及其他股东</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合法权益的行为。若出现违反上述承诺而损害上市公司利益的情形，本人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合伙企业将对前述行为而给上市公司造成的损失向上市公司进行赔偿。</w:t>
            </w:r>
            <w:r>
              <w:rPr>
                <w:rFonts w:ascii="Times New Roman" w:hAnsi="Times New Roman" w:cs="Times New Roman" w:eastAsia="Times New Roman" w:hint="default"/>
                <w:sz w:val="18"/>
                <w:szCs w:val="18"/>
              </w:rPr>
              <w:t>”</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九泰</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关于</w:t>
            </w:r>
            <w:r>
              <w:rPr>
                <w:rFonts w:ascii="宋体" w:hAnsi="宋体" w:cs="宋体" w:eastAsia="宋体" w:hint="default"/>
                <w:b/>
                <w:bCs/>
                <w:w w:val="99"/>
                <w:sz w:val="18"/>
                <w:szCs w:val="18"/>
              </w:rPr>
              <w:t>规</w:t>
            </w:r>
            <w:r>
              <w:rPr>
                <w:rFonts w:ascii="宋体" w:hAnsi="宋体" w:cs="宋体" w:eastAsia="宋体" w:hint="default"/>
                <w:b/>
                <w:bCs/>
                <w:spacing w:val="1"/>
                <w:w w:val="99"/>
                <w:sz w:val="18"/>
                <w:szCs w:val="18"/>
              </w:rPr>
              <w:t>范</w:t>
            </w:r>
            <w:r>
              <w:rPr>
                <w:rFonts w:ascii="宋体" w:hAnsi="宋体" w:cs="宋体" w:eastAsia="宋体" w:hint="default"/>
                <w:b/>
                <w:bCs/>
                <w:w w:val="99"/>
                <w:sz w:val="18"/>
                <w:szCs w:val="18"/>
              </w:rPr>
              <w:t>关联</w:t>
            </w:r>
            <w:r>
              <w:rPr>
                <w:rFonts w:ascii="宋体" w:hAnsi="宋体" w:cs="宋体" w:eastAsia="宋体" w:hint="default"/>
                <w:b/>
                <w:bCs/>
                <w:spacing w:val="1"/>
                <w:w w:val="99"/>
                <w:sz w:val="18"/>
                <w:szCs w:val="18"/>
              </w:rPr>
              <w:t>交易</w:t>
            </w:r>
            <w:r>
              <w:rPr>
                <w:rFonts w:ascii="宋体" w:hAnsi="宋体" w:cs="宋体" w:eastAsia="宋体" w:hint="default"/>
                <w:b/>
                <w:bCs/>
                <w:w w:val="99"/>
                <w:sz w:val="18"/>
                <w:szCs w:val="18"/>
              </w:rPr>
              <w:t>的</w:t>
            </w:r>
            <w:r>
              <w:rPr>
                <w:rFonts w:ascii="宋体" w:hAnsi="宋体" w:cs="宋体" w:eastAsia="宋体" w:hint="default"/>
                <w:b/>
                <w:bCs/>
                <w:spacing w:val="1"/>
                <w:w w:val="99"/>
                <w:sz w:val="18"/>
                <w:szCs w:val="18"/>
              </w:rPr>
              <w:t>承诺</w:t>
            </w:r>
            <w:r>
              <w:rPr>
                <w:rFonts w:ascii="Times New Roman" w:hAnsi="Times New Roman" w:cs="Times New Roman" w:eastAsia="Times New Roman" w:hint="default"/>
                <w:b/>
                <w:bCs/>
                <w:w w:val="99"/>
                <w:sz w:val="18"/>
                <w:szCs w:val="18"/>
              </w:rPr>
              <w:t>:</w:t>
            </w:r>
            <w:r>
              <w:rPr>
                <w:rFonts w:ascii="宋体" w:hAnsi="宋体" w:cs="宋体" w:eastAsia="宋体" w:hint="default"/>
                <w:spacing w:val="-2"/>
                <w:w w:val="99"/>
                <w:sz w:val="18"/>
                <w:szCs w:val="18"/>
              </w:rPr>
              <w:t>九</w:t>
            </w:r>
            <w:r>
              <w:rPr>
                <w:rFonts w:ascii="宋体" w:hAnsi="宋体" w:cs="宋体" w:eastAsia="宋体" w:hint="default"/>
                <w:w w:val="99"/>
                <w:sz w:val="18"/>
                <w:szCs w:val="18"/>
              </w:rPr>
              <w:t>泰基金（九泰基金慧通定增</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号资产管理计划</w:t>
            </w:r>
            <w:r>
              <w:rPr>
                <w:rFonts w:ascii="宋体" w:hAnsi="宋体" w:cs="宋体" w:eastAsia="宋体" w:hint="default"/>
                <w:spacing w:val="-89"/>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基金管理有限公</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瑞联投资、冯滨、白斌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名募集配套资金认购方出具了《关于规范关联交易</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深圳前海瑞联</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，就规范与众信旅游关联交易事宜作出如下确认和承诺：</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、本次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一号投资中心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交易前，本人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本合伙企业控制的企业与上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市公司的交易（如有）定价公允、合理，决策程序合法、有效，不存在显失</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本合伙企业控制的企业将尽可能避免和减少与上市公司的关联交易，对</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于无法避免或有合理理由存在的关联交易，本人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本合伙企业控制的企业将与上市公司依法签订协议，履行合法程序，</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并将按照有关法律、法规、其他规范性文件以及上市公司章程等的规定，依</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法履行相关内部决策批准程序并及时履行信息披露义务，保证关联交易定价</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公允、合理，交易条件公平，保证不利用关联交易非法转移上市公司的资金、</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利润，亦不利用该类交易从事任何损害上市公司及其他股东合法权益的行为；</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本合伙企业违反上述承诺给上市公司造成损失的，本人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本合伙企业将赔偿上市公司由此遭受的损失。</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关于不存在内幕交易行为的承诺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本企业不存在泄露本次重组事宜的相</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关内幕信息或利用该内幕信息进行内幕交易的情形。若违反上述承诺，将承</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担因此而给上市公司造成的一切损失。</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p>
        </w:tc>
        <w:tc>
          <w:tcPr>
            <w:tcW w:w="1135" w:type="dxa"/>
            <w:vMerge w:val="restart"/>
            <w:tcBorders>
              <w:top w:val="single" w:sz="15" w:space="0" w:color="000000"/>
              <w:left w:val="single" w:sz="4" w:space="0" w:color="000000"/>
              <w:right w:val="single" w:sz="4" w:space="0" w:color="000000"/>
            </w:tcBorders>
          </w:tcPr>
          <w:p>
            <w:pPr/>
          </w:p>
        </w:tc>
        <w:tc>
          <w:tcPr>
            <w:tcW w:w="6235" w:type="dxa"/>
            <w:vMerge w:val="restart"/>
            <w:tcBorders>
              <w:top w:val="single" w:sz="15" w:space="0" w:color="000000"/>
              <w:left w:val="single" w:sz="4" w:space="0" w:color="000000"/>
              <w:right w:val="single" w:sz="4" w:space="0" w:color="000000"/>
            </w:tcBorders>
          </w:tcPr>
          <w:p>
            <w:pP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九泰基金管理有</w:t>
            </w:r>
          </w:p>
        </w:tc>
        <w:tc>
          <w:tcPr>
            <w:tcW w:w="1135" w:type="dxa"/>
            <w:vMerge/>
            <w:tcBorders>
              <w:left w:val="single" w:sz="4" w:space="0" w:color="000000"/>
              <w:right w:val="single" w:sz="4" w:space="0" w:color="000000"/>
            </w:tcBorders>
          </w:tcPr>
          <w:p>
            <w:pPr/>
          </w:p>
        </w:tc>
        <w:tc>
          <w:tcPr>
            <w:tcW w:w="62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w:t>
            </w:r>
          </w:p>
        </w:tc>
        <w:tc>
          <w:tcPr>
            <w:tcW w:w="1135" w:type="dxa"/>
            <w:vMerge/>
            <w:tcBorders>
              <w:left w:val="single" w:sz="4" w:space="0" w:color="000000"/>
              <w:right w:val="single" w:sz="4" w:space="0" w:color="000000"/>
            </w:tcBorders>
          </w:tcPr>
          <w:p>
            <w:pPr/>
          </w:p>
        </w:tc>
        <w:tc>
          <w:tcPr>
            <w:tcW w:w="62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瑞联一号投资中</w:t>
            </w:r>
          </w:p>
        </w:tc>
        <w:tc>
          <w:tcPr>
            <w:tcW w:w="1135" w:type="dxa"/>
            <w:vMerge/>
            <w:tcBorders>
              <w:left w:val="single" w:sz="4" w:space="0" w:color="000000"/>
              <w:right w:val="single" w:sz="4" w:space="0" w:color="000000"/>
            </w:tcBorders>
          </w:tcPr>
          <w:p>
            <w:pPr/>
          </w:p>
        </w:tc>
        <w:tc>
          <w:tcPr>
            <w:tcW w:w="62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135" w:type="dxa"/>
            <w:vMerge/>
            <w:tcBorders>
              <w:left w:val="single" w:sz="4" w:space="0" w:color="000000"/>
              <w:bottom w:val="single" w:sz="4" w:space="0" w:color="000000"/>
              <w:right w:val="single" w:sz="4" w:space="0" w:color="000000"/>
            </w:tcBorders>
          </w:tcPr>
          <w:p>
            <w:pPr/>
          </w:p>
        </w:tc>
        <w:tc>
          <w:tcPr>
            <w:tcW w:w="62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本次交易全体交易对方承诺：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本次重组前，</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竹园国旅一直在业务、资产、机构、人员、财务等方面与本合伙企业及本合</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伙企业控制的其他企业完全分开，竹园国旅的业务、资产、人员、财务和机</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构独立。本次重组完成后，本合伙企业承诺不会利用上市公司股东的身份影</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响上市公司独立性，并尽可能保证上市公司在业务、资产、机构、人员、财</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务的独立性。</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九泰</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关于保证上市公司独立性的承诺</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九泰基金（九泰基金慧通定增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号资产管理</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基金管理有限公</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瑞联投资</w:t>
            </w:r>
            <w:r>
              <w:rPr>
                <w:rFonts w:ascii="宋体" w:hAnsi="宋体" w:cs="宋体" w:eastAsia="宋体" w:hint="default"/>
                <w:spacing w:val="-3"/>
                <w:sz w:val="18"/>
                <w:szCs w:val="18"/>
              </w:rPr>
              <w:t>、</w:t>
            </w:r>
            <w:r>
              <w:rPr>
                <w:rFonts w:ascii="宋体" w:hAnsi="宋体" w:cs="宋体" w:eastAsia="宋体" w:hint="default"/>
                <w:sz w:val="18"/>
                <w:szCs w:val="18"/>
              </w:rPr>
              <w:t>冯滨</w:t>
            </w:r>
            <w:r>
              <w:rPr>
                <w:rFonts w:ascii="宋体" w:hAnsi="宋体" w:cs="宋体" w:eastAsia="宋体" w:hint="default"/>
                <w:spacing w:val="-3"/>
                <w:sz w:val="18"/>
                <w:szCs w:val="18"/>
              </w:rPr>
              <w:t>、</w:t>
            </w:r>
            <w:r>
              <w:rPr>
                <w:rFonts w:ascii="宋体" w:hAnsi="宋体" w:cs="宋体" w:eastAsia="宋体" w:hint="default"/>
                <w:spacing w:val="-2"/>
                <w:sz w:val="18"/>
                <w:szCs w:val="18"/>
              </w:rPr>
              <w:t>白</w:t>
            </w:r>
            <w:r>
              <w:rPr>
                <w:rFonts w:ascii="宋体" w:hAnsi="宋体" w:cs="宋体" w:eastAsia="宋体" w:hint="default"/>
                <w:sz w:val="18"/>
                <w:szCs w:val="18"/>
              </w:rPr>
              <w:t>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名募集</w:t>
            </w:r>
            <w:r>
              <w:rPr>
                <w:rFonts w:ascii="宋体" w:hAnsi="宋体" w:cs="宋体" w:eastAsia="宋体" w:hint="default"/>
                <w:spacing w:val="1"/>
                <w:sz w:val="18"/>
                <w:szCs w:val="18"/>
              </w:rPr>
              <w:t>配</w:t>
            </w:r>
            <w:r>
              <w:rPr>
                <w:rFonts w:ascii="宋体" w:hAnsi="宋体" w:cs="宋体" w:eastAsia="宋体" w:hint="default"/>
                <w:sz w:val="18"/>
                <w:szCs w:val="18"/>
              </w:rPr>
              <w:t>套资金认购方出具</w:t>
            </w:r>
            <w:r>
              <w:rPr>
                <w:rFonts w:ascii="宋体" w:hAnsi="宋体" w:cs="宋体" w:eastAsia="宋体" w:hint="default"/>
                <w:spacing w:val="-3"/>
                <w:sz w:val="18"/>
                <w:szCs w:val="18"/>
              </w:rPr>
              <w:t>了</w:t>
            </w:r>
            <w:r>
              <w:rPr>
                <w:rFonts w:ascii="宋体" w:hAnsi="宋体" w:cs="宋体" w:eastAsia="宋体" w:hint="default"/>
                <w:sz w:val="18"/>
                <w:szCs w:val="18"/>
              </w:rPr>
              <w:t>《关于保证上</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深圳前海瑞联</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市公司独立性的承诺函</w:t>
            </w:r>
            <w:r>
              <w:rPr>
                <w:rFonts w:ascii="宋体" w:hAnsi="宋体" w:cs="宋体" w:eastAsia="宋体" w:hint="default"/>
                <w:spacing w:val="-90"/>
                <w:sz w:val="18"/>
                <w:szCs w:val="18"/>
              </w:rPr>
              <w:t>》</w:t>
            </w:r>
            <w:r>
              <w:rPr>
                <w:rFonts w:ascii="宋体" w:hAnsi="宋体" w:cs="宋体" w:eastAsia="宋体" w:hint="default"/>
                <w:sz w:val="18"/>
                <w:szCs w:val="18"/>
              </w:rPr>
              <w:t>，承诺：</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本次重组前，众信旅游一直在业务、资产、</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一号投资中心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机构、人员、财务等方面与本人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本企业控制的其他企业（如有）完全分开，</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众信旅游的业务、资产、人员、财务和机构独立。本次重组完成后，本人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本企业控制其他企业不会利用上市公司股东的身份影响上市公司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的独立性，并尽可能保证众信旅游在业务、资产、机构、人员、财务的独立</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关于无违法行为的承诺：</w:t>
            </w:r>
            <w:r>
              <w:rPr>
                <w:rFonts w:ascii="宋体" w:hAnsi="宋体" w:cs="宋体" w:eastAsia="宋体" w:hint="default"/>
                <w:sz w:val="18"/>
                <w:szCs w:val="18"/>
              </w:rPr>
              <w:t>本次交易全体交易对方确认：</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伙企业及本公司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本合伙企业主要管理人员最近五年未受过与证券市场相关的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4"/>
                <w:sz w:val="18"/>
                <w:szCs w:val="18"/>
              </w:rPr>
              <w:t>行政处罚、刑事处罚，没有涉及与经济纠纷有关的重大民事诉讼或者仲裁。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本合伙企业符合作为上市公司非公开发行股票发行对象的条件，</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不存在法律、法规、规章或规范性文件规定的不得作为上市公司非公开发行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股票发行对象的情形。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本合伙企业不存在《上市公司收购管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理办法》第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条规定的如下不得收购上市公司的情形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）负有数额较大债</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务，到期未清偿，且处于持续状态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年有</w:t>
            </w:r>
            <w:r>
              <w:rPr>
                <w:rFonts w:ascii="宋体" w:hAnsi="宋体" w:cs="宋体" w:eastAsia="宋体" w:hint="default"/>
                <w:spacing w:val="1"/>
                <w:sz w:val="18"/>
                <w:szCs w:val="18"/>
              </w:rPr>
              <w:t>重</w:t>
            </w:r>
            <w:r>
              <w:rPr>
                <w:rFonts w:ascii="宋体" w:hAnsi="宋体" w:cs="宋体" w:eastAsia="宋体" w:hint="default"/>
                <w:sz w:val="18"/>
                <w:szCs w:val="18"/>
              </w:rPr>
              <w:t>大违法行为或者涉嫌</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有重大违法行为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年有严重的证券市场失信行为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）法律、行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九泰基金管理有</w:t>
            </w: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政法规规定以及中国证监会认定的不得收购上市公司的其他情形。</w:t>
            </w:r>
            <w:r>
              <w:rPr>
                <w:rFonts w:ascii="Times New Roman" w:hAnsi="Times New Roman" w:cs="Times New Roman" w:eastAsia="Times New Roman" w:hint="default"/>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w:t>
            </w: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瑞联一号投资中</w:t>
            </w: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关于资产权属的承诺：</w:t>
            </w:r>
            <w:r>
              <w:rPr>
                <w:rFonts w:ascii="宋体" w:hAnsi="宋体" w:cs="宋体" w:eastAsia="宋体" w:hint="default"/>
                <w:sz w:val="18"/>
                <w:szCs w:val="18"/>
              </w:rPr>
              <w:t>本次交易全体交易对方承诺：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、对于本人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本企业所持</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竹园国旅的股权，本人确认，本人已经依法履行对竹园国旅的出资义务，不</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存在任何虚假出资、延期出资、抽逃出资等违反其作为股东所应承担的义务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及责任的行为，不存在可能影响竹园国旅合法存续的情况。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本企业持</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有的竹园国旅的股权均为实际合法拥有，不存在权属纠纷，不存在信托、委</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托持股或者类似安排，不存在禁止转让、限制转让的承诺或安排，亦不存在</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质押、冻结、查封、财产保全或其他权利限制，本人所持竹园国旅股权过户</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或者转移不存在法律障碍。本人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本企业若违反上述承诺，将承担因此给众信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旅游造成的一切损失。</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关于提供信息真实、准确和完整的承诺：</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机构已向上市公司及为本次重</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24</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上述承诺仍在履行过</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大资产重组提供审计、评估、法律及财务顾问专业服务的中介机构提供了本</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程中，承诺人无违反上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人有关本次重大资产重组的相关信息和文件（包括但不限于原始书面材料、</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述承诺的情况。</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禾泓安股权投资</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副本材料或口头证言等</w:t>
            </w:r>
            <w:r>
              <w:rPr>
                <w:rFonts w:ascii="宋体" w:hAnsi="宋体" w:cs="宋体" w:eastAsia="宋体" w:hint="default"/>
                <w:spacing w:val="-90"/>
                <w:sz w:val="18"/>
                <w:szCs w:val="18"/>
              </w:rPr>
              <w:t>）</w:t>
            </w:r>
            <w:r>
              <w:rPr>
                <w:rFonts w:ascii="宋体" w:hAnsi="宋体" w:cs="宋体" w:eastAsia="宋体" w:hint="default"/>
                <w:spacing w:val="-62"/>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机构保证所提供的文件资料的副本或复印件与</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合伙企业（有限</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正本或原件一致，且该等文件资料的签字与印章都是真实的，该等文件的签</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署人业经合法授权并有效签署该文件；保证所提供信息和文件真实、准确和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伟业企业管理咨</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完整，不存在虚假记载、误导性陈述或者重大遗漏，并对所提供信息的真实</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询中心（有限合</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性、准确性和完整性承担相应的法律责任。在参与本次重大资产重组期间，</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九泰基金管</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机构将依照相关法律、法规、规章、中国证监会和证券交易所的有关规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定，及时向上市公司披露有关本次重大资产重组的信息，并保证该等信息的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前海瑞联一号投</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真实性、准确性和完整性，保证该等信息不存在虚假记载、误导性陈述或者</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重大遗漏。</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林美美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上海智丰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公司其他股东承诺：</w:t>
            </w:r>
            <w:r>
              <w:rPr>
                <w:rFonts w:ascii="宋体" w:hAnsi="宋体" w:cs="宋体" w:eastAsia="宋体" w:hint="default"/>
                <w:sz w:val="18"/>
                <w:szCs w:val="18"/>
              </w:rPr>
              <w:t>自众信旅游股票上市之日起十二个月内，不转让或者委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履行完毕。在履行期间</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发行或再</w:t>
            </w:r>
          </w:p>
        </w:tc>
        <w:tc>
          <w:tcPr>
            <w:tcW w:w="156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投资管理有限公</w:t>
            </w:r>
          </w:p>
        </w:tc>
        <w:tc>
          <w:tcPr>
            <w:tcW w:w="11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托他人管理其持有的众信旅游股份，也不由众信旅游回购其持有的股份。</w:t>
            </w:r>
          </w:p>
        </w:tc>
        <w:tc>
          <w:tcPr>
            <w:tcW w:w="141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w:t>
            </w:r>
          </w:p>
        </w:tc>
        <w:tc>
          <w:tcPr>
            <w:tcW w:w="198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融资时所</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马海涛</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8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唐古拉投资管理</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通光集</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陈劲</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松</w:t>
            </w:r>
            <w:r>
              <w:rPr>
                <w:rFonts w:ascii="Times New Roman" w:hAnsi="Times New Roman" w:cs="Times New Roman" w:eastAsia="Times New Roman" w:hint="default"/>
                <w:sz w:val="18"/>
                <w:szCs w:val="18"/>
              </w:rPr>
              <w:t>;</w:t>
            </w:r>
            <w:r>
              <w:rPr>
                <w:rFonts w:ascii="宋体" w:hAnsi="宋体" w:cs="宋体" w:eastAsia="宋体" w:hint="default"/>
                <w:sz w:val="18"/>
                <w:szCs w:val="18"/>
              </w:rPr>
              <w:t>陈小青</w:t>
            </w:r>
            <w:r>
              <w:rPr>
                <w:rFonts w:ascii="Times New Roman" w:hAnsi="Times New Roman" w:cs="Times New Roman" w:eastAsia="Times New Roman" w:hint="default"/>
                <w:sz w:val="18"/>
                <w:szCs w:val="18"/>
              </w:rPr>
              <w:t>;</w:t>
            </w:r>
            <w:r>
              <w:rPr>
                <w:rFonts w:ascii="宋体" w:hAnsi="宋体" w:cs="宋体" w:eastAsia="宋体" w:hint="default"/>
                <w:sz w:val="18"/>
                <w:szCs w:val="18"/>
              </w:rPr>
              <w:t>李海</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喻慧</w:t>
            </w:r>
            <w:r>
              <w:rPr>
                <w:rFonts w:ascii="Times New Roman" w:hAnsi="Times New Roman" w:cs="Times New Roman" w:eastAsia="Times New Roman" w:hint="default"/>
                <w:sz w:val="18"/>
                <w:szCs w:val="18"/>
              </w:rPr>
              <w:t>;</w:t>
            </w:r>
            <w:r>
              <w:rPr>
                <w:rFonts w:ascii="宋体" w:hAnsi="宋体" w:cs="宋体" w:eastAsia="宋体" w:hint="default"/>
                <w:sz w:val="18"/>
                <w:szCs w:val="18"/>
              </w:rPr>
              <w:t>李鸿秀</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本人所持公司股票扣除公开发售后（如有）的部分自公司上市之日起三十六</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严格履行，未违反。具</w:t>
            </w:r>
          </w:p>
        </w:tc>
      </w:tr>
      <w:tr>
        <w:trPr>
          <w:trHeight w:val="30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个月内不转让或者委托他人管理，也不由公司回购本人持有的股份；在前述</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体情况：公司未出现上</w:t>
            </w:r>
          </w:p>
        </w:tc>
      </w:tr>
      <w:tr>
        <w:trPr>
          <w:trHeight w:val="316"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锁定期期满后，在任职期间内每年通过集中竞价、大宗交易、协议转让等方</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个月内公司股票</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式转让的股份不超过本人所持公司股份总数的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；在离任后六个月内，不</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w:t>
            </w:r>
          </w:p>
        </w:tc>
      </w:tr>
      <w:tr>
        <w:trPr>
          <w:trHeight w:val="30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转让所持公司股份，离任六个月后的十二个月内转让的股份不超过所持公司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盘价均低于发行价或</w:t>
            </w:r>
          </w:p>
        </w:tc>
      </w:tr>
      <w:tr>
        <w:trPr>
          <w:trHeight w:val="31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。本人所持公司股票在锁定期满后两年内减持的，减持价格</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个月期末收</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不低于发行价；公司上市后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个交易日的收盘价均</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盘价低于发行价的情</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个月期末收盘价低于发行价，本人持有公司股票</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况，由此未触发自动延</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个月。上述减持价格和股份锁定承诺不因本人不再作</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长锁定期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个月的条</w:t>
            </w:r>
          </w:p>
        </w:tc>
      </w:tr>
      <w:tr>
        <w:trPr>
          <w:trHeight w:val="308"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为公司控股股东或者职务变更、离职而终止。上述发行价指公司首次公开发</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件。</w:t>
            </w:r>
          </w:p>
        </w:tc>
      </w:tr>
      <w:tr>
        <w:trPr>
          <w:trHeight w:val="311"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行股票的发行价格，如果公司上市后因派发现金红利、送股、转增股本、增</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发新股等原因进行除权、除息的，则按照证券交易所的有关规定作除权除息</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处理。</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北京嘉俪九鼎投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自众信旅游股票上市之日起十二个月内，不转让或者委托他人管理其持有的</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履行完毕。在履行期间</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众信旅游股份，也不由众信旅游回购其持有的股份；自其持有股份之日（以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31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翁洁</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完成工商变更登记手续之日为基准日，即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日）起三十六个月</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内，不转让或者委托他人管理其持有的众信旅游股份，也不由众信旅游回购</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其持有的股份。</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担任公司董事、监事、高级管理人员的股东承诺（首发上市时担任董事、监</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严格履行，未违反。路</w:t>
            </w:r>
          </w:p>
        </w:tc>
      </w:tr>
      <w:tr>
        <w:trPr>
          <w:trHeight w:val="311" w:hRule="exact"/>
        </w:trPr>
        <w:tc>
          <w:tcPr>
            <w:tcW w:w="1102"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路振勤</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事</w:t>
            </w:r>
            <w:r>
              <w:rPr>
                <w:rFonts w:ascii="宋体" w:hAnsi="宋体" w:cs="宋体" w:eastAsia="宋体" w:hint="default"/>
                <w:b/>
                <w:bCs/>
                <w:spacing w:val="-4"/>
                <w:w w:val="99"/>
                <w:sz w:val="18"/>
                <w:szCs w:val="18"/>
              </w:rPr>
              <w:t>、</w:t>
            </w:r>
            <w:r>
              <w:rPr>
                <w:rFonts w:ascii="宋体" w:hAnsi="宋体" w:cs="宋体" w:eastAsia="宋体" w:hint="default"/>
                <w:b/>
                <w:bCs/>
                <w:spacing w:val="1"/>
                <w:w w:val="99"/>
                <w:sz w:val="18"/>
                <w:szCs w:val="18"/>
              </w:rPr>
              <w:t>高</w:t>
            </w:r>
            <w:r>
              <w:rPr>
                <w:rFonts w:ascii="宋体" w:hAnsi="宋体" w:cs="宋体" w:eastAsia="宋体" w:hint="default"/>
                <w:b/>
                <w:bCs/>
                <w:w w:val="99"/>
                <w:sz w:val="18"/>
                <w:szCs w:val="18"/>
              </w:rPr>
              <w:t>管</w:t>
            </w:r>
            <w:r>
              <w:rPr>
                <w:rFonts w:ascii="宋体" w:hAnsi="宋体" w:cs="宋体" w:eastAsia="宋体" w:hint="default"/>
                <w:b/>
                <w:bCs/>
                <w:spacing w:val="1"/>
                <w:w w:val="99"/>
                <w:sz w:val="18"/>
                <w:szCs w:val="18"/>
              </w:rPr>
              <w:t>股</w:t>
            </w:r>
            <w:r>
              <w:rPr>
                <w:rFonts w:ascii="宋体" w:hAnsi="宋体" w:cs="宋体" w:eastAsia="宋体" w:hint="default"/>
                <w:b/>
                <w:bCs/>
                <w:w w:val="99"/>
                <w:sz w:val="18"/>
                <w:szCs w:val="18"/>
              </w:rPr>
              <w:t>东</w:t>
            </w:r>
            <w:r>
              <w:rPr>
                <w:rFonts w:ascii="宋体" w:hAnsi="宋体" w:cs="宋体" w:eastAsia="宋体" w:hint="default"/>
                <w:b/>
                <w:bCs/>
                <w:spacing w:val="-90"/>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sz w:val="18"/>
                <w:szCs w:val="18"/>
              </w:rPr>
              <w:t>本人所持公司股票扣除公开发售</w:t>
            </w:r>
            <w:r>
              <w:rPr>
                <w:rFonts w:ascii="宋体" w:hAnsi="宋体" w:cs="宋体" w:eastAsia="宋体" w:hint="default"/>
                <w:spacing w:val="-4"/>
                <w:sz w:val="18"/>
                <w:szCs w:val="18"/>
              </w:rPr>
              <w:t>后</w:t>
            </w:r>
            <w:r>
              <w:rPr>
                <w:rFonts w:ascii="宋体" w:hAnsi="宋体" w:cs="宋体" w:eastAsia="宋体" w:hint="default"/>
                <w:sz w:val="18"/>
                <w:szCs w:val="18"/>
              </w:rPr>
              <w:t>（如有</w:t>
            </w:r>
            <w:r>
              <w:rPr>
                <w:rFonts w:ascii="宋体" w:hAnsi="宋体" w:cs="宋体" w:eastAsia="宋体" w:hint="default"/>
                <w:spacing w:val="-4"/>
                <w:sz w:val="18"/>
                <w:szCs w:val="18"/>
              </w:rPr>
              <w:t>）</w:t>
            </w:r>
            <w:r>
              <w:rPr>
                <w:rFonts w:ascii="宋体" w:hAnsi="宋体" w:cs="宋体" w:eastAsia="宋体" w:hint="default"/>
                <w:sz w:val="18"/>
                <w:szCs w:val="18"/>
              </w:rPr>
              <w:t>的部分自公司上</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振勤为首发上市时高</w:t>
            </w:r>
          </w:p>
        </w:tc>
      </w:tr>
      <w:tr>
        <w:trPr>
          <w:trHeight w:val="353" w:hRule="exact"/>
        </w:trPr>
        <w:tc>
          <w:tcPr>
            <w:tcW w:w="1102"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磊</w:t>
            </w:r>
            <w:r>
              <w:rPr>
                <w:rFonts w:ascii="Times New Roman" w:hAnsi="Times New Roman" w:cs="Times New Roman" w:eastAsia="Times New Roman" w:hint="default"/>
                <w:sz w:val="18"/>
                <w:szCs w:val="18"/>
              </w:rPr>
              <w:t>;</w:t>
            </w:r>
            <w:r>
              <w:rPr>
                <w:rFonts w:ascii="宋体" w:hAnsi="宋体" w:cs="宋体" w:eastAsia="宋体" w:hint="default"/>
                <w:sz w:val="18"/>
                <w:szCs w:val="18"/>
              </w:rPr>
              <w:t>赵锐</w:t>
            </w: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市之日起十二个月内不转让或者委托他人管理，也不由公司回购本人持有的</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1"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股份；在前述锁定期期满后，在任职期间内每年通过集中竞价、大宗交易、</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日起，因办理正常退休</w:t>
            </w: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协议转让等方式转让的股份不超过本人所持公司股份总数的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；在离任后</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手续，不再任高管。具</w:t>
            </w: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六个月内，不转让所持公司股份，离任六个月后的十二个月内转让的股份不</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5"/>
                <w:sz w:val="18"/>
                <w:szCs w:val="18"/>
              </w:rPr>
              <w:t>体情况：上市后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超过所持公司股份总数的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。本人所持公司股票在锁定期满后两年内减持</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内公司股票连续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的，减持价格不低于发行价；公司上市后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交易日的收盘价均低</w:t>
            </w: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个月期末收盘价低于发行价，本人</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个月。上述减持价格和股份锁定承诺不</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个月期末收盘价低于</w:t>
            </w: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因本人职务变更、离职而终止。上述发行价指公司首次公开发行股票的发行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发行价的情况，由此未</w:t>
            </w: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价格，如果公司上市后因派发现金红利、送股、转增股本、增发新股等原因</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触发自动延长锁定期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5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进行除权、除息的，则按照证券交易所的有关规定作除权除息处理。</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个月的条件。</w:t>
            </w: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54"/>
                <w:sz w:val="18"/>
                <w:szCs w:val="18"/>
              </w:rPr>
              <w:t> </w:t>
            </w:r>
            <w:r>
              <w:rPr>
                <w:rFonts w:ascii="Times New Roman" w:hAnsi="Times New Roman" w:cs="Times New Roman" w:eastAsia="Times New Roman" w:hint="default"/>
                <w:b/>
                <w:bCs/>
                <w:spacing w:val="-2"/>
                <w:sz w:val="18"/>
                <w:szCs w:val="18"/>
              </w:rPr>
              <w:t>5%</w:t>
            </w:r>
            <w:r>
              <w:rPr>
                <w:rFonts w:ascii="宋体" w:hAnsi="宋体" w:cs="宋体" w:eastAsia="宋体" w:hint="default"/>
                <w:b/>
                <w:bCs/>
                <w:spacing w:val="-2"/>
                <w:sz w:val="18"/>
                <w:szCs w:val="18"/>
              </w:rPr>
              <w:t>以上股东持股意向及减持意向承诺：</w:t>
            </w:r>
            <w:r>
              <w:rPr>
                <w:rFonts w:ascii="宋体" w:hAnsi="宋体" w:cs="宋体" w:eastAsia="宋体" w:hint="default"/>
                <w:spacing w:val="-2"/>
                <w:sz w:val="18"/>
                <w:szCs w:val="18"/>
              </w:rPr>
              <w:t>公司控股股东冯滨的持股意向及</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严格履行，未违反。</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减持意向如下</w:t>
            </w:r>
            <w:r>
              <w:rPr>
                <w:rFonts w:ascii="宋体" w:hAnsi="宋体" w:cs="宋体" w:eastAsia="宋体" w:hint="default"/>
                <w:spacing w:val="-90"/>
                <w:sz w:val="18"/>
                <w:szCs w:val="18"/>
              </w:rPr>
              <w:t>：</w:t>
            </w:r>
            <w:r>
              <w:rPr>
                <w:rFonts w:ascii="宋体" w:hAnsi="宋体" w:cs="宋体" w:eastAsia="宋体" w:hint="default"/>
                <w:sz w:val="18"/>
                <w:szCs w:val="18"/>
              </w:rPr>
              <w:t>（一）本人拟长期持有公司股票</w:t>
            </w:r>
            <w:r>
              <w:rPr>
                <w:rFonts w:ascii="宋体" w:hAnsi="宋体" w:cs="宋体" w:eastAsia="宋体" w:hint="default"/>
                <w:spacing w:val="-90"/>
                <w:sz w:val="18"/>
                <w:szCs w:val="18"/>
              </w:rPr>
              <w:t>；</w:t>
            </w:r>
            <w:r>
              <w:rPr>
                <w:rFonts w:ascii="宋体" w:hAnsi="宋体" w:cs="宋体" w:eastAsia="宋体" w:hint="default"/>
                <w:sz w:val="18"/>
                <w:szCs w:val="18"/>
              </w:rPr>
              <w:t>（二）如果在锁定期满后，</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本人拟减持股票的，将认真遵守证监会、交易所关于股东减持的相关规定，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结合公司稳定股价、开展经营、资本运作的需要，审慎制定股票减持计划，</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在股票锁定期满后逐步减持</w:t>
            </w:r>
            <w:r>
              <w:rPr>
                <w:rFonts w:ascii="宋体" w:hAnsi="宋体" w:cs="宋体" w:eastAsia="宋体" w:hint="default"/>
                <w:spacing w:val="-124"/>
                <w:sz w:val="18"/>
                <w:szCs w:val="18"/>
              </w:rPr>
              <w:t>；</w:t>
            </w:r>
            <w:r>
              <w:rPr>
                <w:rFonts w:ascii="宋体" w:hAnsi="宋体" w:cs="宋体" w:eastAsia="宋体" w:hint="default"/>
                <w:sz w:val="18"/>
                <w:szCs w:val="18"/>
              </w:rPr>
              <w:t>（三</w:t>
            </w:r>
            <w:r>
              <w:rPr>
                <w:rFonts w:ascii="宋体" w:hAnsi="宋体" w:cs="宋体" w:eastAsia="宋体" w:hint="default"/>
                <w:spacing w:val="-34"/>
                <w:sz w:val="18"/>
                <w:szCs w:val="18"/>
              </w:rPr>
              <w:t>）</w:t>
            </w:r>
            <w:r>
              <w:rPr>
                <w:rFonts w:ascii="宋体" w:hAnsi="宋体" w:cs="宋体" w:eastAsia="宋体" w:hint="default"/>
                <w:sz w:val="18"/>
                <w:szCs w:val="18"/>
              </w:rPr>
              <w:t>本人减持公司股份应符合相关法律</w:t>
            </w:r>
            <w:r>
              <w:rPr>
                <w:rFonts w:ascii="宋体" w:hAnsi="宋体" w:cs="宋体" w:eastAsia="宋体" w:hint="default"/>
                <w:spacing w:val="-34"/>
                <w:sz w:val="18"/>
                <w:szCs w:val="18"/>
              </w:rPr>
              <w:t>、</w:t>
            </w:r>
            <w:r>
              <w:rPr>
                <w:rFonts w:ascii="宋体" w:hAnsi="宋体" w:cs="宋体" w:eastAsia="宋体" w:hint="default"/>
                <w:sz w:val="18"/>
                <w:szCs w:val="18"/>
              </w:rPr>
              <w:t>法规、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规章的规定，具体方式包括但不限于交易所集中竞价交易方式、大宗交易方</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3"/>
                <w:sz w:val="18"/>
                <w:szCs w:val="18"/>
              </w:rPr>
              <w:t>、</w:t>
            </w:r>
            <w:r>
              <w:rPr>
                <w:rFonts w:ascii="宋体" w:hAnsi="宋体" w:cs="宋体" w:eastAsia="宋体" w:hint="default"/>
                <w:sz w:val="18"/>
                <w:szCs w:val="18"/>
              </w:rPr>
              <w:t>协议转让方式等</w:t>
            </w:r>
            <w:r>
              <w:rPr>
                <w:rFonts w:ascii="宋体" w:hAnsi="宋体" w:cs="宋体" w:eastAsia="宋体" w:hint="default"/>
                <w:spacing w:val="-93"/>
                <w:sz w:val="18"/>
                <w:szCs w:val="18"/>
              </w:rPr>
              <w:t>；</w:t>
            </w:r>
            <w:r>
              <w:rPr>
                <w:rFonts w:ascii="宋体" w:hAnsi="宋体" w:cs="宋体" w:eastAsia="宋体" w:hint="default"/>
                <w:sz w:val="18"/>
                <w:szCs w:val="18"/>
              </w:rPr>
              <w:t>（四</w:t>
            </w:r>
            <w:r>
              <w:rPr>
                <w:rFonts w:ascii="宋体" w:hAnsi="宋体" w:cs="宋体" w:eastAsia="宋体" w:hint="default"/>
                <w:spacing w:val="-4"/>
                <w:sz w:val="18"/>
                <w:szCs w:val="18"/>
              </w:rPr>
              <w:t>）</w:t>
            </w:r>
            <w:r>
              <w:rPr>
                <w:rFonts w:ascii="宋体" w:hAnsi="宋体" w:cs="宋体" w:eastAsia="宋体" w:hint="default"/>
                <w:sz w:val="18"/>
                <w:szCs w:val="18"/>
              </w:rPr>
              <w:t>本人减持公司股份前</w:t>
            </w:r>
            <w:r>
              <w:rPr>
                <w:rFonts w:ascii="宋体" w:hAnsi="宋体" w:cs="宋体" w:eastAsia="宋体" w:hint="default"/>
                <w:spacing w:val="-3"/>
                <w:sz w:val="18"/>
                <w:szCs w:val="18"/>
              </w:rPr>
              <w:t>，</w:t>
            </w:r>
            <w:r>
              <w:rPr>
                <w:rFonts w:ascii="宋体" w:hAnsi="宋体" w:cs="宋体" w:eastAsia="宋体" w:hint="default"/>
                <w:sz w:val="18"/>
                <w:szCs w:val="18"/>
              </w:rPr>
              <w:t>应提前三个交易日予以公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告，并按照证券交易所的规则及时、准确地履行信息披露义务；本人持有公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宋体" w:hAnsi="宋体" w:cs="宋体" w:eastAsia="宋体" w:hint="default"/>
                <w:spacing w:val="-90"/>
                <w:sz w:val="18"/>
                <w:szCs w:val="18"/>
              </w:rPr>
              <w:t>；</w:t>
            </w:r>
            <w:r>
              <w:rPr>
                <w:rFonts w:ascii="宋体" w:hAnsi="宋体" w:cs="宋体" w:eastAsia="宋体" w:hint="default"/>
                <w:sz w:val="18"/>
                <w:szCs w:val="18"/>
              </w:rPr>
              <w:t>（五）如果在锁定期满后两年内，本人拟减持股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票的，减持价格不低于发行价（指公司首次公开发行股票的发行价格，如果</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因公司上市后派发现金红利、送股、转增股本、增发新股等原因进行除权、</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除息的</w:t>
            </w:r>
            <w:r>
              <w:rPr>
                <w:rFonts w:ascii="宋体" w:hAnsi="宋体" w:cs="宋体" w:eastAsia="宋体" w:hint="default"/>
                <w:spacing w:val="-51"/>
                <w:sz w:val="18"/>
                <w:szCs w:val="18"/>
              </w:rPr>
              <w:t>，</w:t>
            </w:r>
            <w:r>
              <w:rPr>
                <w:rFonts w:ascii="宋体" w:hAnsi="宋体" w:cs="宋体" w:eastAsia="宋体" w:hint="default"/>
                <w:sz w:val="18"/>
                <w:szCs w:val="18"/>
              </w:rPr>
              <w:t>则按照证券交易所的有关规定作除权除息处理</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锁定期满后两年内，</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本人每年减持所持有的公司股份数量合计不超过上一年度最后一个交易日登</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记在本人名下的股份总数的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。因公司进行权益分派、减资缩股等导致本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人所持公司股份变化的</w:t>
            </w:r>
            <w:r>
              <w:rPr>
                <w:rFonts w:ascii="宋体" w:hAnsi="宋体" w:cs="宋体" w:eastAsia="宋体" w:hint="default"/>
                <w:spacing w:val="-4"/>
                <w:sz w:val="18"/>
                <w:szCs w:val="18"/>
              </w:rPr>
              <w:t>，</w:t>
            </w:r>
            <w:r>
              <w:rPr>
                <w:rFonts w:ascii="宋体" w:hAnsi="宋体" w:cs="宋体" w:eastAsia="宋体" w:hint="default"/>
                <w:sz w:val="18"/>
                <w:szCs w:val="18"/>
              </w:rPr>
              <w:t>相应年度可转让股份额度做相应变更</w:t>
            </w:r>
            <w:r>
              <w:rPr>
                <w:rFonts w:ascii="宋体" w:hAnsi="宋体" w:cs="宋体" w:eastAsia="宋体" w:hint="default"/>
                <w:spacing w:val="-94"/>
                <w:sz w:val="18"/>
                <w:szCs w:val="18"/>
              </w:rPr>
              <w:t>；</w:t>
            </w:r>
            <w:r>
              <w:rPr>
                <w:rFonts w:ascii="宋体" w:hAnsi="宋体" w:cs="宋体" w:eastAsia="宋体" w:hint="default"/>
                <w:sz w:val="18"/>
                <w:szCs w:val="18"/>
              </w:rPr>
              <w:t>（六</w:t>
            </w:r>
            <w:r>
              <w:rPr>
                <w:rFonts w:ascii="宋体" w:hAnsi="宋体" w:cs="宋体" w:eastAsia="宋体" w:hint="default"/>
                <w:spacing w:val="-4"/>
                <w:sz w:val="18"/>
                <w:szCs w:val="18"/>
              </w:rPr>
              <w:t>）</w:t>
            </w:r>
            <w:r>
              <w:rPr>
                <w:rFonts w:ascii="宋体" w:hAnsi="宋体" w:cs="宋体" w:eastAsia="宋体" w:hint="default"/>
                <w:sz w:val="18"/>
                <w:szCs w:val="18"/>
              </w:rPr>
              <w:t>如果本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人未履行上述减持意向，本人将在股东大会及中国证监会指定的披露媒体上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公开说明未履行承诺的具体原因并向公司股东和社会公众投资者道歉</w:t>
            </w:r>
            <w:r>
              <w:rPr>
                <w:rFonts w:ascii="宋体" w:hAnsi="宋体" w:cs="宋体" w:eastAsia="宋体" w:hint="default"/>
                <w:spacing w:val="-90"/>
                <w:sz w:val="18"/>
                <w:szCs w:val="18"/>
              </w:rPr>
              <w:t>；</w:t>
            </w:r>
            <w:r>
              <w:rPr>
                <w:rFonts w:ascii="宋体" w:hAnsi="宋体" w:cs="宋体" w:eastAsia="宋体" w:hint="default"/>
                <w:sz w:val="18"/>
                <w:szCs w:val="18"/>
              </w:rPr>
              <w:t>（七）</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如果本人未履行上述减持意向，本人持有的公司股份自本人未履行上述减持</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个月内不得减持。</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77" w:hRule="exact"/>
        </w:trPr>
        <w:tc>
          <w:tcPr>
            <w:tcW w:w="1102"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p>
        </w:tc>
        <w:tc>
          <w:tcPr>
            <w:tcW w:w="11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以上股东持股意向及减持意向承诺</w:t>
            </w:r>
            <w:r>
              <w:rPr>
                <w:rFonts w:ascii="宋体" w:hAnsi="宋体" w:cs="宋体" w:eastAsia="宋体" w:hint="default"/>
                <w:sz w:val="18"/>
                <w:szCs w:val="18"/>
              </w:rPr>
              <w:t>：公司其余持股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w:t>
            </w:r>
          </w:p>
        </w:tc>
        <w:tc>
          <w:tcPr>
            <w:tcW w:w="141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98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严格履行，未违反。目</w:t>
            </w: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股东林岩</w:t>
            </w:r>
            <w:r>
              <w:rPr>
                <w:rFonts w:ascii="宋体" w:hAnsi="宋体" w:cs="宋体" w:eastAsia="宋体" w:hint="default"/>
                <w:spacing w:val="-3"/>
                <w:sz w:val="18"/>
                <w:szCs w:val="18"/>
              </w:rPr>
              <w:t>、</w:t>
            </w:r>
            <w:r>
              <w:rPr>
                <w:rFonts w:ascii="宋体" w:hAnsi="宋体" w:cs="宋体" w:eastAsia="宋体" w:hint="default"/>
                <w:sz w:val="18"/>
                <w:szCs w:val="18"/>
              </w:rPr>
              <w:t>曹建的持股意向及减持意向如下</w:t>
            </w:r>
            <w:r>
              <w:rPr>
                <w:rFonts w:ascii="宋体" w:hAnsi="宋体" w:cs="宋体" w:eastAsia="宋体" w:hint="default"/>
                <w:spacing w:val="-93"/>
                <w:sz w:val="18"/>
                <w:szCs w:val="18"/>
              </w:rPr>
              <w:t>：</w:t>
            </w:r>
            <w:r>
              <w:rPr>
                <w:rFonts w:ascii="宋体" w:hAnsi="宋体" w:cs="宋体" w:eastAsia="宋体" w:hint="default"/>
                <w:sz w:val="18"/>
                <w:szCs w:val="18"/>
              </w:rPr>
              <w:t>（一</w:t>
            </w:r>
            <w:r>
              <w:rPr>
                <w:rFonts w:ascii="宋体" w:hAnsi="宋体" w:cs="宋体" w:eastAsia="宋体" w:hint="default"/>
                <w:spacing w:val="-3"/>
                <w:sz w:val="18"/>
                <w:szCs w:val="18"/>
              </w:rPr>
              <w:t>）</w:t>
            </w:r>
            <w:r>
              <w:rPr>
                <w:rFonts w:ascii="宋体" w:hAnsi="宋体" w:cs="宋体" w:eastAsia="宋体" w:hint="default"/>
                <w:sz w:val="18"/>
                <w:szCs w:val="18"/>
              </w:rPr>
              <w:t>如</w:t>
            </w:r>
            <w:r>
              <w:rPr>
                <w:rFonts w:ascii="宋体" w:hAnsi="宋体" w:cs="宋体" w:eastAsia="宋体" w:hint="default"/>
                <w:spacing w:val="-2"/>
                <w:sz w:val="18"/>
                <w:szCs w:val="18"/>
              </w:rPr>
              <w:t>果</w:t>
            </w:r>
            <w:r>
              <w:rPr>
                <w:rFonts w:ascii="宋体" w:hAnsi="宋体" w:cs="宋体" w:eastAsia="宋体" w:hint="default"/>
                <w:sz w:val="18"/>
                <w:szCs w:val="18"/>
              </w:rPr>
              <w:t>在锁定期满后</w:t>
            </w:r>
            <w:r>
              <w:rPr>
                <w:rFonts w:ascii="宋体" w:hAnsi="宋体" w:cs="宋体" w:eastAsia="宋体" w:hint="default"/>
                <w:spacing w:val="-3"/>
                <w:sz w:val="18"/>
                <w:szCs w:val="18"/>
              </w:rPr>
              <w:t>，</w:t>
            </w:r>
            <w:r>
              <w:rPr>
                <w:rFonts w:ascii="宋体" w:hAnsi="宋体" w:cs="宋体" w:eastAsia="宋体" w:hint="default"/>
                <w:sz w:val="18"/>
                <w:szCs w:val="18"/>
              </w:rPr>
              <w:t>本人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前林岩、曹建均不再为</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拟减持股票的，将认真遵守证监会、交易所关于股东减持的相关规定，结合</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公司稳定股价、开展经营、资本运作的需要，审慎制定股票减持计划，在股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东。</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票锁定期满后逐步减持</w:t>
            </w:r>
            <w:r>
              <w:rPr>
                <w:rFonts w:ascii="宋体" w:hAnsi="宋体" w:cs="宋体" w:eastAsia="宋体" w:hint="default"/>
                <w:spacing w:val="-93"/>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本人减持公司股份应符合相关法律</w:t>
            </w:r>
            <w:r>
              <w:rPr>
                <w:rFonts w:ascii="宋体" w:hAnsi="宋体" w:cs="宋体" w:eastAsia="宋体" w:hint="default"/>
                <w:spacing w:val="-3"/>
                <w:sz w:val="18"/>
                <w:szCs w:val="18"/>
              </w:rPr>
              <w:t>、</w:t>
            </w:r>
            <w:r>
              <w:rPr>
                <w:rFonts w:ascii="宋体" w:hAnsi="宋体" w:cs="宋体" w:eastAsia="宋体" w:hint="default"/>
                <w:sz w:val="18"/>
                <w:szCs w:val="18"/>
              </w:rPr>
              <w:t>法规</w:t>
            </w:r>
            <w:r>
              <w:rPr>
                <w:rFonts w:ascii="宋体" w:hAnsi="宋体" w:cs="宋体" w:eastAsia="宋体" w:hint="default"/>
                <w:spacing w:val="-3"/>
                <w:sz w:val="18"/>
                <w:szCs w:val="18"/>
              </w:rPr>
              <w:t>、</w:t>
            </w:r>
            <w:r>
              <w:rPr>
                <w:rFonts w:ascii="宋体" w:hAnsi="宋体" w:cs="宋体" w:eastAsia="宋体" w:hint="default"/>
                <w:sz w:val="18"/>
                <w:szCs w:val="18"/>
              </w:rPr>
              <w:t>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章的规定，具体方式包括但不限于交易所集中竞价交易方式、大宗交易方式、</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协议转让方式等</w:t>
            </w:r>
            <w:r>
              <w:rPr>
                <w:rFonts w:ascii="宋体" w:hAnsi="宋体" w:cs="宋体" w:eastAsia="宋体" w:hint="default"/>
                <w:spacing w:val="-90"/>
                <w:sz w:val="18"/>
                <w:szCs w:val="18"/>
              </w:rPr>
              <w:t>；</w:t>
            </w:r>
            <w:r>
              <w:rPr>
                <w:rFonts w:ascii="宋体" w:hAnsi="宋体" w:cs="宋体" w:eastAsia="宋体" w:hint="default"/>
                <w:sz w:val="18"/>
                <w:szCs w:val="18"/>
              </w:rPr>
              <w:t>（三）本人减持公司股份前，应提前三个交易日予以公告，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并按照证券交易所的规则及时、准确地履行信息披露义务；本人持有公司股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宋体" w:hAnsi="宋体" w:cs="宋体" w:eastAsia="宋体" w:hint="default"/>
                <w:spacing w:val="-99"/>
                <w:sz w:val="18"/>
                <w:szCs w:val="18"/>
              </w:rPr>
              <w:t>；</w:t>
            </w:r>
            <w:r>
              <w:rPr>
                <w:rFonts w:ascii="宋体" w:hAnsi="宋体" w:cs="宋体" w:eastAsia="宋体" w:hint="default"/>
                <w:sz w:val="18"/>
                <w:szCs w:val="18"/>
              </w:rPr>
              <w:t>（四</w:t>
            </w:r>
            <w:r>
              <w:rPr>
                <w:rFonts w:ascii="宋体" w:hAnsi="宋体" w:cs="宋体" w:eastAsia="宋体" w:hint="default"/>
                <w:spacing w:val="-9"/>
                <w:sz w:val="18"/>
                <w:szCs w:val="18"/>
              </w:rPr>
              <w:t>）</w:t>
            </w:r>
            <w:r>
              <w:rPr>
                <w:rFonts w:ascii="宋体" w:hAnsi="宋体" w:cs="宋体" w:eastAsia="宋体" w:hint="default"/>
                <w:sz w:val="18"/>
                <w:szCs w:val="18"/>
              </w:rPr>
              <w:t>如果在锁定期满后两年内</w:t>
            </w:r>
            <w:r>
              <w:rPr>
                <w:rFonts w:ascii="宋体" w:hAnsi="宋体" w:cs="宋体" w:eastAsia="宋体" w:hint="default"/>
                <w:spacing w:val="-9"/>
                <w:sz w:val="18"/>
                <w:szCs w:val="18"/>
              </w:rPr>
              <w:t>，</w:t>
            </w:r>
            <w:r>
              <w:rPr>
                <w:rFonts w:ascii="宋体" w:hAnsi="宋体" w:cs="宋体" w:eastAsia="宋体" w:hint="default"/>
                <w:sz w:val="18"/>
                <w:szCs w:val="18"/>
              </w:rPr>
              <w:t>本人拟减持股票的，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减持价格不低于发行价（指公司首次公开发行股票的发行价格，如果因公司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上市后派发现金红利、送股、转增股本、增发新股等原因进行除权、除息的，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则按照证券交易所的有关规定作除权除息处理</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锁定期满后两年内</w:t>
            </w:r>
            <w:r>
              <w:rPr>
                <w:rFonts w:ascii="宋体" w:hAnsi="宋体" w:cs="宋体" w:eastAsia="宋体" w:hint="default"/>
                <w:spacing w:val="-6"/>
                <w:sz w:val="18"/>
                <w:szCs w:val="18"/>
              </w:rPr>
              <w:t>，</w:t>
            </w:r>
            <w:r>
              <w:rPr>
                <w:rFonts w:ascii="宋体" w:hAnsi="宋体" w:cs="宋体" w:eastAsia="宋体" w:hint="default"/>
                <w:sz w:val="18"/>
                <w:szCs w:val="18"/>
              </w:rPr>
              <w:t>本人每</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年减持所持有的公司股份数量合计不超过上一年度最后一个交易日登记在本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人名下的股份总数的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。因公司进行权益分派、减资缩股等导致本人所持</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公司股份变化的</w:t>
            </w:r>
            <w:r>
              <w:rPr>
                <w:rFonts w:ascii="宋体" w:hAnsi="宋体" w:cs="宋体" w:eastAsia="宋体" w:hint="default"/>
                <w:spacing w:val="-4"/>
                <w:sz w:val="18"/>
                <w:szCs w:val="18"/>
              </w:rPr>
              <w:t>，</w:t>
            </w:r>
            <w:r>
              <w:rPr>
                <w:rFonts w:ascii="宋体" w:hAnsi="宋体" w:cs="宋体" w:eastAsia="宋体" w:hint="default"/>
                <w:sz w:val="18"/>
                <w:szCs w:val="18"/>
              </w:rPr>
              <w:t>相应年度可转让股份额度做相应变更</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4"/>
                <w:sz w:val="18"/>
                <w:szCs w:val="18"/>
              </w:rPr>
              <w:t>）</w:t>
            </w:r>
            <w:r>
              <w:rPr>
                <w:rFonts w:ascii="宋体" w:hAnsi="宋体" w:cs="宋体" w:eastAsia="宋体" w:hint="default"/>
                <w:sz w:val="18"/>
                <w:szCs w:val="18"/>
              </w:rPr>
              <w:t>如果本人未履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行上述减持意向，本人将在股东大会及中国证监会指定的披露媒体上公开说</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明未履行承诺的具体原因并向公司股东和社会公众投资者道歉</w:t>
            </w:r>
            <w:r>
              <w:rPr>
                <w:rFonts w:ascii="宋体" w:hAnsi="宋体" w:cs="宋体" w:eastAsia="宋体" w:hint="default"/>
                <w:spacing w:val="-96"/>
                <w:sz w:val="18"/>
                <w:szCs w:val="18"/>
              </w:rPr>
              <w:t>；</w:t>
            </w:r>
            <w:r>
              <w:rPr>
                <w:rFonts w:ascii="宋体" w:hAnsi="宋体" w:cs="宋体" w:eastAsia="宋体" w:hint="default"/>
                <w:sz w:val="18"/>
                <w:szCs w:val="18"/>
              </w:rPr>
              <w:t>（六</w:t>
            </w:r>
            <w:r>
              <w:rPr>
                <w:rFonts w:ascii="宋体" w:hAnsi="宋体" w:cs="宋体" w:eastAsia="宋体" w:hint="default"/>
                <w:spacing w:val="-5"/>
                <w:sz w:val="18"/>
                <w:szCs w:val="18"/>
              </w:rPr>
              <w:t>）</w:t>
            </w:r>
            <w:r>
              <w:rPr>
                <w:rFonts w:ascii="宋体" w:hAnsi="宋体" w:cs="宋体" w:eastAsia="宋体" w:hint="default"/>
                <w:sz w:val="18"/>
                <w:szCs w:val="18"/>
              </w:rPr>
              <w:t>如果本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人未履行上述减持意向，本人持有的公司股份自本人未履行上述减持意向之</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北京嘉俪九鼎投</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公司持股</w:t>
            </w:r>
            <w:r>
              <w:rPr>
                <w:rFonts w:ascii="宋体" w:hAnsi="宋体" w:cs="宋体" w:eastAsia="宋体" w:hint="default"/>
                <w:b/>
                <w:bCs/>
                <w:spacing w:val="-42"/>
                <w:sz w:val="18"/>
                <w:szCs w:val="18"/>
              </w:rPr>
              <w:t> </w:t>
            </w:r>
            <w:r>
              <w:rPr>
                <w:rFonts w:ascii="Times New Roman" w:hAnsi="Times New Roman" w:cs="Times New Roman" w:eastAsia="Times New Roman" w:hint="default"/>
                <w:b/>
                <w:bCs/>
                <w:spacing w:val="-3"/>
                <w:sz w:val="18"/>
                <w:szCs w:val="18"/>
              </w:rPr>
              <w:t>5%</w:t>
            </w:r>
            <w:r>
              <w:rPr>
                <w:rFonts w:ascii="宋体" w:hAnsi="宋体" w:cs="宋体" w:eastAsia="宋体" w:hint="default"/>
                <w:b/>
                <w:bCs/>
                <w:spacing w:val="-3"/>
                <w:sz w:val="18"/>
                <w:szCs w:val="18"/>
              </w:rPr>
              <w:t>以上的法人股东北京嘉俪九鼎投资中心（有限合伙）的持股意向</w:t>
            </w:r>
            <w:r>
              <w:rPr>
                <w:rFonts w:ascii="宋体" w:hAnsi="宋体" w:cs="宋体" w:eastAsia="宋体" w:hint="default"/>
                <w:spacing w:val="-3"/>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履行完毕。履行期间未</w:t>
            </w: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及减</w:t>
            </w:r>
            <w:r>
              <w:rPr>
                <w:rFonts w:ascii="宋体" w:hAnsi="宋体" w:cs="宋体" w:eastAsia="宋体" w:hint="default"/>
                <w:b/>
                <w:bCs/>
                <w:w w:val="99"/>
                <w:sz w:val="18"/>
                <w:szCs w:val="18"/>
              </w:rPr>
              <w:t>持</w:t>
            </w:r>
            <w:r>
              <w:rPr>
                <w:rFonts w:ascii="宋体" w:hAnsi="宋体" w:cs="宋体" w:eastAsia="宋体" w:hint="default"/>
                <w:b/>
                <w:bCs/>
                <w:spacing w:val="1"/>
                <w:w w:val="99"/>
                <w:sz w:val="18"/>
                <w:szCs w:val="18"/>
              </w:rPr>
              <w:t>意</w:t>
            </w:r>
            <w:r>
              <w:rPr>
                <w:rFonts w:ascii="宋体" w:hAnsi="宋体" w:cs="宋体" w:eastAsia="宋体" w:hint="default"/>
                <w:b/>
                <w:bCs/>
                <w:w w:val="99"/>
                <w:sz w:val="18"/>
                <w:szCs w:val="18"/>
              </w:rPr>
              <w:t>向如</w:t>
            </w:r>
            <w:r>
              <w:rPr>
                <w:rFonts w:ascii="宋体" w:hAnsi="宋体" w:cs="宋体" w:eastAsia="宋体" w:hint="default"/>
                <w:b/>
                <w:bCs/>
                <w:spacing w:val="1"/>
                <w:w w:val="99"/>
                <w:sz w:val="18"/>
                <w:szCs w:val="18"/>
              </w:rPr>
              <w:t>下</w:t>
            </w:r>
            <w:r>
              <w:rPr>
                <w:rFonts w:ascii="宋体" w:hAnsi="宋体" w:cs="宋体" w:eastAsia="宋体" w:hint="default"/>
                <w:b/>
                <w:bCs/>
                <w:spacing w:val="-89"/>
                <w:w w:val="99"/>
                <w:sz w:val="18"/>
                <w:szCs w:val="18"/>
              </w:rPr>
              <w:t>：</w:t>
            </w:r>
            <w:r>
              <w:rPr>
                <w:rFonts w:ascii="宋体" w:hAnsi="宋体" w:cs="宋体" w:eastAsia="宋体" w:hint="default"/>
                <w:sz w:val="18"/>
                <w:szCs w:val="18"/>
              </w:rPr>
              <w:t>（一）本</w:t>
            </w:r>
            <w:r>
              <w:rPr>
                <w:rFonts w:ascii="宋体" w:hAnsi="宋体" w:cs="宋体" w:eastAsia="宋体" w:hint="default"/>
                <w:spacing w:val="-2"/>
                <w:sz w:val="18"/>
                <w:szCs w:val="18"/>
              </w:rPr>
              <w:t>机</w:t>
            </w:r>
            <w:r>
              <w:rPr>
                <w:rFonts w:ascii="宋体" w:hAnsi="宋体" w:cs="宋体" w:eastAsia="宋体" w:hint="default"/>
                <w:sz w:val="18"/>
                <w:szCs w:val="18"/>
              </w:rPr>
              <w:t>构计划在所持公司股份锁定期满后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月</w:t>
            </w:r>
            <w:r>
              <w:rPr>
                <w:rFonts w:ascii="宋体" w:hAnsi="宋体" w:cs="宋体" w:eastAsia="宋体" w:hint="default"/>
                <w:sz w:val="18"/>
                <w:szCs w:val="18"/>
              </w:rPr>
              <w:t>内减</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违反承诺。目前北京嘉</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持完毕，减持价格不低于每股净资产（指最近一期经审计的合并报表每股净</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俪九鼎投资中心（有限</w:t>
            </w: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w:t>
            </w:r>
            <w:r>
              <w:rPr>
                <w:rFonts w:ascii="宋体" w:hAnsi="宋体" w:cs="宋体" w:eastAsia="宋体" w:hint="default"/>
                <w:spacing w:val="-90"/>
                <w:sz w:val="18"/>
                <w:szCs w:val="18"/>
              </w:rPr>
              <w:t>；</w:t>
            </w:r>
            <w:r>
              <w:rPr>
                <w:rFonts w:ascii="宋体" w:hAnsi="宋体" w:cs="宋体" w:eastAsia="宋体" w:hint="default"/>
                <w:sz w:val="18"/>
                <w:szCs w:val="18"/>
              </w:rPr>
              <w:t>（二）本机构减持公司股份应符合相关法律、法规、规章的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合伙）不再为公司持股</w:t>
            </w: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规定，具体方式包括但不限于交易所集中竞价交易方式、大宗交易方式、协</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30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议转让方式等</w:t>
            </w:r>
            <w:r>
              <w:rPr>
                <w:rFonts w:ascii="宋体" w:hAnsi="宋体" w:cs="宋体" w:eastAsia="宋体" w:hint="default"/>
                <w:spacing w:val="-90"/>
                <w:sz w:val="18"/>
                <w:szCs w:val="18"/>
              </w:rPr>
              <w:t>；</w:t>
            </w:r>
            <w:r>
              <w:rPr>
                <w:rFonts w:ascii="宋体" w:hAnsi="宋体" w:cs="宋体" w:eastAsia="宋体" w:hint="default"/>
                <w:sz w:val="18"/>
                <w:szCs w:val="18"/>
              </w:rPr>
              <w:t>（三）本机构减持公司股份前，应提前三个交易日予以公告，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并按照证券交易所的规则及时、准确地履行信息披露义务；本机构持有公司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宋体" w:hAnsi="宋体" w:cs="宋体" w:eastAsia="宋体" w:hint="default"/>
                <w:spacing w:val="-90"/>
                <w:sz w:val="18"/>
                <w:szCs w:val="18"/>
              </w:rPr>
              <w:t>；</w:t>
            </w:r>
            <w:r>
              <w:rPr>
                <w:rFonts w:ascii="宋体" w:hAnsi="宋体" w:cs="宋体" w:eastAsia="宋体" w:hint="default"/>
                <w:sz w:val="18"/>
                <w:szCs w:val="18"/>
              </w:rPr>
              <w:t>（四）如果本机构未履行上述减持意向，本机构将</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在股东大会及中国证监会指定的披露媒体上公开说明未履行承诺的具体原因</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并向公司股东和社会公众投资者道歉</w:t>
            </w:r>
            <w:r>
              <w:rPr>
                <w:rFonts w:ascii="宋体" w:hAnsi="宋体" w:cs="宋体" w:eastAsia="宋体" w:hint="default"/>
                <w:spacing w:val="-141"/>
                <w:sz w:val="18"/>
                <w:szCs w:val="18"/>
              </w:rPr>
              <w:t>；</w:t>
            </w:r>
            <w:r>
              <w:rPr>
                <w:rFonts w:ascii="宋体" w:hAnsi="宋体" w:cs="宋体" w:eastAsia="宋体" w:hint="default"/>
                <w:sz w:val="18"/>
                <w:szCs w:val="18"/>
              </w:rPr>
              <w:t>（五</w:t>
            </w:r>
            <w:r>
              <w:rPr>
                <w:rFonts w:ascii="宋体" w:hAnsi="宋体" w:cs="宋体" w:eastAsia="宋体" w:hint="default"/>
                <w:spacing w:val="-51"/>
                <w:sz w:val="18"/>
                <w:szCs w:val="18"/>
              </w:rPr>
              <w:t>）</w:t>
            </w:r>
            <w:r>
              <w:rPr>
                <w:rFonts w:ascii="宋体" w:hAnsi="宋体" w:cs="宋体" w:eastAsia="宋体" w:hint="default"/>
                <w:sz w:val="18"/>
                <w:szCs w:val="18"/>
              </w:rPr>
              <w:t>如果本机构未履行上述减持意向，</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本机构持有的公司股份自本机构未履行上述减持意向之日起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77" w:hRule="exact"/>
        </w:trPr>
        <w:tc>
          <w:tcPr>
            <w:tcW w:w="1102" w:type="dxa"/>
            <w:vMerge w:val="restart"/>
            <w:tcBorders>
              <w:top w:val="single" w:sz="15" w:space="0" w:color="000000"/>
              <w:left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62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持。</w:t>
            </w:r>
          </w:p>
        </w:tc>
        <w:tc>
          <w:tcPr>
            <w:tcW w:w="141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987"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路振</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担任公司董事、监事、高级管理人员的股东承诺（首发上市时担任董事、监</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严格履行，未违反。路</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勤</w:t>
            </w:r>
            <w:r>
              <w:rPr>
                <w:rFonts w:ascii="Times New Roman" w:hAnsi="Times New Roman" w:cs="Times New Roman" w:eastAsia="Times New Roman" w:hint="default"/>
                <w:sz w:val="18"/>
                <w:szCs w:val="18"/>
              </w:rPr>
              <w:t>;</w:t>
            </w:r>
            <w:r>
              <w:rPr>
                <w:rFonts w:ascii="宋体" w:hAnsi="宋体" w:cs="宋体" w:eastAsia="宋体" w:hint="default"/>
                <w:sz w:val="18"/>
                <w:szCs w:val="18"/>
              </w:rPr>
              <w:t>张磊</w:t>
            </w:r>
            <w:r>
              <w:rPr>
                <w:rFonts w:ascii="Times New Roman" w:hAnsi="Times New Roman" w:cs="Times New Roman" w:eastAsia="Times New Roman" w:hint="default"/>
                <w:sz w:val="18"/>
                <w:szCs w:val="18"/>
              </w:rPr>
              <w:t>;</w:t>
            </w:r>
            <w:r>
              <w:rPr>
                <w:rFonts w:ascii="宋体" w:hAnsi="宋体" w:cs="宋体" w:eastAsia="宋体" w:hint="default"/>
                <w:sz w:val="18"/>
                <w:szCs w:val="18"/>
              </w:rPr>
              <w:t>赵锐</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事</w:t>
            </w:r>
            <w:r>
              <w:rPr>
                <w:rFonts w:ascii="宋体" w:hAnsi="宋体" w:cs="宋体" w:eastAsia="宋体" w:hint="default"/>
                <w:b/>
                <w:bCs/>
                <w:spacing w:val="-4"/>
                <w:w w:val="99"/>
                <w:sz w:val="18"/>
                <w:szCs w:val="18"/>
              </w:rPr>
              <w:t>、</w:t>
            </w:r>
            <w:r>
              <w:rPr>
                <w:rFonts w:ascii="宋体" w:hAnsi="宋体" w:cs="宋体" w:eastAsia="宋体" w:hint="default"/>
                <w:b/>
                <w:bCs/>
                <w:spacing w:val="1"/>
                <w:w w:val="99"/>
                <w:sz w:val="18"/>
                <w:szCs w:val="18"/>
              </w:rPr>
              <w:t>高</w:t>
            </w:r>
            <w:r>
              <w:rPr>
                <w:rFonts w:ascii="宋体" w:hAnsi="宋体" w:cs="宋体" w:eastAsia="宋体" w:hint="default"/>
                <w:b/>
                <w:bCs/>
                <w:w w:val="99"/>
                <w:sz w:val="18"/>
                <w:szCs w:val="18"/>
              </w:rPr>
              <w:t>管</w:t>
            </w:r>
            <w:r>
              <w:rPr>
                <w:rFonts w:ascii="宋体" w:hAnsi="宋体" w:cs="宋体" w:eastAsia="宋体" w:hint="default"/>
                <w:b/>
                <w:bCs/>
                <w:spacing w:val="1"/>
                <w:w w:val="99"/>
                <w:sz w:val="18"/>
                <w:szCs w:val="18"/>
              </w:rPr>
              <w:t>股</w:t>
            </w:r>
            <w:r>
              <w:rPr>
                <w:rFonts w:ascii="宋体" w:hAnsi="宋体" w:cs="宋体" w:eastAsia="宋体" w:hint="default"/>
                <w:b/>
                <w:bCs/>
                <w:w w:val="99"/>
                <w:sz w:val="18"/>
                <w:szCs w:val="18"/>
              </w:rPr>
              <w:t>东</w:t>
            </w:r>
            <w:r>
              <w:rPr>
                <w:rFonts w:ascii="宋体" w:hAnsi="宋体" w:cs="宋体" w:eastAsia="宋体" w:hint="default"/>
                <w:b/>
                <w:bCs/>
                <w:spacing w:val="-90"/>
                <w:w w:val="99"/>
                <w:sz w:val="18"/>
                <w:szCs w:val="18"/>
              </w:rPr>
              <w:t>）</w:t>
            </w:r>
            <w:r>
              <w:rPr>
                <w:rFonts w:ascii="宋体" w:hAnsi="宋体" w:cs="宋体" w:eastAsia="宋体" w:hint="default"/>
                <w:b/>
                <w:bCs/>
                <w:spacing w:val="-4"/>
                <w:w w:val="99"/>
                <w:sz w:val="18"/>
                <w:szCs w:val="18"/>
              </w:rPr>
              <w:t>：</w:t>
            </w:r>
            <w:r>
              <w:rPr>
                <w:rFonts w:ascii="宋体" w:hAnsi="宋体" w:cs="宋体" w:eastAsia="宋体" w:hint="default"/>
                <w:sz w:val="18"/>
                <w:szCs w:val="18"/>
              </w:rPr>
              <w:t>本人所持公司股票扣除公开发售</w:t>
            </w:r>
            <w:r>
              <w:rPr>
                <w:rFonts w:ascii="宋体" w:hAnsi="宋体" w:cs="宋体" w:eastAsia="宋体" w:hint="default"/>
                <w:spacing w:val="-4"/>
                <w:sz w:val="18"/>
                <w:szCs w:val="18"/>
              </w:rPr>
              <w:t>后</w:t>
            </w:r>
            <w:r>
              <w:rPr>
                <w:rFonts w:ascii="宋体" w:hAnsi="宋体" w:cs="宋体" w:eastAsia="宋体" w:hint="default"/>
                <w:sz w:val="18"/>
                <w:szCs w:val="18"/>
              </w:rPr>
              <w:t>（如有</w:t>
            </w:r>
            <w:r>
              <w:rPr>
                <w:rFonts w:ascii="宋体" w:hAnsi="宋体" w:cs="宋体" w:eastAsia="宋体" w:hint="default"/>
                <w:spacing w:val="-4"/>
                <w:sz w:val="18"/>
                <w:szCs w:val="18"/>
              </w:rPr>
              <w:t>）</w:t>
            </w:r>
            <w:r>
              <w:rPr>
                <w:rFonts w:ascii="宋体" w:hAnsi="宋体" w:cs="宋体" w:eastAsia="宋体" w:hint="default"/>
                <w:sz w:val="18"/>
                <w:szCs w:val="18"/>
              </w:rPr>
              <w:t>的部分自公司上</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振勤为首发上市时高</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市之日起十二个月内不转让或者委托他人管理，也不由公司回购本人持有的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股份；在前述锁定期期满后，在任职期间内每年通过集中竞价、大宗交易、</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日起，因办理正常退休</w:t>
            </w: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协议转让等方式转让的股份不超过本人所持公司股份总数的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；在离任后</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手续，不再任高管。具</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六个月内，不转让所持公司股份，离任六个月后的十二个月内转让的股份不</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体情况：公司未出现上</w:t>
            </w: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超过所持公司股份总数的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。本人所持公司股票在锁定期满后两年内减持</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个月内公司股票</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的，减持价格不低于发行价；公司上市后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个月期末收盘价低于发行价，本人</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盘价均低于发行价或</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持有公司股票的锁定期限自动延长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个月。上述减持价格和股份锁定承诺不</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个月期末收</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因本人职务变更、离职而终止。上述发行价指公司首次公开发行股票的发行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盘价低于发行价的情</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价格，如果公司上市后因派发现金红利、送股、转增股本、增发新股等原因</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况，由此未触发自动延</w:t>
            </w: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进行除权、除息的，则按照证券交易所的有关规定作除权除息处理。</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个月的条</w:t>
            </w:r>
          </w:p>
        </w:tc>
      </w:tr>
      <w:tr>
        <w:trPr>
          <w:trHeight w:val="35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件。</w:t>
            </w: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公司实际控制人对上市后公司的股利分配政策和现金分红比例规定的承诺：</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严格履行，未违反。具</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公司实际控制人冯滨先生承诺：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严格遵守《北京众信国际旅行社股份有限公</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体为冯滨对公司历次</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司章</w:t>
            </w:r>
            <w:r>
              <w:rPr>
                <w:rFonts w:ascii="宋体" w:hAnsi="宋体" w:cs="宋体" w:eastAsia="宋体" w:hint="default"/>
                <w:spacing w:val="-72"/>
                <w:sz w:val="18"/>
                <w:szCs w:val="18"/>
              </w:rPr>
              <w:t>程</w:t>
            </w: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162"/>
                <w:sz w:val="18"/>
                <w:szCs w:val="18"/>
              </w:rPr>
              <w:t>》</w:t>
            </w:r>
            <w:r>
              <w:rPr>
                <w:rFonts w:ascii="宋体" w:hAnsi="宋体" w:cs="宋体" w:eastAsia="宋体" w:hint="default"/>
                <w:sz w:val="18"/>
                <w:szCs w:val="18"/>
              </w:rPr>
              <w:t>（注</w:t>
            </w:r>
            <w:r>
              <w:rPr>
                <w:rFonts w:ascii="宋体" w:hAnsi="宋体" w:cs="宋体" w:eastAsia="宋体" w:hint="default"/>
                <w:spacing w:val="-72"/>
                <w:sz w:val="18"/>
                <w:szCs w:val="18"/>
              </w:rPr>
              <w:t>：</w:t>
            </w:r>
            <w:r>
              <w:rPr>
                <w:rFonts w:ascii="宋体" w:hAnsi="宋体" w:cs="宋体" w:eastAsia="宋体" w:hint="default"/>
                <w:sz w:val="18"/>
                <w:szCs w:val="18"/>
              </w:rPr>
              <w:t>指公司上市后适用的现行有效的公司章程</w:t>
            </w:r>
            <w:r>
              <w:rPr>
                <w:rFonts w:ascii="宋体" w:hAnsi="宋体" w:cs="宋体" w:eastAsia="宋体" w:hint="default"/>
                <w:spacing w:val="-72"/>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73"/>
                <w:sz w:val="18"/>
                <w:szCs w:val="18"/>
              </w:rPr>
              <w:t>“</w:t>
            </w:r>
            <w:r>
              <w:rPr>
                <w:rFonts w:ascii="宋体" w:hAnsi="宋体" w:cs="宋体" w:eastAsia="宋体" w:hint="default"/>
                <w:sz w:val="18"/>
                <w:szCs w:val="18"/>
              </w:rPr>
              <w:t>《公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分红议案全部投赞成</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司章程》</w:t>
            </w:r>
            <w:r>
              <w:rPr>
                <w:rFonts w:ascii="Times New Roman" w:hAnsi="Times New Roman" w:cs="Times New Roman" w:eastAsia="Times New Roman" w:hint="default"/>
                <w:sz w:val="18"/>
                <w:szCs w:val="18"/>
              </w:rPr>
              <w:t>”</w:t>
            </w:r>
            <w:r>
              <w:rPr>
                <w:rFonts w:ascii="宋体" w:hAnsi="宋体" w:cs="宋体" w:eastAsia="宋体" w:hint="default"/>
                <w:sz w:val="18"/>
                <w:szCs w:val="18"/>
              </w:rPr>
              <w:t>）中关于公司利润分配政策的相关规定，积极支持与配合公司董事</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票。</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会根据《公司章程》相关规定制订公司利润分配方案，确保董事会在制订公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司利润分配方案时能综合考虑公司所处行业特点、发展阶段、公司经营模式、</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盈利水平以及是否有重大资金支出安排等因素，且现金分红在本次利润分配</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；同时，本人承诺在公司董事会及股东大会审议</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符合相关法律、法规、规范性文件以及《公司章程》规定的相关利润分配议</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案时投赞成票。</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有关股东及实际控制人避免同业竞争的承诺：</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严格履行，未违反。</w:t>
            </w:r>
          </w:p>
        </w:tc>
      </w:tr>
      <w:tr>
        <w:trPr>
          <w:trHeight w:val="32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北京嘉俪九鼎投</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b/>
                <w:bCs/>
                <w:sz w:val="18"/>
                <w:szCs w:val="18"/>
              </w:rPr>
              <w:t>（一）为避免未来发生同业竞争，更好地维护中小股东的利益，公司控股股</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b/>
                <w:bCs/>
                <w:sz w:val="18"/>
                <w:szCs w:val="18"/>
              </w:rPr>
              <w:t>东冯滨及其他持有公司</w:t>
            </w:r>
            <w:r>
              <w:rPr>
                <w:rFonts w:ascii="宋体" w:hAnsi="宋体" w:cs="宋体" w:eastAsia="宋体" w:hint="default"/>
                <w:b/>
                <w:bCs/>
                <w:spacing w:val="-60"/>
                <w:sz w:val="18"/>
                <w:szCs w:val="18"/>
              </w:rPr>
              <w:t> </w:t>
            </w:r>
            <w:r>
              <w:rPr>
                <w:rFonts w:ascii="Times New Roman" w:hAnsi="Times New Roman" w:cs="Times New Roman" w:eastAsia="Times New Roman" w:hint="default"/>
                <w:b/>
                <w:bCs/>
                <w:spacing w:val="-3"/>
                <w:sz w:val="18"/>
                <w:szCs w:val="18"/>
              </w:rPr>
              <w:t>5%</w:t>
            </w:r>
            <w:r>
              <w:rPr>
                <w:rFonts w:ascii="宋体" w:hAnsi="宋体" w:cs="宋体" w:eastAsia="宋体" w:hint="default"/>
                <w:b/>
                <w:bCs/>
                <w:spacing w:val="-3"/>
                <w:sz w:val="18"/>
                <w:szCs w:val="18"/>
              </w:rPr>
              <w:t>股份以上的自然人股东林岩、曹建分别出具了《关</w:t>
            </w:r>
            <w:r>
              <w:rPr>
                <w:rFonts w:ascii="宋体" w:hAnsi="宋体" w:cs="宋体" w:eastAsia="宋体" w:hint="default"/>
                <w:spacing w:val="-3"/>
                <w:sz w:val="18"/>
                <w:szCs w:val="18"/>
              </w:rPr>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于避</w:t>
            </w:r>
            <w:r>
              <w:rPr>
                <w:rFonts w:ascii="宋体" w:hAnsi="宋体" w:cs="宋体" w:eastAsia="宋体" w:hint="default"/>
                <w:b/>
                <w:bCs/>
                <w:w w:val="99"/>
                <w:sz w:val="18"/>
                <w:szCs w:val="18"/>
              </w:rPr>
              <w:t>免</w:t>
            </w:r>
            <w:r>
              <w:rPr>
                <w:rFonts w:ascii="宋体" w:hAnsi="宋体" w:cs="宋体" w:eastAsia="宋体" w:hint="default"/>
                <w:b/>
                <w:bCs/>
                <w:spacing w:val="1"/>
                <w:w w:val="99"/>
                <w:sz w:val="18"/>
                <w:szCs w:val="18"/>
              </w:rPr>
              <w:t>同</w:t>
            </w:r>
            <w:r>
              <w:rPr>
                <w:rFonts w:ascii="宋体" w:hAnsi="宋体" w:cs="宋体" w:eastAsia="宋体" w:hint="default"/>
                <w:b/>
                <w:bCs/>
                <w:w w:val="99"/>
                <w:sz w:val="18"/>
                <w:szCs w:val="18"/>
              </w:rPr>
              <w:t>业竞</w:t>
            </w:r>
            <w:r>
              <w:rPr>
                <w:rFonts w:ascii="宋体" w:hAnsi="宋体" w:cs="宋体" w:eastAsia="宋体" w:hint="default"/>
                <w:b/>
                <w:bCs/>
                <w:spacing w:val="1"/>
                <w:w w:val="99"/>
                <w:sz w:val="18"/>
                <w:szCs w:val="18"/>
              </w:rPr>
              <w:t>争的</w:t>
            </w:r>
            <w:r>
              <w:rPr>
                <w:rFonts w:ascii="宋体" w:hAnsi="宋体" w:cs="宋体" w:eastAsia="宋体" w:hint="default"/>
                <w:b/>
                <w:bCs/>
                <w:w w:val="99"/>
                <w:sz w:val="18"/>
                <w:szCs w:val="18"/>
              </w:rPr>
              <w:t>承</w:t>
            </w:r>
            <w:r>
              <w:rPr>
                <w:rFonts w:ascii="宋体" w:hAnsi="宋体" w:cs="宋体" w:eastAsia="宋体" w:hint="default"/>
                <w:b/>
                <w:bCs/>
                <w:spacing w:val="1"/>
                <w:w w:val="99"/>
                <w:sz w:val="18"/>
                <w:szCs w:val="18"/>
              </w:rPr>
              <w:t>诺</w:t>
            </w:r>
            <w:r>
              <w:rPr>
                <w:rFonts w:ascii="宋体" w:hAnsi="宋体" w:cs="宋体" w:eastAsia="宋体" w:hint="default"/>
                <w:b/>
                <w:bCs/>
                <w:w w:val="99"/>
                <w:sz w:val="18"/>
                <w:szCs w:val="18"/>
              </w:rPr>
              <w:t>函</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所做</w:t>
            </w:r>
            <w:r>
              <w:rPr>
                <w:rFonts w:ascii="宋体" w:hAnsi="宋体" w:cs="宋体" w:eastAsia="宋体" w:hint="default"/>
                <w:b/>
                <w:bCs/>
                <w:w w:val="99"/>
                <w:sz w:val="18"/>
                <w:szCs w:val="18"/>
              </w:rPr>
              <w:t>出</w:t>
            </w:r>
            <w:r>
              <w:rPr>
                <w:rFonts w:ascii="宋体" w:hAnsi="宋体" w:cs="宋体" w:eastAsia="宋体" w:hint="default"/>
                <w:b/>
                <w:bCs/>
                <w:spacing w:val="1"/>
                <w:w w:val="99"/>
                <w:sz w:val="18"/>
                <w:szCs w:val="18"/>
              </w:rPr>
              <w:t>的</w:t>
            </w:r>
            <w:r>
              <w:rPr>
                <w:rFonts w:ascii="宋体" w:hAnsi="宋体" w:cs="宋体" w:eastAsia="宋体" w:hint="default"/>
                <w:b/>
                <w:bCs/>
                <w:w w:val="99"/>
                <w:sz w:val="18"/>
                <w:szCs w:val="18"/>
              </w:rPr>
              <w:t>承诺</w:t>
            </w:r>
            <w:r>
              <w:rPr>
                <w:rFonts w:ascii="宋体" w:hAnsi="宋体" w:cs="宋体" w:eastAsia="宋体" w:hint="default"/>
                <w:b/>
                <w:bCs/>
                <w:spacing w:val="1"/>
                <w:w w:val="99"/>
                <w:sz w:val="18"/>
                <w:szCs w:val="18"/>
              </w:rPr>
              <w:t>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目前没有直接或间</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2"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接地从事任何与北京众信国际旅行社股份有限公司业务相同或类似的经营活</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6"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、将来不以任何方式从事，包括与他人合作直接或间接从事与公司相同、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类似或在任何方面构成竞争的业务；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、将尽一切可能之努力使本人不从事与</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公司相同、类似或在任何方面构成竞争的业务；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、不投资控股或参股于业务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与公司相同、类似或在任何方面构成竞争的公司、企业或其他机构、组织；</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不向其他业务与公司相同、类似或在任何方面构成竞争的公司、企业或其他</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机构、组织或个人提供专有技术或提供销售管道、客户信息等商业机密；</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如果未来本人拟从事的业务可能与公司构成同业竞争，本人将本着公司优先</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的原则与公司协商解决；</w:t>
            </w:r>
            <w:r>
              <w:rPr>
                <w:rFonts w:ascii="Times New Roman" w:hAnsi="Times New Roman" w:cs="Times New Roman" w:eastAsia="Times New Roman" w:hint="default"/>
                <w:sz w:val="18"/>
                <w:szCs w:val="18"/>
              </w:rPr>
              <w:t>7</w:t>
            </w:r>
            <w:r>
              <w:rPr>
                <w:rFonts w:ascii="宋体" w:hAnsi="宋体" w:cs="宋体" w:eastAsia="宋体" w:hint="default"/>
                <w:sz w:val="18"/>
                <w:szCs w:val="18"/>
              </w:rPr>
              <w:t>、本人确认本承诺书所载的每一项承诺均为可独立</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执行之承诺，任何一项承诺若被认定无效或终止将不影响其他各项承诺的有</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效性；</w:t>
            </w:r>
            <w:r>
              <w:rPr>
                <w:rFonts w:ascii="Times New Roman" w:hAnsi="Times New Roman" w:cs="Times New Roman" w:eastAsia="Times New Roman" w:hint="default"/>
                <w:sz w:val="18"/>
                <w:szCs w:val="18"/>
              </w:rPr>
              <w:t>8</w:t>
            </w:r>
            <w:r>
              <w:rPr>
                <w:rFonts w:ascii="宋体" w:hAnsi="宋体" w:cs="宋体" w:eastAsia="宋体" w:hint="default"/>
                <w:sz w:val="18"/>
                <w:szCs w:val="18"/>
              </w:rPr>
              <w:t>、上述各项承诺在本人作为公司实际控制人或主要股东期间及转让全</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2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部股份之日起一年内均持续有效且不可变更或撤销。</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b/>
                <w:bCs/>
                <w:sz w:val="18"/>
                <w:szCs w:val="18"/>
              </w:rPr>
              <w:t>（二）持有公司</w:t>
            </w:r>
            <w:r>
              <w:rPr>
                <w:rFonts w:ascii="宋体" w:hAnsi="宋体" w:cs="宋体" w:eastAsia="宋体" w:hint="default"/>
                <w:b/>
                <w:bCs/>
                <w:spacing w:val="-51"/>
                <w:sz w:val="18"/>
                <w:szCs w:val="18"/>
              </w:rPr>
              <w:t>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股份以上的法人股东北京嘉俪九鼎投资中心（有限合伙）</w:t>
            </w:r>
            <w:r>
              <w:rPr>
                <w:rFonts w:ascii="宋体" w:hAnsi="宋体" w:cs="宋体" w:eastAsia="宋体" w:hint="default"/>
                <w:sz w:val="18"/>
                <w:szCs w:val="18"/>
              </w:rPr>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出具</w:t>
            </w:r>
            <w:r>
              <w:rPr>
                <w:rFonts w:ascii="宋体" w:hAnsi="宋体" w:cs="宋体" w:eastAsia="宋体" w:hint="default"/>
                <w:b/>
                <w:bCs/>
                <w:w w:val="99"/>
                <w:sz w:val="18"/>
                <w:szCs w:val="18"/>
              </w:rPr>
              <w:t>了</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关于</w:t>
            </w:r>
            <w:r>
              <w:rPr>
                <w:rFonts w:ascii="宋体" w:hAnsi="宋体" w:cs="宋体" w:eastAsia="宋体" w:hint="default"/>
                <w:b/>
                <w:bCs/>
                <w:spacing w:val="1"/>
                <w:w w:val="99"/>
                <w:sz w:val="18"/>
                <w:szCs w:val="18"/>
              </w:rPr>
              <w:t>避免</w:t>
            </w:r>
            <w:r>
              <w:rPr>
                <w:rFonts w:ascii="宋体" w:hAnsi="宋体" w:cs="宋体" w:eastAsia="宋体" w:hint="default"/>
                <w:b/>
                <w:bCs/>
                <w:w w:val="99"/>
                <w:sz w:val="18"/>
                <w:szCs w:val="18"/>
              </w:rPr>
              <w:t>同</w:t>
            </w:r>
            <w:r>
              <w:rPr>
                <w:rFonts w:ascii="宋体" w:hAnsi="宋体" w:cs="宋体" w:eastAsia="宋体" w:hint="default"/>
                <w:b/>
                <w:bCs/>
                <w:spacing w:val="1"/>
                <w:w w:val="99"/>
                <w:sz w:val="18"/>
                <w:szCs w:val="18"/>
              </w:rPr>
              <w:t>业</w:t>
            </w:r>
            <w:r>
              <w:rPr>
                <w:rFonts w:ascii="宋体" w:hAnsi="宋体" w:cs="宋体" w:eastAsia="宋体" w:hint="default"/>
                <w:b/>
                <w:bCs/>
                <w:w w:val="99"/>
                <w:sz w:val="18"/>
                <w:szCs w:val="18"/>
              </w:rPr>
              <w:t>竞争</w:t>
            </w:r>
            <w:r>
              <w:rPr>
                <w:rFonts w:ascii="宋体" w:hAnsi="宋体" w:cs="宋体" w:eastAsia="宋体" w:hint="default"/>
                <w:b/>
                <w:bCs/>
                <w:spacing w:val="1"/>
                <w:w w:val="99"/>
                <w:sz w:val="18"/>
                <w:szCs w:val="18"/>
              </w:rPr>
              <w:t>的承</w:t>
            </w:r>
            <w:r>
              <w:rPr>
                <w:rFonts w:ascii="宋体" w:hAnsi="宋体" w:cs="宋体" w:eastAsia="宋体" w:hint="default"/>
                <w:b/>
                <w:bCs/>
                <w:w w:val="99"/>
                <w:sz w:val="18"/>
                <w:szCs w:val="18"/>
              </w:rPr>
              <w:t>诺</w:t>
            </w:r>
            <w:r>
              <w:rPr>
                <w:rFonts w:ascii="宋体" w:hAnsi="宋体" w:cs="宋体" w:eastAsia="宋体" w:hint="default"/>
                <w:b/>
                <w:bCs/>
                <w:spacing w:val="1"/>
                <w:w w:val="99"/>
                <w:sz w:val="18"/>
                <w:szCs w:val="18"/>
              </w:rPr>
              <w:t>函</w:t>
            </w:r>
            <w:r>
              <w:rPr>
                <w:rFonts w:ascii="宋体" w:hAnsi="宋体" w:cs="宋体" w:eastAsia="宋体" w:hint="default"/>
                <w:b/>
                <w:bCs/>
                <w:spacing w:val="-91"/>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所</w:t>
            </w:r>
            <w:r>
              <w:rPr>
                <w:rFonts w:ascii="宋体" w:hAnsi="宋体" w:cs="宋体" w:eastAsia="宋体" w:hint="default"/>
                <w:b/>
                <w:bCs/>
                <w:spacing w:val="1"/>
                <w:w w:val="99"/>
                <w:sz w:val="18"/>
                <w:szCs w:val="18"/>
              </w:rPr>
              <w:t>做出</w:t>
            </w:r>
            <w:r>
              <w:rPr>
                <w:rFonts w:ascii="宋体" w:hAnsi="宋体" w:cs="宋体" w:eastAsia="宋体" w:hint="default"/>
                <w:b/>
                <w:bCs/>
                <w:w w:val="99"/>
                <w:sz w:val="18"/>
                <w:szCs w:val="18"/>
              </w:rPr>
              <w:t>的</w:t>
            </w:r>
            <w:r>
              <w:rPr>
                <w:rFonts w:ascii="宋体" w:hAnsi="宋体" w:cs="宋体" w:eastAsia="宋体" w:hint="default"/>
                <w:b/>
                <w:bCs/>
                <w:spacing w:val="1"/>
                <w:w w:val="99"/>
                <w:sz w:val="18"/>
                <w:szCs w:val="18"/>
              </w:rPr>
              <w:t>承</w:t>
            </w:r>
            <w:r>
              <w:rPr>
                <w:rFonts w:ascii="宋体" w:hAnsi="宋体" w:cs="宋体" w:eastAsia="宋体" w:hint="default"/>
                <w:b/>
                <w:bCs/>
                <w:w w:val="99"/>
                <w:sz w:val="18"/>
                <w:szCs w:val="18"/>
              </w:rPr>
              <w:t>诺如</w:t>
            </w:r>
            <w:r>
              <w:rPr>
                <w:rFonts w:ascii="宋体" w:hAnsi="宋体" w:cs="宋体" w:eastAsia="宋体" w:hint="default"/>
                <w:b/>
                <w:bCs/>
                <w:spacing w:val="1"/>
                <w:w w:val="99"/>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、本中</w:t>
            </w:r>
            <w:r>
              <w:rPr>
                <w:rFonts w:ascii="宋体" w:hAnsi="宋体" w:cs="宋体" w:eastAsia="宋体" w:hint="default"/>
                <w:spacing w:val="-2"/>
                <w:sz w:val="18"/>
                <w:szCs w:val="18"/>
              </w:rPr>
              <w:t>心</w:t>
            </w:r>
            <w:r>
              <w:rPr>
                <w:rFonts w:ascii="宋体" w:hAnsi="宋体" w:cs="宋体" w:eastAsia="宋体" w:hint="default"/>
                <w:sz w:val="18"/>
                <w:szCs w:val="18"/>
              </w:rPr>
              <w:t>及其</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控制的其他企业目前没有直接或间接地从事任何与北京众信国际旅行社股份</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有限公司业务相同或类似的经营活动；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、将来不以任何方式从事，包括与他</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人合作直接或间接从事与公司相同、类似或在任何方面构成竞争的业务；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将尽一切可能之努力使本中心其他关联企业不从事与公司相同、类似或在任</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何方面构成竞争的业务；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、不投资控股或参股于业务与公司相同、类似或在</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任何方面构成竞争的公司、企业或其他机构、组织；</w:t>
            </w:r>
            <w:r>
              <w:rPr>
                <w:rFonts w:ascii="Times New Roman" w:hAnsi="Times New Roman" w:cs="Times New Roman" w:eastAsia="Times New Roman" w:hint="default"/>
                <w:sz w:val="18"/>
                <w:szCs w:val="18"/>
              </w:rPr>
              <w:t>5</w:t>
            </w:r>
            <w:r>
              <w:rPr>
                <w:rFonts w:ascii="宋体" w:hAnsi="宋体" w:cs="宋体" w:eastAsia="宋体" w:hint="default"/>
                <w:sz w:val="18"/>
                <w:szCs w:val="18"/>
              </w:rPr>
              <w:t>、不向其他业务与公司</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相同、类似或在任何方面构成竞争的公司、企业或其他机构、组织或个人提</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供专有技术或提供销售管道、客户信息等商业机密；</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、如果未来本中心拟从</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事的业务可能与公司构成同业竞争，本中心将本着公司优先的原则与公司协</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商解决；</w:t>
            </w:r>
            <w:r>
              <w:rPr>
                <w:rFonts w:ascii="Times New Roman" w:hAnsi="Times New Roman" w:cs="Times New Roman" w:eastAsia="Times New Roman" w:hint="default"/>
                <w:sz w:val="18"/>
                <w:szCs w:val="18"/>
              </w:rPr>
              <w:t>7</w:t>
            </w:r>
            <w:r>
              <w:rPr>
                <w:rFonts w:ascii="宋体" w:hAnsi="宋体" w:cs="宋体" w:eastAsia="宋体" w:hint="default"/>
                <w:sz w:val="18"/>
                <w:szCs w:val="18"/>
              </w:rPr>
              <w:t>、本中心确认本承诺书所载的每一项承诺均为可独立执行之承诺，</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任何一项承诺若被认定无效或终止将不影响其他各项承诺的有效性；</w:t>
            </w:r>
            <w:r>
              <w:rPr>
                <w:rFonts w:ascii="Times New Roman" w:hAnsi="Times New Roman" w:cs="Times New Roman" w:eastAsia="Times New Roman" w:hint="default"/>
                <w:sz w:val="18"/>
                <w:szCs w:val="18"/>
              </w:rPr>
              <w:t>8</w:t>
            </w:r>
            <w:r>
              <w:rPr>
                <w:rFonts w:ascii="宋体" w:hAnsi="宋体" w:cs="宋体" w:eastAsia="宋体" w:hint="default"/>
                <w:sz w:val="18"/>
                <w:szCs w:val="18"/>
              </w:rPr>
              <w:t>、上述</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8"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各项承诺在本中心作为公司主要股东期间及转让全部股份之日起一年内均持</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6"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续有效且不可变更或撤销。</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3"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控股股东、实际控制人关于减少和规范关联交易的承诺：</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严格履行，未违反。</w:t>
            </w:r>
          </w:p>
        </w:tc>
      </w:tr>
      <w:tr>
        <w:trPr>
          <w:trHeight w:val="32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b/>
                <w:bCs/>
                <w:w w:val="95"/>
                <w:sz w:val="18"/>
                <w:szCs w:val="18"/>
              </w:rPr>
              <w:t>控股股东、实际控制人冯滨承诺：</w:t>
            </w:r>
            <w:r>
              <w:rPr>
                <w:rFonts w:ascii="宋体" w:hAnsi="宋体" w:cs="宋体" w:eastAsia="宋体" w:hint="default"/>
                <w:w w:val="95"/>
                <w:sz w:val="18"/>
                <w:szCs w:val="18"/>
              </w:rPr>
              <w:t>将继续严格按照《中华人民共和国公司法》</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易、资金占</w:t>
            </w: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等法律法规以及《公司章程》的有关规定行使股东权利；在股东大会对有关</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1"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用方面的承</w:t>
            </w: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涉及其事项的关联交易进行表决时，履行回避表决的义务；承诺杜绝一切非</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法占用公司的资金、资产的行为，不与发行人发生资金拆借行为（正常经营</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活动中预支的备用金除外</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在任何情况下</w:t>
            </w:r>
            <w:r>
              <w:rPr>
                <w:rFonts w:ascii="宋体" w:hAnsi="宋体" w:cs="宋体" w:eastAsia="宋体" w:hint="default"/>
                <w:spacing w:val="-6"/>
                <w:sz w:val="18"/>
                <w:szCs w:val="18"/>
              </w:rPr>
              <w:t>，</w:t>
            </w:r>
            <w:r>
              <w:rPr>
                <w:rFonts w:ascii="宋体" w:hAnsi="宋体" w:cs="宋体" w:eastAsia="宋体" w:hint="default"/>
                <w:sz w:val="18"/>
                <w:szCs w:val="18"/>
              </w:rPr>
              <w:t>不要求发行人向其提供任何形式</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的担保；在双方的关联交易上，严格遵循市场原则，尽量避免不必要的关联</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交易发生，对持续经营所发生的必要的关联交易，应以双方协议规定的方式</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进行处理，遵循市场化的定价原则，避免损害广大中小股东权益的情况发生。</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如出现因其或其控制的其他企业或组织违反上述承诺而导致发行人的权益受</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到损害的情况，其将依法承担相应的赔偿责任。</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北京众信国际旅</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（一）公司稳定股价的承诺：</w:t>
            </w:r>
            <w:r>
              <w:rPr>
                <w:rFonts w:ascii="宋体" w:hAnsi="宋体" w:cs="宋体" w:eastAsia="宋体" w:hint="default"/>
                <w:sz w:val="18"/>
                <w:szCs w:val="18"/>
              </w:rPr>
              <w:t>如果公司首次公开发行人民币普通股（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严格履行，未违反。公</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行社股份有限公</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价承诺</w:t>
            </w: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并上市后三年内股价出现低于每股净资产（指公司上一年度经审计的每股净</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司上市后董事会、监事</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何</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资产，如果公司因派发现金红利、送股、转增股本、增发新股等原因进行除</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会换届选举产生的新</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静</w:t>
            </w:r>
            <w:r>
              <w:rPr>
                <w:rFonts w:ascii="Times New Roman" w:hAnsi="Times New Roman" w:cs="Times New Roman" w:eastAsia="Times New Roman" w:hint="default"/>
                <w:sz w:val="18"/>
                <w:szCs w:val="18"/>
              </w:rPr>
              <w:t>;</w:t>
            </w: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喻慧</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权、除息的，则相关的计算对比方法按照深圳证券交易所的有关规定作除权</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任董事、监事及新聘任</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鸿秀</w:t>
            </w:r>
            <w:r>
              <w:rPr>
                <w:rFonts w:ascii="Times New Roman" w:hAnsi="Times New Roman" w:cs="Times New Roman" w:eastAsia="Times New Roman" w:hint="default"/>
                <w:sz w:val="18"/>
                <w:szCs w:val="18"/>
              </w:rPr>
              <w:t>;</w:t>
            </w:r>
            <w:r>
              <w:rPr>
                <w:rFonts w:ascii="宋体" w:hAnsi="宋体" w:cs="宋体" w:eastAsia="宋体" w:hint="default"/>
                <w:sz w:val="18"/>
                <w:szCs w:val="18"/>
              </w:rPr>
              <w:t>张莉</w:t>
            </w:r>
            <w:r>
              <w:rPr>
                <w:rFonts w:ascii="Times New Roman" w:hAnsi="Times New Roman" w:cs="Times New Roman" w:eastAsia="Times New Roman" w:hint="default"/>
                <w:sz w:val="18"/>
                <w:szCs w:val="18"/>
              </w:rPr>
              <w:t>;</w:t>
            </w:r>
            <w:r>
              <w:rPr>
                <w:rFonts w:ascii="宋体" w:hAnsi="宋体" w:cs="宋体" w:eastAsia="宋体" w:hint="default"/>
                <w:sz w:val="18"/>
                <w:szCs w:val="18"/>
              </w:rPr>
              <w:t>张磊</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除息处理，下同）的情况时，公司将启动以下稳定股价预案：</w:t>
            </w: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、启动股价稳</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董事、高管均已签署相</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赵锐</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路振</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定措施的具体条件和程序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1"/>
                <w:sz w:val="18"/>
                <w:szCs w:val="18"/>
              </w:rPr>
              <w:t>日</w:t>
            </w:r>
            <w:r>
              <w:rPr>
                <w:rFonts w:ascii="宋体" w:hAnsi="宋体" w:cs="宋体" w:eastAsia="宋体" w:hint="default"/>
                <w:sz w:val="18"/>
                <w:szCs w:val="18"/>
              </w:rPr>
              <w:t>的收</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关承诺。</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勤</w:t>
            </w:r>
            <w:r>
              <w:rPr>
                <w:rFonts w:ascii="Times New Roman" w:hAnsi="Times New Roman" w:cs="Times New Roman" w:eastAsia="Times New Roman" w:hint="default"/>
                <w:sz w:val="18"/>
                <w:szCs w:val="18"/>
              </w:rPr>
              <w:t>;</w:t>
            </w:r>
            <w:r>
              <w:rPr>
                <w:rFonts w:ascii="宋体" w:hAnsi="宋体" w:cs="宋体" w:eastAsia="宋体" w:hint="default"/>
                <w:sz w:val="18"/>
                <w:szCs w:val="18"/>
              </w:rPr>
              <w:t>杜政泰</w:t>
            </w:r>
            <w:r>
              <w:rPr>
                <w:rFonts w:ascii="Times New Roman" w:hAnsi="Times New Roman" w:cs="Times New Roman" w:eastAsia="Times New Roman" w:hint="default"/>
                <w:sz w:val="18"/>
                <w:szCs w:val="18"/>
              </w:rPr>
              <w:t>;</w:t>
            </w:r>
            <w:r>
              <w:rPr>
                <w:rFonts w:ascii="宋体" w:hAnsi="宋体" w:cs="宋体" w:eastAsia="宋体" w:hint="default"/>
                <w:sz w:val="18"/>
                <w:szCs w:val="18"/>
              </w:rPr>
              <w:t>王春</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盘价低于每股净资产的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120%</w:t>
            </w:r>
            <w:r>
              <w:rPr>
                <w:rFonts w:ascii="宋体" w:hAnsi="宋体" w:cs="宋体" w:eastAsia="宋体" w:hint="default"/>
                <w:spacing w:val="-3"/>
                <w:sz w:val="18"/>
                <w:szCs w:val="18"/>
              </w:rPr>
              <w:t>时，公司将在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个交易日内召开投资者见面会，</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峰</w:t>
            </w:r>
            <w:r>
              <w:rPr>
                <w:rFonts w:ascii="Times New Roman" w:hAnsi="Times New Roman" w:cs="Times New Roman" w:eastAsia="Times New Roman" w:hint="default"/>
                <w:sz w:val="18"/>
                <w:szCs w:val="18"/>
              </w:rPr>
              <w:t>;</w:t>
            </w:r>
            <w:r>
              <w:rPr>
                <w:rFonts w:ascii="宋体" w:hAnsi="宋体" w:cs="宋体" w:eastAsia="宋体" w:hint="default"/>
                <w:sz w:val="18"/>
                <w:szCs w:val="18"/>
              </w:rPr>
              <w:t>玉竹</w:t>
            </w:r>
            <w:r>
              <w:rPr>
                <w:rFonts w:ascii="Times New Roman" w:hAnsi="Times New Roman" w:cs="Times New Roman" w:eastAsia="Times New Roman" w:hint="default"/>
                <w:sz w:val="18"/>
                <w:szCs w:val="18"/>
              </w:rPr>
              <w:t>;</w:t>
            </w:r>
            <w:r>
              <w:rPr>
                <w:rFonts w:ascii="宋体" w:hAnsi="宋体" w:cs="宋体" w:eastAsia="宋体" w:hint="default"/>
                <w:sz w:val="18"/>
                <w:szCs w:val="18"/>
              </w:rPr>
              <w:t>王岚</w:t>
            </w:r>
            <w:r>
              <w:rPr>
                <w:rFonts w:ascii="Times New Roman" w:hAnsi="Times New Roman" w:cs="Times New Roman" w:eastAsia="Times New Roman" w:hint="default"/>
                <w:sz w:val="18"/>
                <w:szCs w:val="18"/>
              </w:rPr>
              <w:t>;</w:t>
            </w:r>
            <w:r>
              <w:rPr>
                <w:rFonts w:ascii="宋体" w:hAnsi="宋体" w:cs="宋体" w:eastAsia="宋体" w:hint="default"/>
                <w:sz w:val="18"/>
                <w:szCs w:val="18"/>
              </w:rPr>
              <w:t>白</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与投资者就公司经营状况、财务指标、发展战略进行深入沟通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）启动条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斌</w:t>
            </w:r>
            <w:r>
              <w:rPr>
                <w:rFonts w:ascii="Times New Roman" w:hAnsi="Times New Roman" w:cs="Times New Roman" w:eastAsia="Times New Roman" w:hint="default"/>
                <w:sz w:val="18"/>
                <w:szCs w:val="18"/>
              </w:rPr>
              <w:t>;</w:t>
            </w:r>
            <w:r>
              <w:rPr>
                <w:rFonts w:ascii="宋体" w:hAnsi="宋体" w:cs="宋体" w:eastAsia="宋体" w:hint="default"/>
                <w:sz w:val="18"/>
                <w:szCs w:val="18"/>
              </w:rPr>
              <w:t>王薇薇</w:t>
            </w:r>
            <w:r>
              <w:rPr>
                <w:rFonts w:ascii="Times New Roman" w:hAnsi="Times New Roman" w:cs="Times New Roman" w:eastAsia="Times New Roman" w:hint="default"/>
                <w:sz w:val="18"/>
                <w:szCs w:val="18"/>
              </w:rPr>
              <w:t>;</w:t>
            </w:r>
            <w:r>
              <w:rPr>
                <w:rFonts w:ascii="宋体" w:hAnsi="宋体" w:cs="宋体" w:eastAsia="宋体" w:hint="default"/>
                <w:sz w:val="18"/>
                <w:szCs w:val="18"/>
              </w:rPr>
              <w:t>王世</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件及程序：当公司股票连续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个交易日的收盘价低于每股净资产时，应当在</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w:t>
            </w:r>
            <w:r>
              <w:rPr>
                <w:rFonts w:ascii="宋体" w:hAnsi="宋体" w:cs="宋体" w:eastAsia="宋体" w:hint="default"/>
                <w:sz w:val="18"/>
                <w:szCs w:val="18"/>
              </w:rPr>
              <w:t>姜付秀</w:t>
            </w:r>
            <w:r>
              <w:rPr>
                <w:rFonts w:ascii="Times New Roman" w:hAnsi="Times New Roman" w:cs="Times New Roman" w:eastAsia="Times New Roman" w:hint="default"/>
                <w:sz w:val="18"/>
                <w:szCs w:val="18"/>
              </w:rPr>
              <w:t>;</w:t>
            </w:r>
            <w:r>
              <w:rPr>
                <w:rFonts w:ascii="宋体" w:hAnsi="宋体" w:cs="宋体" w:eastAsia="宋体" w:hint="default"/>
                <w:sz w:val="18"/>
                <w:szCs w:val="18"/>
              </w:rPr>
              <w:t>杨宏</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日内召开董事会、</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日内召开股东大会，审议稳定股价具体方案，明确该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浩</w:t>
            </w:r>
            <w:r>
              <w:rPr>
                <w:rFonts w:ascii="Times New Roman" w:hAnsi="Times New Roman" w:cs="Times New Roman" w:eastAsia="Times New Roman" w:hint="default"/>
                <w:sz w:val="18"/>
                <w:szCs w:val="18"/>
              </w:rPr>
              <w:t>;</w:t>
            </w:r>
            <w:r>
              <w:rPr>
                <w:rFonts w:ascii="宋体" w:hAnsi="宋体" w:cs="宋体" w:eastAsia="宋体" w:hint="default"/>
                <w:sz w:val="18"/>
                <w:szCs w:val="18"/>
              </w:rPr>
              <w:t>赵天庆</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等具体方案的实施期间，并在股东大会审议通过该等方案后的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启动稳定股价具体方案的实施</w:t>
            </w:r>
            <w:r>
              <w:rPr>
                <w:rFonts w:ascii="宋体" w:hAnsi="宋体" w:cs="宋体" w:eastAsia="宋体" w:hint="default"/>
                <w:spacing w:val="-9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停止条件</w:t>
            </w:r>
            <w:r>
              <w:rPr>
                <w:rFonts w:ascii="宋体" w:hAnsi="宋体" w:cs="宋体" w:eastAsia="宋体" w:hint="default"/>
                <w:spacing w:val="-3"/>
                <w:sz w:val="18"/>
                <w:szCs w:val="18"/>
              </w:rPr>
              <w:t>：</w:t>
            </w:r>
            <w:r>
              <w:rPr>
                <w:rFonts w:ascii="宋体" w:hAnsi="宋体" w:cs="宋体" w:eastAsia="宋体" w:hint="default"/>
                <w:sz w:val="18"/>
                <w:szCs w:val="18"/>
              </w:rPr>
              <w:t>在上述</w:t>
            </w:r>
            <w:r>
              <w:rPr>
                <w:rFonts w:ascii="宋体" w:hAnsi="宋体" w:cs="宋体" w:eastAsia="宋体" w:hint="default"/>
                <w:spacing w:val="-3"/>
                <w:sz w:val="18"/>
                <w:szCs w:val="18"/>
              </w:rPr>
              <w:t>第</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项稳定股价具</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体方案的实施期间内</w:t>
            </w:r>
            <w:r>
              <w:rPr>
                <w:rFonts w:ascii="宋体" w:hAnsi="宋体" w:cs="宋体" w:eastAsia="宋体" w:hint="default"/>
                <w:spacing w:val="-90"/>
                <w:sz w:val="18"/>
                <w:szCs w:val="18"/>
              </w:rPr>
              <w:t>，</w:t>
            </w:r>
            <w:r>
              <w:rPr>
                <w:rFonts w:ascii="宋体" w:hAnsi="宋体" w:cs="宋体" w:eastAsia="宋体" w:hint="default"/>
                <w:sz w:val="18"/>
                <w:szCs w:val="18"/>
              </w:rPr>
              <w:t>如公司股票连续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个交易日收盘价高于每股净资产时，</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将停止实施股价稳定措施。上述第（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）项稳定股价具体方案实施期满后，如</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再次发生上述第（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）项的启动条件，则再次启动稳定股价措施。</w:t>
            </w:r>
            <w:r>
              <w:rPr>
                <w:rFonts w:ascii="Times New Roman" w:hAnsi="Times New Roman" w:cs="Times New Roman" w:eastAsia="Times New Roman" w:hint="default"/>
                <w:sz w:val="18"/>
                <w:szCs w:val="18"/>
              </w:rPr>
              <w:t>2</w:t>
            </w:r>
            <w:r>
              <w:rPr>
                <w:rFonts w:ascii="宋体" w:hAnsi="宋体" w:cs="宋体" w:eastAsia="宋体" w:hint="default"/>
                <w:sz w:val="18"/>
                <w:szCs w:val="18"/>
              </w:rPr>
              <w:t>、稳定股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价的具体措施  当触发前述股价稳定措施的启动条件时，公司应依照法律、</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法规、规范性文件、公司章程及公司内部治理制度的规定，及时履行相关法</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定程序后采取以下部分或全部措施稳定公司股价，并保证股价稳定措施实施</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后，公司的股权分布仍符合上市条件：</w:t>
            </w:r>
            <w:r>
              <w:rPr>
                <w:rFonts w:ascii="Times New Roman" w:hAnsi="Times New Roman" w:cs="Times New Roman" w:eastAsia="Times New Roman" w:hint="default"/>
                <w:sz w:val="18"/>
                <w:szCs w:val="18"/>
              </w:rPr>
              <w:t>1</w:t>
            </w:r>
            <w:r>
              <w:rPr>
                <w:rFonts w:ascii="宋体" w:hAnsi="宋体" w:cs="宋体" w:eastAsia="宋体" w:hint="default"/>
                <w:sz w:val="18"/>
                <w:szCs w:val="18"/>
              </w:rPr>
              <w:t>）在不影响公司正常生产经营的情况</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下，经董事会、股东大会审议同意，通过交易所集中竞价交易方式回购公司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2</w:t>
            </w:r>
            <w:r>
              <w:rPr>
                <w:rFonts w:ascii="宋体" w:hAnsi="宋体" w:cs="宋体" w:eastAsia="宋体" w:hint="default"/>
                <w:sz w:val="18"/>
                <w:szCs w:val="18"/>
              </w:rPr>
              <w:t>）要求控股股东及时任公司董事（独立董事除外</w:t>
            </w:r>
            <w:r>
              <w:rPr>
                <w:rFonts w:ascii="宋体" w:hAnsi="宋体" w:cs="宋体" w:eastAsia="宋体" w:hint="default"/>
                <w:spacing w:val="-90"/>
                <w:sz w:val="18"/>
                <w:szCs w:val="18"/>
              </w:rPr>
              <w:t>）</w:t>
            </w:r>
            <w:r>
              <w:rPr>
                <w:rFonts w:ascii="宋体" w:hAnsi="宋体" w:cs="宋体" w:eastAsia="宋体" w:hint="default"/>
                <w:sz w:val="18"/>
                <w:szCs w:val="18"/>
              </w:rPr>
              <w:t>、监事、高级管理</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人员的人员以增持公司股票的方式稳定公司股价，并明确增持的金额和期间。</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）在保证公司经营资金需求的前提下，经董事会、股东大会审议同意，通过</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实施利润分配或资本公积金转增股本的方式稳定公司股价。</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）通过削减开支、</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限制高级管理人员薪酬、暂停股权激励计划等方式提升公司业绩、稳定公司</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股价。</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）法律、行政法规、规范性文件规定以及中国证监会认可的其他方式。</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公司在未来聘任新的董事、监事、高级管理人员前，将要求其签署承诺书，</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保证其履行公司首次公开发行上市时董事、监事、高级管理人员已做出的稳</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定股价承诺，并要求其按照公司首次公开发行上市时董事、监事、高级管理</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人员的承诺提出未履行承诺的约束措施。</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b/>
                <w:bCs/>
                <w:sz w:val="18"/>
                <w:szCs w:val="18"/>
              </w:rPr>
              <w:t>（二）公司控股股东、董事、监事、高级管理人员稳定股价的承诺：</w:t>
            </w:r>
            <w:r>
              <w:rPr>
                <w:rFonts w:ascii="宋体" w:hAnsi="宋体" w:cs="宋体" w:eastAsia="宋体" w:hint="default"/>
                <w:sz w:val="18"/>
                <w:szCs w:val="18"/>
              </w:rPr>
              <w:t>公司控</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股股东、董事、监事、高级管理人员承诺，如果公司首次公开发行人民币普</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股）并上市后三年内股价出现低于每股净资产（指公司上一年度经</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审计的每股净资产，如果公司因派发现金红利、送股、转增股本、增发新股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等原因进行除权、除息的，则相关的计算对比方法按照深圳证券交易所的有</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关规定作除权除息处理，下同）的情况时，本人将积极配合公司启动以下稳</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定股价预案：</w:t>
            </w: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、启动股价稳定措施的具体条件和程序（</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）预警条件：当公</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个交易日的收盘价低于每股净资产的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交易日内召开投资者见面会，与投资者就公司经营状况、财务指标、发展战</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略进行深入沟通</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
                <w:sz w:val="18"/>
                <w:szCs w:val="18"/>
              </w:rPr>
              <w:t>）</w:t>
            </w:r>
            <w:r>
              <w:rPr>
                <w:rFonts w:ascii="宋体" w:hAnsi="宋体" w:cs="宋体" w:eastAsia="宋体" w:hint="default"/>
                <w:sz w:val="18"/>
                <w:szCs w:val="18"/>
              </w:rPr>
              <w:t>启动条件及程序</w:t>
            </w:r>
            <w:r>
              <w:rPr>
                <w:rFonts w:ascii="宋体" w:hAnsi="宋体" w:cs="宋体" w:eastAsia="宋体" w:hint="default"/>
                <w:spacing w:val="-4"/>
                <w:sz w:val="18"/>
                <w:szCs w:val="18"/>
              </w:rPr>
              <w:t>：</w:t>
            </w:r>
            <w:r>
              <w:rPr>
                <w:rFonts w:ascii="宋体" w:hAnsi="宋体" w:cs="宋体" w:eastAsia="宋体" w:hint="default"/>
                <w:sz w:val="18"/>
                <w:szCs w:val="18"/>
              </w:rPr>
              <w:t>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1"/>
                <w:sz w:val="18"/>
                <w:szCs w:val="18"/>
              </w:rPr>
              <w:t>日</w:t>
            </w:r>
            <w:r>
              <w:rPr>
                <w:rFonts w:ascii="宋体" w:hAnsi="宋体" w:cs="宋体" w:eastAsia="宋体" w:hint="default"/>
                <w:sz w:val="18"/>
                <w:szCs w:val="18"/>
              </w:rPr>
              <w:t>的收盘</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价低于每股净资产时，应当在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日内召开董事会、</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日内召开股东大会，审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议稳定股价具体方案，明确该等具体方案的实施期间，并在股东大会审议通</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过该等方案后的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1"/>
                <w:sz w:val="18"/>
                <w:szCs w:val="18"/>
              </w:rPr>
              <w:t>日</w:t>
            </w:r>
            <w:r>
              <w:rPr>
                <w:rFonts w:ascii="宋体" w:hAnsi="宋体" w:cs="宋体" w:eastAsia="宋体" w:hint="default"/>
                <w:sz w:val="18"/>
                <w:szCs w:val="18"/>
              </w:rPr>
              <w:t>内启动稳定股价具体方案的实施</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6"/>
                <w:sz w:val="18"/>
                <w:szCs w:val="18"/>
              </w:rPr>
              <w:t>）</w:t>
            </w:r>
            <w:r>
              <w:rPr>
                <w:rFonts w:ascii="宋体" w:hAnsi="宋体" w:cs="宋体" w:eastAsia="宋体" w:hint="default"/>
                <w:spacing w:val="1"/>
                <w:sz w:val="18"/>
                <w:szCs w:val="18"/>
              </w:rPr>
              <w:t>停</w:t>
            </w:r>
            <w:r>
              <w:rPr>
                <w:rFonts w:ascii="宋体" w:hAnsi="宋体" w:cs="宋体" w:eastAsia="宋体" w:hint="default"/>
                <w:sz w:val="18"/>
                <w:szCs w:val="18"/>
              </w:rPr>
              <w:t>止条件：</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在上述第（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）项稳定股价具体方案的实施期间内，如公司股票连续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易日收盘价高于每股净资产时，将停止实施股价稳定措施。上述第（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定股价具体方案实施期满后，如再次发生上述第（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）项的启动条件，则再次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启动稳定股价措施。</w:t>
            </w:r>
            <w:r>
              <w:rPr>
                <w:rFonts w:ascii="Times New Roman" w:hAnsi="Times New Roman" w:cs="Times New Roman" w:eastAsia="Times New Roman" w:hint="default"/>
                <w:sz w:val="18"/>
                <w:szCs w:val="18"/>
              </w:rPr>
              <w:t>2</w:t>
            </w:r>
            <w:r>
              <w:rPr>
                <w:rFonts w:ascii="宋体" w:hAnsi="宋体" w:cs="宋体" w:eastAsia="宋体" w:hint="default"/>
                <w:sz w:val="18"/>
                <w:szCs w:val="18"/>
              </w:rPr>
              <w:t>、稳定股价的具体措施当触发前述股价稳定措施的启动</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条件时，公司控股股东、董事、监事、高级管理人员应依照法律、法规、规</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范性文件和公司章程的规定，积极配合并保证公司按照要求制定并启动稳定</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股价的预案</w:t>
            </w:r>
            <w:r>
              <w:rPr>
                <w:rFonts w:ascii="宋体" w:hAnsi="宋体" w:cs="宋体" w:eastAsia="宋体" w:hint="default"/>
                <w:spacing w:val="-3"/>
                <w:sz w:val="18"/>
                <w:szCs w:val="18"/>
              </w:rPr>
              <w:t>。</w:t>
            </w:r>
            <w:r>
              <w:rPr>
                <w:rFonts w:ascii="宋体" w:hAnsi="宋体" w:cs="宋体" w:eastAsia="宋体" w:hint="default"/>
                <w:sz w:val="18"/>
                <w:szCs w:val="18"/>
              </w:rPr>
              <w:t>控股股东</w:t>
            </w:r>
            <w:r>
              <w:rPr>
                <w:rFonts w:ascii="宋体" w:hAnsi="宋体" w:cs="宋体" w:eastAsia="宋体" w:hint="default"/>
                <w:spacing w:val="-3"/>
                <w:sz w:val="18"/>
                <w:szCs w:val="18"/>
              </w:rPr>
              <w:t>、</w:t>
            </w:r>
            <w:r>
              <w:rPr>
                <w:rFonts w:ascii="宋体" w:hAnsi="宋体" w:cs="宋体" w:eastAsia="宋体" w:hint="default"/>
                <w:sz w:val="18"/>
                <w:szCs w:val="18"/>
              </w:rPr>
              <w:t>公司董</w:t>
            </w:r>
            <w:r>
              <w:rPr>
                <w:rFonts w:ascii="宋体" w:hAnsi="宋体" w:cs="宋体" w:eastAsia="宋体" w:hint="default"/>
                <w:spacing w:val="-3"/>
                <w:sz w:val="18"/>
                <w:szCs w:val="18"/>
              </w:rPr>
              <w:t>事</w:t>
            </w: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监事</w:t>
            </w:r>
            <w:r>
              <w:rPr>
                <w:rFonts w:ascii="宋体" w:hAnsi="宋体" w:cs="宋体" w:eastAsia="宋体" w:hint="default"/>
                <w:spacing w:val="-3"/>
                <w:sz w:val="18"/>
                <w:szCs w:val="18"/>
              </w:rPr>
              <w:t>、</w:t>
            </w:r>
            <w:r>
              <w:rPr>
                <w:rFonts w:ascii="宋体" w:hAnsi="宋体" w:cs="宋体" w:eastAsia="宋体" w:hint="default"/>
                <w:sz w:val="18"/>
                <w:szCs w:val="18"/>
              </w:rPr>
              <w:t>高级管理人员应</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在不迟于股东大会审议通过稳定股价具体方案后的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个交易日内，根据股东</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大会审议通过的稳定股价具体方案，积极采取下述措施以稳定公司股价，并</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保证股价稳定措施实施后，公司的股权分布仍符合上市条件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）在符合股</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票交易相关规定的前提下，按照公司关于稳定股价具体方案中确定的增持金</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额和期间，通过交易所集中竞价交易方式增持公司股票。购买所增持股票的</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总金额不低于其上年度初至董事会审议通过稳定股价具体方案日期间，从公</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司获取的税后薪酬及税后现金分红总额的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）除因继承、被强制执行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或上市公司重组等情形必须转股或触发前述股价稳定措施的停止条件外，在</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股东大会审议稳定股价具体方案及方案实施期间，不转让其持有的公司股份。</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除经股东大会非关联股东同意外，不由公司回购其持有的股份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）法律、</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行政法规、规范性文件规定以及中国证监会认可的其他方式。触发前述股价</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稳定措施的启动条件时公司的控股股东</w:t>
            </w:r>
            <w:r>
              <w:rPr>
                <w:rFonts w:ascii="宋体" w:hAnsi="宋体" w:cs="宋体" w:eastAsia="宋体" w:hint="default"/>
                <w:spacing w:val="-3"/>
                <w:sz w:val="18"/>
                <w:szCs w:val="18"/>
              </w:rPr>
              <w:t>、</w:t>
            </w:r>
            <w:r>
              <w:rPr>
                <w:rFonts w:ascii="宋体" w:hAnsi="宋体" w:cs="宋体" w:eastAsia="宋体" w:hint="default"/>
                <w:sz w:val="18"/>
                <w:szCs w:val="18"/>
              </w:rPr>
              <w:t>董</w:t>
            </w:r>
            <w:r>
              <w:rPr>
                <w:rFonts w:ascii="宋体" w:hAnsi="宋体" w:cs="宋体" w:eastAsia="宋体" w:hint="default"/>
                <w:spacing w:val="-3"/>
                <w:sz w:val="18"/>
                <w:szCs w:val="18"/>
              </w:rPr>
              <w:t>事</w:t>
            </w: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监事</w:t>
            </w:r>
            <w:r>
              <w:rPr>
                <w:rFonts w:ascii="宋体" w:hAnsi="宋体" w:cs="宋体" w:eastAsia="宋体" w:hint="default"/>
                <w:spacing w:val="-3"/>
                <w:sz w:val="18"/>
                <w:szCs w:val="18"/>
              </w:rPr>
              <w:t>、</w:t>
            </w:r>
            <w:r>
              <w:rPr>
                <w:rFonts w:ascii="宋体" w:hAnsi="宋体" w:cs="宋体" w:eastAsia="宋体" w:hint="default"/>
                <w:sz w:val="18"/>
                <w:szCs w:val="18"/>
              </w:rPr>
              <w:t>高级</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管理人员，不因在股东大会审议稳定股价具体方案及方案实施期间内不再作</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为控股股东和</w:t>
            </w:r>
            <w:r>
              <w:rPr>
                <w:rFonts w:ascii="Times New Roman" w:hAnsi="Times New Roman" w:cs="Times New Roman" w:eastAsia="Times New Roman" w:hint="default"/>
                <w:sz w:val="18"/>
                <w:szCs w:val="18"/>
              </w:rPr>
              <w:t>/</w:t>
            </w:r>
            <w:r>
              <w:rPr>
                <w:rFonts w:ascii="宋体" w:hAnsi="宋体" w:cs="宋体" w:eastAsia="宋体" w:hint="default"/>
                <w:sz w:val="18"/>
                <w:szCs w:val="18"/>
              </w:rPr>
              <w:t>或职务变更、离职等情形而拒绝实施上述稳定股价的措施。</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北京众信国际旅</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未履行承诺的约束措施：一、公司承诺：</w:t>
            </w:r>
            <w:r>
              <w:rPr>
                <w:rFonts w:ascii="宋体" w:hAnsi="宋体" w:cs="宋体" w:eastAsia="宋体" w:hint="default"/>
                <w:sz w:val="18"/>
                <w:szCs w:val="18"/>
              </w:rPr>
              <w:t>本公司将严格履行本公司就首次公</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截至本公告日，承诺主</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行社股份有限公</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开发行股票并上市所作出的所有公开承诺事项</w:t>
            </w:r>
            <w:r>
              <w:rPr>
                <w:rFonts w:ascii="宋体" w:hAnsi="宋体" w:cs="宋体" w:eastAsia="宋体" w:hint="default"/>
                <w:spacing w:val="-4"/>
                <w:sz w:val="18"/>
                <w:szCs w:val="18"/>
              </w:rPr>
              <w:t>，</w:t>
            </w:r>
            <w:r>
              <w:rPr>
                <w:rFonts w:ascii="宋体" w:hAnsi="宋体" w:cs="宋体" w:eastAsia="宋体" w:hint="default"/>
                <w:sz w:val="18"/>
                <w:szCs w:val="18"/>
              </w:rPr>
              <w:t>积极接受社会监督</w:t>
            </w:r>
            <w:r>
              <w:rPr>
                <w:rFonts w:ascii="宋体" w:hAnsi="宋体" w:cs="宋体" w:eastAsia="宋体" w:hint="default"/>
                <w:spacing w:val="-94"/>
                <w:sz w:val="18"/>
                <w:szCs w:val="18"/>
              </w:rPr>
              <w:t>。</w:t>
            </w:r>
            <w:r>
              <w:rPr>
                <w:rFonts w:ascii="宋体" w:hAnsi="宋体" w:cs="宋体" w:eastAsia="宋体" w:hint="default"/>
                <w:sz w:val="18"/>
                <w:szCs w:val="18"/>
              </w:rPr>
              <w:t>（一</w:t>
            </w:r>
            <w:r>
              <w:rPr>
                <w:rFonts w:ascii="宋体" w:hAnsi="宋体" w:cs="宋体" w:eastAsia="宋体" w:hint="default"/>
                <w:spacing w:val="-4"/>
                <w:sz w:val="18"/>
                <w:szCs w:val="18"/>
              </w:rPr>
              <w:t>）</w:t>
            </w:r>
            <w:r>
              <w:rPr>
                <w:rFonts w:ascii="宋体" w:hAnsi="宋体" w:cs="宋体" w:eastAsia="宋体" w:hint="default"/>
                <w:sz w:val="18"/>
                <w:szCs w:val="18"/>
              </w:rPr>
              <w:t>如</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体未出现未履行承诺</w:t>
            </w:r>
          </w:p>
        </w:tc>
      </w:tr>
      <w:tr>
        <w:trPr>
          <w:trHeight w:val="31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本公司非因不可抗力原因导致未能履行公开承诺事项的，需提出新的承诺（相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的情况，未触发履行此</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建</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喻</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关承诺需按法律、法规、公司章程的规定履行相关审批程序）并接受如下约</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承诺的条件。公司上市</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慧</w:t>
            </w:r>
            <w:r>
              <w:rPr>
                <w:rFonts w:ascii="Times New Roman" w:hAnsi="Times New Roman" w:cs="Times New Roman" w:eastAsia="Times New Roman" w:hint="default"/>
                <w:sz w:val="18"/>
                <w:szCs w:val="18"/>
              </w:rPr>
              <w:t>;</w:t>
            </w:r>
            <w:r>
              <w:rPr>
                <w:rFonts w:ascii="宋体" w:hAnsi="宋体" w:cs="宋体" w:eastAsia="宋体" w:hint="default"/>
                <w:sz w:val="18"/>
                <w:szCs w:val="18"/>
              </w:rPr>
              <w:t>李鸿秀</w:t>
            </w:r>
            <w:r>
              <w:rPr>
                <w:rFonts w:ascii="Times New Roman" w:hAnsi="Times New Roman" w:cs="Times New Roman" w:eastAsia="Times New Roman" w:hint="default"/>
                <w:sz w:val="18"/>
                <w:szCs w:val="18"/>
              </w:rPr>
              <w:t>;</w:t>
            </w:r>
            <w:r>
              <w:rPr>
                <w:rFonts w:ascii="宋体" w:hAnsi="宋体" w:cs="宋体" w:eastAsia="宋体" w:hint="default"/>
                <w:sz w:val="18"/>
                <w:szCs w:val="18"/>
              </w:rPr>
              <w:t>张莉</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后董事会、监事会换届</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张磊</w:t>
            </w:r>
            <w:r>
              <w:rPr>
                <w:rFonts w:ascii="Times New Roman" w:hAnsi="Times New Roman" w:cs="Times New Roman" w:eastAsia="Times New Roman" w:hint="default"/>
                <w:sz w:val="18"/>
                <w:szCs w:val="18"/>
              </w:rPr>
              <w:t>;</w:t>
            </w:r>
            <w:r>
              <w:rPr>
                <w:rFonts w:ascii="宋体" w:hAnsi="宋体" w:cs="宋体" w:eastAsia="宋体" w:hint="default"/>
                <w:sz w:val="18"/>
                <w:szCs w:val="18"/>
              </w:rPr>
              <w:t>赵锐</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中国证监会指定的披露媒体上公开说明未履行的具体原因并向股东和社会公</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选举产生的新任董事、</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杜政泰</w:t>
            </w:r>
            <w:r>
              <w:rPr>
                <w:rFonts w:ascii="Times New Roman" w:hAnsi="Times New Roman" w:cs="Times New Roman" w:eastAsia="Times New Roman" w:hint="default"/>
                <w:sz w:val="18"/>
                <w:szCs w:val="18"/>
              </w:rPr>
              <w:t>;</w:t>
            </w:r>
            <w:r>
              <w:rPr>
                <w:rFonts w:ascii="宋体" w:hAnsi="宋体" w:cs="宋体" w:eastAsia="宋体" w:hint="default"/>
                <w:sz w:val="18"/>
                <w:szCs w:val="18"/>
              </w:rPr>
              <w:t>王春峰</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、不得进行公开再融资；</w:t>
            </w:r>
            <w:r>
              <w:rPr>
                <w:rFonts w:ascii="Times New Roman" w:hAnsi="Times New Roman" w:cs="Times New Roman" w:eastAsia="Times New Roman" w:hint="default"/>
                <w:sz w:val="18"/>
                <w:szCs w:val="18"/>
              </w:rPr>
              <w:t>3</w:t>
            </w:r>
            <w:r>
              <w:rPr>
                <w:rFonts w:ascii="宋体" w:hAnsi="宋体" w:cs="宋体" w:eastAsia="宋体" w:hint="default"/>
                <w:sz w:val="18"/>
                <w:szCs w:val="18"/>
              </w:rPr>
              <w:t>、对公司该等未履行承诺的行为</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监事及新聘高管均已</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王薇薇</w:t>
            </w:r>
            <w:r>
              <w:rPr>
                <w:rFonts w:ascii="Times New Roman" w:hAnsi="Times New Roman" w:cs="Times New Roman" w:eastAsia="Times New Roman" w:hint="default"/>
                <w:sz w:val="18"/>
                <w:szCs w:val="18"/>
              </w:rPr>
              <w:t>;</w:t>
            </w:r>
            <w:r>
              <w:rPr>
                <w:rFonts w:ascii="宋体" w:hAnsi="宋体" w:cs="宋体" w:eastAsia="宋体" w:hint="default"/>
                <w:sz w:val="18"/>
                <w:szCs w:val="18"/>
              </w:rPr>
              <w:t>玉竹</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负有个人责任的董事、监事、高级管理人员调减或停发薪酬或津贴；</w:t>
            </w:r>
            <w:r>
              <w:rPr>
                <w:rFonts w:ascii="Times New Roman" w:hAnsi="Times New Roman" w:cs="Times New Roman" w:eastAsia="Times New Roman" w:hint="default"/>
                <w:sz w:val="18"/>
                <w:szCs w:val="18"/>
              </w:rPr>
              <w:t>4</w:t>
            </w:r>
            <w:r>
              <w:rPr>
                <w:rFonts w:ascii="宋体" w:hAnsi="宋体" w:cs="宋体" w:eastAsia="宋体" w:hint="default"/>
                <w:sz w:val="18"/>
                <w:szCs w:val="18"/>
              </w:rPr>
              <w:t>、不得</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签署相关承诺。</w:t>
            </w: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岚</w:t>
            </w:r>
            <w:r>
              <w:rPr>
                <w:rFonts w:ascii="Times New Roman" w:hAnsi="Times New Roman" w:cs="Times New Roman" w:eastAsia="Times New Roman" w:hint="default"/>
                <w:sz w:val="18"/>
                <w:szCs w:val="18"/>
              </w:rPr>
              <w:t>;</w:t>
            </w:r>
            <w:r>
              <w:rPr>
                <w:rFonts w:ascii="宋体" w:hAnsi="宋体" w:cs="宋体" w:eastAsia="宋体" w:hint="default"/>
                <w:sz w:val="18"/>
                <w:szCs w:val="18"/>
              </w:rPr>
              <w:t>路振勤</w:t>
            </w:r>
            <w:r>
              <w:rPr>
                <w:rFonts w:ascii="Times New Roman" w:hAnsi="Times New Roman" w:cs="Times New Roman" w:eastAsia="Times New Roman" w:hint="default"/>
                <w:sz w:val="18"/>
                <w:szCs w:val="18"/>
              </w:rPr>
              <w:t>;</w:t>
            </w:r>
            <w:r>
              <w:rPr>
                <w:rFonts w:ascii="宋体" w:hAnsi="宋体" w:cs="宋体" w:eastAsia="宋体" w:hint="default"/>
                <w:sz w:val="18"/>
                <w:szCs w:val="18"/>
              </w:rPr>
              <w:t>王世</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批准未履行承诺的董事、监事、高级管理人员的主动离职申请，但可以进行</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w:t>
            </w:r>
            <w:r>
              <w:rPr>
                <w:rFonts w:ascii="Times New Roman" w:hAnsi="Times New Roman" w:cs="Times New Roman" w:eastAsia="Times New Roman" w:hint="default"/>
                <w:sz w:val="18"/>
                <w:szCs w:val="18"/>
              </w:rPr>
              <w:t>;</w:t>
            </w:r>
            <w:r>
              <w:rPr>
                <w:rFonts w:ascii="宋体" w:hAnsi="宋体" w:cs="宋体" w:eastAsia="宋体" w:hint="default"/>
                <w:sz w:val="18"/>
                <w:szCs w:val="18"/>
              </w:rPr>
              <w:t>姜付秀</w:t>
            </w:r>
            <w:r>
              <w:rPr>
                <w:rFonts w:ascii="Times New Roman" w:hAnsi="Times New Roman" w:cs="Times New Roman" w:eastAsia="Times New Roman" w:hint="default"/>
                <w:sz w:val="18"/>
                <w:szCs w:val="18"/>
              </w:rPr>
              <w:t>;</w:t>
            </w:r>
            <w:r>
              <w:rPr>
                <w:rFonts w:ascii="宋体" w:hAnsi="宋体" w:cs="宋体" w:eastAsia="宋体" w:hint="default"/>
                <w:sz w:val="18"/>
                <w:szCs w:val="18"/>
              </w:rPr>
              <w:t>杨宏</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职务变更；</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、给投资者造成损失的，本公司将向投资者依法承担赔偿责任。</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浩</w:t>
            </w:r>
            <w:r>
              <w:rPr>
                <w:rFonts w:ascii="Times New Roman" w:hAnsi="Times New Roman" w:cs="Times New Roman" w:eastAsia="Times New Roman" w:hint="default"/>
                <w:sz w:val="18"/>
                <w:szCs w:val="18"/>
              </w:rPr>
              <w:t>;</w:t>
            </w:r>
            <w:r>
              <w:rPr>
                <w:rFonts w:ascii="宋体" w:hAnsi="宋体" w:cs="宋体" w:eastAsia="宋体" w:hint="default"/>
                <w:sz w:val="18"/>
                <w:szCs w:val="18"/>
              </w:rPr>
              <w:t>赵天庆</w:t>
            </w: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（二）如本公司因不可抗力原因导致未能履行公开承诺事项的，需提出新的</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承诺（相关承诺需按法律、法规、公司章程的规定履行相关审批程序）并接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受如下约束措施，直至新的承诺履行完毕或相应补救措施实施完毕：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东大会及中国证监会指定的披露媒体上公开说明未履行的具体原因并向股东</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、尽快研究将投资者利益损失降低到最小的处理方</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案，并提交股东大会审议，尽可能地保护本公司投资者利益。</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b/>
                <w:bCs/>
                <w:sz w:val="18"/>
                <w:szCs w:val="18"/>
              </w:rPr>
              <w:t>二、公司控股股东、持有股份的董事、监事、高级管理人员承诺：</w:t>
            </w:r>
            <w:r>
              <w:rPr>
                <w:rFonts w:ascii="宋体" w:hAnsi="宋体" w:cs="宋体" w:eastAsia="宋体" w:hint="default"/>
                <w:sz w:val="18"/>
                <w:szCs w:val="18"/>
              </w:rPr>
              <w:t>本人将严</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格履行本人就公司首次公开发行股票并上市所作出的所有公开承诺事项，积</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1"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极接受社会监督</w:t>
            </w:r>
            <w:r>
              <w:rPr>
                <w:rFonts w:ascii="宋体" w:hAnsi="宋体" w:cs="宋体" w:eastAsia="宋体" w:hint="default"/>
                <w:spacing w:val="-96"/>
                <w:sz w:val="18"/>
                <w:szCs w:val="18"/>
              </w:rPr>
              <w:t>。</w:t>
            </w:r>
            <w:r>
              <w:rPr>
                <w:rFonts w:ascii="宋体" w:hAnsi="宋体" w:cs="宋体" w:eastAsia="宋体" w:hint="default"/>
                <w:sz w:val="18"/>
                <w:szCs w:val="18"/>
              </w:rPr>
              <w:t>（一</w:t>
            </w:r>
            <w:r>
              <w:rPr>
                <w:rFonts w:ascii="宋体" w:hAnsi="宋体" w:cs="宋体" w:eastAsia="宋体" w:hint="default"/>
                <w:spacing w:val="-6"/>
                <w:sz w:val="18"/>
                <w:szCs w:val="18"/>
              </w:rPr>
              <w:t>）</w:t>
            </w:r>
            <w:r>
              <w:rPr>
                <w:rFonts w:ascii="宋体" w:hAnsi="宋体" w:cs="宋体" w:eastAsia="宋体" w:hint="default"/>
                <w:sz w:val="18"/>
                <w:szCs w:val="18"/>
              </w:rPr>
              <w:t>如</w:t>
            </w:r>
            <w:r>
              <w:rPr>
                <w:rFonts w:ascii="宋体" w:hAnsi="宋体" w:cs="宋体" w:eastAsia="宋体" w:hint="default"/>
                <w:spacing w:val="1"/>
                <w:sz w:val="18"/>
                <w:szCs w:val="18"/>
              </w:rPr>
              <w:t>本</w:t>
            </w:r>
            <w:r>
              <w:rPr>
                <w:rFonts w:ascii="宋体" w:hAnsi="宋体" w:cs="宋体" w:eastAsia="宋体" w:hint="default"/>
                <w:sz w:val="18"/>
                <w:szCs w:val="18"/>
              </w:rPr>
              <w:t>人非因不可抗力原因导致未能履行公开承诺事项</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的，需提出新的承诺并接受如下约束措施，直至新的承诺履行完毕或相应补</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、不得转让公司股份。因</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继承、被强制执行、上市公司重组、为履行保护投资者利益承诺等必须转股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的情形除外；</w:t>
            </w:r>
            <w:r>
              <w:rPr>
                <w:rFonts w:ascii="Times New Roman" w:hAnsi="Times New Roman" w:cs="Times New Roman" w:eastAsia="Times New Roman" w:hint="default"/>
                <w:sz w:val="18"/>
                <w:szCs w:val="18"/>
              </w:rPr>
              <w:t>3</w:t>
            </w:r>
            <w:r>
              <w:rPr>
                <w:rFonts w:ascii="宋体" w:hAnsi="宋体" w:cs="宋体" w:eastAsia="宋体" w:hint="default"/>
                <w:sz w:val="18"/>
                <w:szCs w:val="18"/>
              </w:rPr>
              <w:t>、暂不领取公司分配利润中归属于本人的部分；</w:t>
            </w:r>
            <w:r>
              <w:rPr>
                <w:rFonts w:ascii="Times New Roman" w:hAnsi="Times New Roman" w:cs="Times New Roman" w:eastAsia="Times New Roman" w:hint="default"/>
                <w:sz w:val="18"/>
                <w:szCs w:val="18"/>
              </w:rPr>
              <w:t>4</w:t>
            </w:r>
            <w:r>
              <w:rPr>
                <w:rFonts w:ascii="宋体" w:hAnsi="宋体" w:cs="宋体" w:eastAsia="宋体" w:hint="default"/>
                <w:sz w:val="18"/>
                <w:szCs w:val="18"/>
              </w:rPr>
              <w:t>、可以职务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变更但不得主动要求离职；</w:t>
            </w:r>
            <w:r>
              <w:rPr>
                <w:rFonts w:ascii="Times New Roman" w:hAnsi="Times New Roman" w:cs="Times New Roman" w:eastAsia="Times New Roman" w:hint="default"/>
                <w:sz w:val="18"/>
                <w:szCs w:val="18"/>
              </w:rPr>
              <w:t>5</w:t>
            </w:r>
            <w:r>
              <w:rPr>
                <w:rFonts w:ascii="宋体" w:hAnsi="宋体" w:cs="宋体" w:eastAsia="宋体" w:hint="default"/>
                <w:sz w:val="18"/>
                <w:szCs w:val="18"/>
              </w:rPr>
              <w:t>、主动申请调减或停发薪酬或津贴；</w:t>
            </w:r>
            <w:r>
              <w:rPr>
                <w:rFonts w:ascii="Times New Roman" w:hAnsi="Times New Roman" w:cs="Times New Roman" w:eastAsia="Times New Roman" w:hint="default"/>
                <w:sz w:val="18"/>
                <w:szCs w:val="18"/>
              </w:rPr>
              <w:t>6</w:t>
            </w:r>
            <w:r>
              <w:rPr>
                <w:rFonts w:ascii="宋体" w:hAnsi="宋体" w:cs="宋体" w:eastAsia="宋体" w:hint="default"/>
                <w:sz w:val="18"/>
                <w:szCs w:val="18"/>
              </w:rPr>
              <w:t>、如果因</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未履行相关承诺事项而获得收益的，所获收益归公司所有，并在获得收益的</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五个工作日内将所获收益支付给公司指定账户；</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、本人未履行招股说明书的</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公开承诺事项，给投资者造成损失的，依法赔偿投资者损失；</w:t>
            </w:r>
            <w:r>
              <w:rPr>
                <w:rFonts w:ascii="Times New Roman" w:hAnsi="Times New Roman" w:cs="Times New Roman" w:eastAsia="Times New Roman" w:hint="default"/>
                <w:sz w:val="18"/>
                <w:szCs w:val="18"/>
              </w:rPr>
              <w:t>8</w:t>
            </w:r>
            <w:r>
              <w:rPr>
                <w:rFonts w:ascii="宋体" w:hAnsi="宋体" w:cs="宋体" w:eastAsia="宋体" w:hint="default"/>
                <w:sz w:val="18"/>
                <w:szCs w:val="18"/>
              </w:rPr>
              <w:t>、公司未履行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招股说明书的公开承诺事项，给投资者造成损失的，本人依法承担连带赔偿</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宋体" w:hAnsi="宋体" w:cs="宋体" w:eastAsia="宋体" w:hint="default"/>
                <w:spacing w:val="-94"/>
                <w:sz w:val="18"/>
                <w:szCs w:val="18"/>
              </w:rPr>
              <w:t>。</w:t>
            </w:r>
            <w:r>
              <w:rPr>
                <w:rFonts w:ascii="宋体" w:hAnsi="宋体" w:cs="宋体" w:eastAsia="宋体" w:hint="default"/>
                <w:sz w:val="18"/>
                <w:szCs w:val="18"/>
              </w:rPr>
              <w:t>（二</w:t>
            </w:r>
            <w:r>
              <w:rPr>
                <w:rFonts w:ascii="宋体" w:hAnsi="宋体" w:cs="宋体" w:eastAsia="宋体" w:hint="default"/>
                <w:spacing w:val="-4"/>
                <w:sz w:val="18"/>
                <w:szCs w:val="18"/>
              </w:rPr>
              <w:t>）</w:t>
            </w:r>
            <w:r>
              <w:rPr>
                <w:rFonts w:ascii="宋体" w:hAnsi="宋体" w:cs="宋体" w:eastAsia="宋体" w:hint="default"/>
                <w:sz w:val="18"/>
                <w:szCs w:val="18"/>
              </w:rPr>
              <w:t>如本人因不可抗力原因导致未能履行公开承诺事项的</w:t>
            </w:r>
            <w:r>
              <w:rPr>
                <w:rFonts w:ascii="宋体" w:hAnsi="宋体" w:cs="宋体" w:eastAsia="宋体" w:hint="default"/>
                <w:spacing w:val="-4"/>
                <w:sz w:val="18"/>
                <w:szCs w:val="18"/>
              </w:rPr>
              <w:t>，</w:t>
            </w:r>
            <w:r>
              <w:rPr>
                <w:rFonts w:ascii="宋体" w:hAnsi="宋体" w:cs="宋体" w:eastAsia="宋体" w:hint="default"/>
                <w:sz w:val="18"/>
                <w:szCs w:val="18"/>
              </w:rPr>
              <w:t>需提出新</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的承诺并接受如下约束措施，直至新的承诺履行完毕或相应补救措施实施完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、在股东大会及中国证监会指定的披露媒体上公开说明未履行的具体原</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2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小的处理方案，尽可能地保护公司投资者利益。</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3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三</w:t>
            </w:r>
            <w:r>
              <w:rPr>
                <w:rFonts w:ascii="宋体" w:hAnsi="宋体" w:cs="宋体" w:eastAsia="宋体" w:hint="default"/>
                <w:b/>
                <w:bCs/>
                <w:spacing w:val="-6"/>
                <w:w w:val="99"/>
                <w:sz w:val="18"/>
                <w:szCs w:val="18"/>
              </w:rPr>
              <w:t>、</w:t>
            </w:r>
            <w:r>
              <w:rPr>
                <w:rFonts w:ascii="宋体" w:hAnsi="宋体" w:cs="宋体" w:eastAsia="宋体" w:hint="default"/>
                <w:b/>
                <w:bCs/>
                <w:spacing w:val="1"/>
                <w:w w:val="99"/>
                <w:sz w:val="18"/>
                <w:szCs w:val="18"/>
              </w:rPr>
              <w:t>未</w:t>
            </w:r>
            <w:r>
              <w:rPr>
                <w:rFonts w:ascii="宋体" w:hAnsi="宋体" w:cs="宋体" w:eastAsia="宋体" w:hint="default"/>
                <w:b/>
                <w:bCs/>
                <w:w w:val="99"/>
                <w:sz w:val="18"/>
                <w:szCs w:val="18"/>
              </w:rPr>
              <w:t>持</w:t>
            </w:r>
            <w:r>
              <w:rPr>
                <w:rFonts w:ascii="宋体" w:hAnsi="宋体" w:cs="宋体" w:eastAsia="宋体" w:hint="default"/>
                <w:b/>
                <w:bCs/>
                <w:spacing w:val="1"/>
                <w:w w:val="99"/>
                <w:sz w:val="18"/>
                <w:szCs w:val="18"/>
              </w:rPr>
              <w:t>有</w:t>
            </w:r>
            <w:r>
              <w:rPr>
                <w:rFonts w:ascii="宋体" w:hAnsi="宋体" w:cs="宋体" w:eastAsia="宋体" w:hint="default"/>
                <w:b/>
                <w:bCs/>
                <w:w w:val="99"/>
                <w:sz w:val="18"/>
                <w:szCs w:val="18"/>
              </w:rPr>
              <w:t>股</w:t>
            </w:r>
            <w:r>
              <w:rPr>
                <w:rFonts w:ascii="宋体" w:hAnsi="宋体" w:cs="宋体" w:eastAsia="宋体" w:hint="default"/>
                <w:b/>
                <w:bCs/>
                <w:spacing w:val="1"/>
                <w:w w:val="99"/>
                <w:sz w:val="18"/>
                <w:szCs w:val="18"/>
              </w:rPr>
              <w:t>份的</w:t>
            </w:r>
            <w:r>
              <w:rPr>
                <w:rFonts w:ascii="宋体" w:hAnsi="宋体" w:cs="宋体" w:eastAsia="宋体" w:hint="default"/>
                <w:b/>
                <w:bCs/>
                <w:w w:val="99"/>
                <w:sz w:val="18"/>
                <w:szCs w:val="18"/>
              </w:rPr>
              <w:t>董</w:t>
            </w:r>
            <w:r>
              <w:rPr>
                <w:rFonts w:ascii="宋体" w:hAnsi="宋体" w:cs="宋体" w:eastAsia="宋体" w:hint="default"/>
                <w:b/>
                <w:bCs/>
                <w:spacing w:val="-6"/>
                <w:w w:val="99"/>
                <w:sz w:val="18"/>
                <w:szCs w:val="18"/>
              </w:rPr>
              <w:t>事</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独</w:t>
            </w:r>
            <w:r>
              <w:rPr>
                <w:rFonts w:ascii="宋体" w:hAnsi="宋体" w:cs="宋体" w:eastAsia="宋体" w:hint="default"/>
                <w:b/>
                <w:bCs/>
                <w:spacing w:val="1"/>
                <w:w w:val="99"/>
                <w:sz w:val="18"/>
                <w:szCs w:val="18"/>
              </w:rPr>
              <w:t>立董</w:t>
            </w:r>
            <w:r>
              <w:rPr>
                <w:rFonts w:ascii="宋体" w:hAnsi="宋体" w:cs="宋体" w:eastAsia="宋体" w:hint="default"/>
                <w:b/>
                <w:bCs/>
                <w:w w:val="99"/>
                <w:sz w:val="18"/>
                <w:szCs w:val="18"/>
              </w:rPr>
              <w:t>事</w:t>
            </w:r>
            <w:r>
              <w:rPr>
                <w:rFonts w:ascii="宋体" w:hAnsi="宋体" w:cs="宋体" w:eastAsia="宋体" w:hint="default"/>
                <w:b/>
                <w:bCs/>
                <w:spacing w:val="1"/>
                <w:w w:val="99"/>
                <w:sz w:val="18"/>
                <w:szCs w:val="18"/>
              </w:rPr>
              <w:t>除</w:t>
            </w:r>
            <w:r>
              <w:rPr>
                <w:rFonts w:ascii="宋体" w:hAnsi="宋体" w:cs="宋体" w:eastAsia="宋体" w:hint="default"/>
                <w:b/>
                <w:bCs/>
                <w:w w:val="99"/>
                <w:sz w:val="18"/>
                <w:szCs w:val="18"/>
              </w:rPr>
              <w:t>外</w:t>
            </w:r>
            <w:r>
              <w:rPr>
                <w:rFonts w:ascii="宋体" w:hAnsi="宋体" w:cs="宋体" w:eastAsia="宋体" w:hint="default"/>
                <w:b/>
                <w:bCs/>
                <w:spacing w:val="-91"/>
                <w:w w:val="99"/>
                <w:sz w:val="18"/>
                <w:szCs w:val="18"/>
              </w:rPr>
              <w:t>）</w:t>
            </w:r>
            <w:r>
              <w:rPr>
                <w:rFonts w:ascii="宋体" w:hAnsi="宋体" w:cs="宋体" w:eastAsia="宋体" w:hint="default"/>
                <w:b/>
                <w:bCs/>
                <w:spacing w:val="-6"/>
                <w:w w:val="99"/>
                <w:sz w:val="18"/>
                <w:szCs w:val="18"/>
              </w:rPr>
              <w:t>、</w:t>
            </w:r>
            <w:r>
              <w:rPr>
                <w:rFonts w:ascii="宋体" w:hAnsi="宋体" w:cs="宋体" w:eastAsia="宋体" w:hint="default"/>
                <w:b/>
                <w:bCs/>
                <w:spacing w:val="1"/>
                <w:w w:val="99"/>
                <w:sz w:val="18"/>
                <w:szCs w:val="18"/>
              </w:rPr>
              <w:t>监</w:t>
            </w:r>
            <w:r>
              <w:rPr>
                <w:rFonts w:ascii="宋体" w:hAnsi="宋体" w:cs="宋体" w:eastAsia="宋体" w:hint="default"/>
                <w:b/>
                <w:bCs/>
                <w:w w:val="99"/>
                <w:sz w:val="18"/>
                <w:szCs w:val="18"/>
              </w:rPr>
              <w:t>事</w:t>
            </w:r>
            <w:r>
              <w:rPr>
                <w:rFonts w:ascii="宋体" w:hAnsi="宋体" w:cs="宋体" w:eastAsia="宋体" w:hint="default"/>
                <w:b/>
                <w:bCs/>
                <w:spacing w:val="-5"/>
                <w:w w:val="99"/>
                <w:sz w:val="18"/>
                <w:szCs w:val="18"/>
              </w:rPr>
              <w:t>、</w:t>
            </w:r>
            <w:r>
              <w:rPr>
                <w:rFonts w:ascii="宋体" w:hAnsi="宋体" w:cs="宋体" w:eastAsia="宋体" w:hint="default"/>
                <w:b/>
                <w:bCs/>
                <w:w w:val="99"/>
                <w:sz w:val="18"/>
                <w:szCs w:val="18"/>
              </w:rPr>
              <w:t>高</w:t>
            </w:r>
            <w:r>
              <w:rPr>
                <w:rFonts w:ascii="宋体" w:hAnsi="宋体" w:cs="宋体" w:eastAsia="宋体" w:hint="default"/>
                <w:b/>
                <w:bCs/>
                <w:spacing w:val="1"/>
                <w:w w:val="99"/>
                <w:sz w:val="18"/>
                <w:szCs w:val="18"/>
              </w:rPr>
              <w:t>级</w:t>
            </w:r>
            <w:r>
              <w:rPr>
                <w:rFonts w:ascii="宋体" w:hAnsi="宋体" w:cs="宋体" w:eastAsia="宋体" w:hint="default"/>
                <w:b/>
                <w:bCs/>
                <w:w w:val="99"/>
                <w:sz w:val="18"/>
                <w:szCs w:val="18"/>
              </w:rPr>
              <w:t>管</w:t>
            </w:r>
            <w:r>
              <w:rPr>
                <w:rFonts w:ascii="宋体" w:hAnsi="宋体" w:cs="宋体" w:eastAsia="宋体" w:hint="default"/>
                <w:b/>
                <w:bCs/>
                <w:spacing w:val="1"/>
                <w:w w:val="99"/>
                <w:sz w:val="18"/>
                <w:szCs w:val="18"/>
              </w:rPr>
              <w:t>理人</w:t>
            </w:r>
            <w:r>
              <w:rPr>
                <w:rFonts w:ascii="宋体" w:hAnsi="宋体" w:cs="宋体" w:eastAsia="宋体" w:hint="default"/>
                <w:b/>
                <w:bCs/>
                <w:w w:val="99"/>
                <w:sz w:val="18"/>
                <w:szCs w:val="18"/>
              </w:rPr>
              <w:t>员</w:t>
            </w:r>
            <w:r>
              <w:rPr>
                <w:rFonts w:ascii="宋体" w:hAnsi="宋体" w:cs="宋体" w:eastAsia="宋体" w:hint="default"/>
                <w:b/>
                <w:bCs/>
                <w:spacing w:val="1"/>
                <w:w w:val="99"/>
                <w:sz w:val="18"/>
                <w:szCs w:val="18"/>
              </w:rPr>
              <w:t>承</w:t>
            </w:r>
            <w:r>
              <w:rPr>
                <w:rFonts w:ascii="宋体" w:hAnsi="宋体" w:cs="宋体" w:eastAsia="宋体" w:hint="default"/>
                <w:b/>
                <w:bCs/>
                <w:w w:val="99"/>
                <w:sz w:val="18"/>
                <w:szCs w:val="18"/>
              </w:rPr>
              <w:t>诺</w:t>
            </w:r>
            <w:r>
              <w:rPr>
                <w:rFonts w:ascii="宋体" w:hAnsi="宋体" w:cs="宋体" w:eastAsia="宋体" w:hint="default"/>
                <w:b/>
                <w:bCs/>
                <w:spacing w:val="-7"/>
                <w:w w:val="99"/>
                <w:sz w:val="18"/>
                <w:szCs w:val="18"/>
              </w:rPr>
              <w:t>：</w:t>
            </w:r>
            <w:r>
              <w:rPr>
                <w:rFonts w:ascii="宋体" w:hAnsi="宋体" w:cs="宋体" w:eastAsia="宋体" w:hint="default"/>
                <w:sz w:val="18"/>
                <w:szCs w:val="18"/>
              </w:rPr>
              <w:t>本人将</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严格履行本人就公司首次公开发行股票并上市所作出的所有公开承诺事项，</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积极接受社会监督</w:t>
            </w:r>
            <w:r>
              <w:rPr>
                <w:rFonts w:ascii="宋体" w:hAnsi="宋体" w:cs="宋体" w:eastAsia="宋体" w:hint="default"/>
                <w:spacing w:val="-96"/>
                <w:sz w:val="18"/>
                <w:szCs w:val="18"/>
              </w:rPr>
              <w:t>。</w:t>
            </w:r>
            <w:r>
              <w:rPr>
                <w:rFonts w:ascii="宋体" w:hAnsi="宋体" w:cs="宋体" w:eastAsia="宋体" w:hint="default"/>
                <w:sz w:val="18"/>
                <w:szCs w:val="18"/>
              </w:rPr>
              <w:t>（一</w:t>
            </w:r>
            <w:r>
              <w:rPr>
                <w:rFonts w:ascii="宋体" w:hAnsi="宋体" w:cs="宋体" w:eastAsia="宋体" w:hint="default"/>
                <w:spacing w:val="-6"/>
                <w:sz w:val="18"/>
                <w:szCs w:val="18"/>
              </w:rPr>
              <w:t>）</w:t>
            </w:r>
            <w:r>
              <w:rPr>
                <w:rFonts w:ascii="宋体" w:hAnsi="宋体" w:cs="宋体" w:eastAsia="宋体" w:hint="default"/>
                <w:spacing w:val="1"/>
                <w:sz w:val="18"/>
                <w:szCs w:val="18"/>
              </w:rPr>
              <w:t>如</w:t>
            </w:r>
            <w:r>
              <w:rPr>
                <w:rFonts w:ascii="宋体" w:hAnsi="宋体" w:cs="宋体" w:eastAsia="宋体" w:hint="default"/>
                <w:sz w:val="18"/>
                <w:szCs w:val="18"/>
              </w:rPr>
              <w:t>本人非因不可抗力原因导致未能履行公开承诺事</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项的，需提出新的承诺并接受如下约束措施，直至新的承诺履行完毕或相应</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、可以职务变更但不得</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主动要求离职；</w:t>
            </w:r>
            <w:r>
              <w:rPr>
                <w:rFonts w:ascii="Times New Roman" w:hAnsi="Times New Roman" w:cs="Times New Roman" w:eastAsia="Times New Roman" w:hint="default"/>
                <w:sz w:val="18"/>
                <w:szCs w:val="18"/>
              </w:rPr>
              <w:t>3</w:t>
            </w:r>
            <w:r>
              <w:rPr>
                <w:rFonts w:ascii="宋体" w:hAnsi="宋体" w:cs="宋体" w:eastAsia="宋体" w:hint="default"/>
                <w:sz w:val="18"/>
                <w:szCs w:val="18"/>
              </w:rPr>
              <w:t>、主动申请调减或停发薪酬或津贴；</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、如果因未履行相关</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承诺事项而获得收益的，所获收益归公司所有，并在获得收益的五个工作日</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内将所获收益支付给公司指定账户；</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、本人未履行招股说明书的公开承诺事</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项，给投资者造成损失的，依法赔偿投资者损失；</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、公司未履行招股说明书</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的公开承诺事项，给投资者造成损失的，本人依法承担连带赔偿责任</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如本人因不可抗力原因导致未能履行公开承诺事项的，需提出新的承诺并接</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受如下约束措施，直至新的承诺履行完毕或相应补救措施实施完毕：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东大会及中国证监会指定的披露媒体上公开说明未履行的具体原因并向股东</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36" w:hRule="exact"/>
        </w:trPr>
        <w:tc>
          <w:tcPr>
            <w:tcW w:w="1102"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5" w:type="dxa"/>
            <w:vMerge w:val="restart"/>
            <w:tcBorders>
              <w:top w:val="single" w:sz="15" w:space="0" w:color="000000"/>
              <w:left w:val="single" w:sz="4" w:space="0" w:color="000000"/>
              <w:right w:val="single" w:sz="4" w:space="0" w:color="000000"/>
            </w:tcBorders>
          </w:tcPr>
          <w:p>
            <w:pPr/>
          </w:p>
        </w:tc>
        <w:tc>
          <w:tcPr>
            <w:tcW w:w="623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、尽快研究将投资者利益损失降低到最小的处理方</w:t>
            </w:r>
          </w:p>
        </w:tc>
        <w:tc>
          <w:tcPr>
            <w:tcW w:w="1416" w:type="dxa"/>
            <w:vMerge w:val="restart"/>
            <w:tcBorders>
              <w:top w:val="single" w:sz="15" w:space="0" w:color="000000"/>
              <w:left w:val="single" w:sz="4" w:space="0" w:color="000000"/>
              <w:right w:val="single" w:sz="4" w:space="0" w:color="000000"/>
            </w:tcBorders>
          </w:tcPr>
          <w:p>
            <w:pPr/>
          </w:p>
        </w:tc>
        <w:tc>
          <w:tcPr>
            <w:tcW w:w="1133" w:type="dxa"/>
            <w:vMerge w:val="restart"/>
            <w:tcBorders>
              <w:top w:val="single" w:sz="15" w:space="0" w:color="000000"/>
              <w:left w:val="single" w:sz="4" w:space="0" w:color="000000"/>
              <w:right w:val="single" w:sz="4" w:space="0" w:color="000000"/>
            </w:tcBorders>
          </w:tcPr>
          <w:p>
            <w:pPr/>
          </w:p>
        </w:tc>
        <w:tc>
          <w:tcPr>
            <w:tcW w:w="1987" w:type="dxa"/>
            <w:vMerge w:val="restart"/>
            <w:tcBorders>
              <w:top w:val="single" w:sz="15" w:space="0" w:color="000000"/>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案，尽可能地保护公司投资者利益。四、独立董事承诺：本人将严格履行本</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人就公司首次公开发行股票并上市所作出的所有公开承诺事项，积极接受社</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会监督</w:t>
            </w:r>
            <w:r>
              <w:rPr>
                <w:rFonts w:ascii="宋体" w:hAnsi="宋体" w:cs="宋体" w:eastAsia="宋体" w:hint="default"/>
                <w:spacing w:val="-94"/>
                <w:sz w:val="18"/>
                <w:szCs w:val="18"/>
              </w:rPr>
              <w:t>。</w:t>
            </w:r>
            <w:r>
              <w:rPr>
                <w:rFonts w:ascii="宋体" w:hAnsi="宋体" w:cs="宋体" w:eastAsia="宋体" w:hint="default"/>
                <w:sz w:val="18"/>
                <w:szCs w:val="18"/>
              </w:rPr>
              <w:t>（一</w:t>
            </w:r>
            <w:r>
              <w:rPr>
                <w:rFonts w:ascii="宋体" w:hAnsi="宋体" w:cs="宋体" w:eastAsia="宋体" w:hint="default"/>
                <w:spacing w:val="-4"/>
                <w:sz w:val="18"/>
                <w:szCs w:val="18"/>
              </w:rPr>
              <w:t>）</w:t>
            </w:r>
            <w:r>
              <w:rPr>
                <w:rFonts w:ascii="宋体" w:hAnsi="宋体" w:cs="宋体" w:eastAsia="宋体" w:hint="default"/>
                <w:sz w:val="18"/>
                <w:szCs w:val="18"/>
              </w:rPr>
              <w:t>如本人非因不可抗力原因导致未能履行公开承诺事项的</w:t>
            </w:r>
            <w:r>
              <w:rPr>
                <w:rFonts w:ascii="宋体" w:hAnsi="宋体" w:cs="宋体" w:eastAsia="宋体" w:hint="default"/>
                <w:spacing w:val="-4"/>
                <w:sz w:val="18"/>
                <w:szCs w:val="18"/>
              </w:rPr>
              <w:t>，</w:t>
            </w:r>
            <w:r>
              <w:rPr>
                <w:rFonts w:ascii="宋体" w:hAnsi="宋体" w:cs="宋体" w:eastAsia="宋体" w:hint="default"/>
                <w:sz w:val="18"/>
                <w:szCs w:val="18"/>
              </w:rPr>
              <w:t>需提</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出新的承诺并接受如下约束措施，直至新的承诺履行完毕或相应补救措施实</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、在股东大会及中国证监会指定的披露媒体上公开说明未履行的具</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、主动申请调减或停发津贴；</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如果因未履行相关承诺事项而获得收益的，所获收益归公司所有，并在获得</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收益的五个工作日内将所获收益支付给公司指定账户；</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、本人未履行招股说</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明书的公开承诺事项，给投资者造成损失的，依法赔偿投资者损失；</w:t>
            </w: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0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未履行招股说明书的公开承诺事项，给投资者造成损失的，本人依法承担连</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带赔偿责任</w:t>
            </w:r>
            <w:r>
              <w:rPr>
                <w:rFonts w:ascii="宋体" w:hAnsi="宋体" w:cs="宋体" w:eastAsia="宋体" w:hint="default"/>
                <w:spacing w:val="-94"/>
                <w:sz w:val="18"/>
                <w:szCs w:val="18"/>
              </w:rPr>
              <w:t>。</w:t>
            </w:r>
            <w:r>
              <w:rPr>
                <w:rFonts w:ascii="宋体" w:hAnsi="宋体" w:cs="宋体" w:eastAsia="宋体" w:hint="default"/>
                <w:sz w:val="18"/>
                <w:szCs w:val="18"/>
              </w:rPr>
              <w:t>（二</w:t>
            </w:r>
            <w:r>
              <w:rPr>
                <w:rFonts w:ascii="宋体" w:hAnsi="宋体" w:cs="宋体" w:eastAsia="宋体" w:hint="default"/>
                <w:spacing w:val="-4"/>
                <w:sz w:val="18"/>
                <w:szCs w:val="18"/>
              </w:rPr>
              <w:t>）</w:t>
            </w:r>
            <w:r>
              <w:rPr>
                <w:rFonts w:ascii="宋体" w:hAnsi="宋体" w:cs="宋体" w:eastAsia="宋体" w:hint="default"/>
                <w:sz w:val="18"/>
                <w:szCs w:val="18"/>
              </w:rPr>
              <w:t>如本人因不可抗力原因导致未能履行公开承诺事项的</w:t>
            </w:r>
            <w:r>
              <w:rPr>
                <w:rFonts w:ascii="宋体" w:hAnsi="宋体" w:cs="宋体" w:eastAsia="宋体" w:hint="default"/>
                <w:spacing w:val="-4"/>
                <w:sz w:val="18"/>
                <w:szCs w:val="18"/>
              </w:rPr>
              <w:t>，</w:t>
            </w:r>
            <w:r>
              <w:rPr>
                <w:rFonts w:ascii="宋体" w:hAnsi="宋体" w:cs="宋体" w:eastAsia="宋体" w:hint="default"/>
                <w:sz w:val="18"/>
                <w:szCs w:val="18"/>
              </w:rPr>
              <w:t>需</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提出新的承诺并接受如下约束措施，直至新的承诺履行完毕或相应补救措施</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7"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w:t>
            </w:r>
          </w:p>
        </w:tc>
        <w:tc>
          <w:tcPr>
            <w:tcW w:w="141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987" w:type="dxa"/>
            <w:vMerge/>
            <w:tcBorders>
              <w:left w:val="single" w:sz="4" w:space="0" w:color="000000"/>
              <w:right w:val="single" w:sz="4" w:space="0" w:color="000000"/>
            </w:tcBorders>
          </w:tcPr>
          <w:p>
            <w:pPr/>
          </w:p>
        </w:tc>
      </w:tr>
      <w:tr>
        <w:trPr>
          <w:trHeight w:val="352" w:hRule="exact"/>
        </w:trPr>
        <w:tc>
          <w:tcPr>
            <w:tcW w:w="1102" w:type="dxa"/>
            <w:vMerge/>
            <w:tcBorders>
              <w:left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低到最小的处理方案，尽可能地保护公司投资者利益。</w:t>
            </w: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987" w:type="dxa"/>
            <w:vMerge/>
            <w:tcBorders>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实际控制人关于为员工补缴社会保险、住房公积金的承诺：</w:t>
            </w:r>
            <w:r>
              <w:rPr>
                <w:rFonts w:ascii="宋体" w:hAnsi="宋体" w:cs="宋体" w:eastAsia="宋体" w:hint="default"/>
                <w:sz w:val="18"/>
                <w:szCs w:val="18"/>
              </w:rPr>
              <w:t>公司实际控制人</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截至本公告日，未触发</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冯滨承诺：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如应有权部门的要求和决定，北京众信国际旅行社股份有限公司</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履行此承诺的条件。</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需为员工补缴社会保险、住房公积金或因北京众信国际旅行社股份有限公司</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未为部分员工办理或足额缴纳社会保险或住房公积金而被罚款或承担其他损</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失</w:t>
            </w:r>
            <w:r>
              <w:rPr>
                <w:rFonts w:ascii="宋体" w:hAnsi="宋体" w:cs="宋体" w:eastAsia="宋体" w:hint="default"/>
                <w:sz w:val="18"/>
                <w:szCs w:val="18"/>
              </w:rPr>
              <w:t>（包括直接损失或间接损失</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本人承诺</w:t>
            </w:r>
            <w:r>
              <w:rPr>
                <w:rFonts w:ascii="宋体" w:hAnsi="宋体" w:cs="宋体" w:eastAsia="宋体" w:hint="default"/>
                <w:spacing w:val="-4"/>
                <w:sz w:val="18"/>
                <w:szCs w:val="18"/>
              </w:rPr>
              <w:t>，</w:t>
            </w:r>
            <w:r>
              <w:rPr>
                <w:rFonts w:ascii="宋体" w:hAnsi="宋体" w:cs="宋体" w:eastAsia="宋体" w:hint="default"/>
                <w:sz w:val="18"/>
                <w:szCs w:val="18"/>
              </w:rPr>
              <w:t>将全额承担该部分补缴和被追偿</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的损失，保证北京众信国际旅行社股份有限公司不因此遭受任何损失。</w:t>
            </w:r>
            <w:r>
              <w:rPr>
                <w:rFonts w:ascii="Times New Roman" w:hAnsi="Times New Roman" w:cs="Times New Roman" w:eastAsia="Times New Roman" w:hint="default"/>
                <w:sz w:val="18"/>
                <w:szCs w:val="18"/>
              </w:rPr>
              <w:t>”</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2" w:type="dxa"/>
            <w:vMerge/>
            <w:tcBorders>
              <w:left w:val="single" w:sz="4" w:space="0" w:color="000000"/>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b/>
                <w:bCs/>
                <w:sz w:val="18"/>
                <w:szCs w:val="18"/>
              </w:rPr>
              <w:t>控股股东关于租赁房屋未取得房屋所有权人同意文件或授权文件可能存在潜</w:t>
            </w:r>
            <w:r>
              <w:rPr>
                <w:rFonts w:ascii="宋体" w:hAnsi="宋体" w:cs="宋体" w:eastAsia="宋体" w:hint="default"/>
                <w:sz w:val="18"/>
                <w:szCs w:val="18"/>
              </w:rPr>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9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截至本公告日，未触发</w:t>
            </w:r>
          </w:p>
        </w:tc>
      </w:tr>
      <w:tr>
        <w:trPr>
          <w:trHeight w:val="311"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b/>
                <w:bCs/>
                <w:sz w:val="18"/>
                <w:szCs w:val="18"/>
              </w:rPr>
              <w:t>在风险的承诺：</w:t>
            </w:r>
            <w:r>
              <w:rPr>
                <w:rFonts w:ascii="宋体" w:hAnsi="宋体" w:cs="宋体" w:eastAsia="宋体" w:hint="default"/>
                <w:sz w:val="18"/>
                <w:szCs w:val="18"/>
              </w:rPr>
              <w:t>针对公司安定门、复兴门、安慧桥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家直营门店租用房屋未</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履行此承诺的条件。</w:t>
            </w:r>
          </w:p>
        </w:tc>
      </w:tr>
      <w:tr>
        <w:trPr>
          <w:trHeight w:val="307"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取得房屋所有权人同意文件或授权文件可能存在的潜在风险，公司控股股东</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冯滨已向公司出</w:t>
            </w:r>
            <w:r>
              <w:rPr>
                <w:rFonts w:ascii="宋体" w:hAnsi="宋体" w:cs="宋体" w:eastAsia="宋体" w:hint="default"/>
                <w:spacing w:val="-6"/>
                <w:sz w:val="18"/>
                <w:szCs w:val="18"/>
              </w:rPr>
              <w:t>具</w:t>
            </w: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如公司所租赁的房屋在租赁期间内因权属问题</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02" w:type="dxa"/>
            <w:vMerge/>
            <w:tcBorders>
              <w:left w:val="single" w:sz="4" w:space="0" w:color="000000"/>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62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无法继续使用的，控股股东负责落实新的租赁房源，并承担由此造成的装修、</w:t>
            </w:r>
          </w:p>
        </w:tc>
        <w:tc>
          <w:tcPr>
            <w:tcW w:w="1416"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98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62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搬迁损失及可能产生的其他全部损失。</w:t>
            </w:r>
          </w:p>
        </w:tc>
        <w:tc>
          <w:tcPr>
            <w:tcW w:w="1416"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98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62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220" w:right="82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102"/>
        <w:gridCol w:w="1560"/>
        <w:gridCol w:w="1135"/>
        <w:gridCol w:w="6235"/>
        <w:gridCol w:w="1416"/>
        <w:gridCol w:w="1133"/>
        <w:gridCol w:w="1987"/>
      </w:tblGrid>
      <w:tr>
        <w:trPr>
          <w:trHeight w:val="377" w:hRule="exact"/>
        </w:trPr>
        <w:tc>
          <w:tcPr>
            <w:tcW w:w="11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6235"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987" w:type="dxa"/>
            <w:tcBorders>
              <w:top w:val="single" w:sz="15" w:space="0" w:color="000000"/>
              <w:left w:val="single" w:sz="4" w:space="0" w:color="000000"/>
              <w:bottom w:val="single" w:sz="4" w:space="0" w:color="000000"/>
              <w:right w:val="single" w:sz="4" w:space="0" w:color="000000"/>
            </w:tcBorders>
          </w:tcPr>
          <w:p>
            <w:pPr/>
          </w:p>
        </w:tc>
      </w:tr>
      <w:tr>
        <w:trPr>
          <w:trHeight w:val="3210" w:hRule="exact"/>
        </w:trPr>
        <w:tc>
          <w:tcPr>
            <w:tcW w:w="1102" w:type="dxa"/>
            <w:vMerge w:val="restart"/>
            <w:tcBorders>
              <w:top w:val="single" w:sz="4" w:space="0" w:color="000000"/>
              <w:left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林 岩</w:t>
            </w:r>
            <w:r>
              <w:rPr>
                <w:rFonts w:ascii="Times New Roman" w:hAnsi="Times New Roman" w:cs="Times New Roman" w:eastAsia="Times New Roman" w:hint="default"/>
                <w:sz w:val="18"/>
                <w:szCs w:val="18"/>
              </w:rPr>
              <w:t>;</w:t>
            </w: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白</w:t>
            </w:r>
          </w:p>
          <w:p>
            <w:pPr>
              <w:pStyle w:val="TableParagraph"/>
              <w:spacing w:line="300" w:lineRule="auto" w:before="13"/>
              <w:ind w:left="103" w:right="215"/>
              <w:jc w:val="both"/>
              <w:rPr>
                <w:rFonts w:ascii="宋体" w:hAnsi="宋体" w:cs="宋体" w:eastAsia="宋体" w:hint="default"/>
                <w:sz w:val="18"/>
                <w:szCs w:val="18"/>
              </w:rPr>
            </w:pPr>
            <w:r>
              <w:rPr>
                <w:rFonts w:ascii="宋体" w:hAnsi="宋体" w:cs="宋体" w:eastAsia="宋体" w:hint="default"/>
                <w:sz w:val="18"/>
                <w:szCs w:val="18"/>
              </w:rPr>
              <w:t>斌</w:t>
            </w:r>
            <w:r>
              <w:rPr>
                <w:rFonts w:ascii="Times New Roman" w:hAnsi="Times New Roman" w:cs="Times New Roman" w:eastAsia="Times New Roman" w:hint="default"/>
                <w:sz w:val="18"/>
                <w:szCs w:val="18"/>
              </w:rPr>
              <w:t>;</w:t>
            </w:r>
            <w:r>
              <w:rPr>
                <w:rFonts w:ascii="宋体" w:hAnsi="宋体" w:cs="宋体" w:eastAsia="宋体" w:hint="default"/>
                <w:sz w:val="18"/>
                <w:szCs w:val="18"/>
              </w:rPr>
              <w:t>喻慧</w:t>
            </w:r>
            <w:r>
              <w:rPr>
                <w:rFonts w:ascii="Times New Roman" w:hAnsi="Times New Roman" w:cs="Times New Roman" w:eastAsia="Times New Roman" w:hint="default"/>
                <w:sz w:val="18"/>
                <w:szCs w:val="18"/>
              </w:rPr>
              <w:t>;</w:t>
            </w:r>
            <w:r>
              <w:rPr>
                <w:rFonts w:ascii="宋体" w:hAnsi="宋体" w:cs="宋体" w:eastAsia="宋体" w:hint="default"/>
                <w:sz w:val="18"/>
                <w:szCs w:val="18"/>
              </w:rPr>
              <w:t>李鸿秀</w:t>
            </w:r>
            <w:r>
              <w:rPr>
                <w:rFonts w:ascii="Times New Roman" w:hAnsi="Times New Roman" w:cs="Times New Roman" w:eastAsia="Times New Roman" w:hint="default"/>
                <w:sz w:val="18"/>
                <w:szCs w:val="18"/>
              </w:rPr>
              <w:t>; </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赵锐</w:t>
            </w:r>
            <w:r>
              <w:rPr>
                <w:rFonts w:ascii="Times New Roman" w:hAnsi="Times New Roman" w:cs="Times New Roman" w:eastAsia="Times New Roman" w:hint="default"/>
                <w:sz w:val="18"/>
                <w:szCs w:val="18"/>
              </w:rPr>
              <w:t>;</w:t>
            </w:r>
            <w:r>
              <w:rPr>
                <w:rFonts w:ascii="宋体" w:hAnsi="宋体" w:cs="宋体" w:eastAsia="宋体" w:hint="default"/>
                <w:sz w:val="18"/>
                <w:szCs w:val="18"/>
              </w:rPr>
              <w:t>杜政 泰</w:t>
            </w:r>
            <w:r>
              <w:rPr>
                <w:rFonts w:ascii="Times New Roman" w:hAnsi="Times New Roman" w:cs="Times New Roman" w:eastAsia="Times New Roman" w:hint="default"/>
                <w:sz w:val="18"/>
                <w:szCs w:val="18"/>
              </w:rPr>
              <w:t>;</w:t>
            </w:r>
            <w:r>
              <w:rPr>
                <w:rFonts w:ascii="宋体" w:hAnsi="宋体" w:cs="宋体" w:eastAsia="宋体" w:hint="default"/>
                <w:sz w:val="18"/>
                <w:szCs w:val="18"/>
              </w:rPr>
              <w:t>王春峰</w:t>
            </w:r>
            <w:r>
              <w:rPr>
                <w:rFonts w:ascii="Times New Roman" w:hAnsi="Times New Roman" w:cs="Times New Roman" w:eastAsia="Times New Roman" w:hint="default"/>
                <w:sz w:val="18"/>
                <w:szCs w:val="18"/>
              </w:rPr>
              <w:t>;</w:t>
            </w:r>
            <w:r>
              <w:rPr>
                <w:rFonts w:ascii="宋体" w:hAnsi="宋体" w:cs="宋体" w:eastAsia="宋体" w:hint="default"/>
                <w:sz w:val="18"/>
                <w:szCs w:val="18"/>
              </w:rPr>
              <w:t>张磊</w:t>
            </w:r>
            <w:r>
              <w:rPr>
                <w:rFonts w:ascii="Times New Roman" w:hAnsi="Times New Roman" w:cs="Times New Roman" w:eastAsia="Times New Roman" w:hint="default"/>
                <w:sz w:val="18"/>
                <w:szCs w:val="18"/>
              </w:rPr>
              <w:t>; </w:t>
            </w:r>
            <w:r>
              <w:rPr>
                <w:rFonts w:ascii="宋体" w:hAnsi="宋体" w:cs="宋体" w:eastAsia="宋体" w:hint="default"/>
                <w:sz w:val="18"/>
                <w:szCs w:val="18"/>
              </w:rPr>
              <w:t>张莉</w:t>
            </w:r>
            <w:r>
              <w:rPr>
                <w:rFonts w:ascii="Times New Roman" w:hAnsi="Times New Roman" w:cs="Times New Roman" w:eastAsia="Times New Roman" w:hint="default"/>
                <w:sz w:val="18"/>
                <w:szCs w:val="18"/>
              </w:rPr>
              <w:t>;</w:t>
            </w:r>
            <w:r>
              <w:rPr>
                <w:rFonts w:ascii="宋体" w:hAnsi="宋体" w:cs="宋体" w:eastAsia="宋体" w:hint="default"/>
                <w:sz w:val="18"/>
                <w:szCs w:val="18"/>
              </w:rPr>
              <w:t>姜付秀</w:t>
            </w:r>
            <w:r>
              <w:rPr>
                <w:rFonts w:ascii="Times New Roman" w:hAnsi="Times New Roman" w:cs="Times New Roman" w:eastAsia="Times New Roman" w:hint="default"/>
                <w:sz w:val="18"/>
                <w:szCs w:val="18"/>
              </w:rPr>
              <w:t>;</w:t>
            </w:r>
            <w:r>
              <w:rPr>
                <w:rFonts w:ascii="宋体" w:hAnsi="宋体" w:cs="宋体" w:eastAsia="宋体" w:hint="default"/>
                <w:sz w:val="18"/>
                <w:szCs w:val="18"/>
              </w:rPr>
              <w:t>赵 天庆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实际控制人及董事、监事、高级管理人员增持公司股份计划的承诺：基于对 公司发展前景的信心，同时为维护资本市场的稳定，保护广大投资者尤其是 中小股东的利益，公司实际控制人冯滨及绝大部分董事、监事、高级管理人 员拟计划在股市非理性下跌的情况下，通过深圳证券交易所允许的方式（包 括但不限于集中竞价、连续竞价和大宗交易）或通过证券公司、基金管理公 司定向资产管理等方式增持公司股份，增持金额不低于人民币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万元，其</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中监事喻慧、李鸿秀增持金额不低于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年至本公告日其各自累计减持金额</w:t>
            </w:r>
          </w:p>
          <w:p>
            <w:pPr>
              <w:pStyle w:val="TableParagraph"/>
              <w:spacing w:line="309"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。增持期间为：</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日。本次增持计划</w:t>
            </w:r>
            <w:r>
              <w:rPr>
                <w:rFonts w:ascii="宋体" w:hAnsi="宋体" w:cs="宋体" w:eastAsia="宋体" w:hint="default"/>
                <w:sz w:val="18"/>
                <w:szCs w:val="18"/>
              </w:rPr>
              <w:t> 的参与人承诺：在参与人个人增持期间及其增持完成后六个月内不转让本次 所增持的公司股份。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部分董事、监事、高管</w:t>
            </w:r>
            <w:r>
              <w:rPr>
                <w:rFonts w:ascii="宋体" w:hAnsi="宋体" w:cs="宋体" w:eastAsia="宋体" w:hint="default"/>
                <w:sz w:val="18"/>
                <w:szCs w:val="18"/>
              </w:rPr>
              <w:t> </w:t>
            </w:r>
            <w:r>
              <w:rPr>
                <w:rFonts w:ascii="宋体" w:hAnsi="宋体" w:cs="宋体" w:eastAsia="宋体" w:hint="default"/>
                <w:spacing w:val="-3"/>
                <w:sz w:val="18"/>
                <w:szCs w:val="18"/>
              </w:rPr>
              <w:t>进行了增持，公司因筹</w:t>
            </w:r>
            <w:r>
              <w:rPr>
                <w:rFonts w:ascii="宋体" w:hAnsi="宋体" w:cs="宋体" w:eastAsia="宋体" w:hint="default"/>
                <w:sz w:val="18"/>
                <w:szCs w:val="18"/>
              </w:rPr>
              <w:t> 划重大资产重组事项 </w:t>
            </w:r>
            <w:r>
              <w:rPr>
                <w:rFonts w:ascii="宋体" w:hAnsi="宋体" w:cs="宋体" w:eastAsia="宋体" w:hint="default"/>
                <w:spacing w:val="-3"/>
                <w:sz w:val="18"/>
                <w:szCs w:val="18"/>
              </w:rPr>
              <w:t>停牌，目前已过承诺期</w:t>
            </w:r>
          </w:p>
        </w:tc>
      </w:tr>
      <w:tr>
        <w:trPr>
          <w:trHeight w:val="1962" w:hRule="exact"/>
        </w:trPr>
        <w:tc>
          <w:tcPr>
            <w:tcW w:w="11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5"/>
              <w:jc w:val="both"/>
              <w:rPr>
                <w:rFonts w:ascii="Times New Roman" w:hAnsi="Times New Roman" w:cs="Times New Roman" w:eastAsia="Times New Roman" w:hint="default"/>
                <w:sz w:val="18"/>
                <w:szCs w:val="18"/>
              </w:rPr>
            </w:pP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 </w:t>
            </w:r>
            <w:r>
              <w:rPr>
                <w:rFonts w:ascii="宋体" w:hAnsi="宋体" w:cs="宋体" w:eastAsia="宋体" w:hint="default"/>
                <w:sz w:val="18"/>
                <w:szCs w:val="18"/>
              </w:rPr>
              <w:t>杜政泰</w:t>
            </w:r>
            <w:r>
              <w:rPr>
                <w:rFonts w:ascii="Times New Roman" w:hAnsi="Times New Roman" w:cs="Times New Roman" w:eastAsia="Times New Roman" w:hint="default"/>
                <w:sz w:val="18"/>
                <w:szCs w:val="18"/>
              </w:rPr>
              <w:t>;</w:t>
            </w:r>
            <w:r>
              <w:rPr>
                <w:rFonts w:ascii="宋体" w:hAnsi="宋体" w:cs="宋体" w:eastAsia="宋体" w:hint="default"/>
                <w:sz w:val="18"/>
                <w:szCs w:val="18"/>
              </w:rPr>
              <w:t>郭洪斌</w:t>
            </w:r>
            <w:r>
              <w:rPr>
                <w:rFonts w:ascii="Times New Roman" w:hAnsi="Times New Roman" w:cs="Times New Roman" w:eastAsia="Times New Roman" w:hint="default"/>
                <w:sz w:val="18"/>
                <w:szCs w:val="18"/>
              </w:rPr>
              <w:t>; </w:t>
            </w: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李鸿 秀</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王春峰</w:t>
            </w:r>
            <w:r>
              <w:rPr>
                <w:rFonts w:ascii="Times New Roman" w:hAnsi="Times New Roman" w:cs="Times New Roman" w:eastAsia="Times New Roman" w:hint="default"/>
                <w:sz w:val="18"/>
                <w:szCs w:val="18"/>
              </w:rPr>
              <w:t>;</w:t>
            </w:r>
          </w:p>
          <w:p>
            <w:pPr>
              <w:pStyle w:val="TableParagraph"/>
              <w:spacing w:line="302" w:lineRule="auto" w:before="13"/>
              <w:ind w:left="103" w:right="215"/>
              <w:jc w:val="both"/>
              <w:rPr>
                <w:rFonts w:ascii="宋体" w:hAnsi="宋体" w:cs="宋体" w:eastAsia="宋体" w:hint="default"/>
                <w:sz w:val="18"/>
                <w:szCs w:val="18"/>
              </w:rPr>
            </w:pPr>
            <w:r>
              <w:rPr>
                <w:rFonts w:ascii="宋体" w:hAnsi="宋体" w:cs="宋体" w:eastAsia="宋体" w:hint="default"/>
                <w:sz w:val="18"/>
                <w:szCs w:val="18"/>
              </w:rPr>
              <w:t>喻慧</w:t>
            </w:r>
            <w:r>
              <w:rPr>
                <w:rFonts w:ascii="Times New Roman" w:hAnsi="Times New Roman" w:cs="Times New Roman" w:eastAsia="Times New Roman" w:hint="default"/>
                <w:sz w:val="18"/>
                <w:szCs w:val="18"/>
              </w:rPr>
              <w:t>;</w:t>
            </w:r>
            <w:r>
              <w:rPr>
                <w:rFonts w:ascii="宋体" w:hAnsi="宋体" w:cs="宋体" w:eastAsia="宋体" w:hint="default"/>
                <w:sz w:val="18"/>
                <w:szCs w:val="18"/>
              </w:rPr>
              <w:t>张磊</w:t>
            </w:r>
            <w:r>
              <w:rPr>
                <w:rFonts w:ascii="Times New Roman" w:hAnsi="Times New Roman" w:cs="Times New Roman" w:eastAsia="Times New Roman" w:hint="default"/>
                <w:sz w:val="18"/>
                <w:szCs w:val="18"/>
              </w:rPr>
              <w:t>;</w:t>
            </w:r>
            <w:r>
              <w:rPr>
                <w:rFonts w:ascii="宋体" w:hAnsi="宋体" w:cs="宋体" w:eastAsia="宋体" w:hint="default"/>
                <w:sz w:val="18"/>
                <w:szCs w:val="18"/>
              </w:rPr>
              <w:t>张莉</w:t>
            </w:r>
            <w:r>
              <w:rPr>
                <w:rFonts w:ascii="Times New Roman" w:hAnsi="Times New Roman" w:cs="Times New Roman" w:eastAsia="Times New Roman" w:hint="default"/>
                <w:sz w:val="18"/>
                <w:szCs w:val="18"/>
              </w:rPr>
              <w:t>; </w:t>
            </w:r>
            <w:r>
              <w:rPr>
                <w:rFonts w:ascii="宋体" w:hAnsi="宋体" w:cs="宋体" w:eastAsia="宋体" w:hint="default"/>
                <w:sz w:val="18"/>
                <w:szCs w:val="18"/>
              </w:rPr>
              <w:t>赵锐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62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公司第一大股东、实际控制人冯滨先生、公司全体现任持股董事、监事、高 级管理人员承诺自本公告之日起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个月内（即自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日）不减持公司股票。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严格履行，未违反。目</w:t>
            </w:r>
            <w:r>
              <w:rPr>
                <w:rFonts w:ascii="宋体" w:hAnsi="宋体" w:cs="宋体" w:eastAsia="宋体" w:hint="default"/>
                <w:sz w:val="18"/>
                <w:szCs w:val="18"/>
              </w:rPr>
              <w:t> 前已履行完毕。</w:t>
            </w:r>
          </w:p>
        </w:tc>
      </w:tr>
      <w:tr>
        <w:trPr>
          <w:trHeight w:val="71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34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220" w:right="82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right="148"/>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w:t>
      </w:r>
      <w:r>
        <w:rPr>
          <w:spacing w:val="62"/>
          <w:w w:val="95"/>
        </w:rPr>
        <w:t> </w:t>
      </w:r>
      <w:r>
        <w:rPr>
          <w:spacing w:val="62"/>
          <w:w w:val="95"/>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8" w:hRule="exact"/>
        </w:trPr>
        <w:tc>
          <w:tcPr>
            <w:tcW w:w="1306"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发行股份购买</w:t>
            </w:r>
          </w:p>
        </w:tc>
      </w:tr>
      <w:tr>
        <w:trPr>
          <w:trHeight w:val="936"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7" w:right="0"/>
              <w:jc w:val="left"/>
              <w:rPr>
                <w:rFonts w:ascii="Times New Roman" w:hAnsi="Times New Roman" w:cs="Times New Roman" w:eastAsia="Times New Roman" w:hint="default"/>
                <w:sz w:val="18"/>
                <w:szCs w:val="18"/>
              </w:rPr>
            </w:pPr>
            <w:r>
              <w:rPr>
                <w:rFonts w:ascii="Times New Roman"/>
                <w:sz w:val="18"/>
              </w:rPr>
              <w:t>7,029.13</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17" w:right="0"/>
              <w:jc w:val="left"/>
              <w:rPr>
                <w:rFonts w:ascii="Times New Roman" w:hAnsi="Times New Roman" w:cs="Times New Roman" w:eastAsia="Times New Roman" w:hint="default"/>
                <w:sz w:val="18"/>
                <w:szCs w:val="18"/>
              </w:rPr>
            </w:pPr>
            <w:r>
              <w:rPr>
                <w:rFonts w:ascii="Times New Roman"/>
                <w:sz w:val="18"/>
              </w:rPr>
              <w:t>7,276.39</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资产并募集配 套资金暨关联 交易报告书</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（草案）</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146" w:firstLine="420"/>
        <w:jc w:val="left"/>
      </w:pPr>
      <w:r>
        <w:rPr/>
        <w:t>公司发行股份购买竹园国旅</w:t>
      </w:r>
      <w:r>
        <w:rPr>
          <w:rFonts w:ascii="Times New Roman" w:hAnsi="Times New Roman" w:cs="Times New Roman" w:eastAsia="Times New Roman" w:hint="default"/>
        </w:rPr>
        <w:t>70%</w:t>
      </w:r>
      <w:r>
        <w:rPr/>
        <w:t>股权的交易对方承诺竹园国旅</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年扣除非经常性 损益后归属于母公司股东的净利润将不低于人民币</w:t>
      </w:r>
      <w:r>
        <w:rPr>
          <w:rFonts w:ascii="Times New Roman" w:hAnsi="Times New Roman" w:cs="Times New Roman" w:eastAsia="Times New Roman" w:hint="default"/>
        </w:rPr>
        <w:t>5,650</w:t>
      </w:r>
      <w:r>
        <w:rPr/>
        <w:t>万元、</w:t>
      </w:r>
      <w:r>
        <w:rPr>
          <w:rFonts w:ascii="Times New Roman" w:hAnsi="Times New Roman" w:cs="Times New Roman" w:eastAsia="Times New Roman" w:hint="default"/>
        </w:rPr>
        <w:t>7,062</w:t>
      </w:r>
      <w:r>
        <w:rPr/>
        <w:t>万元和</w:t>
      </w:r>
      <w:r>
        <w:rPr>
          <w:rFonts w:ascii="Times New Roman" w:hAnsi="Times New Roman" w:cs="Times New Roman" w:eastAsia="Times New Roman" w:hint="default"/>
        </w:rPr>
        <w:t>8,828</w:t>
      </w:r>
      <w:r>
        <w:rPr/>
        <w:t>万元。</w:t>
      </w:r>
    </w:p>
    <w:p>
      <w:pPr>
        <w:spacing w:line="240" w:lineRule="auto" w:before="0"/>
        <w:rPr>
          <w:rFonts w:ascii="宋体" w:hAnsi="宋体" w:cs="宋体" w:eastAsia="宋体" w:hint="default"/>
          <w:sz w:val="18"/>
          <w:szCs w:val="18"/>
        </w:rPr>
      </w:pPr>
    </w:p>
    <w:p>
      <w:pPr>
        <w:pStyle w:val="Heading2"/>
        <w:spacing w:line="240" w:lineRule="auto"/>
        <w:ind w:right="148"/>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47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3"/>
        <w:rPr>
          <w:rFonts w:ascii="宋体" w:hAnsi="宋体" w:cs="宋体" w:eastAsia="宋体" w:hint="default"/>
          <w:sz w:val="19"/>
          <w:szCs w:val="19"/>
        </w:rPr>
      </w:pPr>
    </w:p>
    <w:p>
      <w:pPr>
        <w:pStyle w:val="Heading2"/>
        <w:spacing w:line="240" w:lineRule="auto"/>
        <w:ind w:right="148"/>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48"/>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7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报告期内，公司完成对竹园国旅、北京开元的非同一控制下企业合并，新设子公司</w:t>
      </w:r>
      <w:r>
        <w:rPr>
          <w:rFonts w:ascii="Times New Roman" w:hAnsi="Times New Roman" w:cs="Times New Roman" w:eastAsia="Times New Roman" w:hint="default"/>
          <w:sz w:val="18"/>
          <w:szCs w:val="18"/>
        </w:rPr>
        <w:t>11</w:t>
      </w:r>
      <w:r>
        <w:rPr>
          <w:rFonts w:ascii="宋体" w:hAnsi="宋体" w:cs="宋体" w:eastAsia="宋体" w:hint="default"/>
          <w:sz w:val="18"/>
          <w:szCs w:val="18"/>
        </w:rPr>
        <w:t>家。</w:t>
      </w:r>
    </w:p>
    <w:p>
      <w:pPr>
        <w:spacing w:after="0" w:line="338" w:lineRule="auto"/>
        <w:jc w:val="left"/>
        <w:rPr>
          <w:rFonts w:ascii="宋体" w:hAnsi="宋体" w:cs="宋体" w:eastAsia="宋体" w:hint="default"/>
          <w:sz w:val="18"/>
          <w:szCs w:val="18"/>
        </w:rPr>
        <w:sectPr>
          <w:headerReference w:type="default" r:id="rId16"/>
          <w:footerReference w:type="default" r:id="rId17"/>
          <w:pgSz w:w="11910" w:h="16840"/>
          <w:pgMar w:header="877" w:footer="982" w:top="1100" w:bottom="1180" w:left="980" w:right="980"/>
          <w:pgNumType w:start="59"/>
        </w:sectPr>
      </w:pPr>
    </w:p>
    <w:p>
      <w:pPr>
        <w:spacing w:line="240" w:lineRule="auto" w:before="9"/>
        <w:rPr>
          <w:rFonts w:ascii="宋体" w:hAnsi="宋体" w:cs="宋体" w:eastAsia="宋体" w:hint="default"/>
          <w:sz w:val="19"/>
          <w:szCs w:val="19"/>
        </w:rPr>
      </w:pPr>
    </w:p>
    <w:p>
      <w:pPr>
        <w:pStyle w:val="Heading2"/>
        <w:spacing w:line="240" w:lineRule="auto" w:before="26"/>
        <w:ind w:right="148"/>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戴亮、孙太宏</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19" w:lineRule="auto" w:before="40"/>
        <w:ind w:left="154" w:right="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年度至报告期，因公司发行股份购买竹园国旅</w:t>
      </w:r>
      <w:r>
        <w:rPr>
          <w:rFonts w:ascii="Times New Roman" w:hAnsi="Times New Roman" w:cs="Times New Roman" w:eastAsia="Times New Roman" w:hint="default"/>
          <w:spacing w:val="-1"/>
          <w:sz w:val="18"/>
          <w:szCs w:val="18"/>
        </w:rPr>
        <w:t>70%</w:t>
      </w:r>
      <w:r>
        <w:rPr>
          <w:rFonts w:ascii="宋体" w:hAnsi="宋体" w:cs="宋体" w:eastAsia="宋体" w:hint="default"/>
          <w:spacing w:val="-1"/>
          <w:sz w:val="18"/>
          <w:szCs w:val="18"/>
        </w:rPr>
        <w:t>的股权并募集配套资金事项，聘请华泰联合证券有限责任公司作为财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务顾问。</w:t>
      </w:r>
    </w:p>
    <w:p>
      <w:pPr>
        <w:spacing w:line="240" w:lineRule="auto" w:before="7"/>
        <w:rPr>
          <w:rFonts w:ascii="宋体" w:hAnsi="宋体" w:cs="宋体" w:eastAsia="宋体" w:hint="default"/>
          <w:sz w:val="20"/>
          <w:szCs w:val="20"/>
        </w:rPr>
      </w:pPr>
    </w:p>
    <w:p>
      <w:pPr>
        <w:pStyle w:val="Heading2"/>
        <w:spacing w:line="240" w:lineRule="auto"/>
        <w:ind w:right="148"/>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48"/>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148"/>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148"/>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634" w:right="0"/>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日公告了限制性股票激励计划，并经中国证监会的备案及公司股东大会审议，于</w:t>
      </w:r>
    </w:p>
    <w:p>
      <w:pPr>
        <w:pStyle w:val="BodyText"/>
        <w:spacing w:line="240" w:lineRule="auto" w:before="177"/>
        <w:ind w:right="14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月完成了首次授予。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日，公司第三届董事会第二十一次会议审议通过了《关于向激</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213" w:right="309"/>
        <w:jc w:val="left"/>
      </w:pPr>
      <w:r>
        <w:rPr>
          <w:spacing w:val="-1"/>
        </w:rPr>
        <w:t>励对象授予预留限制性股票相关事项的议案》，确定以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日为公司预留限制性股票的授予日向</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31"/>
        </w:rPr>
        <w:t> </w:t>
      </w:r>
      <w:r>
        <w:rPr/>
        <w:t>名激励对象授予</w:t>
      </w:r>
      <w:r>
        <w:rPr>
          <w:rFonts w:ascii="Times New Roman" w:hAnsi="Times New Roman" w:cs="Times New Roman" w:eastAsia="Times New Roman" w:hint="default"/>
        </w:rPr>
        <w:t>30</w:t>
      </w:r>
      <w:r>
        <w:rPr/>
        <w:t>万股限制性股票。预留限制性股票上市日期为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日。股份来源为公司向激励 对象发行新股。至此，公司限制性股票激励计划中的激励股份全部授予完成。具体请参见公司于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 </w:t>
      </w:r>
      <w:r>
        <w:rPr>
          <w:spacing w:val="-1"/>
        </w:rPr>
        <w:t>月</w:t>
      </w:r>
      <w:r>
        <w:rPr>
          <w:rFonts w:ascii="Times New Roman" w:hAnsi="Times New Roman" w:cs="Times New Roman" w:eastAsia="Times New Roman" w:hint="default"/>
          <w:spacing w:val="-1"/>
        </w:rPr>
        <w:t>25</w:t>
      </w:r>
      <w:r>
        <w:rPr>
          <w:spacing w:val="-1"/>
        </w:rPr>
        <w:t>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日在巨潮资讯网（</w:t>
      </w:r>
      <w:hyperlink r:id="rId13">
        <w:r>
          <w:rPr>
            <w:rFonts w:ascii="Times New Roman" w:hAnsi="Times New Roman" w:cs="Times New Roman" w:eastAsia="Times New Roman" w:hint="default"/>
            <w:spacing w:val="-1"/>
          </w:rPr>
          <w:t>http://www.cninfo.com.cn</w:t>
        </w:r>
      </w:hyperlink>
      <w:r>
        <w:rPr>
          <w:spacing w:val="-1"/>
        </w:rPr>
        <w:t>）上披露的《关于向激励对象授予预留限</w:t>
      </w:r>
      <w:r>
        <w:rPr>
          <w:spacing w:val="-88"/>
        </w:rPr>
        <w:t> </w:t>
      </w:r>
      <w:r>
        <w:rPr>
          <w:spacing w:val="-88"/>
        </w:rPr>
      </w:r>
      <w:r>
        <w:rPr/>
        <w:t>制性股票的公告》（</w:t>
      </w:r>
      <w:r>
        <w:rPr>
          <w:rFonts w:ascii="Times New Roman" w:hAnsi="Times New Roman" w:cs="Times New Roman" w:eastAsia="Times New Roman" w:hint="default"/>
        </w:rPr>
        <w:t>2015-059</w:t>
      </w:r>
      <w:r>
        <w:rPr/>
        <w:t>）及《关于预留限制性股票授予完成的公告》（</w:t>
      </w:r>
      <w:r>
        <w:rPr>
          <w:rFonts w:ascii="Times New Roman" w:hAnsi="Times New Roman" w:cs="Times New Roman" w:eastAsia="Times New Roman" w:hint="default"/>
        </w:rPr>
        <w:t>2015-068</w:t>
      </w:r>
      <w:r>
        <w:rPr/>
        <w:t>）。</w:t>
      </w:r>
    </w:p>
    <w:p>
      <w:pPr>
        <w:pStyle w:val="BodyText"/>
        <w:spacing w:line="391" w:lineRule="auto" w:before="35"/>
        <w:ind w:left="213"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日召开第三届董事会第三十二次会议和第三届监事会第十六次会议审议通过了《关于首 次授予的限制性股票第一期解锁条件成就的议案》，认为首次授予的限制性股票第一个解锁期解锁条件已 经成就，根据公司</w:t>
      </w:r>
      <w:r>
        <w:rPr>
          <w:rFonts w:ascii="Times New Roman" w:hAnsi="Times New Roman" w:cs="Times New Roman" w:eastAsia="Times New Roman" w:hint="default"/>
        </w:rPr>
        <w:t>2014</w:t>
      </w:r>
      <w:r>
        <w:rPr/>
        <w:t>年第五次临时股东大会的授权，同意按照激励计划的相关规定办理首次授予的限制 </w:t>
      </w:r>
      <w:r>
        <w:rPr>
          <w:spacing w:val="-3"/>
        </w:rPr>
        <w:t>性股票第一期解锁的相关事宜。具体请参见公司于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日在巨潮资讯网（</w:t>
      </w:r>
      <w:hyperlink r:id="rId13">
        <w:r>
          <w:rPr>
            <w:rFonts w:ascii="Times New Roman" w:hAnsi="Times New Roman" w:cs="Times New Roman" w:eastAsia="Times New Roman" w:hint="default"/>
            <w:spacing w:val="-3"/>
          </w:rPr>
          <w:t>http://www.cninfo.com.cn</w:t>
        </w:r>
      </w:hyperlink>
      <w:r>
        <w:rPr>
          <w:spacing w:val="-3"/>
        </w:rPr>
        <w:t>）</w:t>
      </w:r>
      <w:r>
        <w:rPr>
          <w:spacing w:val="-56"/>
        </w:rPr>
        <w:t> </w:t>
      </w:r>
      <w:r>
        <w:rPr/>
        <w:t>上披露的《关于股权激励计划第一期解锁限制性股票上市流通的提示性公告》。</w:t>
      </w:r>
    </w:p>
    <w:p>
      <w:pPr>
        <w:pStyle w:val="BodyText"/>
        <w:spacing w:line="386" w:lineRule="auto" w:before="61"/>
        <w:ind w:left="214" w:right="306" w:firstLine="419"/>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日公司第三届董事会第三十九次会议审议通过了《关于北京众信国际旅行社股份有限公 </w:t>
      </w:r>
      <w:r>
        <w:rPr>
          <w:spacing w:val="-1"/>
        </w:rPr>
        <w:t>司</w:t>
      </w:r>
      <w:r>
        <w:rPr>
          <w:rFonts w:ascii="Times New Roman" w:hAnsi="Times New Roman" w:cs="Times New Roman" w:eastAsia="Times New Roman" w:hint="default"/>
          <w:spacing w:val="-1"/>
        </w:rPr>
        <w:t>2016</w:t>
      </w:r>
      <w:r>
        <w:rPr>
          <w:spacing w:val="-1"/>
        </w:rPr>
        <w:t>年限制性股票激励计划（草案）</w:t>
      </w:r>
      <w:r>
        <w:rPr>
          <w:rFonts w:ascii="Times New Roman" w:hAnsi="Times New Roman" w:cs="Times New Roman" w:eastAsia="Times New Roman" w:hint="default"/>
          <w:spacing w:val="-1"/>
        </w:rPr>
        <w:t>&gt;</w:t>
      </w:r>
      <w:r>
        <w:rPr>
          <w:spacing w:val="-1"/>
        </w:rPr>
        <w:t>及其摘要的议案》，决议向激励对象授予</w:t>
      </w:r>
      <w:r>
        <w:rPr>
          <w:rFonts w:ascii="Times New Roman" w:hAnsi="Times New Roman" w:cs="Times New Roman" w:eastAsia="Times New Roman" w:hint="default"/>
          <w:spacing w:val="-1"/>
        </w:rPr>
        <w:t>500</w:t>
      </w:r>
      <w:r>
        <w:rPr>
          <w:spacing w:val="-1"/>
        </w:rPr>
        <w:t>万股限制性股票，授</w:t>
      </w:r>
      <w:r>
        <w:rPr>
          <w:spacing w:val="-101"/>
        </w:rPr>
        <w:t> </w:t>
      </w:r>
      <w:r>
        <w:rPr>
          <w:spacing w:val="-101"/>
        </w:rPr>
      </w:r>
      <w:r>
        <w:rPr/>
        <w:t>予价格为</w:t>
      </w:r>
      <w:r>
        <w:rPr>
          <w:rFonts w:ascii="Times New Roman" w:hAnsi="Times New Roman" w:cs="Times New Roman" w:eastAsia="Times New Roman" w:hint="default"/>
        </w:rPr>
        <w:t>23.34</w:t>
      </w:r>
      <w:r>
        <w:rPr/>
        <w:t>元</w:t>
      </w:r>
      <w:r>
        <w:rPr>
          <w:rFonts w:ascii="Times New Roman" w:hAnsi="Times New Roman" w:cs="Times New Roman" w:eastAsia="Times New Roman" w:hint="default"/>
        </w:rPr>
        <w:t>/</w:t>
      </w:r>
      <w:r>
        <w:rPr/>
        <w:t>股，其中首次授予</w:t>
      </w:r>
      <w:r>
        <w:rPr>
          <w:rFonts w:ascii="Times New Roman" w:hAnsi="Times New Roman" w:cs="Times New Roman" w:eastAsia="Times New Roman" w:hint="default"/>
        </w:rPr>
        <w:t>450</w:t>
      </w:r>
      <w:r>
        <w:rPr/>
        <w:t>万股，预留</w:t>
      </w:r>
      <w:r>
        <w:rPr>
          <w:rFonts w:ascii="Times New Roman" w:hAnsi="Times New Roman" w:cs="Times New Roman" w:eastAsia="Times New Roman" w:hint="default"/>
        </w:rPr>
        <w:t>50</w:t>
      </w:r>
      <w:r>
        <w:rPr/>
        <w:t>万股。本事项尚须提交公司股东大会审议通过。</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1"/>
          <w:szCs w:val="31"/>
        </w:rPr>
      </w:pPr>
    </w:p>
    <w:p>
      <w:pPr>
        <w:pStyle w:val="Heading2"/>
        <w:spacing w:line="240" w:lineRule="auto"/>
        <w:ind w:left="214" w:right="309"/>
        <w:jc w:val="left"/>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309"/>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214" w:right="48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left="214" w:right="309"/>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before="0"/>
        <w:ind w:left="214" w:right="3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32"/>
        <w:gridCol w:w="797"/>
        <w:gridCol w:w="485"/>
        <w:gridCol w:w="764"/>
        <w:gridCol w:w="1253"/>
        <w:gridCol w:w="1013"/>
        <w:gridCol w:w="1094"/>
        <w:gridCol w:w="1006"/>
        <w:gridCol w:w="520"/>
        <w:gridCol w:w="682"/>
        <w:gridCol w:w="686"/>
        <w:gridCol w:w="1123"/>
      </w:tblGrid>
      <w:tr>
        <w:trPr>
          <w:trHeight w:val="2586" w:hRule="exact"/>
        </w:trPr>
        <w:tc>
          <w:tcPr>
            <w:tcW w:w="43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21" w:right="119"/>
              <w:jc w:val="both"/>
              <w:rPr>
                <w:rFonts w:ascii="宋体" w:hAnsi="宋体" w:cs="宋体" w:eastAsia="宋体" w:hint="default"/>
                <w:sz w:val="18"/>
                <w:szCs w:val="18"/>
              </w:rPr>
            </w:pPr>
            <w:r>
              <w:rPr>
                <w:rFonts w:ascii="宋体" w:hAnsi="宋体" w:cs="宋体" w:eastAsia="宋体" w:hint="default"/>
                <w:sz w:val="18"/>
                <w:szCs w:val="18"/>
              </w:rPr>
              <w:t>关 联 方</w:t>
            </w:r>
          </w:p>
        </w:tc>
        <w:tc>
          <w:tcPr>
            <w:tcW w:w="79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303" w:right="12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48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46" w:right="146"/>
              <w:jc w:val="both"/>
              <w:rPr>
                <w:rFonts w:ascii="宋体" w:hAnsi="宋体" w:cs="宋体" w:eastAsia="宋体" w:hint="default"/>
                <w:sz w:val="18"/>
                <w:szCs w:val="18"/>
              </w:rPr>
            </w:pPr>
            <w:r>
              <w:rPr>
                <w:rFonts w:ascii="宋体" w:hAnsi="宋体" w:cs="宋体" w:eastAsia="宋体" w:hint="default"/>
                <w:sz w:val="18"/>
                <w:szCs w:val="18"/>
              </w:rPr>
              <w:t>关 联 交 易 类 型</w:t>
            </w:r>
          </w:p>
        </w:tc>
        <w:tc>
          <w:tcPr>
            <w:tcW w:w="76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05" w:right="10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25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351" w:right="169"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101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03" w:right="11" w:firstLine="38"/>
              <w:jc w:val="left"/>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3"/>
                <w:sz w:val="18"/>
                <w:szCs w:val="18"/>
              </w:rPr>
              <w:t>值（万元）</w:t>
            </w:r>
          </w:p>
        </w:tc>
        <w:tc>
          <w:tcPr>
            <w:tcW w:w="109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03" w:right="79" w:firstLine="79"/>
              <w:jc w:val="both"/>
              <w:rPr>
                <w:rFonts w:ascii="宋体" w:hAnsi="宋体" w:cs="宋体" w:eastAsia="宋体" w:hint="default"/>
                <w:sz w:val="18"/>
                <w:szCs w:val="18"/>
              </w:rPr>
            </w:pPr>
            <w:r>
              <w:rPr>
                <w:rFonts w:ascii="宋体" w:hAnsi="宋体" w:cs="宋体" w:eastAsia="宋体" w:hint="default"/>
                <w:sz w:val="18"/>
                <w:szCs w:val="18"/>
              </w:rPr>
              <w:t>转让资产 的评估价 值（万元）</w:t>
            </w:r>
          </w:p>
        </w:tc>
        <w:tc>
          <w:tcPr>
            <w:tcW w:w="100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2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64" w:right="163"/>
              <w:jc w:val="both"/>
              <w:rPr>
                <w:rFonts w:ascii="宋体" w:hAnsi="宋体" w:cs="宋体" w:eastAsia="宋体" w:hint="default"/>
                <w:sz w:val="18"/>
                <w:szCs w:val="18"/>
              </w:rPr>
            </w:pPr>
            <w:r>
              <w:rPr>
                <w:rFonts w:ascii="宋体" w:hAnsi="宋体" w:cs="宋体" w:eastAsia="宋体" w:hint="default"/>
                <w:sz w:val="18"/>
                <w:szCs w:val="18"/>
              </w:rPr>
              <w:t>关 联 交 易 结 算 方 式</w:t>
            </w:r>
          </w:p>
        </w:tc>
        <w:tc>
          <w:tcPr>
            <w:tcW w:w="6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55" w:right="155"/>
              <w:jc w:val="left"/>
              <w:rPr>
                <w:rFonts w:ascii="宋体" w:hAnsi="宋体" w:cs="宋体" w:eastAsia="宋体" w:hint="default"/>
                <w:sz w:val="18"/>
                <w:szCs w:val="18"/>
              </w:rPr>
            </w:pPr>
            <w:r>
              <w:rPr>
                <w:rFonts w:ascii="宋体" w:hAnsi="宋体" w:cs="宋体" w:eastAsia="宋体" w:hint="default"/>
                <w:sz w:val="18"/>
                <w:szCs w:val="18"/>
              </w:rPr>
              <w:t>交易 损益</w:t>
            </w:r>
          </w:p>
          <w:p>
            <w:pPr>
              <w:pStyle w:val="TableParagraph"/>
              <w:spacing w:line="319" w:lineRule="auto" w:before="19"/>
              <w:ind w:left="155" w:right="155"/>
              <w:jc w:val="left"/>
              <w:rPr>
                <w:rFonts w:ascii="宋体" w:hAnsi="宋体" w:cs="宋体" w:eastAsia="宋体" w:hint="default"/>
                <w:sz w:val="18"/>
                <w:szCs w:val="18"/>
              </w:rPr>
            </w:pPr>
            <w:r>
              <w:rPr>
                <w:rFonts w:ascii="宋体" w:hAnsi="宋体" w:cs="宋体" w:eastAsia="宋体" w:hint="default"/>
                <w:sz w:val="18"/>
                <w:szCs w:val="18"/>
              </w:rPr>
              <w:t>（万 元）</w:t>
            </w:r>
          </w:p>
        </w:tc>
        <w:tc>
          <w:tcPr>
            <w:tcW w:w="68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1"/>
              <w:ind w:left="158" w:right="15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12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7"/>
              <w:jc w:val="both"/>
              <w:rPr>
                <w:rFonts w:ascii="宋体" w:hAnsi="宋体" w:cs="宋体" w:eastAsia="宋体" w:hint="default"/>
                <w:sz w:val="18"/>
                <w:szCs w:val="18"/>
              </w:rPr>
            </w:pPr>
            <w:r>
              <w:rPr>
                <w:rFonts w:ascii="宋体" w:hAnsi="宋体" w:cs="宋体" w:eastAsia="宋体" w:hint="default"/>
                <w:sz w:val="18"/>
                <w:szCs w:val="18"/>
              </w:rPr>
              <w:t>郭 洪 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直接持 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1"/>
              <w:jc w:val="both"/>
              <w:rPr>
                <w:rFonts w:ascii="宋体" w:hAnsi="宋体" w:cs="宋体" w:eastAsia="宋体" w:hint="default"/>
                <w:sz w:val="18"/>
                <w:szCs w:val="18"/>
              </w:rPr>
            </w:pPr>
            <w:r>
              <w:rPr>
                <w:rFonts w:ascii="宋体" w:hAnsi="宋体" w:cs="宋体" w:eastAsia="宋体" w:hint="default"/>
                <w:sz w:val="18"/>
                <w:szCs w:val="18"/>
              </w:rPr>
              <w:t>股 权 置 换</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10"/>
              <w:jc w:val="both"/>
              <w:rPr>
                <w:rFonts w:ascii="宋体" w:hAnsi="宋体" w:cs="宋体" w:eastAsia="宋体" w:hint="default"/>
                <w:sz w:val="18"/>
                <w:szCs w:val="18"/>
              </w:rPr>
            </w:pPr>
            <w:r>
              <w:rPr>
                <w:rFonts w:ascii="宋体" w:hAnsi="宋体" w:cs="宋体" w:eastAsia="宋体" w:hint="default"/>
                <w:sz w:val="18"/>
                <w:szCs w:val="18"/>
              </w:rPr>
              <w:t>以自身 持有的 竹园国 旅的股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9"/>
              <w:jc w:val="left"/>
              <w:rPr>
                <w:rFonts w:ascii="宋体" w:hAnsi="宋体" w:cs="宋体" w:eastAsia="宋体" w:hint="default"/>
                <w:sz w:val="18"/>
                <w:szCs w:val="18"/>
              </w:rPr>
            </w:pPr>
            <w:r>
              <w:rPr>
                <w:rFonts w:ascii="宋体" w:hAnsi="宋体" w:cs="宋体" w:eastAsia="宋体" w:hint="default"/>
                <w:sz w:val="18"/>
                <w:szCs w:val="18"/>
              </w:rPr>
              <w:t>资产定价按 收益法评估 后协商定价、 公司股票按</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4,535.81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49,246.87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49,246.87</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4"/>
              <w:jc w:val="both"/>
              <w:rPr>
                <w:rFonts w:ascii="宋体" w:hAnsi="宋体" w:cs="宋体" w:eastAsia="宋体" w:hint="default"/>
                <w:sz w:val="18"/>
                <w:szCs w:val="18"/>
              </w:rPr>
            </w:pPr>
            <w:r>
              <w:rPr>
                <w:rFonts w:ascii="宋体" w:hAnsi="宋体" w:cs="宋体" w:eastAsia="宋体" w:hint="default"/>
                <w:sz w:val="18"/>
                <w:szCs w:val="18"/>
              </w:rPr>
              <w:t>支 付 股 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《发行股份 购买资产并 募集配套资 金暨关联交</w:t>
            </w:r>
          </w:p>
        </w:tc>
      </w:tr>
    </w:tbl>
    <w:p>
      <w:pPr>
        <w:spacing w:after="0" w:line="316" w:lineRule="auto"/>
        <w:jc w:val="both"/>
        <w:rPr>
          <w:rFonts w:ascii="宋体" w:hAnsi="宋体" w:cs="宋体" w:eastAsia="宋体" w:hint="default"/>
          <w:sz w:val="18"/>
          <w:szCs w:val="18"/>
        </w:rPr>
        <w:sectPr>
          <w:pgSz w:w="11910" w:h="16840"/>
          <w:pgMar w:header="877" w:footer="982" w:top="1100" w:bottom="1180" w:left="920" w:right="82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32"/>
        <w:gridCol w:w="797"/>
        <w:gridCol w:w="485"/>
        <w:gridCol w:w="764"/>
        <w:gridCol w:w="1253"/>
        <w:gridCol w:w="1013"/>
        <w:gridCol w:w="1094"/>
        <w:gridCol w:w="1006"/>
        <w:gridCol w:w="520"/>
        <w:gridCol w:w="682"/>
        <w:gridCol w:w="686"/>
        <w:gridCol w:w="1123"/>
      </w:tblGrid>
      <w:tr>
        <w:trPr>
          <w:trHeight w:val="1298" w:hRule="exact"/>
        </w:trPr>
        <w:tc>
          <w:tcPr>
            <w:tcW w:w="4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的股东</w:t>
            </w:r>
          </w:p>
        </w:tc>
        <w:tc>
          <w:tcPr>
            <w:tcW w:w="485"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110"/>
              <w:jc w:val="both"/>
              <w:rPr>
                <w:rFonts w:ascii="宋体" w:hAnsi="宋体" w:cs="宋体" w:eastAsia="宋体" w:hint="default"/>
                <w:sz w:val="18"/>
                <w:szCs w:val="18"/>
              </w:rPr>
            </w:pPr>
            <w:r>
              <w:rPr>
                <w:rFonts w:ascii="宋体" w:hAnsi="宋体" w:cs="宋体" w:eastAsia="宋体" w:hint="default"/>
                <w:sz w:val="18"/>
                <w:szCs w:val="18"/>
              </w:rPr>
              <w:t>权置换 上市公 司的股 票</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49"/>
              <w:jc w:val="left"/>
              <w:rPr>
                <w:rFonts w:ascii="宋体" w:hAnsi="宋体" w:cs="宋体" w:eastAsia="宋体" w:hint="default"/>
                <w:sz w:val="18"/>
                <w:szCs w:val="18"/>
              </w:rPr>
            </w:pPr>
            <w:r>
              <w:rPr>
                <w:rFonts w:ascii="宋体" w:hAnsi="宋体" w:cs="宋体" w:eastAsia="宋体" w:hint="default"/>
                <w:sz w:val="18"/>
                <w:szCs w:val="18"/>
              </w:rPr>
              <w:t>定价基准日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日公司股权 均价定价</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易报告书</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962"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冯 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实际控 制人， 董事长 兼总经 理</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1"/>
              <w:jc w:val="both"/>
              <w:rPr>
                <w:rFonts w:ascii="宋体" w:hAnsi="宋体" w:cs="宋体" w:eastAsia="宋体" w:hint="default"/>
                <w:sz w:val="18"/>
                <w:szCs w:val="18"/>
              </w:rPr>
            </w:pPr>
            <w:r>
              <w:rPr>
                <w:rFonts w:ascii="宋体" w:hAnsi="宋体" w:cs="宋体" w:eastAsia="宋体" w:hint="default"/>
                <w:sz w:val="18"/>
                <w:szCs w:val="18"/>
              </w:rPr>
              <w:t>认 购 股 份</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10"/>
              <w:jc w:val="both"/>
              <w:rPr>
                <w:rFonts w:ascii="宋体" w:hAnsi="宋体" w:cs="宋体" w:eastAsia="宋体" w:hint="default"/>
                <w:sz w:val="18"/>
                <w:szCs w:val="18"/>
              </w:rPr>
            </w:pPr>
            <w:r>
              <w:rPr>
                <w:rFonts w:ascii="宋体" w:hAnsi="宋体" w:cs="宋体" w:eastAsia="宋体" w:hint="default"/>
                <w:sz w:val="18"/>
                <w:szCs w:val="18"/>
              </w:rPr>
              <w:t>认购公 司配套 融资股 份</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定价基准日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日公司股权 均价</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4,400.01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4,400.01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4,400.01</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4"/>
              <w:jc w:val="left"/>
              <w:rPr>
                <w:rFonts w:ascii="宋体" w:hAnsi="宋体" w:cs="宋体" w:eastAsia="宋体" w:hint="default"/>
                <w:sz w:val="18"/>
                <w:szCs w:val="18"/>
              </w:rPr>
            </w:pPr>
            <w:r>
              <w:rPr>
                <w:rFonts w:ascii="宋体" w:hAnsi="宋体" w:cs="宋体" w:eastAsia="宋体" w:hint="default"/>
                <w:sz w:val="18"/>
                <w:szCs w:val="18"/>
              </w:rPr>
              <w:t>现 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8"/>
              <w:jc w:val="both"/>
              <w:rPr>
                <w:rFonts w:ascii="宋体" w:hAnsi="宋体" w:cs="宋体" w:eastAsia="宋体" w:hint="default"/>
                <w:sz w:val="18"/>
                <w:szCs w:val="18"/>
              </w:rPr>
            </w:pPr>
            <w:r>
              <w:rPr>
                <w:rFonts w:ascii="宋体" w:hAnsi="宋体" w:cs="宋体" w:eastAsia="宋体" w:hint="default"/>
                <w:sz w:val="18"/>
                <w:szCs w:val="18"/>
              </w:rPr>
              <w:t>《发行股份 购买资产并 募集配套资 金暨关联交 易报告书</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962" w:hRule="exact"/>
        </w:trPr>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白 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1"/>
              <w:jc w:val="both"/>
              <w:rPr>
                <w:rFonts w:ascii="宋体" w:hAnsi="宋体" w:cs="宋体" w:eastAsia="宋体" w:hint="default"/>
                <w:sz w:val="18"/>
                <w:szCs w:val="18"/>
              </w:rPr>
            </w:pPr>
            <w:r>
              <w:rPr>
                <w:rFonts w:ascii="宋体" w:hAnsi="宋体" w:cs="宋体" w:eastAsia="宋体" w:hint="default"/>
                <w:sz w:val="18"/>
                <w:szCs w:val="18"/>
              </w:rPr>
              <w:t>认 购 股 份</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10"/>
              <w:jc w:val="both"/>
              <w:rPr>
                <w:rFonts w:ascii="宋体" w:hAnsi="宋体" w:cs="宋体" w:eastAsia="宋体" w:hint="default"/>
                <w:sz w:val="18"/>
                <w:szCs w:val="18"/>
              </w:rPr>
            </w:pPr>
            <w:r>
              <w:rPr>
                <w:rFonts w:ascii="宋体" w:hAnsi="宋体" w:cs="宋体" w:eastAsia="宋体" w:hint="default"/>
                <w:sz w:val="18"/>
                <w:szCs w:val="18"/>
              </w:rPr>
              <w:t>认购公 司配套 融资股 份</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定价基准日 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日公司股权 均价</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4"/>
              <w:jc w:val="left"/>
              <w:rPr>
                <w:rFonts w:ascii="宋体" w:hAnsi="宋体" w:cs="宋体" w:eastAsia="宋体" w:hint="default"/>
                <w:sz w:val="18"/>
                <w:szCs w:val="18"/>
              </w:rPr>
            </w:pPr>
            <w:r>
              <w:rPr>
                <w:rFonts w:ascii="宋体" w:hAnsi="宋体" w:cs="宋体" w:eastAsia="宋体" w:hint="default"/>
                <w:sz w:val="18"/>
                <w:szCs w:val="18"/>
              </w:rPr>
              <w:t>现 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8"/>
              <w:jc w:val="both"/>
              <w:rPr>
                <w:rFonts w:ascii="宋体" w:hAnsi="宋体" w:cs="宋体" w:eastAsia="宋体" w:hint="default"/>
                <w:sz w:val="18"/>
                <w:szCs w:val="18"/>
              </w:rPr>
            </w:pPr>
            <w:r>
              <w:rPr>
                <w:rFonts w:ascii="宋体" w:hAnsi="宋体" w:cs="宋体" w:eastAsia="宋体" w:hint="default"/>
                <w:sz w:val="18"/>
                <w:szCs w:val="18"/>
              </w:rPr>
              <w:t>《发行股份 购买资产并 募集配套资 金暨关联交 易报告书</w:t>
            </w:r>
          </w:p>
          <w:p>
            <w:pPr>
              <w:pStyle w:val="TableParagraph"/>
              <w:spacing w:line="240" w:lineRule="auto" w:before="20"/>
              <w:ind w:left="103"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24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转让价格与账面价值或评估 价值差异较大的原因（如有）</w:t>
            </w:r>
          </w:p>
        </w:tc>
        <w:tc>
          <w:tcPr>
            <w:tcW w:w="73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3"/>
              <w:jc w:val="left"/>
              <w:rPr>
                <w:rFonts w:ascii="宋体" w:hAnsi="宋体" w:cs="宋体" w:eastAsia="宋体" w:hint="default"/>
                <w:sz w:val="18"/>
                <w:szCs w:val="18"/>
              </w:rPr>
            </w:pPr>
            <w:r>
              <w:rPr>
                <w:rFonts w:ascii="宋体" w:hAnsi="宋体" w:cs="宋体" w:eastAsia="宋体" w:hint="default"/>
                <w:sz w:val="18"/>
                <w:szCs w:val="18"/>
              </w:rPr>
              <w:t>对公司经营成果与财务状况 的影响情况</w:t>
            </w:r>
          </w:p>
        </w:tc>
        <w:tc>
          <w:tcPr>
            <w:tcW w:w="73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此次交易使得公司报告期营业收入规模与资产规模均有较大增长</w:t>
            </w:r>
          </w:p>
        </w:tc>
      </w:tr>
      <w:tr>
        <w:trPr>
          <w:trHeight w:val="714" w:hRule="exact"/>
        </w:trPr>
        <w:tc>
          <w:tcPr>
            <w:tcW w:w="247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如相关交易涉及业绩约定的， 报告期内的业绩实现情况</w:t>
            </w:r>
          </w:p>
        </w:tc>
        <w:tc>
          <w:tcPr>
            <w:tcW w:w="737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已实现</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1076"/>
        <w:gridCol w:w="1073"/>
        <w:gridCol w:w="1076"/>
        <w:gridCol w:w="1224"/>
        <w:gridCol w:w="1080"/>
        <w:gridCol w:w="1350"/>
        <w:gridCol w:w="1346"/>
        <w:gridCol w:w="1342"/>
      </w:tblGrid>
      <w:tr>
        <w:trPr>
          <w:trHeight w:val="713" w:hRule="exact"/>
        </w:trPr>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8" w:right="36" w:hanging="90"/>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362" w:hRule="exact"/>
        </w:trPr>
        <w:tc>
          <w:tcPr>
            <w:tcW w:w="1076"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41,424.2424</w:t>
            </w:r>
          </w:p>
        </w:tc>
        <w:tc>
          <w:tcPr>
            <w:tcW w:w="1350"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076"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万元（截止</w:t>
            </w:r>
          </w:p>
        </w:tc>
        <w:tc>
          <w:tcPr>
            <w:tcW w:w="1350"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43"/>
              <w:jc w:val="left"/>
              <w:rPr>
                <w:rFonts w:ascii="宋体" w:hAnsi="宋体" w:cs="宋体" w:eastAsia="宋体" w:hint="default"/>
                <w:sz w:val="18"/>
                <w:szCs w:val="18"/>
              </w:rPr>
            </w:pPr>
            <w:r>
              <w:rPr>
                <w:rFonts w:ascii="宋体" w:hAnsi="宋体" w:cs="宋体" w:eastAsia="宋体" w:hint="default"/>
                <w:sz w:val="18"/>
                <w:szCs w:val="18"/>
              </w:rPr>
              <w:t>北京创新工 场</w:t>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年末认 缴资本总额</w:t>
            </w:r>
          </w:p>
        </w:tc>
        <w:tc>
          <w:tcPr>
            <w:tcW w:w="13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52,033.0</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49,883.1</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20,291.2</w:t>
            </w:r>
          </w:p>
        </w:tc>
      </w:tr>
      <w:tr>
        <w:trPr>
          <w:trHeight w:val="312" w:hRule="exact"/>
        </w:trPr>
        <w:tc>
          <w:tcPr>
            <w:tcW w:w="1076" w:type="dxa"/>
            <w:tcBorders>
              <w:top w:val="nil" w:sz="6" w:space="0" w:color="auto"/>
              <w:left w:val="single" w:sz="4" w:space="0" w:color="000000"/>
              <w:bottom w:val="nil" w:sz="6" w:space="0" w:color="auto"/>
              <w:right w:val="single" w:sz="4" w:space="0" w:color="000000"/>
            </w:tcBorders>
          </w:tcPr>
          <w:p>
            <w:pPr/>
          </w:p>
        </w:tc>
        <w:tc>
          <w:tcPr>
            <w:tcW w:w="1073"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c>
          <w:tcPr>
            <w:tcW w:w="1224"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98,639.6970</w:t>
            </w:r>
          </w:p>
        </w:tc>
        <w:tc>
          <w:tcPr>
            <w:tcW w:w="1350"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76"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50"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21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38" w:lineRule="auto" w:before="0"/>
        <w:ind w:left="214" w:right="6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before="42"/>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20" w:right="900"/>
        </w:sectPr>
      </w:pPr>
    </w:p>
    <w:p>
      <w:pPr>
        <w:spacing w:line="240" w:lineRule="auto" w:before="13"/>
        <w:rPr>
          <w:rFonts w:ascii="宋体" w:hAnsi="宋体" w:cs="宋体" w:eastAsia="宋体" w:hint="default"/>
          <w:sz w:val="21"/>
          <w:szCs w:val="21"/>
        </w:rPr>
      </w:pPr>
    </w:p>
    <w:p>
      <w:pPr>
        <w:spacing w:before="44"/>
        <w:ind w:left="153" w:right="148" w:firstLine="0"/>
        <w:jc w:val="left"/>
        <w:rPr>
          <w:rFonts w:ascii="宋体" w:hAnsi="宋体" w:cs="宋体" w:eastAsia="宋体" w:hint="default"/>
          <w:sz w:val="18"/>
          <w:szCs w:val="18"/>
        </w:rPr>
      </w:pPr>
      <w:r>
        <w:rPr>
          <w:rFonts w:ascii="宋体" w:hAnsi="宋体" w:cs="宋体" w:eastAsia="宋体" w:hint="default"/>
          <w:sz w:val="18"/>
          <w:szCs w:val="18"/>
        </w:rPr>
        <w:t>公司报告期不存在非经营性关联债权债务往来。</w:t>
      </w:r>
    </w:p>
    <w:p>
      <w:pPr>
        <w:spacing w:line="240" w:lineRule="auto" w:before="10"/>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48"/>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14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24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18.200005pt;margin-top:293.279999pt;width:69.850pt;height:50.85pt;mso-position-horizontal-relative:page;mso-position-vertical-relative:page;z-index:-966664" type="#_x0000_t202" filled="false" stroked="false">
            <v:textbox inset="0,0,0,0">
              <w:txbxContent>
                <w:p>
                  <w:pPr>
                    <w:spacing w:line="316" w:lineRule="auto" w:before="51"/>
                    <w:ind w:left="0" w:right="854" w:firstLine="0"/>
                    <w:jc w:val="left"/>
                    <w:rPr>
                      <w:rFonts w:ascii="宋体" w:hAnsi="宋体" w:cs="宋体" w:eastAsia="宋体" w:hint="default"/>
                      <w:sz w:val="18"/>
                      <w:szCs w:val="18"/>
                    </w:rPr>
                  </w:pPr>
                  <w:r>
                    <w:rPr>
                      <w:rFonts w:ascii="宋体" w:hAnsi="宋体" w:cs="宋体" w:eastAsia="宋体" w:hint="default"/>
                      <w:sz w:val="18"/>
                      <w:szCs w:val="18"/>
                    </w:rPr>
                    <w:t>商务、 众信、</w:t>
                  </w:r>
                </w:p>
              </w:txbxContent>
            </v:textbox>
            <w10:wrap type="none"/>
          </v:shape>
        </w:pict>
      </w:r>
      <w:r>
        <w:rPr/>
        <w:pict>
          <v:group style="position:absolute;margin-left:142.380005pt;margin-top:293.279999pt;width:45.7pt;height:50.85pt;mso-position-horizontal-relative:page;mso-position-vertical-relative:page;z-index:-966640" coordorigin="2848,5866" coordsize="914,1017">
            <v:group style="position:absolute;left:2848;top:5866;width:914;height:1017" coordorigin="2848,5866" coordsize="914,1017">
              <v:shape style="position:absolute;left:2848;top:5866;width:914;height:1017" coordorigin="2848,5866" coordsize="914,1017" path="m2848,6882l3761,6882,3761,5866,2848,5866,2848,6882xe" filled="true" fillcolor="#ffffff" stroked="false">
                <v:path arrowok="t"/>
                <v:fill type="solid"/>
              </v:shape>
            </v:group>
            <v:group style="position:absolute;left:2870;top:6022;width:868;height:353" coordorigin="2870,6022" coordsize="868,353">
              <v:shape style="position:absolute;left:2870;top:6022;width:868;height:353" coordorigin="2870,6022" coordsize="868,353" path="m2870,6374l3738,6374,3738,6022,2870,6022,2870,6374xe" filled="true" fillcolor="#ffffff" stroked="false">
                <v:path arrowok="t"/>
                <v:fill type="solid"/>
              </v:shape>
            </v:group>
            <v:group style="position:absolute;left:2870;top:6374;width:868;height:352" coordorigin="2870,6374" coordsize="868,352">
              <v:shape style="position:absolute;left:2870;top:6374;width:868;height:352" coordorigin="2870,6374" coordsize="868,352" path="m2870,6726l3738,6726,3738,6374,2870,6374,2870,672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1"/>
        <w:gridCol w:w="1057"/>
        <w:gridCol w:w="1044"/>
        <w:gridCol w:w="1045"/>
        <w:gridCol w:w="791"/>
        <w:gridCol w:w="785"/>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日至长期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0"/>
              <w:jc w:val="both"/>
              <w:rPr>
                <w:rFonts w:ascii="宋体" w:hAnsi="宋体" w:cs="宋体" w:eastAsia="宋体" w:hint="default"/>
                <w:sz w:val="18"/>
                <w:szCs w:val="18"/>
              </w:rPr>
            </w:pPr>
            <w:r>
              <w:rPr>
                <w:rFonts w:ascii="宋体" w:hAnsi="宋体" w:cs="宋体" w:eastAsia="宋体" w:hint="default"/>
                <w:spacing w:val="-9"/>
                <w:sz w:val="18"/>
                <w:szCs w:val="18"/>
              </w:rPr>
              <w:t>上海众信、众信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优拓航服、香港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竹园国旅</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240,000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245,820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254,120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8" w:right="7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245,820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254,120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2,820</w:t>
            </w:r>
          </w:p>
        </w:tc>
      </w:tr>
      <w:tr>
        <w:trPr>
          <w:trHeight w:val="402" w:hRule="exact"/>
        </w:trPr>
        <w:tc>
          <w:tcPr>
            <w:tcW w:w="4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4" w:hRule="exact"/>
        </w:trPr>
        <w:tc>
          <w:tcPr>
            <w:tcW w:w="4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1"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1,120</w:t>
            </w:r>
          </w:p>
        </w:tc>
      </w:tr>
      <w:tr>
        <w:trPr>
          <w:trHeight w:val="402" w:hRule="exact"/>
        </w:trPr>
        <w:tc>
          <w:tcPr>
            <w:tcW w:w="4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1,120</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4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64"/>
        <w:gridCol w:w="982"/>
        <w:gridCol w:w="852"/>
        <w:gridCol w:w="868"/>
        <w:gridCol w:w="869"/>
        <w:gridCol w:w="869"/>
        <w:gridCol w:w="869"/>
        <w:gridCol w:w="868"/>
        <w:gridCol w:w="869"/>
        <w:gridCol w:w="792"/>
      </w:tblGrid>
      <w:tr>
        <w:trPr>
          <w:trHeight w:val="1026"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0"/>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7"/>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8"/>
              <w:jc w:val="center"/>
              <w:rPr>
                <w:rFonts w:ascii="宋体" w:hAnsi="宋体" w:cs="宋体" w:eastAsia="宋体" w:hint="default"/>
                <w:sz w:val="18"/>
                <w:szCs w:val="18"/>
              </w:rPr>
            </w:pPr>
            <w:r>
              <w:rPr>
                <w:rFonts w:ascii="宋体" w:hAnsi="宋体" w:cs="宋体" w:eastAsia="宋体" w:hint="default"/>
                <w:sz w:val="18"/>
                <w:szCs w:val="18"/>
              </w:rPr>
              <w:t>悠哉网络</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6.20%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全部收回</w:t>
            </w:r>
          </w:p>
        </w:tc>
      </w:tr>
      <w:tr>
        <w:trPr>
          <w:trHeight w:val="402" w:hRule="exact"/>
        </w:trPr>
        <w:tc>
          <w:tcPr>
            <w:tcW w:w="1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372</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委托贷款资金来源</w:t>
            </w:r>
          </w:p>
        </w:tc>
        <w:tc>
          <w:tcPr>
            <w:tcW w:w="60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0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0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60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60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未来是否还有委托贷款计划</w:t>
            </w:r>
          </w:p>
        </w:tc>
        <w:tc>
          <w:tcPr>
            <w:tcW w:w="600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48"/>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line="463" w:lineRule="auto" w:before="0"/>
        <w:ind w:left="154" w:right="149" w:firstLine="316"/>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日公司第三届董事会第三十八次会议审议通过了《关于本次发行股份及支付现金购买资产并募集配 套资金暨关联交易的方案的议案》，公司通过发行股份及支付现金的方式购买华远国旅现有全体股东合计持有的华远国旅</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的股权。其中以发行股份的方式购买郭东杰、何勇、谭志斌、曾勤、周长洪、陈自富、上海携程国际旅行社有限公司、</w:t>
      </w:r>
    </w:p>
    <w:p>
      <w:pPr>
        <w:spacing w:after="0" w:line="463"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7"/>
          <w:szCs w:val="27"/>
        </w:rPr>
      </w:pPr>
    </w:p>
    <w:p>
      <w:pPr>
        <w:spacing w:line="463" w:lineRule="auto" w:before="44"/>
        <w:ind w:left="153" w:right="191" w:firstLine="0"/>
        <w:jc w:val="both"/>
        <w:rPr>
          <w:rFonts w:ascii="宋体" w:hAnsi="宋体" w:cs="宋体" w:eastAsia="宋体" w:hint="default"/>
          <w:sz w:val="18"/>
          <w:szCs w:val="18"/>
        </w:rPr>
      </w:pPr>
      <w:r>
        <w:rPr>
          <w:rFonts w:ascii="宋体" w:hAnsi="宋体" w:cs="宋体" w:eastAsia="宋体" w:hint="default"/>
          <w:spacing w:val="-5"/>
          <w:sz w:val="18"/>
          <w:szCs w:val="18"/>
        </w:rPr>
        <w:t>中信夹层（上海）投资中心（有限合伙）、天津湘华资产管理中心（有限合伙）、天津翔龙一号资产管理中心（有限合伙）、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天津翔龙二号资产管理中心（有限合伙）合计所持华远国旅</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90.3846%</w:t>
      </w:r>
      <w:r>
        <w:rPr>
          <w:rFonts w:ascii="宋体" w:hAnsi="宋体" w:cs="宋体" w:eastAsia="宋体" w:hint="default"/>
          <w:spacing w:val="-5"/>
          <w:sz w:val="18"/>
          <w:szCs w:val="18"/>
        </w:rPr>
        <w:t>股权，发行价格为：</w:t>
      </w:r>
      <w:r>
        <w:rPr>
          <w:rFonts w:ascii="Times New Roman" w:hAnsi="Times New Roman" w:cs="Times New Roman" w:eastAsia="Times New Roman" w:hint="default"/>
          <w:spacing w:val="-5"/>
          <w:sz w:val="18"/>
          <w:szCs w:val="18"/>
        </w:rPr>
        <w:t>35.82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股，股份对价为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65,605,802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股；以支付现金方式的收购中信夹层持有的华远国旅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9.6154%</w:t>
      </w:r>
      <w:r>
        <w:rPr>
          <w:rFonts w:ascii="宋体" w:hAnsi="宋体" w:cs="宋体" w:eastAsia="宋体" w:hint="default"/>
          <w:sz w:val="18"/>
          <w:szCs w:val="18"/>
        </w:rPr>
        <w:t>的股权，现金对价为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451" w:lineRule="auto" w:before="33"/>
        <w:ind w:left="154" w:right="100" w:firstLine="360"/>
        <w:jc w:val="both"/>
        <w:rPr>
          <w:rFonts w:ascii="宋体" w:hAnsi="宋体" w:cs="宋体" w:eastAsia="宋体" w:hint="default"/>
          <w:sz w:val="18"/>
          <w:szCs w:val="18"/>
        </w:rPr>
      </w:pPr>
      <w:r>
        <w:rPr>
          <w:rFonts w:ascii="宋体" w:hAnsi="宋体" w:cs="宋体" w:eastAsia="宋体" w:hint="default"/>
          <w:sz w:val="18"/>
          <w:szCs w:val="18"/>
        </w:rPr>
        <w:t>公司在本次收购同时，拟向不超过</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名特定对象非公开发行股份募集配套资金人民币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万元（不超过本次交易 拟购买标的股权交易价格的</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）。发行价格为：不低于</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42.01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股。本次收购的实施不以本次配套融资的实施为前提。</w:t>
      </w:r>
    </w:p>
    <w:p>
      <w:pPr>
        <w:spacing w:before="43"/>
        <w:ind w:left="470" w:right="0" w:firstLine="0"/>
        <w:jc w:val="left"/>
        <w:rPr>
          <w:rFonts w:ascii="宋体" w:hAnsi="宋体" w:cs="宋体" w:eastAsia="宋体" w:hint="default"/>
          <w:sz w:val="18"/>
          <w:szCs w:val="18"/>
        </w:rPr>
      </w:pPr>
      <w:r>
        <w:rPr>
          <w:rFonts w:ascii="宋体" w:hAnsi="宋体" w:cs="宋体" w:eastAsia="宋体" w:hint="default"/>
          <w:sz w:val="18"/>
          <w:szCs w:val="18"/>
        </w:rPr>
        <w:t>根据中联资产评估集团有限公司出具的中联评报字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号《北京众信国际旅行社股份有限公司拟购买北京市华</w:t>
      </w:r>
    </w:p>
    <w:p>
      <w:pPr>
        <w:spacing w:line="240" w:lineRule="auto" w:before="9"/>
        <w:rPr>
          <w:rFonts w:ascii="宋体" w:hAnsi="宋体" w:cs="宋体" w:eastAsia="宋体" w:hint="default"/>
          <w:sz w:val="16"/>
          <w:szCs w:val="16"/>
        </w:rPr>
      </w:pPr>
    </w:p>
    <w:p>
      <w:pPr>
        <w:spacing w:line="451" w:lineRule="auto" w:before="0"/>
        <w:ind w:left="153" w:right="191" w:firstLine="0"/>
        <w:jc w:val="both"/>
        <w:rPr>
          <w:rFonts w:ascii="宋体" w:hAnsi="宋体" w:cs="宋体" w:eastAsia="宋体" w:hint="default"/>
          <w:sz w:val="18"/>
          <w:szCs w:val="18"/>
        </w:rPr>
      </w:pPr>
      <w:r>
        <w:rPr>
          <w:rFonts w:ascii="宋体" w:hAnsi="宋体" w:cs="宋体" w:eastAsia="宋体" w:hint="default"/>
          <w:sz w:val="18"/>
          <w:szCs w:val="18"/>
        </w:rPr>
        <w:t>远国际旅游有限公司股权项目资产评估报告》，截至评估基准日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日，华远国旅的评估价值为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225,210.47 </w:t>
      </w:r>
      <w:r>
        <w:rPr>
          <w:rFonts w:ascii="宋体" w:hAnsi="宋体" w:cs="宋体" w:eastAsia="宋体" w:hint="default"/>
          <w:sz w:val="18"/>
          <w:szCs w:val="18"/>
        </w:rPr>
        <w:t>万 元。参考上述资产评估结果并经公司与交易对方充分协商，各方一致同意华远国旅</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股权的交易价格确定为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 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2"/>
        <w:spacing w:line="240" w:lineRule="auto"/>
        <w:ind w:right="0"/>
        <w:jc w:val="both"/>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二十、社会责任情况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90" w:firstLine="422"/>
        <w:jc w:val="both"/>
      </w:pPr>
      <w:r>
        <w:rPr>
          <w:spacing w:val="-1"/>
        </w:rPr>
        <w:t>公司在注重业务发展的同时，注重倡导行业规范、宣传文明旅游，维护游客权益、热心公益事业，承</w:t>
      </w:r>
      <w:r>
        <w:rPr/>
        <w:t> 担企业社会责任，争做合格、优秀的企业公民。</w:t>
      </w:r>
    </w:p>
    <w:p>
      <w:pPr>
        <w:pStyle w:val="Heading3"/>
        <w:spacing w:line="240" w:lineRule="auto" w:before="46"/>
        <w:ind w:left="576" w:right="0"/>
        <w:jc w:val="left"/>
        <w:rPr>
          <w:b w:val="0"/>
          <w:bCs w:val="0"/>
        </w:rPr>
      </w:pPr>
      <w:r>
        <w:rPr/>
        <w:t>（一）参与行业标准撰写，发挥规范引领作用</w:t>
      </w:r>
      <w:r>
        <w:rPr>
          <w:b w:val="0"/>
          <w:bCs w:val="0"/>
        </w:rPr>
      </w:r>
    </w:p>
    <w:p>
      <w:pPr>
        <w:spacing w:line="240" w:lineRule="auto" w:before="10"/>
        <w:rPr>
          <w:rFonts w:ascii="宋体" w:hAnsi="宋体" w:cs="宋体" w:eastAsia="宋体" w:hint="default"/>
          <w:b/>
          <w:bCs/>
          <w:sz w:val="14"/>
          <w:szCs w:val="14"/>
        </w:rPr>
      </w:pPr>
    </w:p>
    <w:p>
      <w:pPr>
        <w:pStyle w:val="BodyText"/>
        <w:spacing w:line="398" w:lineRule="auto" w:before="0"/>
        <w:ind w:right="191" w:firstLine="475"/>
        <w:jc w:val="both"/>
      </w:pPr>
      <w:r>
        <w:rPr>
          <w:rFonts w:ascii="Times New Roman" w:hAnsi="Times New Roman" w:cs="Times New Roman" w:eastAsia="Times New Roman" w:hint="default"/>
          <w:spacing w:val="-2"/>
        </w:rPr>
        <w:t>2014</w:t>
      </w:r>
      <w:r>
        <w:rPr>
          <w:spacing w:val="-2"/>
        </w:rPr>
        <w:t>年，公司受国家旅游局的邀请参与起草《旅行社行前说明服务规范》，</w:t>
      </w:r>
      <w:r>
        <w:rPr>
          <w:color w:val="101010"/>
          <w:spacing w:val="-2"/>
        </w:rPr>
        <w:t>这是国家旅游局首次对旅</w:t>
      </w:r>
      <w:r>
        <w:rPr>
          <w:color w:val="101010"/>
        </w:rPr>
        <w:t> </w:t>
      </w:r>
      <w:r>
        <w:rPr>
          <w:color w:val="101010"/>
          <w:spacing w:val="-1"/>
        </w:rPr>
        <w:t>行社服务全过程的某单一环节制定的行业服务标准，公司也是唯一一家参与起草工作的旅行社。该规范已</w:t>
      </w:r>
      <w:r>
        <w:rPr>
          <w:color w:val="101010"/>
          <w:spacing w:val="-81"/>
        </w:rPr>
        <w:t> </w:t>
      </w:r>
      <w:r>
        <w:rPr>
          <w:color w:val="101010"/>
          <w:spacing w:val="-81"/>
        </w:rPr>
      </w:r>
      <w:r>
        <w:rPr>
          <w:color w:val="101010"/>
        </w:rPr>
        <w:t>于</w:t>
      </w:r>
      <w:r>
        <w:rPr>
          <w:rFonts w:ascii="Times New Roman" w:hAnsi="Times New Roman" w:cs="Times New Roman" w:eastAsia="Times New Roman" w:hint="default"/>
          <w:color w:val="101010"/>
        </w:rPr>
        <w:t>2015</w:t>
      </w:r>
      <w:r>
        <w:rPr>
          <w:color w:val="101010"/>
        </w:rPr>
        <w:t>年</w:t>
      </w:r>
      <w:r>
        <w:rPr>
          <w:rFonts w:ascii="Times New Roman" w:hAnsi="Times New Roman" w:cs="Times New Roman" w:eastAsia="Times New Roman" w:hint="default"/>
          <w:color w:val="101010"/>
        </w:rPr>
        <w:t>4</w:t>
      </w:r>
      <w:r>
        <w:rPr>
          <w:color w:val="101010"/>
        </w:rPr>
        <w:t>月</w:t>
      </w:r>
      <w:r>
        <w:rPr>
          <w:rFonts w:ascii="Times New Roman" w:hAnsi="Times New Roman" w:cs="Times New Roman" w:eastAsia="Times New Roman" w:hint="default"/>
          <w:color w:val="101010"/>
        </w:rPr>
        <w:t>2</w:t>
      </w:r>
      <w:r>
        <w:rPr>
          <w:color w:val="101010"/>
        </w:rPr>
        <w:t>日由国家旅游局发布并自</w:t>
      </w:r>
      <w:r>
        <w:rPr>
          <w:rFonts w:ascii="Times New Roman" w:hAnsi="Times New Roman" w:cs="Times New Roman" w:eastAsia="Times New Roman" w:hint="default"/>
          <w:color w:val="101010"/>
        </w:rPr>
        <w:t>2015</w:t>
      </w:r>
      <w:r>
        <w:rPr>
          <w:color w:val="101010"/>
        </w:rPr>
        <w:t>年</w:t>
      </w:r>
      <w:r>
        <w:rPr>
          <w:rFonts w:ascii="Times New Roman" w:hAnsi="Times New Roman" w:cs="Times New Roman" w:eastAsia="Times New Roman" w:hint="default"/>
          <w:color w:val="101010"/>
        </w:rPr>
        <w:t>5</w:t>
      </w:r>
      <w:r>
        <w:rPr>
          <w:color w:val="101010"/>
        </w:rPr>
        <w:t>月</w:t>
      </w:r>
      <w:r>
        <w:rPr>
          <w:rFonts w:ascii="Times New Roman" w:hAnsi="Times New Roman" w:cs="Times New Roman" w:eastAsia="Times New Roman" w:hint="default"/>
          <w:color w:val="101010"/>
        </w:rPr>
        <w:t>1</w:t>
      </w:r>
      <w:r>
        <w:rPr>
          <w:color w:val="101010"/>
        </w:rPr>
        <w:t>日起施行。</w:t>
      </w:r>
      <w:r>
        <w:rPr/>
      </w:r>
    </w:p>
    <w:p>
      <w:pPr>
        <w:spacing w:line="408" w:lineRule="auto" w:before="24"/>
        <w:ind w:left="574" w:right="0" w:firstLine="62"/>
        <w:jc w:val="left"/>
        <w:rPr>
          <w:rFonts w:ascii="宋体" w:hAnsi="宋体" w:cs="宋体" w:eastAsia="宋体" w:hint="default"/>
          <w:sz w:val="21"/>
          <w:szCs w:val="21"/>
        </w:rPr>
      </w:pPr>
      <w:r>
        <w:rPr>
          <w:rFonts w:ascii="宋体" w:hAnsi="宋体" w:cs="宋体" w:eastAsia="宋体" w:hint="default"/>
          <w:b/>
          <w:bCs/>
          <w:sz w:val="21"/>
          <w:szCs w:val="21"/>
        </w:rPr>
        <w:t>（二）持续宣传文明旅游，做中国公民文明出境游的倡导者</w:t>
      </w:r>
      <w:r>
        <w:rPr>
          <w:rFonts w:ascii="宋体" w:hAnsi="宋体" w:cs="宋体" w:eastAsia="宋体" w:hint="default"/>
          <w:b/>
          <w:bCs/>
          <w:w w:val="99"/>
          <w:sz w:val="21"/>
          <w:szCs w:val="21"/>
        </w:rPr>
        <w:t> </w:t>
      </w:r>
      <w:r>
        <w:rPr>
          <w:rFonts w:ascii="宋体" w:hAnsi="宋体" w:cs="宋体" w:eastAsia="宋体" w:hint="default"/>
          <w:spacing w:val="-1"/>
          <w:sz w:val="21"/>
          <w:szCs w:val="21"/>
        </w:rPr>
        <w:t>响应国家和社会的号召，抵制不文明的出游行为，塑造全新的国民和大国形象，自</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年以来公司持</w:t>
      </w:r>
    </w:p>
    <w:p>
      <w:pPr>
        <w:pStyle w:val="BodyText"/>
        <w:spacing w:line="386" w:lineRule="auto" w:before="14"/>
        <w:ind w:right="188"/>
        <w:jc w:val="both"/>
      </w:pPr>
      <w:r>
        <w:rPr/>
        <w:t>续开展文明旅游宣传活动。既</w:t>
      </w:r>
      <w:r>
        <w:rPr>
          <w:rFonts w:ascii="Times New Roman" w:hAnsi="Times New Roman" w:cs="Times New Roman" w:eastAsia="Times New Roman" w:hint="default"/>
        </w:rPr>
        <w:t>2013</w:t>
      </w:r>
      <w:r>
        <w:rPr/>
        <w:t>年推出</w:t>
      </w:r>
      <w:r>
        <w:rPr>
          <w:rFonts w:ascii="Times New Roman" w:hAnsi="Times New Roman" w:cs="Times New Roman" w:eastAsia="Times New Roman" w:hint="default"/>
        </w:rPr>
        <w:t>“</w:t>
      </w:r>
      <w:r>
        <w:rPr/>
        <w:t>文明旅游</w:t>
      </w:r>
      <w:r>
        <w:rPr>
          <w:rFonts w:ascii="Times New Roman" w:hAnsi="Times New Roman" w:cs="Times New Roman" w:eastAsia="Times New Roman" w:hint="default"/>
        </w:rPr>
        <w:t>·</w:t>
      </w:r>
      <w:r>
        <w:rPr/>
        <w:t>我是榜样</w:t>
      </w:r>
      <w:r>
        <w:rPr>
          <w:rFonts w:ascii="Times New Roman" w:hAnsi="Times New Roman" w:cs="Times New Roman" w:eastAsia="Times New Roman" w:hint="default"/>
        </w:rPr>
        <w:t>”</w:t>
      </w:r>
      <w:r>
        <w:rPr/>
        <w:t>活动，</w:t>
      </w:r>
      <w:r>
        <w:rPr>
          <w:rFonts w:ascii="Times New Roman" w:hAnsi="Times New Roman" w:cs="Times New Roman" w:eastAsia="Times New Roman" w:hint="default"/>
        </w:rPr>
        <w:t>2014</w:t>
      </w:r>
      <w:r>
        <w:rPr/>
        <w:t>年举办</w:t>
      </w:r>
      <w:r>
        <w:rPr>
          <w:rFonts w:ascii="Times New Roman" w:hAnsi="Times New Roman" w:cs="Times New Roman" w:eastAsia="Times New Roman" w:hint="default"/>
        </w:rPr>
        <w:t>“</w:t>
      </w:r>
      <w:r>
        <w:rPr/>
        <w:t>文明出游</w:t>
      </w:r>
      <w:r>
        <w:rPr>
          <w:rFonts w:ascii="Times New Roman" w:hAnsi="Times New Roman" w:cs="Times New Roman" w:eastAsia="Times New Roman" w:hint="default"/>
        </w:rPr>
        <w:t>·</w:t>
      </w:r>
      <w:r>
        <w:rPr/>
        <w:t>我健走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文 </w:t>
      </w:r>
      <w:r>
        <w:rPr>
          <w:spacing w:val="-4"/>
        </w:rPr>
        <w:t>明出游宣传进社区</w:t>
      </w:r>
      <w:r>
        <w:rPr>
          <w:rFonts w:ascii="Times New Roman" w:hAnsi="Times New Roman" w:cs="Times New Roman" w:eastAsia="Times New Roman" w:hint="default"/>
          <w:spacing w:val="-4"/>
        </w:rPr>
        <w:t>”</w:t>
      </w:r>
      <w:r>
        <w:rPr>
          <w:spacing w:val="-4"/>
        </w:rPr>
        <w:t>活动后，</w:t>
      </w:r>
      <w:r>
        <w:rPr>
          <w:rFonts w:ascii="Times New Roman" w:hAnsi="Times New Roman" w:cs="Times New Roman" w:eastAsia="Times New Roman" w:hint="default"/>
          <w:spacing w:val="-4"/>
        </w:rPr>
        <w:t>2015</w:t>
      </w:r>
      <w:r>
        <w:rPr>
          <w:spacing w:val="-4"/>
        </w:rPr>
        <w:t>年又参与了国家旅游局、中国新闻社共同主办的</w:t>
      </w:r>
      <w:r>
        <w:rPr>
          <w:rFonts w:ascii="Times New Roman" w:hAnsi="Times New Roman" w:cs="Times New Roman" w:eastAsia="Times New Roman" w:hint="default"/>
          <w:spacing w:val="-4"/>
        </w:rPr>
        <w:t>“</w:t>
      </w:r>
      <w:r>
        <w:rPr>
          <w:spacing w:val="-4"/>
        </w:rPr>
        <w:t>文明旅游随手拍</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39"/>
        </w:rPr>
        <w:t> </w:t>
      </w:r>
      <w:r>
        <w:rPr/>
        <w:t>活动， 以旅途摄影作品记录文明出行的公益活动。</w:t>
      </w:r>
    </w:p>
    <w:p>
      <w:pPr>
        <w:pStyle w:val="BodyText"/>
        <w:spacing w:line="398" w:lineRule="auto" w:before="65"/>
        <w:ind w:right="191"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月，公司接待的天狮集团</w:t>
      </w:r>
      <w:r>
        <w:rPr>
          <w:rFonts w:ascii="Times New Roman" w:hAnsi="Times New Roman" w:cs="Times New Roman" w:eastAsia="Times New Roman" w:hint="default"/>
        </w:rPr>
        <w:t>20</w:t>
      </w:r>
      <w:r>
        <w:rPr/>
        <w:t>周年庆典</w:t>
      </w:r>
      <w:r>
        <w:rPr>
          <w:rFonts w:ascii="Times New Roman" w:hAnsi="Times New Roman" w:cs="Times New Roman" w:eastAsia="Times New Roman" w:hint="default"/>
        </w:rPr>
        <w:t>6000</w:t>
      </w:r>
      <w:r>
        <w:rPr/>
        <w:t>余人赴法国游的活动，经过精心安排、合理组织， </w:t>
      </w:r>
      <w:r>
        <w:rPr>
          <w:spacing w:val="-1"/>
        </w:rPr>
        <w:t>创造了最大规模人体主题创意组字的世界纪录，团队秩序井然，活动结束后，场地依然清洁，高素质的表</w:t>
      </w:r>
      <w:r>
        <w:rPr>
          <w:spacing w:val="-82"/>
        </w:rPr>
        <w:t> </w:t>
      </w:r>
      <w:r>
        <w:rPr>
          <w:spacing w:val="-82"/>
        </w:rPr>
      </w:r>
      <w:r>
        <w:rPr/>
        <w:t>现获得了当地媒体的好评。</w:t>
      </w:r>
    </w:p>
    <w:p>
      <w:pPr>
        <w:pStyle w:val="BodyText"/>
        <w:spacing w:line="240" w:lineRule="auto" w:before="54"/>
        <w:ind w:left="574" w:right="0"/>
        <w:jc w:val="left"/>
      </w:pPr>
      <w:r>
        <w:rPr>
          <w:rFonts w:ascii="Times New Roman" w:hAnsi="Times New Roman" w:cs="Times New Roman" w:eastAsia="Times New Roman" w:hint="default"/>
        </w:rPr>
        <w:t>2015</w:t>
      </w:r>
      <w:r>
        <w:rPr/>
        <w:t>年公司入选国家旅游局公布的全国旅游先进单位</w:t>
      </w:r>
      <w:r>
        <w:rPr>
          <w:rFonts w:ascii="Times New Roman" w:hAnsi="Times New Roman" w:cs="Times New Roman" w:eastAsia="Times New Roman" w:hint="default"/>
        </w:rPr>
        <w:t>100</w:t>
      </w:r>
      <w:r>
        <w:rPr/>
        <w:t>家。</w:t>
      </w:r>
    </w:p>
    <w:p>
      <w:pPr>
        <w:spacing w:after="0" w:line="240" w:lineRule="auto"/>
        <w:jc w:val="left"/>
        <w:sectPr>
          <w:pgSz w:w="11910" w:h="16840"/>
          <w:pgMar w:header="877" w:footer="982" w:top="1100" w:bottom="1180" w:left="980" w:right="940"/>
        </w:sectPr>
      </w:pPr>
    </w:p>
    <w:p>
      <w:pPr>
        <w:spacing w:line="240" w:lineRule="auto" w:before="8"/>
        <w:rPr>
          <w:rFonts w:ascii="宋体" w:hAnsi="宋体" w:cs="宋体" w:eastAsia="宋体" w:hint="default"/>
          <w:sz w:val="26"/>
          <w:szCs w:val="26"/>
        </w:rPr>
      </w:pPr>
    </w:p>
    <w:p>
      <w:pPr>
        <w:spacing w:line="408" w:lineRule="auto" w:before="35"/>
        <w:ind w:left="634" w:right="138" w:firstLine="2"/>
        <w:jc w:val="left"/>
        <w:rPr>
          <w:rFonts w:ascii="宋体" w:hAnsi="宋体" w:cs="宋体" w:eastAsia="宋体" w:hint="default"/>
          <w:sz w:val="21"/>
          <w:szCs w:val="21"/>
        </w:rPr>
      </w:pPr>
      <w:r>
        <w:rPr>
          <w:rFonts w:ascii="宋体" w:hAnsi="宋体" w:cs="宋体" w:eastAsia="宋体" w:hint="default"/>
          <w:b/>
          <w:bCs/>
          <w:sz w:val="21"/>
          <w:szCs w:val="21"/>
        </w:rPr>
        <w:t>（三）注重旅游安全，维护游客权益</w:t>
      </w:r>
      <w:r>
        <w:rPr>
          <w:rFonts w:ascii="宋体" w:hAnsi="宋体" w:cs="宋体" w:eastAsia="宋体" w:hint="default"/>
          <w:b/>
          <w:bCs/>
          <w:w w:val="99"/>
          <w:sz w:val="21"/>
          <w:szCs w:val="21"/>
        </w:rPr>
        <w:t> </w:t>
      </w:r>
      <w:r>
        <w:rPr>
          <w:rFonts w:ascii="宋体" w:hAnsi="宋体" w:cs="宋体" w:eastAsia="宋体" w:hint="default"/>
          <w:spacing w:val="-2"/>
          <w:sz w:val="21"/>
          <w:szCs w:val="21"/>
        </w:rPr>
        <w:t>公司每年按照规定要求投保旅行社责任保险，保险责任涵盖因旅行社的原因造成的旅游者的人身安全</w:t>
      </w:r>
    </w:p>
    <w:p>
      <w:pPr>
        <w:pStyle w:val="BodyText"/>
        <w:spacing w:line="408" w:lineRule="auto"/>
        <w:ind w:right="148"/>
        <w:jc w:val="left"/>
      </w:pPr>
      <w:r>
        <w:rPr>
          <w:spacing w:val="-1"/>
        </w:rPr>
        <w:t>及财产损失。通过向游客发放《旅游安全提示书》，对销售人员、领队人员进行专项培训，在行程中对游</w:t>
      </w:r>
      <w:r>
        <w:rPr>
          <w:spacing w:val="-83"/>
        </w:rPr>
        <w:t> </w:t>
      </w:r>
      <w:r>
        <w:rPr>
          <w:spacing w:val="-83"/>
        </w:rPr>
      </w:r>
      <w:r>
        <w:rPr/>
        <w:t>客不断进行安全提醒，强化游客出游安全意识。</w:t>
      </w:r>
    </w:p>
    <w:p>
      <w:pPr>
        <w:pStyle w:val="BodyText"/>
        <w:spacing w:line="393" w:lineRule="auto"/>
        <w:ind w:left="153" w:right="149" w:firstLine="480"/>
        <w:jc w:val="both"/>
      </w:pPr>
      <w:r>
        <w:rPr>
          <w:spacing w:val="-2"/>
        </w:rPr>
        <w:t>旅游行业受政治、经济、自然等因素的影响较大，针对旅游突发事件，公司已经建立了较为完善的突</w:t>
      </w:r>
      <w:r>
        <w:rPr/>
        <w:t> 发事件处理流程，在</w:t>
      </w:r>
      <w:r>
        <w:rPr>
          <w:spacing w:val="-2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月法国枪击爆炸事件、</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月台湾地震事件中，公司第一时间启动紧急 </w:t>
      </w:r>
      <w:r>
        <w:rPr>
          <w:spacing w:val="-1"/>
        </w:rPr>
        <w:t>预案，对当地团队进行全面排查，采取信息联动，实时通报、调整行程等方式，保证了当时在欧洲的</w:t>
      </w:r>
      <w:r>
        <w:rPr>
          <w:rFonts w:ascii="Times New Roman" w:hAnsi="Times New Roman" w:cs="Times New Roman" w:eastAsia="Times New Roman" w:hint="default"/>
          <w:spacing w:val="-1"/>
        </w:rPr>
        <w:t>11</w:t>
      </w:r>
      <w:r>
        <w:rPr>
          <w:spacing w:val="-1"/>
        </w:rPr>
        <w:t>个</w:t>
      </w:r>
      <w:r>
        <w:rPr>
          <w:spacing w:val="-83"/>
        </w:rPr>
        <w:t> </w:t>
      </w:r>
      <w:r>
        <w:rPr/>
        <w:t>团</w:t>
      </w:r>
      <w:r>
        <w:rPr>
          <w:rFonts w:ascii="Times New Roman" w:hAnsi="Times New Roman" w:cs="Times New Roman" w:eastAsia="Times New Roman" w:hint="default"/>
        </w:rPr>
        <w:t>300</w:t>
      </w:r>
      <w:r>
        <w:rPr/>
        <w:t>余人，在台湾的</w:t>
      </w:r>
      <w:r>
        <w:rPr>
          <w:rFonts w:ascii="Times New Roman" w:hAnsi="Times New Roman" w:cs="Times New Roman" w:eastAsia="Times New Roman" w:hint="default"/>
        </w:rPr>
        <w:t>9</w:t>
      </w:r>
      <w:r>
        <w:rPr/>
        <w:t>个团</w:t>
      </w:r>
      <w:r>
        <w:rPr>
          <w:rFonts w:ascii="Times New Roman" w:hAnsi="Times New Roman" w:cs="Times New Roman" w:eastAsia="Times New Roman" w:hint="default"/>
        </w:rPr>
        <w:t>180</w:t>
      </w:r>
      <w:r>
        <w:rPr/>
        <w:t>余人的旅游活动不受突发事件较大影响并平安回国。</w:t>
      </w:r>
    </w:p>
    <w:p>
      <w:pPr>
        <w:pStyle w:val="Heading3"/>
        <w:spacing w:line="240" w:lineRule="auto" w:before="28"/>
        <w:ind w:left="613" w:right="148"/>
        <w:jc w:val="left"/>
        <w:rPr>
          <w:b w:val="0"/>
          <w:bCs w:val="0"/>
        </w:rPr>
      </w:pPr>
      <w:r>
        <w:rPr/>
        <w:t>（四）热心公益事业，受到社会好评</w:t>
      </w:r>
      <w:r>
        <w:rPr>
          <w:b w:val="0"/>
          <w:bCs w:val="0"/>
        </w:rPr>
      </w:r>
    </w:p>
    <w:p>
      <w:pPr>
        <w:spacing w:line="240" w:lineRule="auto" w:before="10"/>
        <w:rPr>
          <w:rFonts w:ascii="宋体" w:hAnsi="宋体" w:cs="宋体" w:eastAsia="宋体" w:hint="default"/>
          <w:b/>
          <w:bCs/>
          <w:sz w:val="14"/>
          <w:szCs w:val="14"/>
        </w:rPr>
      </w:pPr>
    </w:p>
    <w:p>
      <w:pPr>
        <w:pStyle w:val="BodyText"/>
        <w:spacing w:line="391" w:lineRule="auto" w:before="0"/>
        <w:ind w:right="150" w:firstLine="459"/>
        <w:jc w:val="both"/>
      </w:pPr>
      <w:r>
        <w:rPr>
          <w:rFonts w:ascii="Times New Roman" w:hAnsi="Times New Roman" w:cs="Times New Roman" w:eastAsia="Times New Roman" w:hint="default"/>
          <w:spacing w:val="-1"/>
        </w:rPr>
        <w:t>2015</w:t>
      </w:r>
      <w:r>
        <w:rPr>
          <w:spacing w:val="-1"/>
        </w:rPr>
        <w:t>年公司发起</w:t>
      </w:r>
      <w:r>
        <w:rPr>
          <w:rFonts w:ascii="Times New Roman" w:hAnsi="Times New Roman" w:cs="Times New Roman" w:eastAsia="Times New Roman" w:hint="default"/>
          <w:spacing w:val="-1"/>
        </w:rPr>
        <w:t>“</w:t>
      </w:r>
      <w:r>
        <w:rPr>
          <w:spacing w:val="-1"/>
        </w:rPr>
        <w:t>小小天使的大大世界</w:t>
      </w:r>
      <w:r>
        <w:rPr>
          <w:rFonts w:ascii="Times New Roman" w:hAnsi="Times New Roman" w:cs="Times New Roman" w:eastAsia="Times New Roman" w:hint="default"/>
          <w:spacing w:val="-1"/>
        </w:rPr>
        <w:t>”</w:t>
      </w:r>
      <w:r>
        <w:rPr>
          <w:spacing w:val="-1"/>
        </w:rPr>
        <w:t>爱心公益项目，资助</w:t>
      </w:r>
      <w:r>
        <w:rPr>
          <w:rFonts w:ascii="Times New Roman" w:hAnsi="Times New Roman" w:cs="Times New Roman" w:eastAsia="Times New Roman" w:hint="default"/>
          <w:spacing w:val="-1"/>
        </w:rPr>
        <w:t>“</w:t>
      </w:r>
      <w:r>
        <w:rPr>
          <w:spacing w:val="-1"/>
        </w:rPr>
        <w:t>小小天使</w:t>
      </w:r>
      <w:r>
        <w:rPr>
          <w:rFonts w:ascii="Times New Roman" w:hAnsi="Times New Roman" w:cs="Times New Roman" w:eastAsia="Times New Roman" w:hint="default"/>
          <w:spacing w:val="-1"/>
        </w:rPr>
        <w:t>”——</w:t>
      </w:r>
      <w:r>
        <w:rPr>
          <w:spacing w:val="-1"/>
        </w:rPr>
        <w:t>北京盛基艺术学院的藏族</w:t>
      </w:r>
      <w:r>
        <w:rPr/>
        <w:t> </w:t>
      </w:r>
      <w:r>
        <w:rPr>
          <w:spacing w:val="-1"/>
        </w:rPr>
        <w:t>孤儿学生们在暑期及国庆节期间前往北京动物园、海洋馆、广州长隆野生动物园等地游览，并观看《冰河</w:t>
      </w:r>
      <w:r>
        <w:rPr>
          <w:spacing w:val="-82"/>
        </w:rPr>
        <w:t> </w:t>
      </w:r>
      <w:r>
        <w:rPr>
          <w:spacing w:val="-82"/>
        </w:rPr>
      </w:r>
      <w:r>
        <w:rPr>
          <w:spacing w:val="-4"/>
        </w:rPr>
        <w:t>时代冰上秀》等活动，接触到了</w:t>
      </w:r>
      <w:r>
        <w:rPr>
          <w:rFonts w:ascii="Times New Roman" w:hAnsi="Times New Roman" w:cs="Times New Roman" w:eastAsia="Times New Roman" w:hint="default"/>
          <w:spacing w:val="-4"/>
        </w:rPr>
        <w:t>“</w:t>
      </w:r>
      <w:r>
        <w:rPr>
          <w:spacing w:val="-4"/>
        </w:rPr>
        <w:t>大大世界</w:t>
      </w:r>
      <w:r>
        <w:rPr>
          <w:rFonts w:ascii="Times New Roman" w:hAnsi="Times New Roman" w:cs="Times New Roman" w:eastAsia="Times New Roman" w:hint="default"/>
          <w:spacing w:val="-4"/>
        </w:rPr>
        <w:t>”</w:t>
      </w:r>
      <w:r>
        <w:rPr>
          <w:spacing w:val="-4"/>
        </w:rPr>
        <w:t>，此活动获得第五届中国公益节</w:t>
      </w:r>
      <w:r>
        <w:rPr>
          <w:rFonts w:ascii="Times New Roman" w:hAnsi="Times New Roman" w:cs="Times New Roman" w:eastAsia="Times New Roman" w:hint="default"/>
          <w:spacing w:val="-4"/>
        </w:rPr>
        <w:t>“2015</w:t>
      </w:r>
      <w:r>
        <w:rPr>
          <w:spacing w:val="-4"/>
        </w:rPr>
        <w:t>年度公益项目奖</w:t>
      </w:r>
      <w:r>
        <w:rPr>
          <w:rFonts w:ascii="Times New Roman" w:hAnsi="Times New Roman" w:cs="Times New Roman" w:eastAsia="Times New Roman" w:hint="default"/>
          <w:spacing w:val="-4"/>
        </w:rPr>
        <w:t>”</w:t>
      </w:r>
      <w:r>
        <w:rPr>
          <w:spacing w:val="-4"/>
        </w:rPr>
        <w:t>。此外，</w:t>
      </w:r>
      <w:r>
        <w:rPr>
          <w:spacing w:val="-91"/>
        </w:rPr>
        <w:t> </w:t>
      </w:r>
      <w:r>
        <w:rPr>
          <w:spacing w:val="-91"/>
        </w:rPr>
      </w:r>
      <w:r>
        <w:rPr>
          <w:spacing w:val="-1"/>
        </w:rPr>
        <w:t>公司凭借</w:t>
      </w:r>
      <w:r>
        <w:rPr>
          <w:rFonts w:ascii="Times New Roman" w:hAnsi="Times New Roman" w:cs="Times New Roman" w:eastAsia="Times New Roman" w:hint="default"/>
          <w:spacing w:val="-1"/>
        </w:rPr>
        <w:t>“</w:t>
      </w:r>
      <w:r>
        <w:rPr>
          <w:spacing w:val="-1"/>
        </w:rPr>
        <w:t>文明出游我是榜样</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文明出游我健走</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文明出游宣传进社区</w:t>
      </w:r>
      <w:r>
        <w:rPr>
          <w:rFonts w:ascii="Times New Roman" w:hAnsi="Times New Roman" w:cs="Times New Roman" w:eastAsia="Times New Roman" w:hint="default"/>
          <w:spacing w:val="-1"/>
        </w:rPr>
        <w:t>”</w:t>
      </w:r>
      <w:r>
        <w:rPr>
          <w:spacing w:val="-1"/>
        </w:rPr>
        <w:t>、为尼泊尔大地震捐款、</w:t>
      </w:r>
      <w:r>
        <w:rPr>
          <w:rFonts w:ascii="Times New Roman" w:hAnsi="Times New Roman" w:cs="Times New Roman" w:eastAsia="Times New Roman" w:hint="default"/>
          <w:spacing w:val="-1"/>
        </w:rPr>
        <w:t>“</w:t>
      </w:r>
      <w:r>
        <w:rPr>
          <w:spacing w:val="-1"/>
        </w:rPr>
        <w:t>爱心</w:t>
      </w:r>
      <w:r>
        <w:rPr>
          <w:spacing w:val="-102"/>
        </w:rPr>
        <w:t> </w:t>
      </w:r>
      <w:r>
        <w:rPr/>
        <w:t>救助最美女教师</w:t>
      </w:r>
      <w:r>
        <w:rPr>
          <w:rFonts w:ascii="Times New Roman" w:hAnsi="Times New Roman" w:cs="Times New Roman" w:eastAsia="Times New Roman" w:hint="default"/>
        </w:rPr>
        <w:t>”</w:t>
      </w:r>
      <w:r>
        <w:rPr/>
        <w:t>等多项公益活动，获得</w:t>
      </w:r>
      <w:r>
        <w:rPr>
          <w:rFonts w:ascii="Times New Roman" w:hAnsi="Times New Roman" w:cs="Times New Roman" w:eastAsia="Times New Roman" w:hint="default"/>
        </w:rPr>
        <w:t>“2015</w:t>
      </w:r>
      <w:r>
        <w:rPr/>
        <w:t>中国公益集体奖</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8"/>
          <w:szCs w:val="28"/>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6"/>
        <w:ind w:left="154" w:right="7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是否发布社会责任报告</w:t>
      </w:r>
    </w:p>
    <w:p>
      <w:pPr>
        <w:spacing w:before="43"/>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113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76" w:right="0"/>
        <w:jc w:val="left"/>
        <w:rPr>
          <w:b w:val="0"/>
          <w:bCs w:val="0"/>
        </w:rPr>
      </w:pPr>
      <w:bookmarkStart w:name="_TOC_250005" w:id="7"/>
      <w:r>
        <w:rPr/>
        <w:t>第六节</w:t>
      </w:r>
      <w:r>
        <w:rPr>
          <w:spacing w:val="-10"/>
        </w:rPr>
        <w:t> </w:t>
      </w:r>
      <w:r>
        <w:rPr/>
        <w:t>股份变动及股东情况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14"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32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75"/>
        <w:gridCol w:w="1026"/>
        <w:gridCol w:w="862"/>
        <w:gridCol w:w="1026"/>
        <w:gridCol w:w="470"/>
        <w:gridCol w:w="1116"/>
        <w:gridCol w:w="1086"/>
        <w:gridCol w:w="1116"/>
        <w:gridCol w:w="1116"/>
        <w:gridCol w:w="862"/>
      </w:tblGrid>
      <w:tr>
        <w:trPr>
          <w:trHeight w:val="402" w:hRule="exact"/>
        </w:trPr>
        <w:tc>
          <w:tcPr>
            <w:tcW w:w="1175" w:type="dxa"/>
            <w:vMerge w:val="restart"/>
            <w:tcBorders>
              <w:top w:val="single" w:sz="4" w:space="0" w:color="000000"/>
              <w:left w:val="single" w:sz="4" w:space="0" w:color="000000"/>
              <w:right w:val="single" w:sz="4" w:space="0" w:color="000000"/>
            </w:tcBorders>
            <w:shd w:val="clear" w:color="auto" w:fill="D9D9D9"/>
          </w:tcPr>
          <w:p>
            <w:pP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1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4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175" w:type="dxa"/>
            <w:vMerge/>
            <w:tcBorders>
              <w:left w:val="single" w:sz="4" w:space="0" w:color="000000"/>
              <w:bottom w:val="single" w:sz="4" w:space="0" w:color="000000"/>
              <w:right w:val="single" w:sz="4" w:space="0" w:color="000000"/>
            </w:tcBorders>
            <w:shd w:val="clear" w:color="auto" w:fill="D9D9D9"/>
          </w:tcPr>
          <w:p>
            <w:pPr/>
          </w:p>
        </w:tc>
        <w:tc>
          <w:tcPr>
            <w:tcW w:w="1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46"/>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4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40" w:right="138"/>
              <w:jc w:val="left"/>
              <w:rPr>
                <w:rFonts w:ascii="宋体" w:hAnsi="宋体" w:cs="宋体" w:eastAsia="宋体" w:hint="default"/>
                <w:sz w:val="18"/>
                <w:szCs w:val="18"/>
              </w:rPr>
            </w:pPr>
            <w:r>
              <w:rPr>
                <w:rFonts w:ascii="宋体" w:hAnsi="宋体" w:cs="宋体" w:eastAsia="宋体" w:hint="default"/>
                <w:sz w:val="18"/>
                <w:szCs w:val="18"/>
              </w:rPr>
              <w:t>送 股</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一、有限售 条件股份</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44,615,000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10,599,165</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210,762,765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-14,324,222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207,037,708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251,652,708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60.27%</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、其他内资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44,615,000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75.38%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10,599,165</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210,762,765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-14,324,222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207,037,708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251,652,708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60.27%</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其中：境内 法人持股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6,069,885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3,366,179</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16,830,895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-6,069,885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14,127,189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20,197,074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firstLine="540"/>
              <w:jc w:val="left"/>
              <w:rPr>
                <w:rFonts w:ascii="宋体" w:hAnsi="宋体" w:cs="宋体" w:eastAsia="宋体" w:hint="default"/>
                <w:sz w:val="18"/>
                <w:szCs w:val="18"/>
              </w:rPr>
            </w:pPr>
            <w:r>
              <w:rPr>
                <w:rFonts w:ascii="宋体" w:hAnsi="宋体" w:cs="宋体" w:eastAsia="宋体" w:hint="default"/>
                <w:sz w:val="18"/>
                <w:szCs w:val="18"/>
              </w:rPr>
              <w:t>境内 自然人持股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38,545,115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65.12%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7,232,986</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193,931,870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-8,254,337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192,910,519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231,455,634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55.43%</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二、无限售 条件股份</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14,575,000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136,983,060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14,324,222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151,307,282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165,882,282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39.73%</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14,575,000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136,983,060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14,324,222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151,307,282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165,882,282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39.73%</w:t>
            </w: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三、股份总 数</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59,190,000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10,599,165</w:t>
            </w:r>
          </w:p>
        </w:tc>
        <w:tc>
          <w:tcPr>
            <w:tcW w:w="47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347,745,825</w:t>
            </w:r>
          </w:p>
        </w:tc>
        <w:tc>
          <w:tcPr>
            <w:tcW w:w="108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358,344,990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417,534,990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213" w:right="0"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日，公司首发上市时除了实际控制人冯滨的股份锁定期为</w:t>
      </w:r>
      <w:r>
        <w:rPr>
          <w:rFonts w:ascii="Times New Roman" w:hAnsi="Times New Roman" w:cs="Times New Roman" w:eastAsia="Times New Roman" w:hint="default"/>
        </w:rPr>
        <w:t>3</w:t>
      </w:r>
      <w:r>
        <w:rPr/>
        <w:t>年未解锁，其他股东股份 锁定期已满</w:t>
      </w:r>
      <w:r>
        <w:rPr>
          <w:rFonts w:ascii="Times New Roman" w:hAnsi="Times New Roman" w:cs="Times New Roman" w:eastAsia="Times New Roman" w:hint="default"/>
        </w:rPr>
        <w:t>1</w:t>
      </w:r>
      <w:r>
        <w:rPr/>
        <w:t>年，全部解锁。本次解除限售股份的数量为</w:t>
      </w:r>
      <w:r>
        <w:rPr>
          <w:rFonts w:ascii="Times New Roman" w:hAnsi="Times New Roman" w:cs="Times New Roman" w:eastAsia="Times New Roman" w:hint="default"/>
        </w:rPr>
        <w:t>22,130,997</w:t>
      </w:r>
      <w:r>
        <w:rPr/>
        <w:t>股，占公司股本总额（</w:t>
      </w:r>
      <w:r>
        <w:rPr>
          <w:rFonts w:ascii="Times New Roman" w:hAnsi="Times New Roman" w:cs="Times New Roman" w:eastAsia="Times New Roman" w:hint="default"/>
        </w:rPr>
        <w:t>5919</w:t>
      </w:r>
      <w:r>
        <w:rPr/>
        <w:t>万股）的 </w:t>
      </w:r>
      <w:r>
        <w:rPr>
          <w:rFonts w:ascii="Times New Roman" w:hAnsi="Times New Roman" w:cs="Times New Roman" w:eastAsia="Times New Roman" w:hint="default"/>
          <w:spacing w:val="-1"/>
        </w:rPr>
        <w:t>37.3898%</w:t>
      </w:r>
      <w:r>
        <w:rPr>
          <w:spacing w:val="-1"/>
        </w:rPr>
        <w:t>。其中高管锁定股</w:t>
      </w:r>
      <w:r>
        <w:rPr>
          <w:rFonts w:ascii="Times New Roman" w:hAnsi="Times New Roman" w:cs="Times New Roman" w:eastAsia="Times New Roman" w:hint="default"/>
          <w:spacing w:val="-1"/>
        </w:rPr>
        <w:t>9,309,385</w:t>
      </w:r>
      <w:r>
        <w:rPr>
          <w:spacing w:val="-1"/>
        </w:rPr>
        <w:t>股，由此实际解除限售股份</w:t>
      </w:r>
      <w:r>
        <w:rPr>
          <w:rFonts w:ascii="Times New Roman" w:hAnsi="Times New Roman" w:cs="Times New Roman" w:eastAsia="Times New Roman" w:hint="default"/>
          <w:spacing w:val="-1"/>
        </w:rPr>
        <w:t>12,821,612</w:t>
      </w:r>
      <w:r>
        <w:rPr>
          <w:spacing w:val="-1"/>
        </w:rPr>
        <w:t>股。此部分股份于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49"/>
        </w:rPr>
        <w:t> </w:t>
      </w:r>
      <w:r>
        <w:rPr/>
        <w:t>日上市。公司总股本不变，有限售流通股及无限售流通股数量、比例相应调整。具体如下：</w:t>
      </w:r>
    </w:p>
    <w:tbl>
      <w:tblPr>
        <w:tblW w:w="0" w:type="auto"/>
        <w:jc w:val="left"/>
        <w:tblInd w:w="101" w:type="dxa"/>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2" w:hRule="exact"/>
        </w:trPr>
        <w:tc>
          <w:tcPr>
            <w:tcW w:w="22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39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本次股份变动</w:t>
            </w:r>
          </w:p>
        </w:tc>
        <w:tc>
          <w:tcPr>
            <w:tcW w:w="27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34" w:hRule="exact"/>
        </w:trPr>
        <w:tc>
          <w:tcPr>
            <w:tcW w:w="2262" w:type="dxa"/>
            <w:vMerge/>
            <w:tcBorders>
              <w:left w:val="single" w:sz="4" w:space="0" w:color="000000"/>
              <w:bottom w:val="single" w:sz="4" w:space="0" w:color="000000"/>
              <w:right w:val="single" w:sz="4" w:space="0" w:color="000000"/>
            </w:tcBorders>
            <w:shd w:val="clear" w:color="auto" w:fill="D9D9D9"/>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371" w:right="191" w:hanging="180"/>
              <w:jc w:val="left"/>
              <w:rPr>
                <w:rFonts w:ascii="宋体" w:hAnsi="宋体" w:cs="宋体" w:eastAsia="宋体" w:hint="default"/>
                <w:sz w:val="18"/>
                <w:szCs w:val="18"/>
              </w:rPr>
            </w:pPr>
            <w:r>
              <w:rPr>
                <w:rFonts w:ascii="宋体" w:hAnsi="宋体" w:cs="宋体" w:eastAsia="宋体" w:hint="default"/>
                <w:sz w:val="18"/>
                <w:szCs w:val="18"/>
              </w:rPr>
              <w:t>占总股本 比例</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增加</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减少</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478" w:right="119"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44,615,000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75.38%</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12,821,612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31,793,388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37.99%</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、境内非国有法人持股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6,069,885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10.25%</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6,069,885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、境内自然人持股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38,545,115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65.12%</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6,751,727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31,793,388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37.99%</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14,575,000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24.62%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8" w:right="0"/>
              <w:jc w:val="left"/>
              <w:rPr>
                <w:rFonts w:ascii="Times New Roman" w:hAnsi="Times New Roman" w:cs="Times New Roman" w:eastAsia="Times New Roman" w:hint="default"/>
                <w:sz w:val="18"/>
                <w:szCs w:val="18"/>
              </w:rPr>
            </w:pPr>
            <w:r>
              <w:rPr>
                <w:rFonts w:ascii="Times New Roman"/>
                <w:sz w:val="18"/>
              </w:rPr>
              <w:t>12,821,612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27,396,612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62.01%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3" w:right="0"/>
              <w:jc w:val="left"/>
              <w:rPr>
                <w:rFonts w:ascii="Times New Roman" w:hAnsi="Times New Roman" w:cs="Times New Roman" w:eastAsia="Times New Roman" w:hint="default"/>
                <w:sz w:val="18"/>
                <w:szCs w:val="18"/>
              </w:rPr>
            </w:pPr>
            <w:r>
              <w:rPr>
                <w:rFonts w:ascii="Times New Roman"/>
                <w:sz w:val="18"/>
              </w:rPr>
              <w:t>59,190,000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7" w:right="0"/>
              <w:jc w:val="left"/>
              <w:rPr>
                <w:rFonts w:ascii="Times New Roman" w:hAnsi="Times New Roman" w:cs="Times New Roman" w:eastAsia="Times New Roman" w:hint="default"/>
                <w:sz w:val="18"/>
                <w:szCs w:val="18"/>
              </w:rPr>
            </w:pPr>
            <w:r>
              <w:rPr>
                <w:rFonts w:ascii="Times New Roman"/>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35" w:right="0"/>
              <w:jc w:val="left"/>
              <w:rPr>
                <w:rFonts w:ascii="Times New Roman" w:hAnsi="Times New Roman" w:cs="Times New Roman" w:eastAsia="Times New Roman" w:hint="default"/>
                <w:sz w:val="18"/>
                <w:szCs w:val="18"/>
              </w:rPr>
            </w:pPr>
            <w:r>
              <w:rPr>
                <w:rFonts w:ascii="Times New Roman"/>
                <w:sz w:val="18"/>
              </w:rPr>
              <w:t>59,190,000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0"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86" w:lineRule="auto" w:before="63"/>
        <w:ind w:left="213" w:right="0" w:firstLine="526"/>
        <w:jc w:val="left"/>
      </w:pPr>
      <w:r>
        <w:rPr/>
        <w:pict>
          <v:shape style="position:absolute;margin-left:51.060001pt;margin-top:70.194016pt;width:490.5pt;height:128.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2" w:hRule="exact"/>
                    </w:trPr>
                    <w:tc>
                      <w:tcPr>
                        <w:tcW w:w="2262"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1"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395"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本次股份变动</w:t>
                        </w:r>
                      </w:p>
                    </w:tc>
                    <w:tc>
                      <w:tcPr>
                        <w:tcW w:w="2707"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34" w:hRule="exact"/>
                    </w:trPr>
                    <w:tc>
                      <w:tcPr>
                        <w:tcW w:w="2262" w:type="dxa"/>
                        <w:vMerge/>
                        <w:tcBorders>
                          <w:left w:val="single" w:sz="4" w:space="0" w:color="000000"/>
                          <w:bottom w:val="single" w:sz="4" w:space="0" w:color="000000"/>
                          <w:right w:val="single" w:sz="4" w:space="0" w:color="000000"/>
                        </w:tcBorders>
                        <w:shd w:val="clear" w:color="auto" w:fill="BFBFBF"/>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1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0"/>
                          <w:ind w:left="371" w:right="191" w:hanging="180"/>
                          <w:jc w:val="left"/>
                          <w:rPr>
                            <w:rFonts w:ascii="宋体" w:hAnsi="宋体" w:cs="宋体" w:eastAsia="宋体" w:hint="default"/>
                            <w:sz w:val="18"/>
                            <w:szCs w:val="18"/>
                          </w:rPr>
                        </w:pPr>
                        <w:r>
                          <w:rPr>
                            <w:rFonts w:ascii="宋体" w:hAnsi="宋体" w:cs="宋体" w:eastAsia="宋体" w:hint="default"/>
                            <w:sz w:val="18"/>
                            <w:szCs w:val="18"/>
                          </w:rPr>
                          <w:t>占总股本 比例</w:t>
                        </w:r>
                      </w:p>
                    </w:tc>
                    <w:tc>
                      <w:tcPr>
                        <w:tcW w:w="126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增加</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减少</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0"/>
                          <w:ind w:left="478" w:right="119"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31,793,388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37.99%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10,299,165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42,092,553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60.57%</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、境内非国有法人持股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3,366,179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3,366,179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4.84%</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、境内自然人持股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31,793,388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37.99%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6,932,986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38,726,374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55.73%</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27,396,612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62.01%</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27,396,612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39.43%</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59,190,000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10,299,165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69,489,165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月，公司完成发行股份购买竹园国旅</w:t>
      </w:r>
      <w:r>
        <w:rPr>
          <w:rFonts w:ascii="Times New Roman" w:hAnsi="Times New Roman" w:cs="Times New Roman" w:eastAsia="Times New Roman" w:hint="default"/>
          <w:spacing w:val="-3"/>
        </w:rPr>
        <w:t>70%</w:t>
      </w:r>
      <w:r>
        <w:rPr>
          <w:spacing w:val="-3"/>
        </w:rPr>
        <w:t>的资产并配套募集资金，向购买资产的发股对象</w:t>
      </w:r>
      <w:r>
        <w:rPr/>
        <w:t> 及配套融资的发股对象发行有限售条件流通股</w:t>
      </w:r>
      <w:r>
        <w:rPr>
          <w:rFonts w:ascii="Times New Roman" w:hAnsi="Times New Roman" w:cs="Times New Roman" w:eastAsia="Times New Roman" w:hint="default"/>
        </w:rPr>
        <w:t>10,299,165</w:t>
      </w:r>
      <w:r>
        <w:rPr/>
        <w:t>股。此部分股份于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日上市。公司总股 本由</w:t>
      </w:r>
      <w:r>
        <w:rPr>
          <w:rFonts w:ascii="Times New Roman" w:hAnsi="Times New Roman" w:cs="Times New Roman" w:eastAsia="Times New Roman" w:hint="default"/>
        </w:rPr>
        <w:t>5919</w:t>
      </w:r>
      <w:r>
        <w:rPr/>
        <w:t>万股增至</w:t>
      </w:r>
      <w:r>
        <w:rPr>
          <w:rFonts w:ascii="Times New Roman" w:hAnsi="Times New Roman" w:cs="Times New Roman" w:eastAsia="Times New Roman" w:hint="default"/>
        </w:rPr>
        <w:t>69,489,165</w:t>
      </w:r>
      <w:r>
        <w:rPr/>
        <w:t>股，公司有限售流通股及无限售流通股数量、比例相应调整。具体如下：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86" w:lineRule="auto" w:before="35"/>
        <w:ind w:left="213" w:right="218"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2014</w:t>
      </w:r>
      <w:r>
        <w:rPr/>
        <w:t>年度股东大会审议通过了《关于公司</w:t>
      </w:r>
      <w:r>
        <w:rPr>
          <w:rFonts w:ascii="Times New Roman" w:hAnsi="Times New Roman" w:cs="Times New Roman" w:eastAsia="Times New Roman" w:hint="default"/>
        </w:rPr>
        <w:t>2014</w:t>
      </w:r>
      <w:r>
        <w:rPr/>
        <w:t>年度利润分配预案的议案》， 决议以公司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日公司发行股份购买资产并募集配套资金新股登记上市完成后总股本</w:t>
      </w:r>
      <w:r>
        <w:rPr>
          <w:rFonts w:ascii="Times New Roman" w:hAnsi="Times New Roman" w:cs="Times New Roman" w:eastAsia="Times New Roman" w:hint="default"/>
        </w:rPr>
        <w:t>69,489,165</w:t>
      </w:r>
      <w:r>
        <w:rPr/>
        <w:t>股</w:t>
      </w:r>
      <w:r>
        <w:rPr>
          <w:spacing w:val="-40"/>
        </w:rPr>
        <w:t> </w:t>
      </w:r>
      <w:r>
        <w:rPr/>
        <w:t>为基数，拟向全体股东每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元（含税），共分配利润</w:t>
      </w:r>
      <w:r>
        <w:rPr>
          <w:rFonts w:ascii="Times New Roman" w:hAnsi="Times New Roman" w:cs="Times New Roman" w:eastAsia="Times New Roman" w:hint="default"/>
        </w:rPr>
        <w:t>13,897,833.00</w:t>
      </w:r>
      <w:r>
        <w:rPr/>
        <w:t>元。以资本</w:t>
      </w:r>
      <w:r>
        <w:rPr>
          <w:spacing w:val="-41"/>
        </w:rPr>
        <w:t> </w:t>
      </w:r>
      <w:r>
        <w:rPr>
          <w:spacing w:val="-41"/>
        </w:rPr>
      </w:r>
      <w:r>
        <w:rPr>
          <w:spacing w:val="8"/>
        </w:rPr>
        <w:t>公积向全体股东每</w:t>
      </w:r>
      <w:r>
        <w:rPr>
          <w:rFonts w:ascii="Times New Roman" w:hAnsi="Times New Roman" w:cs="Times New Roman" w:eastAsia="Times New Roman" w:hint="default"/>
          <w:spacing w:val="8"/>
        </w:rPr>
        <w:t>10</w:t>
      </w:r>
      <w:r>
        <w:rPr>
          <w:spacing w:val="8"/>
        </w:rPr>
        <w:t>股转增</w:t>
      </w:r>
      <w:r>
        <w:rPr>
          <w:rFonts w:ascii="Times New Roman" w:hAnsi="Times New Roman" w:cs="Times New Roman" w:eastAsia="Times New Roman" w:hint="default"/>
          <w:spacing w:val="8"/>
        </w:rPr>
        <w:t>20</w:t>
      </w:r>
      <w:r>
        <w:rPr>
          <w:spacing w:val="8"/>
        </w:rPr>
        <w:t>股。</w:t>
      </w:r>
      <w:r>
        <w:rPr>
          <w:spacing w:val="3"/>
        </w:rPr>
        <w:t> </w:t>
      </w:r>
      <w:r>
        <w:rPr>
          <w:spacing w:val="7"/>
        </w:rPr>
        <w:t>本次资本公积转增股本完成后，公司总股本由</w:t>
      </w:r>
      <w:r>
        <w:rPr>
          <w:rFonts w:ascii="Times New Roman" w:hAnsi="Times New Roman" w:cs="Times New Roman" w:eastAsia="Times New Roman" w:hint="default"/>
          <w:spacing w:val="7"/>
        </w:rPr>
        <w:t>69,489,165</w:t>
      </w:r>
      <w:r>
        <w:rPr>
          <w:spacing w:val="7"/>
        </w:rPr>
        <w:t>股变更为</w:t>
      </w:r>
      <w:r>
        <w:rPr>
          <w:spacing w:val="-103"/>
        </w:rPr>
        <w:t> </w:t>
      </w:r>
      <w:r>
        <w:rPr>
          <w:spacing w:val="-103"/>
        </w:rPr>
      </w:r>
      <w:r>
        <w:rPr>
          <w:rFonts w:ascii="Times New Roman" w:hAnsi="Times New Roman" w:cs="Times New Roman" w:eastAsia="Times New Roman" w:hint="default"/>
          <w:spacing w:val="-1"/>
        </w:rPr>
        <w:t>208,467,495</w:t>
      </w:r>
      <w:r>
        <w:rPr>
          <w:spacing w:val="-1"/>
        </w:rPr>
        <w:t>股。本次利润分配的股权登记日为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13</w:t>
      </w:r>
      <w:r>
        <w:rPr>
          <w:spacing w:val="-1"/>
        </w:rPr>
        <w:t>日，除权除息日为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日，公司有限售</w:t>
      </w:r>
      <w:r>
        <w:rPr>
          <w:spacing w:val="-85"/>
        </w:rPr>
        <w:t> </w:t>
      </w:r>
      <w:r>
        <w:rPr>
          <w:spacing w:val="-85"/>
        </w:rPr>
      </w:r>
      <w:r>
        <w:rPr/>
        <w:t>流通股及无限售流通股数量相应调整。具体如下：</w:t>
      </w:r>
    </w:p>
    <w:tbl>
      <w:tblPr>
        <w:tblW w:w="0" w:type="auto"/>
        <w:jc w:val="left"/>
        <w:tblInd w:w="101" w:type="dxa"/>
        <w:tblLayout w:type="fixed"/>
        <w:tblCellMar>
          <w:top w:w="0" w:type="dxa"/>
          <w:left w:w="0" w:type="dxa"/>
          <w:bottom w:w="0" w:type="dxa"/>
          <w:right w:w="0" w:type="dxa"/>
        </w:tblCellMar>
        <w:tblLook w:val="01E0"/>
      </w:tblPr>
      <w:tblGrid>
        <w:gridCol w:w="2278"/>
        <w:gridCol w:w="1324"/>
        <w:gridCol w:w="1121"/>
        <w:gridCol w:w="1270"/>
        <w:gridCol w:w="1140"/>
        <w:gridCol w:w="1570"/>
        <w:gridCol w:w="1153"/>
      </w:tblGrid>
      <w:tr>
        <w:trPr>
          <w:trHeight w:val="322" w:hRule="exact"/>
        </w:trPr>
        <w:tc>
          <w:tcPr>
            <w:tcW w:w="2278"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4"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left="659" w:right="0"/>
              <w:jc w:val="left"/>
              <w:rPr>
                <w:rFonts w:ascii="宋体" w:hAnsi="宋体" w:cs="宋体" w:eastAsia="宋体" w:hint="default"/>
                <w:sz w:val="18"/>
                <w:szCs w:val="18"/>
              </w:rPr>
            </w:pPr>
            <w:r>
              <w:rPr>
                <w:rFonts w:ascii="宋体" w:hAnsi="宋体" w:cs="宋体" w:eastAsia="宋体" w:hint="default"/>
                <w:sz w:val="18"/>
                <w:szCs w:val="18"/>
              </w:rPr>
              <w:t>本次股份变动</w:t>
            </w:r>
          </w:p>
        </w:tc>
        <w:tc>
          <w:tcPr>
            <w:tcW w:w="2723"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34" w:hRule="exact"/>
        </w:trPr>
        <w:tc>
          <w:tcPr>
            <w:tcW w:w="2278" w:type="dxa"/>
            <w:vMerge/>
            <w:tcBorders>
              <w:left w:val="single" w:sz="4" w:space="0" w:color="000000"/>
              <w:bottom w:val="single" w:sz="4" w:space="0" w:color="000000"/>
              <w:right w:val="single" w:sz="4" w:space="0" w:color="000000"/>
            </w:tcBorders>
            <w:shd w:val="clear" w:color="auto" w:fill="BFBFBF"/>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2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0"/>
              <w:ind w:left="465" w:right="103"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c>
          <w:tcPr>
            <w:tcW w:w="127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增加</w:t>
            </w:r>
          </w:p>
        </w:tc>
        <w:tc>
          <w:tcPr>
            <w:tcW w:w="11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减少</w:t>
            </w:r>
          </w:p>
        </w:tc>
        <w:tc>
          <w:tcPr>
            <w:tcW w:w="157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15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0"/>
              <w:ind w:left="481" w:right="120"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一、有限售流通股</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0"/>
              <w:jc w:val="right"/>
              <w:rPr>
                <w:rFonts w:ascii="Times New Roman" w:hAnsi="Times New Roman" w:cs="Times New Roman" w:eastAsia="Times New Roman" w:hint="default"/>
                <w:sz w:val="18"/>
                <w:szCs w:val="18"/>
              </w:rPr>
            </w:pPr>
            <w:r>
              <w:rPr>
                <w:rFonts w:ascii="Times New Roman"/>
                <w:sz w:val="18"/>
              </w:rPr>
              <w:t>42,092,553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60.57%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2"/>
              <w:jc w:val="right"/>
              <w:rPr>
                <w:rFonts w:ascii="Times New Roman" w:hAnsi="Times New Roman" w:cs="Times New Roman" w:eastAsia="Times New Roman" w:hint="default"/>
                <w:sz w:val="18"/>
                <w:szCs w:val="18"/>
              </w:rPr>
            </w:pPr>
            <w:r>
              <w:rPr>
                <w:rFonts w:ascii="Times New Roman"/>
                <w:sz w:val="18"/>
              </w:rPr>
              <w:t>84,185,106</w:t>
            </w:r>
          </w:p>
        </w:tc>
        <w:tc>
          <w:tcPr>
            <w:tcW w:w="114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126,277,659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3" w:right="0"/>
              <w:jc w:val="left"/>
              <w:rPr>
                <w:rFonts w:ascii="Times New Roman" w:hAnsi="Times New Roman" w:cs="Times New Roman" w:eastAsia="Times New Roman" w:hint="default"/>
                <w:sz w:val="18"/>
                <w:szCs w:val="18"/>
              </w:rPr>
            </w:pPr>
            <w:r>
              <w:rPr>
                <w:rFonts w:ascii="Times New Roman"/>
                <w:sz w:val="18"/>
              </w:rPr>
              <w:t>60.57%</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、境内非国有法人持股</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5"/>
              <w:jc w:val="right"/>
              <w:rPr>
                <w:rFonts w:ascii="Times New Roman" w:hAnsi="Times New Roman" w:cs="Times New Roman" w:eastAsia="Times New Roman" w:hint="default"/>
                <w:sz w:val="18"/>
                <w:szCs w:val="18"/>
              </w:rPr>
            </w:pPr>
            <w:r>
              <w:rPr>
                <w:rFonts w:ascii="Times New Roman"/>
                <w:sz w:val="18"/>
              </w:rPr>
              <w:t>3,366,179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2" w:right="0"/>
              <w:jc w:val="left"/>
              <w:rPr>
                <w:rFonts w:ascii="Times New Roman" w:hAnsi="Times New Roman" w:cs="Times New Roman" w:eastAsia="Times New Roman" w:hint="default"/>
                <w:sz w:val="18"/>
                <w:szCs w:val="18"/>
              </w:rPr>
            </w:pPr>
            <w:r>
              <w:rPr>
                <w:rFonts w:ascii="Times New Roman"/>
                <w:sz w:val="18"/>
              </w:rPr>
              <w:t>4.84%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Times New Roman" w:hAnsi="Times New Roman" w:cs="Times New Roman" w:eastAsia="Times New Roman" w:hint="default"/>
                <w:sz w:val="18"/>
                <w:szCs w:val="18"/>
              </w:rPr>
            </w:pPr>
            <w:r>
              <w:rPr>
                <w:rFonts w:ascii="Times New Roman"/>
                <w:sz w:val="18"/>
              </w:rPr>
              <w:t>6,732,358</w:t>
            </w:r>
          </w:p>
        </w:tc>
        <w:tc>
          <w:tcPr>
            <w:tcW w:w="114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10,098,537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9" w:right="0"/>
              <w:jc w:val="left"/>
              <w:rPr>
                <w:rFonts w:ascii="Times New Roman" w:hAnsi="Times New Roman" w:cs="Times New Roman" w:eastAsia="Times New Roman" w:hint="default"/>
                <w:sz w:val="18"/>
                <w:szCs w:val="18"/>
              </w:rPr>
            </w:pPr>
            <w:r>
              <w:rPr>
                <w:rFonts w:ascii="Times New Roman"/>
                <w:sz w:val="18"/>
              </w:rPr>
              <w:t>4.84%</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、境内自然人持股</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0"/>
              <w:jc w:val="right"/>
              <w:rPr>
                <w:rFonts w:ascii="Times New Roman" w:hAnsi="Times New Roman" w:cs="Times New Roman" w:eastAsia="Times New Roman" w:hint="default"/>
                <w:sz w:val="18"/>
                <w:szCs w:val="18"/>
              </w:rPr>
            </w:pPr>
            <w:r>
              <w:rPr>
                <w:rFonts w:ascii="Times New Roman"/>
                <w:sz w:val="18"/>
              </w:rPr>
              <w:t>38,726,374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55.73%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2"/>
              <w:jc w:val="right"/>
              <w:rPr>
                <w:rFonts w:ascii="Times New Roman" w:hAnsi="Times New Roman" w:cs="Times New Roman" w:eastAsia="Times New Roman" w:hint="default"/>
                <w:sz w:val="18"/>
                <w:szCs w:val="18"/>
              </w:rPr>
            </w:pPr>
            <w:r>
              <w:rPr>
                <w:rFonts w:ascii="Times New Roman"/>
                <w:sz w:val="18"/>
              </w:rPr>
              <w:t>77,452,748</w:t>
            </w:r>
          </w:p>
        </w:tc>
        <w:tc>
          <w:tcPr>
            <w:tcW w:w="114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116,179,122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3" w:right="0"/>
              <w:jc w:val="left"/>
              <w:rPr>
                <w:rFonts w:ascii="Times New Roman" w:hAnsi="Times New Roman" w:cs="Times New Roman" w:eastAsia="Times New Roman" w:hint="default"/>
                <w:sz w:val="18"/>
                <w:szCs w:val="18"/>
              </w:rPr>
            </w:pPr>
            <w:r>
              <w:rPr>
                <w:rFonts w:ascii="Times New Roman"/>
                <w:sz w:val="18"/>
              </w:rPr>
              <w:t>55.73%</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二、无限售流通股</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0"/>
              <w:jc w:val="right"/>
              <w:rPr>
                <w:rFonts w:ascii="Times New Roman" w:hAnsi="Times New Roman" w:cs="Times New Roman" w:eastAsia="Times New Roman" w:hint="default"/>
                <w:sz w:val="18"/>
                <w:szCs w:val="18"/>
              </w:rPr>
            </w:pPr>
            <w:r>
              <w:rPr>
                <w:rFonts w:ascii="Times New Roman"/>
                <w:sz w:val="18"/>
              </w:rPr>
              <w:t>27,396,612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39.43%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2"/>
              <w:jc w:val="right"/>
              <w:rPr>
                <w:rFonts w:ascii="Times New Roman" w:hAnsi="Times New Roman" w:cs="Times New Roman" w:eastAsia="Times New Roman" w:hint="default"/>
                <w:sz w:val="18"/>
                <w:szCs w:val="18"/>
              </w:rPr>
            </w:pPr>
            <w:r>
              <w:rPr>
                <w:rFonts w:ascii="Times New Roman"/>
                <w:sz w:val="18"/>
              </w:rPr>
              <w:t>54,793,224</w:t>
            </w:r>
          </w:p>
        </w:tc>
        <w:tc>
          <w:tcPr>
            <w:tcW w:w="114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82,189,836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3" w:right="0"/>
              <w:jc w:val="left"/>
              <w:rPr>
                <w:rFonts w:ascii="Times New Roman" w:hAnsi="Times New Roman" w:cs="Times New Roman" w:eastAsia="Times New Roman" w:hint="default"/>
                <w:sz w:val="18"/>
                <w:szCs w:val="18"/>
              </w:rPr>
            </w:pPr>
            <w:r>
              <w:rPr>
                <w:rFonts w:ascii="Times New Roman"/>
                <w:sz w:val="18"/>
              </w:rPr>
              <w:t>39.43%</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0"/>
              <w:jc w:val="right"/>
              <w:rPr>
                <w:rFonts w:ascii="Times New Roman" w:hAnsi="Times New Roman" w:cs="Times New Roman" w:eastAsia="Times New Roman" w:hint="default"/>
                <w:sz w:val="18"/>
                <w:szCs w:val="18"/>
              </w:rPr>
            </w:pPr>
            <w:r>
              <w:rPr>
                <w:rFonts w:ascii="Times New Roman"/>
                <w:sz w:val="18"/>
              </w:rPr>
              <w:t>69,489,165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Times New Roman" w:hAnsi="Times New Roman" w:cs="Times New Roman" w:eastAsia="Times New Roman" w:hint="default"/>
                <w:sz w:val="18"/>
                <w:szCs w:val="18"/>
              </w:rPr>
            </w:pPr>
            <w:r>
              <w:rPr>
                <w:rFonts w:ascii="Times New Roman"/>
                <w:sz w:val="18"/>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8"/>
              <w:jc w:val="right"/>
              <w:rPr>
                <w:rFonts w:ascii="Times New Roman" w:hAnsi="Times New Roman" w:cs="Times New Roman" w:eastAsia="Times New Roman" w:hint="default"/>
                <w:sz w:val="18"/>
                <w:szCs w:val="18"/>
              </w:rPr>
            </w:pPr>
            <w:r>
              <w:rPr>
                <w:rFonts w:ascii="Times New Roman"/>
                <w:sz w:val="18"/>
              </w:rPr>
              <w:t>138,978,330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208,467,495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9"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86" w:lineRule="auto" w:before="65"/>
        <w:ind w:left="213" w:right="0" w:firstLine="420"/>
        <w:jc w:val="left"/>
      </w:pPr>
      <w:r>
        <w:rPr/>
        <w:pict>
          <v:shape style="position:absolute;margin-left:51.060001pt;margin-top:93.693977pt;width:490.5pt;height:112.7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2" w:hRule="exact"/>
                    </w:trPr>
                    <w:tc>
                      <w:tcPr>
                        <w:tcW w:w="2262"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1"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395"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本次股份变动</w:t>
                        </w:r>
                      </w:p>
                    </w:tc>
                    <w:tc>
                      <w:tcPr>
                        <w:tcW w:w="2707"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34" w:hRule="exact"/>
                    </w:trPr>
                    <w:tc>
                      <w:tcPr>
                        <w:tcW w:w="2262" w:type="dxa"/>
                        <w:vMerge/>
                        <w:tcBorders>
                          <w:left w:val="single" w:sz="4" w:space="0" w:color="000000"/>
                          <w:bottom w:val="single" w:sz="4" w:space="0" w:color="000000"/>
                          <w:right w:val="single" w:sz="4" w:space="0" w:color="000000"/>
                        </w:tcBorders>
                        <w:shd w:val="clear" w:color="auto" w:fill="BFBFBF"/>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1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1"/>
                          <w:ind w:left="371" w:right="191" w:hanging="180"/>
                          <w:jc w:val="left"/>
                          <w:rPr>
                            <w:rFonts w:ascii="宋体" w:hAnsi="宋体" w:cs="宋体" w:eastAsia="宋体" w:hint="default"/>
                            <w:sz w:val="18"/>
                            <w:szCs w:val="18"/>
                          </w:rPr>
                        </w:pPr>
                        <w:r>
                          <w:rPr>
                            <w:rFonts w:ascii="宋体" w:hAnsi="宋体" w:cs="宋体" w:eastAsia="宋体" w:hint="default"/>
                            <w:sz w:val="18"/>
                            <w:szCs w:val="18"/>
                          </w:rPr>
                          <w:t>占总股本 比例</w:t>
                        </w:r>
                      </w:p>
                    </w:tc>
                    <w:tc>
                      <w:tcPr>
                        <w:tcW w:w="126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增加</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减少</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1"/>
                          <w:ind w:left="478" w:right="119"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126,277,659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4" w:right="0"/>
                          <w:jc w:val="left"/>
                          <w:rPr>
                            <w:rFonts w:ascii="Times New Roman" w:hAnsi="Times New Roman" w:cs="Times New Roman" w:eastAsia="Times New Roman" w:hint="default"/>
                            <w:sz w:val="18"/>
                            <w:szCs w:val="18"/>
                          </w:rPr>
                        </w:pPr>
                        <w:r>
                          <w:rPr>
                            <w:rFonts w:ascii="Times New Roman"/>
                            <w:sz w:val="18"/>
                          </w:rPr>
                          <w:t>60.57%</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126,277,659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60.49%</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、境内非国有法人持股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10,098,537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0" w:right="0"/>
                          <w:jc w:val="left"/>
                          <w:rPr>
                            <w:rFonts w:ascii="Times New Roman" w:hAnsi="Times New Roman" w:cs="Times New Roman" w:eastAsia="Times New Roman" w:hint="default"/>
                            <w:sz w:val="18"/>
                            <w:szCs w:val="18"/>
                          </w:rPr>
                        </w:pPr>
                        <w:r>
                          <w:rPr>
                            <w:rFonts w:ascii="Times New Roman"/>
                            <w:sz w:val="18"/>
                          </w:rPr>
                          <w:t>4.84%</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10,098,537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4.84%</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、境内自然人持股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116,179,122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4" w:right="0"/>
                          <w:jc w:val="left"/>
                          <w:rPr>
                            <w:rFonts w:ascii="Times New Roman" w:hAnsi="Times New Roman" w:cs="Times New Roman" w:eastAsia="Times New Roman" w:hint="default"/>
                            <w:sz w:val="18"/>
                            <w:szCs w:val="18"/>
                          </w:rPr>
                        </w:pPr>
                        <w:r>
                          <w:rPr>
                            <w:rFonts w:ascii="Times New Roman"/>
                            <w:sz w:val="18"/>
                          </w:rPr>
                          <w:t>55.73%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116,479,122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55.79%</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82,189,836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4" w:right="0"/>
                          <w:jc w:val="left"/>
                          <w:rPr>
                            <w:rFonts w:ascii="Times New Roman" w:hAnsi="Times New Roman" w:cs="Times New Roman" w:eastAsia="Times New Roman" w:hint="default"/>
                            <w:sz w:val="18"/>
                            <w:szCs w:val="18"/>
                          </w:rPr>
                        </w:pPr>
                        <w:r>
                          <w:rPr>
                            <w:rFonts w:ascii="Times New Roman"/>
                            <w:sz w:val="18"/>
                          </w:rPr>
                          <w:t>39.43%</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82,189,836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39.37%</w:t>
                        </w:r>
                      </w:p>
                    </w:tc>
                  </w:tr>
                </w:tbl>
                <w:p>
                  <w:pPr/>
                </w:p>
              </w:txbxContent>
            </v:textbox>
            <w10:wrap type="none"/>
          </v:shape>
        </w:pic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日，公司第三届董事会第二十一次会议审议通过了《关于向激励对象授予预留限制性</w:t>
      </w:r>
      <w:r>
        <w:rPr/>
        <w:t> </w:t>
      </w:r>
      <w:r>
        <w:rPr>
          <w:spacing w:val="-1"/>
        </w:rPr>
        <w:t>股票相关事项的议案》，确定以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日为公司预留限制性股票的授予日向</w:t>
      </w:r>
      <w:r>
        <w:rPr>
          <w:rFonts w:ascii="Times New Roman" w:hAnsi="Times New Roman" w:cs="Times New Roman" w:eastAsia="Times New Roman" w:hint="default"/>
          <w:spacing w:val="-1"/>
        </w:rPr>
        <w:t>5</w:t>
      </w:r>
      <w:r>
        <w:rPr>
          <w:spacing w:val="-1"/>
        </w:rPr>
        <w:t>名激励对象授予</w:t>
      </w:r>
      <w:r>
        <w:rPr>
          <w:rFonts w:ascii="Times New Roman" w:hAnsi="Times New Roman" w:cs="Times New Roman" w:eastAsia="Times New Roman" w:hint="default"/>
          <w:spacing w:val="-1"/>
        </w:rPr>
        <w:t>30</w:t>
      </w:r>
      <w:r>
        <w:rPr>
          <w:spacing w:val="-1"/>
        </w:rPr>
        <w:t>万股</w:t>
      </w:r>
      <w:r>
        <w:rPr>
          <w:spacing w:val="-84"/>
        </w:rPr>
        <w:t> </w:t>
      </w:r>
      <w:r>
        <w:rPr/>
        <w:t>限制性股票。预留限制性股票上市日期为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日，公司有限售流通股增加</w:t>
      </w:r>
      <w:r>
        <w:rPr>
          <w:rFonts w:ascii="Times New Roman" w:hAnsi="Times New Roman" w:cs="Times New Roman" w:eastAsia="Times New Roman" w:hint="default"/>
        </w:rPr>
        <w:t>30</w:t>
      </w:r>
      <w:r>
        <w:rPr/>
        <w:t>万股，总股本由 </w:t>
      </w:r>
      <w:r>
        <w:rPr>
          <w:rFonts w:ascii="Times New Roman" w:hAnsi="Times New Roman" w:cs="Times New Roman" w:eastAsia="Times New Roman" w:hint="default"/>
        </w:rPr>
        <w:t>208,467,495</w:t>
      </w:r>
      <w:r>
        <w:rPr/>
        <w:t>股增至</w:t>
      </w:r>
      <w:r>
        <w:rPr>
          <w:rFonts w:ascii="Times New Roman" w:hAnsi="Times New Roman" w:cs="Times New Roman" w:eastAsia="Times New Roman" w:hint="default"/>
        </w:rPr>
        <w:t>208,767,495</w:t>
      </w:r>
      <w:r>
        <w:rPr/>
        <w:t>股，公司有限售流通股及无限售流通股数量、比例相应调整。具体如下：</w:t>
      </w:r>
    </w:p>
    <w:p>
      <w:pPr>
        <w:spacing w:after="0" w:line="386" w:lineRule="auto"/>
        <w:jc w:val="left"/>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2" w:right="0"/>
              <w:jc w:val="left"/>
              <w:rPr>
                <w:rFonts w:ascii="Times New Roman" w:hAnsi="Times New Roman" w:cs="Times New Roman" w:eastAsia="Times New Roman" w:hint="default"/>
                <w:sz w:val="18"/>
                <w:szCs w:val="18"/>
              </w:rPr>
            </w:pPr>
            <w:r>
              <w:rPr>
                <w:rFonts w:ascii="Times New Roman"/>
                <w:sz w:val="18"/>
              </w:rPr>
              <w:t>208,467,495</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0" w:right="0"/>
              <w:jc w:val="left"/>
              <w:rPr>
                <w:rFonts w:ascii="Times New Roman" w:hAnsi="Times New Roman" w:cs="Times New Roman" w:eastAsia="Times New Roman" w:hint="default"/>
                <w:sz w:val="18"/>
                <w:szCs w:val="18"/>
              </w:rPr>
            </w:pPr>
            <w:r>
              <w:rPr>
                <w:rFonts w:ascii="Times New Roman"/>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3" w:right="0"/>
              <w:jc w:val="left"/>
              <w:rPr>
                <w:rFonts w:ascii="Times New Roman" w:hAnsi="Times New Roman" w:cs="Times New Roman" w:eastAsia="Times New Roman" w:hint="default"/>
                <w:sz w:val="18"/>
                <w:szCs w:val="18"/>
              </w:rPr>
            </w:pPr>
            <w:r>
              <w:rPr>
                <w:rFonts w:ascii="Times New Roman"/>
                <w:sz w:val="18"/>
              </w:rPr>
              <w:t>300,000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208,767,495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6"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86" w:lineRule="auto" w:before="63"/>
        <w:ind w:left="214" w:right="162"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2015</w:t>
      </w:r>
      <w:r>
        <w:rPr/>
        <w:t>年第四次临时股东大会审议通过了《关于公司资本公积转增股本预案的 议案》，确定以截至</w:t>
      </w:r>
      <w:r>
        <w:rPr>
          <w:spacing w:val="-32"/>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208,767,495</w:t>
      </w:r>
      <w:r>
        <w:rPr/>
        <w:t>股为基数，以资本公积向全体股东每</w:t>
      </w:r>
      <w:r>
        <w:rPr>
          <w:rFonts w:ascii="Times New Roman" w:hAnsi="Times New Roman" w:cs="Times New Roman" w:eastAsia="Times New Roman" w:hint="default"/>
        </w:rPr>
        <w:t>10</w:t>
      </w:r>
      <w:r>
        <w:rPr/>
        <w:t>股转增</w:t>
      </w:r>
      <w:r>
        <w:rPr>
          <w:spacing w:val="1"/>
        </w:rPr>
        <w:t> </w:t>
      </w:r>
      <w:r>
        <w:rPr>
          <w:rFonts w:ascii="Times New Roman" w:hAnsi="Times New Roman" w:cs="Times New Roman" w:eastAsia="Times New Roman" w:hint="default"/>
          <w:spacing w:val="-1"/>
        </w:rPr>
        <w:t>10</w:t>
      </w:r>
      <w:r>
        <w:rPr>
          <w:spacing w:val="-1"/>
        </w:rPr>
        <w:t>股。本次资本公积转增股本完成后，公司总股本由</w:t>
      </w:r>
      <w:r>
        <w:rPr>
          <w:rFonts w:ascii="Times New Roman" w:hAnsi="Times New Roman" w:cs="Times New Roman" w:eastAsia="Times New Roman" w:hint="default"/>
          <w:spacing w:val="-1"/>
        </w:rPr>
        <w:t>208,767,495</w:t>
      </w:r>
      <w:r>
        <w:rPr>
          <w:spacing w:val="-1"/>
        </w:rPr>
        <w:t>股变更为</w:t>
      </w:r>
      <w:r>
        <w:rPr>
          <w:rFonts w:ascii="Times New Roman" w:hAnsi="Times New Roman" w:cs="Times New Roman" w:eastAsia="Times New Roman" w:hint="default"/>
          <w:spacing w:val="-1"/>
        </w:rPr>
        <w:t>417,534,990</w:t>
      </w:r>
      <w:r>
        <w:rPr>
          <w:spacing w:val="-1"/>
        </w:rPr>
        <w:t>股。公司有限售流通</w:t>
      </w:r>
      <w:r>
        <w:rPr>
          <w:spacing w:val="-86"/>
        </w:rPr>
        <w:t> </w:t>
      </w:r>
      <w:r>
        <w:rPr>
          <w:spacing w:val="-86"/>
        </w:rPr>
      </w:r>
      <w:r>
        <w:rPr/>
        <w:t>股及无限售流通股数量相应调整。</w:t>
      </w:r>
      <w:r>
        <w:rPr>
          <w:spacing w:val="-21"/>
        </w:rPr>
        <w:t> </w:t>
      </w:r>
      <w:r>
        <w:rPr/>
        <w:t>具体如下：</w:t>
      </w:r>
    </w:p>
    <w:tbl>
      <w:tblPr>
        <w:tblW w:w="0" w:type="auto"/>
        <w:jc w:val="left"/>
        <w:tblInd w:w="101" w:type="dxa"/>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2" w:hRule="exact"/>
        </w:trPr>
        <w:tc>
          <w:tcPr>
            <w:tcW w:w="22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39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652" w:right="0"/>
              <w:jc w:val="left"/>
              <w:rPr>
                <w:rFonts w:ascii="宋体" w:hAnsi="宋体" w:cs="宋体" w:eastAsia="宋体" w:hint="default"/>
                <w:sz w:val="18"/>
                <w:szCs w:val="18"/>
              </w:rPr>
            </w:pPr>
            <w:r>
              <w:rPr>
                <w:rFonts w:ascii="宋体" w:hAnsi="宋体" w:cs="宋体" w:eastAsia="宋体" w:hint="default"/>
                <w:sz w:val="18"/>
                <w:szCs w:val="18"/>
              </w:rPr>
              <w:t>本次股份变动</w:t>
            </w:r>
          </w:p>
        </w:tc>
        <w:tc>
          <w:tcPr>
            <w:tcW w:w="27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34" w:hRule="exact"/>
        </w:trPr>
        <w:tc>
          <w:tcPr>
            <w:tcW w:w="2262" w:type="dxa"/>
            <w:vMerge/>
            <w:tcBorders>
              <w:left w:val="single" w:sz="4" w:space="0" w:color="000000"/>
              <w:bottom w:val="single" w:sz="4" w:space="0" w:color="000000"/>
              <w:right w:val="single" w:sz="4" w:space="0" w:color="000000"/>
            </w:tcBorders>
            <w:shd w:val="clear" w:color="auto" w:fill="D9D9D9"/>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371" w:right="191" w:hanging="180"/>
              <w:jc w:val="left"/>
              <w:rPr>
                <w:rFonts w:ascii="宋体" w:hAnsi="宋体" w:cs="宋体" w:eastAsia="宋体" w:hint="default"/>
                <w:sz w:val="18"/>
                <w:szCs w:val="18"/>
              </w:rPr>
            </w:pPr>
            <w:r>
              <w:rPr>
                <w:rFonts w:ascii="宋体" w:hAnsi="宋体" w:cs="宋体" w:eastAsia="宋体" w:hint="default"/>
                <w:sz w:val="18"/>
                <w:szCs w:val="18"/>
              </w:rPr>
              <w:t>占总股本 比例</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增加</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减少</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478" w:right="119"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126,277,659</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60.49%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4" w:right="0"/>
              <w:jc w:val="left"/>
              <w:rPr>
                <w:rFonts w:ascii="Times New Roman" w:hAnsi="Times New Roman" w:cs="Times New Roman" w:eastAsia="Times New Roman" w:hint="default"/>
                <w:sz w:val="18"/>
                <w:szCs w:val="18"/>
              </w:rPr>
            </w:pPr>
            <w:r>
              <w:rPr>
                <w:rFonts w:ascii="Times New Roman"/>
                <w:sz w:val="18"/>
              </w:rPr>
              <w:t>126,277,659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252,555,318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60.49%</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、境内非国有法人持股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10,098,537</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4.84%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10,098,537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20,197,074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4.84%</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、境内自然人持股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116,479,122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55.79%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4" w:right="0"/>
              <w:jc w:val="left"/>
              <w:rPr>
                <w:rFonts w:ascii="Times New Roman" w:hAnsi="Times New Roman" w:cs="Times New Roman" w:eastAsia="Times New Roman" w:hint="default"/>
                <w:sz w:val="18"/>
                <w:szCs w:val="18"/>
              </w:rPr>
            </w:pPr>
            <w:r>
              <w:rPr>
                <w:rFonts w:ascii="Times New Roman"/>
                <w:sz w:val="18"/>
              </w:rPr>
              <w:t>116,479,122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232,958,244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55.79%</w:t>
            </w:r>
          </w:p>
        </w:tc>
      </w:tr>
      <w:tr>
        <w:trPr>
          <w:trHeight w:val="32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82,189,836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39.37%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82,189,836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164,379,672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39.37%</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b/>
                <w:sz w:val="18"/>
              </w:rPr>
              <w:t>208,767,495</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4" w:right="0"/>
              <w:jc w:val="left"/>
              <w:rPr>
                <w:rFonts w:ascii="Times New Roman" w:hAnsi="Times New Roman" w:cs="Times New Roman" w:eastAsia="Times New Roman" w:hint="default"/>
                <w:sz w:val="18"/>
                <w:szCs w:val="18"/>
              </w:rPr>
            </w:pPr>
            <w:r>
              <w:rPr>
                <w:rFonts w:ascii="Times New Roman"/>
                <w:b/>
                <w:sz w:val="18"/>
              </w:rPr>
              <w:t>208,767,495</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b/>
                <w:sz w:val="18"/>
              </w:rPr>
              <w:t>417,534,990</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Style w:val="BodyText"/>
        <w:spacing w:line="393" w:lineRule="auto" w:before="63"/>
        <w:ind w:left="213" w:right="166" w:firstLine="420"/>
        <w:jc w:val="both"/>
      </w:pPr>
      <w:r>
        <w:rPr/>
        <w:pict>
          <v:shape style="position:absolute;margin-left:51.060001pt;margin-top:93.62394pt;width:490.5pt;height:148.8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2"/>
                    <w:gridCol w:w="1316"/>
                    <w:gridCol w:w="1115"/>
                    <w:gridCol w:w="1261"/>
                    <w:gridCol w:w="1134"/>
                    <w:gridCol w:w="1559"/>
                    <w:gridCol w:w="1148"/>
                  </w:tblGrid>
                  <w:tr>
                    <w:trPr>
                      <w:trHeight w:val="322" w:hRule="exact"/>
                    </w:trPr>
                    <w:tc>
                      <w:tcPr>
                        <w:tcW w:w="2262"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1"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395"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left="652" w:right="0"/>
                          <w:jc w:val="left"/>
                          <w:rPr>
                            <w:rFonts w:ascii="宋体" w:hAnsi="宋体" w:cs="宋体" w:eastAsia="宋体" w:hint="default"/>
                            <w:sz w:val="18"/>
                            <w:szCs w:val="18"/>
                          </w:rPr>
                        </w:pPr>
                        <w:r>
                          <w:rPr>
                            <w:rFonts w:ascii="宋体" w:hAnsi="宋体" w:cs="宋体" w:eastAsia="宋体" w:hint="default"/>
                            <w:sz w:val="18"/>
                            <w:szCs w:val="18"/>
                          </w:rPr>
                          <w:t>本次股份变动</w:t>
                        </w:r>
                      </w:p>
                    </w:tc>
                    <w:tc>
                      <w:tcPr>
                        <w:tcW w:w="2707"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634" w:hRule="exact"/>
                    </w:trPr>
                    <w:tc>
                      <w:tcPr>
                        <w:tcW w:w="2262" w:type="dxa"/>
                        <w:vMerge/>
                        <w:tcBorders>
                          <w:left w:val="single" w:sz="4" w:space="0" w:color="000000"/>
                          <w:bottom w:val="single" w:sz="4" w:space="0" w:color="000000"/>
                          <w:right w:val="single" w:sz="4" w:space="0" w:color="000000"/>
                        </w:tcBorders>
                        <w:shd w:val="clear" w:color="auto" w:fill="BFBFBF"/>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1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0"/>
                          <w:ind w:left="371" w:right="191" w:hanging="180"/>
                          <w:jc w:val="left"/>
                          <w:rPr>
                            <w:rFonts w:ascii="宋体" w:hAnsi="宋体" w:cs="宋体" w:eastAsia="宋体" w:hint="default"/>
                            <w:sz w:val="18"/>
                            <w:szCs w:val="18"/>
                          </w:rPr>
                        </w:pPr>
                        <w:r>
                          <w:rPr>
                            <w:rFonts w:ascii="宋体" w:hAnsi="宋体" w:cs="宋体" w:eastAsia="宋体" w:hint="default"/>
                            <w:sz w:val="18"/>
                            <w:szCs w:val="18"/>
                          </w:rPr>
                          <w:t>占总股本 比例</w:t>
                        </w:r>
                      </w:p>
                    </w:tc>
                    <w:tc>
                      <w:tcPr>
                        <w:tcW w:w="126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增加</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减少</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10"/>
                          <w:ind w:left="478" w:right="119" w:hanging="360"/>
                          <w:jc w:val="left"/>
                          <w:rPr>
                            <w:rFonts w:ascii="宋体" w:hAnsi="宋体" w:cs="宋体" w:eastAsia="宋体" w:hint="default"/>
                            <w:sz w:val="18"/>
                            <w:szCs w:val="18"/>
                          </w:rPr>
                        </w:pPr>
                        <w:r>
                          <w:rPr>
                            <w:rFonts w:ascii="宋体" w:hAnsi="宋体" w:cs="宋体" w:eastAsia="宋体" w:hint="default"/>
                            <w:sz w:val="18"/>
                            <w:szCs w:val="18"/>
                          </w:rPr>
                          <w:t>占总股本比 例</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252,555,318</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60.49%</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251,535,318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60.24%</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、境内非国有法人持股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20,197,074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4.84%</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20,197,074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、境内自然人持股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232,958,244</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55.79%</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231,338,244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55.40%</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二、无限售流通股</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164,379,672</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39.37%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165,999,672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39.76%</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三、总股本</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417,534,990</w:t>
                        </w:r>
                        <w:r>
                          <w:rPr>
                            <w:rFonts w:ascii="Times New Roman"/>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417,534,990</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
              </w:txbxContent>
            </v:textbox>
            <w10:wrap type="none"/>
          </v:shape>
        </w:pic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日，公司第三届董事会第三十二次会议审议通过了《关于首次授予的限制性股票第 </w:t>
      </w:r>
      <w:r>
        <w:rPr>
          <w:spacing w:val="-1"/>
        </w:rPr>
        <w:t>一期解锁条件成就的议案》，同意按照激励计划的相关规定办理首次授予的限制性股票第一期解锁的相关</w:t>
      </w:r>
      <w:r>
        <w:rPr>
          <w:spacing w:val="-81"/>
        </w:rPr>
        <w:t> </w:t>
      </w:r>
      <w:r>
        <w:rPr>
          <w:spacing w:val="-81"/>
        </w:rPr>
      </w:r>
      <w:r>
        <w:rPr/>
        <w:t>事宜。本次申请解锁的限制股票激励对象为</w:t>
      </w:r>
      <w:r>
        <w:rPr>
          <w:rFonts w:ascii="Times New Roman" w:hAnsi="Times New Roman" w:cs="Times New Roman" w:eastAsia="Times New Roman" w:hint="default"/>
        </w:rPr>
        <w:t>91</w:t>
      </w:r>
      <w:r>
        <w:rPr/>
        <w:t>人，解锁的限制性股票数量为</w:t>
      </w:r>
      <w:r>
        <w:rPr>
          <w:rFonts w:ascii="Times New Roman" w:hAnsi="Times New Roman" w:cs="Times New Roman" w:eastAsia="Times New Roman" w:hint="default"/>
        </w:rPr>
        <w:t>162</w:t>
      </w:r>
      <w:r>
        <w:rPr/>
        <w:t>万股，占公司股本总额的</w:t>
      </w:r>
      <w:r>
        <w:rPr>
          <w:spacing w:val="-36"/>
        </w:rPr>
        <w:t> </w:t>
      </w:r>
      <w:r>
        <w:rPr>
          <w:spacing w:val="-36"/>
        </w:rPr>
      </w:r>
      <w:r>
        <w:rPr>
          <w:rFonts w:ascii="Times New Roman" w:hAnsi="Times New Roman" w:cs="Times New Roman" w:eastAsia="Times New Roman" w:hint="default"/>
        </w:rPr>
        <w:t>0.39%</w:t>
      </w:r>
      <w:r>
        <w:rPr/>
        <w:t>。公司有限售流通股及无限售流通股数量、比例相应调整。</w:t>
      </w:r>
      <w:r>
        <w:rPr>
          <w:spacing w:val="-24"/>
        </w:rPr>
        <w:t> </w:t>
      </w:r>
      <w:r>
        <w:rPr/>
        <w:t>具体如下：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34" w:right="225"/>
        <w:jc w:val="left"/>
      </w:pPr>
      <w:r>
        <w:rPr>
          <w:rFonts w:ascii="Times New Roman" w:hAnsi="Times New Roman" w:cs="Times New Roman" w:eastAsia="Times New Roman" w:hint="default"/>
        </w:rPr>
        <w:t>7</w:t>
      </w:r>
      <w:r>
        <w:rPr/>
        <w:t>、报告期内，部分董监高增持导致有限售流通股增加。</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7"/>
          <w:szCs w:val="17"/>
        </w:rPr>
      </w:pPr>
    </w:p>
    <w:p>
      <w:pPr>
        <w:spacing w:before="0"/>
        <w:ind w:left="214" w:right="225"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12"/>
        <w:rPr>
          <w:rFonts w:ascii="宋体" w:hAnsi="宋体" w:cs="宋体" w:eastAsia="宋体" w:hint="default"/>
          <w:sz w:val="20"/>
          <w:szCs w:val="20"/>
        </w:rPr>
      </w:pPr>
    </w:p>
    <w:p>
      <w:pPr>
        <w:spacing w:before="0"/>
        <w:ind w:left="213"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98" w:lineRule="auto" w:before="0"/>
        <w:ind w:left="214" w:right="169" w:firstLine="419"/>
        <w:jc w:val="both"/>
      </w:pPr>
      <w:r>
        <w:rPr>
          <w:rFonts w:ascii="Times New Roman" w:hAnsi="Times New Roman" w:cs="Times New Roman" w:eastAsia="Times New Roman" w:hint="default"/>
          <w:spacing w:val="-2"/>
        </w:rPr>
        <w:t>1</w:t>
      </w:r>
      <w:r>
        <w:rPr>
          <w:spacing w:val="-2"/>
        </w:rPr>
        <w:t>、公司发行股份购买竹园国旅</w:t>
      </w:r>
      <w:r>
        <w:rPr>
          <w:rFonts w:ascii="Times New Roman" w:hAnsi="Times New Roman" w:cs="Times New Roman" w:eastAsia="Times New Roman" w:hint="default"/>
          <w:spacing w:val="-2"/>
        </w:rPr>
        <w:t>70%</w:t>
      </w:r>
      <w:r>
        <w:rPr>
          <w:spacing w:val="-2"/>
        </w:rPr>
        <w:t>的股权并募集配套资金已经</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日公司</w:t>
      </w:r>
      <w:r>
        <w:rPr>
          <w:rFonts w:ascii="Times New Roman" w:hAnsi="Times New Roman" w:cs="Times New Roman" w:eastAsia="Times New Roman" w:hint="default"/>
          <w:spacing w:val="-2"/>
        </w:rPr>
        <w:t>2014</w:t>
      </w:r>
      <w:r>
        <w:rPr>
          <w:spacing w:val="-2"/>
        </w:rPr>
        <w:t>年第四次临时</w:t>
      </w:r>
      <w:r>
        <w:rPr/>
        <w:t> </w:t>
      </w:r>
      <w:r>
        <w:rPr>
          <w:spacing w:val="-1"/>
        </w:rPr>
        <w:t>股东大会审议通过及中国证监会的核准（《关于核准北京众信国际旅行社股份有限公司向郭洪斌等发行股</w:t>
      </w:r>
      <w:r>
        <w:rPr>
          <w:spacing w:val="-81"/>
        </w:rPr>
        <w:t> </w:t>
      </w:r>
      <w:r>
        <w:rPr>
          <w:spacing w:val="-81"/>
        </w:rPr>
      </w:r>
      <w:r>
        <w:rPr/>
        <w:t>份购买资产并募集配套资金的批复》（证监许可</w:t>
      </w:r>
      <w:r>
        <w:rPr>
          <w:rFonts w:ascii="Times New Roman" w:hAnsi="Times New Roman" w:cs="Times New Roman" w:eastAsia="Times New Roman" w:hint="default"/>
        </w:rPr>
        <w:t>[2015]354</w:t>
      </w:r>
      <w:r>
        <w:rPr/>
        <w:t>号））。</w:t>
      </w:r>
    </w:p>
    <w:p>
      <w:pPr>
        <w:pStyle w:val="BodyText"/>
        <w:spacing w:line="240" w:lineRule="auto" w:before="24"/>
        <w:ind w:left="634" w:right="22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年度利润分配方案已经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2014</w:t>
      </w:r>
      <w:r>
        <w:rPr/>
        <w:t>年度股东大会审议通过。</w:t>
      </w:r>
    </w:p>
    <w:p>
      <w:pPr>
        <w:pStyle w:val="BodyText"/>
        <w:spacing w:line="240" w:lineRule="auto" w:before="177"/>
        <w:ind w:left="634" w:right="0"/>
        <w:jc w:val="left"/>
      </w:pPr>
      <w:r>
        <w:rPr>
          <w:rFonts w:ascii="Times New Roman" w:hAnsi="Times New Roman" w:cs="Times New Roman" w:eastAsia="Times New Roman" w:hint="default"/>
        </w:rPr>
        <w:t>3</w:t>
      </w:r>
      <w:r>
        <w:rPr/>
        <w:t>、公司向激励对象授予预留限制性股票事项已经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日公司第三届董事会第二十一次会议审</w:t>
      </w:r>
    </w:p>
    <w:p>
      <w:pPr>
        <w:spacing w:after="0" w:line="240" w:lineRule="auto"/>
        <w:jc w:val="left"/>
        <w:sectPr>
          <w:pgSz w:w="11910" w:h="16840"/>
          <w:pgMar w:header="877" w:footer="982" w:top="1100" w:bottom="1180" w:left="920" w:right="960"/>
        </w:sectPr>
      </w:pPr>
    </w:p>
    <w:p>
      <w:pPr>
        <w:spacing w:line="240" w:lineRule="auto" w:before="8"/>
        <w:rPr>
          <w:rFonts w:ascii="宋体" w:hAnsi="宋体" w:cs="宋体" w:eastAsia="宋体" w:hint="default"/>
          <w:sz w:val="26"/>
          <w:szCs w:val="26"/>
        </w:rPr>
      </w:pPr>
    </w:p>
    <w:p>
      <w:pPr>
        <w:pStyle w:val="BodyText"/>
        <w:spacing w:line="240" w:lineRule="auto" w:before="35"/>
        <w:ind w:left="214" w:right="275"/>
        <w:jc w:val="left"/>
      </w:pPr>
      <w:r>
        <w:rPr/>
        <w:t>议通过（经股东大会授权）。</w:t>
      </w:r>
    </w:p>
    <w:p>
      <w:pPr>
        <w:spacing w:line="240" w:lineRule="auto" w:before="10"/>
        <w:rPr>
          <w:rFonts w:ascii="宋体" w:hAnsi="宋体" w:cs="宋体" w:eastAsia="宋体" w:hint="default"/>
          <w:sz w:val="14"/>
          <w:szCs w:val="14"/>
        </w:rPr>
      </w:pPr>
    </w:p>
    <w:p>
      <w:pPr>
        <w:pStyle w:val="BodyText"/>
        <w:spacing w:line="240" w:lineRule="auto" w:before="0"/>
        <w:ind w:left="633" w:right="275"/>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2015</w:t>
      </w:r>
      <w:r>
        <w:rPr/>
        <w:t>年半年度利润分配已经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2015</w:t>
      </w:r>
      <w:r>
        <w:rPr/>
        <w:t>年第四次临时股东大会审议通过。</w:t>
      </w:r>
    </w:p>
    <w:p>
      <w:pPr>
        <w:pStyle w:val="BodyText"/>
        <w:spacing w:line="240" w:lineRule="auto" w:before="177"/>
        <w:ind w:left="634" w:right="275"/>
        <w:jc w:val="left"/>
      </w:pPr>
      <w:r>
        <w:rPr>
          <w:rFonts w:ascii="Times New Roman" w:hAnsi="Times New Roman" w:cs="Times New Roman" w:eastAsia="Times New Roman" w:hint="default"/>
        </w:rPr>
        <w:t>5</w:t>
      </w:r>
      <w:r>
        <w:rPr/>
        <w:t>、公司限制性股票第一期解锁，</w:t>
      </w:r>
      <w:r>
        <w:rPr>
          <w:spacing w:val="-2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日公司第三届董事会第三十二次会议审议通过。</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2"/>
          <w:szCs w:val="32"/>
        </w:rPr>
      </w:pPr>
    </w:p>
    <w:p>
      <w:pPr>
        <w:spacing w:before="0"/>
        <w:ind w:left="214" w:right="275"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240" w:lineRule="auto" w:before="12"/>
        <w:rPr>
          <w:rFonts w:ascii="宋体" w:hAnsi="宋体" w:cs="宋体" w:eastAsia="宋体" w:hint="default"/>
          <w:sz w:val="20"/>
          <w:szCs w:val="20"/>
        </w:rPr>
      </w:pPr>
    </w:p>
    <w:p>
      <w:pPr>
        <w:spacing w:before="0"/>
        <w:ind w:left="213" w:right="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240" w:lineRule="auto" w:before="0"/>
        <w:ind w:left="634" w:right="275"/>
        <w:jc w:val="left"/>
      </w:pPr>
      <w:r>
        <w:rPr>
          <w:rFonts w:ascii="Times New Roman" w:hAnsi="Times New Roman" w:cs="Times New Roman" w:eastAsia="Times New Roman" w:hint="default"/>
        </w:rPr>
        <w:t>1</w:t>
      </w:r>
      <w:r>
        <w:rPr/>
        <w:t>、公司发行股份购买竹园国旅</w:t>
      </w:r>
      <w:r>
        <w:rPr>
          <w:rFonts w:ascii="Times New Roman" w:hAnsi="Times New Roman" w:cs="Times New Roman" w:eastAsia="Times New Roman" w:hint="default"/>
        </w:rPr>
        <w:t>70%</w:t>
      </w:r>
      <w:r>
        <w:rPr/>
        <w:t>的资产并募集配套资金股份过户情况</w:t>
      </w:r>
    </w:p>
    <w:p>
      <w:pPr>
        <w:pStyle w:val="BodyText"/>
        <w:spacing w:line="386" w:lineRule="auto" w:before="177"/>
        <w:ind w:left="214" w:right="105"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日，公司就发行股份购买竹园国旅</w:t>
      </w:r>
      <w:r>
        <w:rPr>
          <w:rFonts w:ascii="Times New Roman" w:hAnsi="Times New Roman" w:cs="Times New Roman" w:eastAsia="Times New Roman" w:hint="default"/>
          <w:spacing w:val="-2"/>
        </w:rPr>
        <w:t>70%</w:t>
      </w:r>
      <w:r>
        <w:rPr>
          <w:spacing w:val="-2"/>
        </w:rPr>
        <w:t>的股权并募集配套资金向中国证券登记结算有限公</w:t>
      </w:r>
      <w:r>
        <w:rPr/>
        <w:t> 司深圳分公司（以下简称</w:t>
      </w:r>
      <w:r>
        <w:rPr>
          <w:rFonts w:ascii="Times New Roman" w:hAnsi="Times New Roman" w:cs="Times New Roman" w:eastAsia="Times New Roman" w:hint="default"/>
        </w:rPr>
        <w:t>“</w:t>
      </w:r>
      <w:r>
        <w:rPr/>
        <w:t>中登深圳分公司</w:t>
      </w:r>
      <w:r>
        <w:rPr>
          <w:rFonts w:ascii="Times New Roman" w:hAnsi="Times New Roman" w:cs="Times New Roman" w:eastAsia="Times New Roman" w:hint="default"/>
        </w:rPr>
        <w:t>”</w:t>
      </w:r>
      <w:r>
        <w:rPr/>
        <w:t>）提交相关登记材料。根据中登深圳分公司登记存管部于</w:t>
      </w:r>
      <w:r>
        <w:rPr>
          <w:rFonts w:ascii="Times New Roman" w:hAnsi="Times New Roman" w:cs="Times New Roman" w:eastAsia="Times New Roman" w:hint="default"/>
        </w:rPr>
        <w:t>2015 </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27</w:t>
      </w:r>
      <w:r>
        <w:rPr>
          <w:spacing w:val="-8"/>
        </w:rPr>
        <w:t>日出具的《股份登记申请受理确认书》和《证券持有人名册（在册股东与未到账股东合并名册）》，</w:t>
      </w:r>
      <w:r>
        <w:rPr>
          <w:spacing w:val="-57"/>
        </w:rPr>
        <w:t> </w:t>
      </w:r>
      <w:r>
        <w:rPr>
          <w:spacing w:val="-57"/>
        </w:rPr>
      </w:r>
      <w:r>
        <w:rPr/>
        <w:t>其已于当日受理上市公司的非公开发行新股登记申请材料，本次非公开发行的</w:t>
      </w:r>
      <w:r>
        <w:rPr>
          <w:rFonts w:ascii="Times New Roman" w:hAnsi="Times New Roman" w:cs="Times New Roman" w:eastAsia="Times New Roman" w:hint="default"/>
        </w:rPr>
        <w:t>10,299,165</w:t>
      </w:r>
      <w:r>
        <w:rPr/>
        <w:t>股</w:t>
      </w:r>
      <w:r>
        <w:rPr>
          <w:rFonts w:ascii="Times New Roman" w:hAnsi="Times New Roman" w:cs="Times New Roman" w:eastAsia="Times New Roman" w:hint="default"/>
        </w:rPr>
        <w:t>A</w:t>
      </w:r>
      <w:r>
        <w:rPr/>
        <w:t>股股份已完成 </w:t>
      </w:r>
      <w:r>
        <w:rPr>
          <w:spacing w:val="-3"/>
        </w:rPr>
        <w:t>证券预登记手续，相关股份登记到账后将正式列入上市公司的股东名册。此部分股份于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日上市。</w:t>
      </w:r>
    </w:p>
    <w:p>
      <w:pPr>
        <w:pStyle w:val="BodyText"/>
        <w:spacing w:line="386" w:lineRule="auto" w:before="35"/>
        <w:ind w:left="634" w:right="1220" w:hanging="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年度利润分配及资本公积转增股本股份过户情况 公司</w:t>
      </w:r>
      <w:r>
        <w:rPr>
          <w:rFonts w:ascii="Times New Roman" w:hAnsi="Times New Roman" w:cs="Times New Roman" w:eastAsia="Times New Roman" w:hint="default"/>
        </w:rPr>
        <w:t>2014</w:t>
      </w:r>
      <w:r>
        <w:rPr/>
        <w:t>年度权益分派股权登记日为：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日已完成资本公积转增股本的股份登记。</w:t>
      </w:r>
    </w:p>
    <w:p>
      <w:pPr>
        <w:pStyle w:val="BodyText"/>
        <w:spacing w:line="386" w:lineRule="auto" w:before="35"/>
        <w:ind w:left="634" w:right="275" w:hanging="1"/>
        <w:jc w:val="left"/>
      </w:pPr>
      <w:r>
        <w:rPr>
          <w:rFonts w:ascii="Times New Roman" w:hAnsi="Times New Roman" w:cs="Times New Roman" w:eastAsia="Times New Roman" w:hint="default"/>
        </w:rPr>
        <w:t>3</w:t>
      </w:r>
      <w:r>
        <w:rPr/>
        <w:t>、预留限制性股票授予股份过户情况 公司预留限制性股票的授予日为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日，中登公司深圳分公司已为此部分股份办理的登记手</w:t>
      </w:r>
    </w:p>
    <w:p>
      <w:pPr>
        <w:pStyle w:val="BodyText"/>
        <w:spacing w:line="240" w:lineRule="auto" w:before="35"/>
        <w:ind w:left="214" w:right="275"/>
        <w:jc w:val="left"/>
      </w:pPr>
      <w:r>
        <w:rPr/>
        <w:t>续，此部分股份于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日上市。</w:t>
      </w:r>
    </w:p>
    <w:p>
      <w:pPr>
        <w:pStyle w:val="BodyText"/>
        <w:spacing w:line="386" w:lineRule="auto" w:before="177"/>
        <w:ind w:left="634" w:right="80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年半年度资本公积转增股本股份过户情况 公司</w:t>
      </w:r>
      <w:r>
        <w:rPr>
          <w:rFonts w:ascii="Times New Roman" w:hAnsi="Times New Roman" w:cs="Times New Roman" w:eastAsia="Times New Roman" w:hint="default"/>
        </w:rPr>
        <w:t>2015</w:t>
      </w:r>
      <w:r>
        <w:rPr/>
        <w:t>年半年度权益分派股权登记日为：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日已完成资本公积转增股本的股份登记。</w:t>
      </w:r>
    </w:p>
    <w:p>
      <w:pPr>
        <w:pStyle w:val="BodyText"/>
        <w:spacing w:line="386" w:lineRule="auto" w:before="35"/>
        <w:ind w:left="634" w:right="275" w:hanging="1"/>
        <w:jc w:val="left"/>
      </w:pPr>
      <w:r>
        <w:rPr>
          <w:rFonts w:ascii="Times New Roman" w:hAnsi="Times New Roman" w:cs="Times New Roman" w:eastAsia="Times New Roman" w:hint="default"/>
        </w:rPr>
        <w:t>5</w:t>
      </w:r>
      <w:r>
        <w:rPr/>
        <w:t>、限制性股票第一期解锁 限制性股票第一期解锁股数为</w:t>
      </w:r>
      <w:r>
        <w:rPr>
          <w:rFonts w:ascii="Times New Roman" w:hAnsi="Times New Roman" w:cs="Times New Roman" w:eastAsia="Times New Roman" w:hint="default"/>
        </w:rPr>
        <w:t>162</w:t>
      </w:r>
      <w:r>
        <w:rPr/>
        <w:t>万股（除权前为</w:t>
      </w:r>
      <w:r>
        <w:rPr>
          <w:rFonts w:ascii="Times New Roman" w:hAnsi="Times New Roman" w:cs="Times New Roman" w:eastAsia="Times New Roman" w:hint="default"/>
        </w:rPr>
        <w:t>27</w:t>
      </w:r>
      <w:r>
        <w:rPr/>
        <w:t>万股），该部分股份的解锁手续已全部完成，解</w:t>
      </w:r>
    </w:p>
    <w:p>
      <w:pPr>
        <w:pStyle w:val="BodyText"/>
        <w:spacing w:line="240" w:lineRule="auto" w:before="35"/>
        <w:ind w:left="214" w:right="275"/>
        <w:jc w:val="left"/>
      </w:pPr>
      <w:r>
        <w:rPr/>
        <w:t>除限售股份上市流通日期为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w:t>
      </w:r>
    </w:p>
    <w:p>
      <w:pPr>
        <w:spacing w:line="240" w:lineRule="auto" w:before="8"/>
        <w:rPr>
          <w:rFonts w:ascii="宋体" w:hAnsi="宋体" w:cs="宋体" w:eastAsia="宋体" w:hint="default"/>
          <w:sz w:val="18"/>
          <w:szCs w:val="18"/>
        </w:rPr>
      </w:pPr>
    </w:p>
    <w:p>
      <w:pPr>
        <w:spacing w:before="0"/>
        <w:ind w:left="214" w:right="275"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240" w:lineRule="auto" w:before="12"/>
        <w:rPr>
          <w:rFonts w:ascii="宋体" w:hAnsi="宋体" w:cs="宋体" w:eastAsia="宋体" w:hint="default"/>
          <w:sz w:val="20"/>
          <w:szCs w:val="20"/>
        </w:rPr>
      </w:pPr>
    </w:p>
    <w:p>
      <w:pPr>
        <w:spacing w:before="0"/>
        <w:ind w:left="214" w:right="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6"/>
        <w:gridCol w:w="1277"/>
        <w:gridCol w:w="1417"/>
        <w:gridCol w:w="1417"/>
        <w:gridCol w:w="1417"/>
        <w:gridCol w:w="1418"/>
        <w:gridCol w:w="1394"/>
      </w:tblGrid>
      <w:tr>
        <w:trPr>
          <w:trHeight w:val="3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1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423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323"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基本每股收</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归属于公司普</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6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归属于公司普</w:t>
            </w:r>
          </w:p>
        </w:tc>
      </w:tr>
      <w:tr>
        <w:trPr>
          <w:trHeight w:val="307"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1417"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通股股东的每</w:t>
            </w:r>
          </w:p>
        </w:tc>
        <w:tc>
          <w:tcPr>
            <w:tcW w:w="141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通股股东的每</w:t>
            </w:r>
          </w:p>
        </w:tc>
      </w:tr>
      <w:tr>
        <w:trPr>
          <w:trHeight w:val="317"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股净资产</w:t>
            </w:r>
          </w:p>
        </w:tc>
        <w:tc>
          <w:tcPr>
            <w:tcW w:w="141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股净资产</w:t>
            </w:r>
          </w:p>
        </w:tc>
      </w:tr>
    </w:tbl>
    <w:p>
      <w:pPr>
        <w:spacing w:after="0" w:line="240" w:lineRule="auto"/>
        <w:jc w:val="center"/>
        <w:rPr>
          <w:rFonts w:ascii="宋体" w:hAnsi="宋体" w:cs="宋体" w:eastAsia="宋体" w:hint="default"/>
          <w:sz w:val="18"/>
          <w:szCs w:val="18"/>
        </w:rPr>
        <w:sectPr>
          <w:pgSz w:w="11910" w:h="16840"/>
          <w:pgMar w:header="877" w:footer="982" w:top="1100" w:bottom="1180" w:left="920" w:right="92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276"/>
        <w:gridCol w:w="1277"/>
        <w:gridCol w:w="1417"/>
        <w:gridCol w:w="1417"/>
        <w:gridCol w:w="1417"/>
        <w:gridCol w:w="1418"/>
        <w:gridCol w:w="1394"/>
      </w:tblGrid>
      <w:tr>
        <w:trPr>
          <w:trHeight w:val="3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0" w:right="0"/>
              <w:jc w:val="left"/>
              <w:rPr>
                <w:rFonts w:ascii="Times New Roman" w:hAnsi="Times New Roman" w:cs="Times New Roman" w:eastAsia="Times New Roman" w:hint="default"/>
                <w:sz w:val="18"/>
                <w:szCs w:val="18"/>
              </w:rPr>
            </w:pPr>
            <w:r>
              <w:rPr>
                <w:rFonts w:ascii="Times New Roman"/>
                <w:sz w:val="18"/>
              </w:rPr>
              <w:t>1.885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1.885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99"/>
              <w:jc w:val="right"/>
              <w:rPr>
                <w:rFonts w:ascii="Times New Roman" w:hAnsi="Times New Roman" w:cs="Times New Roman" w:eastAsia="Times New Roman" w:hint="default"/>
                <w:sz w:val="18"/>
                <w:szCs w:val="18"/>
              </w:rPr>
            </w:pPr>
            <w:r>
              <w:rPr>
                <w:rFonts w:ascii="Times New Roman"/>
                <w:sz w:val="18"/>
              </w:rPr>
              <w:t>9.986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Times New Roman"/>
                <w:sz w:val="18"/>
              </w:rPr>
              <w:t>0.314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1.664</w:t>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0" w:right="0"/>
              <w:jc w:val="left"/>
              <w:rPr>
                <w:rFonts w:ascii="Times New Roman" w:hAnsi="Times New Roman" w:cs="Times New Roman" w:eastAsia="Times New Roman" w:hint="default"/>
                <w:sz w:val="18"/>
                <w:szCs w:val="18"/>
              </w:rPr>
            </w:pPr>
            <w:r>
              <w:rPr>
                <w:rFonts w:ascii="Times New Roman"/>
                <w:sz w:val="18"/>
              </w:rPr>
              <w:t>0.471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0.465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9"/>
              <w:jc w:val="right"/>
              <w:rPr>
                <w:rFonts w:ascii="Times New Roman" w:hAnsi="Times New Roman" w:cs="Times New Roman" w:eastAsia="Times New Roman" w:hint="default"/>
                <w:sz w:val="18"/>
                <w:szCs w:val="18"/>
              </w:rPr>
            </w:pPr>
            <w:r>
              <w:rPr>
                <w:rFonts w:ascii="Times New Roman"/>
                <w:sz w:val="18"/>
              </w:rPr>
              <w:t>3.950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0.450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Times New Roman" w:hAnsi="Times New Roman" w:cs="Times New Roman" w:eastAsia="Times New Roman" w:hint="default"/>
                <w:sz w:val="18"/>
                <w:szCs w:val="18"/>
              </w:rPr>
            </w:pPr>
            <w:r>
              <w:rPr>
                <w:rFonts w:ascii="Times New Roman"/>
                <w:sz w:val="18"/>
              </w:rPr>
              <w:t>0.447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3.747</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214"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47" w:firstLine="0"/>
        <w:jc w:val="right"/>
        <w:rPr>
          <w:rFonts w:ascii="宋体" w:hAnsi="宋体" w:cs="宋体" w:eastAsia="宋体" w:hint="default"/>
          <w:sz w:val="18"/>
          <w:szCs w:val="18"/>
        </w:rPr>
      </w:pPr>
      <w:r>
        <w:rPr/>
        <w:pict>
          <v:shape style="position:absolute;margin-left:451.980011pt;margin-top:58.332321pt;width:83.05pt;height:128.8pt;mso-position-horizontal-relative:page;mso-position-vertical-relative:paragraph;z-index:-9665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txbxContent>
            </v:textbox>
            <w10:wrap type="none"/>
          </v:shape>
        </w:pict>
      </w:r>
      <w:r>
        <w:rPr/>
        <w:pict>
          <v:group style="position:absolute;margin-left:467.160004pt;margin-top:58.332321pt;width:67.9pt;height:128.8pt;mso-position-horizontal-relative:page;mso-position-vertical-relative:paragraph;z-index:-966520" coordorigin="9343,1167" coordsize="1358,2576">
            <v:group style="position:absolute;left:9343;top:1167;width:1358;height:2576" coordorigin="9343,1167" coordsize="1358,2576">
              <v:shape style="position:absolute;left:9343;top:1167;width:1358;height:2576" coordorigin="9343,1167" coordsize="1358,2576" path="m9343,3742l10700,3742,10700,1167,9343,1167,9343,3742xe" filled="true" fillcolor="#ffffff" stroked="false">
                <v:path arrowok="t"/>
                <v:fill type="solid"/>
              </v:shape>
            </v:group>
            <v:group style="position:absolute;left:9366;top:1947;width:1311;height:352" coordorigin="9366,1947" coordsize="1311,352">
              <v:shape style="position:absolute;left:9366;top:1947;width:1311;height:352" coordorigin="9366,1947" coordsize="1311,352" path="m9366,2298l10676,2298,10676,1947,9366,1947,9366,2298xe" filled="true" fillcolor="#ffffff" stroked="false">
                <v:path arrowok="t"/>
                <v:fill type="solid"/>
              </v:shape>
            </v:group>
            <v:group style="position:absolute;left:9366;top:2298;width:1311;height:312" coordorigin="9366,2298" coordsize="1311,312">
              <v:shape style="position:absolute;left:9366;top:2298;width:1311;height:312" coordorigin="9366,2298" coordsize="1311,312" path="m9366,2610l10676,2610,10676,2298,9366,2298,9366,2610xe" filled="true" fillcolor="#ffffff" stroked="false">
                <v:path arrowok="t"/>
                <v:fill type="solid"/>
              </v:shape>
            </v:group>
            <v:group style="position:absolute;left:9366;top:2610;width:1311;height:352" coordorigin="9366,2610" coordsize="1311,352">
              <v:shape style="position:absolute;left:9366;top:2610;width:1311;height:352" coordorigin="9366,2610" coordsize="1311,352" path="m9366,2962l10676,2962,10676,2610,9366,2610,9366,2962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129,504,018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3,236,886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132,740,904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、首发上市限售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129,504,018</w:t>
            </w:r>
          </w:p>
          <w:p>
            <w:pPr>
              <w:pStyle w:val="TableParagraph"/>
              <w:spacing w:line="309" w:lineRule="auto" w:before="13"/>
              <w:ind w:left="22" w:right="23"/>
              <w:jc w:val="left"/>
              <w:rPr>
                <w:rFonts w:ascii="宋体" w:hAnsi="宋体" w:cs="宋体" w:eastAsia="宋体" w:hint="default"/>
                <w:sz w:val="18"/>
                <w:szCs w:val="18"/>
              </w:rPr>
            </w:pPr>
            <w:r>
              <w:rPr>
                <w:rFonts w:ascii="宋体" w:hAnsi="宋体" w:cs="宋体" w:eastAsia="宋体" w:hint="default"/>
                <w:spacing w:val="-8"/>
                <w:sz w:val="18"/>
                <w:szCs w:val="18"/>
              </w:rPr>
              <w:t>股，锁定期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 国旅重大资产重 组配套融资认购 </w:t>
            </w:r>
            <w:r>
              <w:rPr>
                <w:rFonts w:ascii="Times New Roman" w:hAnsi="Times New Roman" w:cs="Times New Roman" w:eastAsia="Times New Roman" w:hint="default"/>
                <w:sz w:val="18"/>
                <w:szCs w:val="18"/>
              </w:rPr>
              <w:t>3,236,886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股，限</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36,228,690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36,228,690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重组的交易对手 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19,374,000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14,551,500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17,481,264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4,370,316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13,110,948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10,633,362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2,658,342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7,993,770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10,633,362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2,658,342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7,975,020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九泰基金－工商 银行－九泰基金 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r>
              <w:rPr>
                <w:rFonts w:ascii="宋体" w:hAnsi="宋体" w:cs="宋体" w:eastAsia="宋体" w:hint="default"/>
                <w:spacing w:val="1"/>
                <w:sz w:val="18"/>
                <w:szCs w:val="18"/>
              </w:rPr>
              <w:t> </w:t>
            </w:r>
            <w:r>
              <w:rPr>
                <w:rFonts w:ascii="宋体" w:hAnsi="宋体" w:cs="宋体" w:eastAsia="宋体" w:hint="default"/>
                <w:sz w:val="18"/>
                <w:szCs w:val="18"/>
              </w:rPr>
              <w:t>产管理计划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8,827,854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 旅重大资产重组 配套融资认购方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上海祥禾泓安股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7,222,794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7,222,794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 旅重大资产重组 交易对方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4,253,346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1,063,338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3,190,008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67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首次授予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预留授予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both"/>
              <w:rPr>
                <w:rFonts w:ascii="宋体" w:hAnsi="宋体" w:cs="宋体" w:eastAsia="宋体" w:hint="default"/>
                <w:sz w:val="18"/>
                <w:szCs w:val="18"/>
              </w:rPr>
            </w:pPr>
            <w:r>
              <w:rPr>
                <w:rFonts w:ascii="宋体" w:hAnsi="宋体" w:cs="宋体" w:eastAsia="宋体" w:hint="default"/>
                <w:sz w:val="18"/>
                <w:szCs w:val="18"/>
              </w:rPr>
              <w:t>除前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大限售股 股东外的首发后 个人限售股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2,132,340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 旅重大资产重组 配套融资认购 方、交易对手方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both"/>
              <w:rPr>
                <w:rFonts w:ascii="宋体" w:hAnsi="宋体" w:cs="宋体" w:eastAsia="宋体" w:hint="default"/>
                <w:sz w:val="18"/>
                <w:szCs w:val="18"/>
              </w:rPr>
            </w:pPr>
            <w:r>
              <w:rPr>
                <w:rFonts w:ascii="宋体" w:hAnsi="宋体" w:cs="宋体" w:eastAsia="宋体" w:hint="default"/>
                <w:sz w:val="18"/>
                <w:szCs w:val="18"/>
              </w:rPr>
              <w:t>除前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大限售股 股东外的首发后 机构限售股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4,146,426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4,146,426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 旅重大资产重组 配套融资认购 方、交易对手方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大限售股 股东外的高管锁 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13,584,132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4,443,378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9,152,454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w:t>
            </w: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首发上市时除了</w:t>
            </w: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董监高之外的其</w:t>
            </w:r>
          </w:p>
        </w:tc>
        <w:tc>
          <w:tcPr>
            <w:tcW w:w="136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4"/>
              <w:jc w:val="left"/>
              <w:rPr>
                <w:rFonts w:ascii="宋体" w:hAnsi="宋体" w:cs="宋体" w:eastAsia="宋体" w:hint="default"/>
                <w:sz w:val="18"/>
                <w:szCs w:val="18"/>
              </w:rPr>
            </w:pPr>
            <w:r>
              <w:rPr>
                <w:rFonts w:ascii="宋体" w:hAnsi="宋体" w:cs="宋体" w:eastAsia="宋体" w:hint="default"/>
                <w:sz w:val="18"/>
                <w:szCs w:val="18"/>
              </w:rPr>
              <w:t>首发上市前其他 个人股东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20,407,206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20,407,206</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他个人股东，股 份锁定期均为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tc>
        <w:tc>
          <w:tcPr>
            <w:tcW w:w="136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已解禁</w:t>
            </w: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首发上市时机构</w:t>
            </w: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4"/>
              <w:jc w:val="left"/>
              <w:rPr>
                <w:rFonts w:ascii="宋体" w:hAnsi="宋体" w:cs="宋体" w:eastAsia="宋体" w:hint="default"/>
                <w:sz w:val="18"/>
                <w:szCs w:val="18"/>
              </w:rPr>
            </w:pPr>
            <w:r>
              <w:rPr>
                <w:rFonts w:ascii="宋体" w:hAnsi="宋体" w:cs="宋体" w:eastAsia="宋体" w:hint="default"/>
                <w:sz w:val="18"/>
                <w:szCs w:val="18"/>
              </w:rPr>
              <w:t>首发上市前机构 股东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36,419,310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36,419,310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股东，股份锁定 期均为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52"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月已解禁</w:t>
            </w: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267,690,000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78,483,732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62,434,740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251,652,708</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214"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412"/>
        <w:gridCol w:w="1565"/>
        <w:gridCol w:w="1134"/>
        <w:gridCol w:w="1184"/>
        <w:gridCol w:w="1508"/>
        <w:gridCol w:w="1082"/>
        <w:gridCol w:w="1682"/>
      </w:tblGrid>
      <w:tr>
        <w:trPr>
          <w:trHeight w:val="754"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340" w:right="161"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6"/>
              <w:ind w:left="111"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76" w:right="174"/>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81.56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10,299,165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10,299,165</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right"/>
              <w:rPr>
                <w:rFonts w:ascii="宋体" w:hAnsi="宋体" w:cs="宋体" w:eastAsia="宋体" w:hint="default"/>
                <w:sz w:val="18"/>
                <w:szCs w:val="18"/>
              </w:rPr>
            </w:pPr>
            <w:r>
              <w:rPr>
                <w:rFonts w:ascii="Times New Roman" w:hAnsi="Times New Roman" w:cs="Times New Roman" w:eastAsia="Times New Roman" w:hint="default"/>
                <w:sz w:val="18"/>
                <w:szCs w:val="18"/>
              </w:rPr>
              <w:t>29.77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bl>
    <w:p>
      <w:pPr>
        <w:spacing w:after="0" w:line="240" w:lineRule="auto"/>
        <w:jc w:val="left"/>
        <w:rPr>
          <w:rFonts w:ascii="宋体" w:hAnsi="宋体" w:cs="宋体" w:eastAsia="宋体" w:hint="default"/>
          <w:sz w:val="18"/>
          <w:szCs w:val="18"/>
        </w:rPr>
        <w:sectPr>
          <w:pgSz w:w="11910" w:h="16840"/>
          <w:pgMar w:header="877" w:footer="982" w:top="1100" w:bottom="1180" w:left="920" w:right="98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3"/>
        <w:ind w:left="214" w:right="0"/>
        <w:jc w:val="both"/>
      </w:pPr>
      <w:r>
        <w:rPr/>
        <w:t>报告期内证券发行（不含优先股）情况的说明</w:t>
      </w:r>
    </w:p>
    <w:p>
      <w:pPr>
        <w:pStyle w:val="BodyText"/>
        <w:spacing w:line="338" w:lineRule="auto" w:before="96"/>
        <w:ind w:left="595" w:right="149" w:hanging="1"/>
        <w:jc w:val="left"/>
      </w:pPr>
      <w:r>
        <w:rPr>
          <w:rFonts w:ascii="Times New Roman" w:hAnsi="Times New Roman" w:cs="Times New Roman" w:eastAsia="Times New Roman" w:hint="default"/>
        </w:rPr>
        <w:t>1</w:t>
      </w:r>
      <w:r>
        <w:rPr/>
        <w:t>、发行股份购买竹园国旅</w:t>
      </w:r>
      <w:r>
        <w:rPr>
          <w:spacing w:val="-54"/>
        </w:rPr>
        <w:t> </w:t>
      </w:r>
      <w:r>
        <w:rPr>
          <w:rFonts w:ascii="Times New Roman" w:hAnsi="Times New Roman" w:cs="Times New Roman" w:eastAsia="Times New Roman" w:hint="default"/>
        </w:rPr>
        <w:t>70%</w:t>
      </w:r>
      <w:r>
        <w:rPr/>
        <w:t>股权并募集配套资金 经中国证监会《关于核准北京众信国际旅行社股份有限公司向郭洪斌等发行股份购买资产并募集配套</w:t>
      </w:r>
    </w:p>
    <w:p>
      <w:pPr>
        <w:pStyle w:val="BodyText"/>
        <w:spacing w:line="338" w:lineRule="auto" w:before="47"/>
        <w:ind w:left="214" w:right="148"/>
        <w:jc w:val="both"/>
      </w:pPr>
      <w:r>
        <w:rPr/>
        <w:t>资金的批复</w:t>
      </w:r>
      <w:r>
        <w:rPr>
          <w:spacing w:val="-108"/>
        </w:rPr>
        <w:t>》</w:t>
      </w:r>
      <w:r>
        <w:rPr/>
        <w:t>（证监许可</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5]3</w:t>
      </w:r>
      <w:r>
        <w:rPr>
          <w:rFonts w:ascii="Times New Roman" w:hAnsi="Times New Roman" w:cs="Times New Roman" w:eastAsia="Times New Roman" w:hint="default"/>
          <w:spacing w:val="-1"/>
        </w:rPr>
        <w:t>5</w:t>
      </w:r>
      <w:r>
        <w:rPr>
          <w:rFonts w:ascii="Times New Roman" w:hAnsi="Times New Roman" w:cs="Times New Roman" w:eastAsia="Times New Roman" w:hint="default"/>
        </w:rPr>
        <w:t>4 </w:t>
      </w:r>
      <w:r>
        <w:rPr>
          <w:spacing w:val="-2"/>
        </w:rPr>
        <w:t>号</w:t>
      </w:r>
      <w:r>
        <w:rPr>
          <w:spacing w:val="-106"/>
        </w:rPr>
        <w:t>）</w:t>
      </w:r>
      <w:r>
        <w:rPr>
          <w:spacing w:val="-3"/>
        </w:rPr>
        <w:t>，</w:t>
      </w:r>
      <w:r>
        <w:rPr/>
        <w:t>公司向郭洪斌等</w:t>
      </w:r>
      <w:r>
        <w:rPr>
          <w:spacing w:val="-53"/>
        </w:rPr>
        <w:t> </w:t>
      </w:r>
      <w:r>
        <w:rPr>
          <w:rFonts w:ascii="Times New Roman" w:hAnsi="Times New Roman" w:cs="Times New Roman" w:eastAsia="Times New Roman" w:hint="default"/>
        </w:rPr>
        <w:t>8 </w:t>
      </w:r>
      <w:r>
        <w:rPr>
          <w:spacing w:val="-2"/>
        </w:rPr>
        <w:t>名</w:t>
      </w:r>
      <w:r>
        <w:rPr/>
        <w:t>交易对手方发行股票</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,7</w:t>
      </w:r>
      <w:r>
        <w:rPr>
          <w:rFonts w:ascii="Times New Roman" w:hAnsi="Times New Roman" w:cs="Times New Roman" w:eastAsia="Times New Roman" w:hint="default"/>
        </w:rPr>
        <w:t>24</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7</w:t>
      </w:r>
      <w:r>
        <w:rPr>
          <w:rFonts w:ascii="Times New Roman" w:hAnsi="Times New Roman" w:cs="Times New Roman" w:eastAsia="Times New Roman" w:hint="default"/>
        </w:rPr>
        <w:t>4 </w:t>
      </w:r>
      <w:r>
        <w:rPr/>
        <w:t>股</w:t>
      </w:r>
      <w:r>
        <w:rPr>
          <w:spacing w:val="-2"/>
        </w:rPr>
        <w:t>购</w:t>
      </w:r>
      <w:r>
        <w:rPr/>
        <w:t>买竹</w:t>
      </w:r>
      <w:r>
        <w:rPr>
          <w:spacing w:val="1"/>
        </w:rPr>
        <w:t>园</w:t>
      </w:r>
      <w:r>
        <w:rPr/>
        <w:t>国</w:t>
      </w:r>
      <w:r>
        <w:rPr/>
        <w:t> 际旅行社有限公司</w:t>
      </w:r>
      <w:r>
        <w:rPr>
          <w:spacing w:val="-31"/>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w:t>
      </w:r>
      <w:r>
        <w:rPr/>
        <w:t>的股权，向九泰基金管理有限公司（九泰基金慧通定增</w:t>
      </w:r>
      <w:r>
        <w:rPr>
          <w:spacing w:val="-31"/>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号资产管理计划</w:t>
      </w:r>
      <w:r>
        <w:rPr>
          <w:spacing w:val="-105"/>
        </w:rPr>
        <w:t>）</w:t>
      </w:r>
      <w:r>
        <w:rPr/>
        <w:t>、深圳</w:t>
      </w:r>
      <w:r>
        <w:rPr/>
        <w:t> 前海瑞联一号投资中</w:t>
      </w:r>
      <w:r>
        <w:rPr>
          <w:spacing w:val="-77"/>
        </w:rPr>
        <w:t>心</w:t>
      </w:r>
      <w:r>
        <w:rPr/>
        <w:t>（有限合伙</w:t>
      </w:r>
      <w:r>
        <w:rPr>
          <w:spacing w:val="-105"/>
        </w:rPr>
        <w:t>）</w:t>
      </w:r>
      <w:r>
        <w:rPr>
          <w:spacing w:val="-78"/>
        </w:rPr>
        <w:t>、</w:t>
      </w:r>
      <w:r>
        <w:rPr/>
        <w:t>冯滨和白斌非公开发行股票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7</w:t>
      </w:r>
      <w:r>
        <w:rPr>
          <w:rFonts w:ascii="Times New Roman" w:hAnsi="Times New Roman" w:cs="Times New Roman" w:eastAsia="Times New Roman" w:hint="default"/>
        </w:rPr>
        <w:t>4,</w:t>
      </w:r>
      <w:r>
        <w:rPr>
          <w:rFonts w:ascii="Times New Roman" w:hAnsi="Times New Roman" w:cs="Times New Roman" w:eastAsia="Times New Roman" w:hint="default"/>
          <w:spacing w:val="-1"/>
        </w:rPr>
        <w:t>79</w:t>
      </w:r>
      <w:r>
        <w:rPr>
          <w:rFonts w:ascii="Times New Roman" w:hAnsi="Times New Roman" w:cs="Times New Roman" w:eastAsia="Times New Roman" w:hint="default"/>
        </w:rPr>
        <w:t>1 </w:t>
      </w:r>
      <w:r>
        <w:rPr/>
        <w:t>股</w:t>
      </w:r>
      <w:r>
        <w:rPr>
          <w:spacing w:val="-77"/>
        </w:rPr>
        <w:t>，</w:t>
      </w:r>
      <w:r>
        <w:rPr/>
        <w:t>共新</w:t>
      </w:r>
      <w:r>
        <w:rPr>
          <w:spacing w:val="-2"/>
        </w:rPr>
        <w:t>增</w:t>
      </w:r>
      <w:r>
        <w:rPr/>
        <w:t>股本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99</w:t>
      </w:r>
      <w:r>
        <w:rPr>
          <w:rFonts w:ascii="Times New Roman" w:hAnsi="Times New Roman" w:cs="Times New Roman" w:eastAsia="Times New Roman" w:hint="default"/>
          <w:spacing w:val="-1"/>
        </w:rPr>
        <w:t>,1</w:t>
      </w:r>
      <w:r>
        <w:rPr>
          <w:rFonts w:ascii="Times New Roman" w:hAnsi="Times New Roman" w:cs="Times New Roman" w:eastAsia="Times New Roman" w:hint="default"/>
        </w:rPr>
        <w:t>65 </w:t>
      </w:r>
      <w:r>
        <w:rPr/>
        <w:t>股，</w:t>
      </w:r>
    </w:p>
    <w:p>
      <w:pPr>
        <w:pStyle w:val="BodyText"/>
        <w:spacing w:line="240" w:lineRule="auto" w:before="22"/>
        <w:ind w:left="214" w:right="0"/>
        <w:jc w:val="both"/>
      </w:pPr>
      <w:r>
        <w:rPr/>
        <w:t>发行价格为</w:t>
      </w:r>
      <w:r>
        <w:rPr>
          <w:spacing w:val="-55"/>
        </w:rPr>
        <w:t> </w:t>
      </w:r>
      <w:r>
        <w:rPr>
          <w:rFonts w:ascii="Times New Roman" w:hAnsi="Times New Roman" w:cs="Times New Roman" w:eastAsia="Times New Roman" w:hint="default"/>
        </w:rPr>
        <w:t>81.56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240" w:lineRule="auto" w:before="118"/>
        <w:ind w:left="595"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年限制性股票激励计划——预留授予</w:t>
      </w:r>
    </w:p>
    <w:p>
      <w:pPr>
        <w:pStyle w:val="BodyText"/>
        <w:spacing w:line="240" w:lineRule="auto" w:before="117"/>
        <w:ind w:left="595" w:right="0"/>
        <w:jc w:val="left"/>
      </w:pPr>
      <w:r>
        <w:rPr/>
        <w:t>根据公司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日召开第三届董事会第二十一次会议审议并通过的《关于向激励对象授予预</w:t>
      </w:r>
    </w:p>
    <w:p>
      <w:pPr>
        <w:pStyle w:val="BodyText"/>
        <w:spacing w:line="240" w:lineRule="auto" w:before="118"/>
        <w:ind w:left="214" w:right="0"/>
        <w:jc w:val="both"/>
      </w:pPr>
      <w:r>
        <w:rPr/>
        <w:t>留限制性股票相关事项的议案</w:t>
      </w:r>
      <w:r>
        <w:rPr>
          <w:spacing w:val="-105"/>
        </w:rPr>
        <w:t>》</w:t>
      </w:r>
      <w:r>
        <w:rPr>
          <w:spacing w:val="-38"/>
        </w:rPr>
        <w:t>，</w:t>
      </w:r>
      <w:r>
        <w:rPr>
          <w:spacing w:val="-2"/>
        </w:rPr>
        <w:t>本</w:t>
      </w:r>
      <w:r>
        <w:rPr/>
        <w:t>次向</w:t>
      </w:r>
      <w:r>
        <w:rPr>
          <w:spacing w:val="-53"/>
        </w:rPr>
        <w:t> </w:t>
      </w:r>
      <w:r>
        <w:rPr>
          <w:rFonts w:ascii="Times New Roman" w:hAnsi="Times New Roman" w:cs="Times New Roman" w:eastAsia="Times New Roman" w:hint="default"/>
        </w:rPr>
        <w:t>5 </w:t>
      </w:r>
      <w:r>
        <w:rPr/>
        <w:t>名</w:t>
      </w:r>
      <w:r>
        <w:rPr>
          <w:spacing w:val="-2"/>
        </w:rPr>
        <w:t>激</w:t>
      </w:r>
      <w:r>
        <w:rPr/>
        <w:t>励对象授予预留限制性股票数量为</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股</w:t>
      </w:r>
      <w:r>
        <w:rPr>
          <w:spacing w:val="-38"/>
        </w:rPr>
        <w:t>，</w:t>
      </w:r>
      <w:r>
        <w:rPr>
          <w:spacing w:val="-2"/>
        </w:rPr>
        <w:t>预</w:t>
      </w:r>
      <w:r>
        <w:rPr/>
        <w:t>留限制性</w:t>
      </w:r>
    </w:p>
    <w:p>
      <w:pPr>
        <w:pStyle w:val="BodyText"/>
        <w:spacing w:line="240" w:lineRule="auto" w:before="117"/>
        <w:ind w:left="214" w:right="0"/>
        <w:jc w:val="both"/>
      </w:pPr>
      <w:r>
        <w:rPr/>
        <w:t>股票授予价格</w:t>
      </w:r>
      <w:r>
        <w:rPr>
          <w:spacing w:val="-55"/>
        </w:rPr>
        <w:t> </w:t>
      </w:r>
      <w:r>
        <w:rPr>
          <w:rFonts w:ascii="Times New Roman" w:hAnsi="Times New Roman" w:cs="Times New Roman" w:eastAsia="Times New Roman" w:hint="default"/>
        </w:rPr>
        <w:t>29.77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22"/>
          <w:szCs w:val="22"/>
        </w:rPr>
      </w:pPr>
    </w:p>
    <w:p>
      <w:pPr>
        <w:pStyle w:val="Heading3"/>
        <w:spacing w:line="240" w:lineRule="auto" w:before="151"/>
        <w:ind w:left="214"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32"/>
          <w:szCs w:val="32"/>
        </w:rPr>
      </w:pPr>
    </w:p>
    <w:p>
      <w:pPr>
        <w:spacing w:before="0"/>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386" w:lineRule="auto" w:before="0"/>
        <w:ind w:left="213" w:right="0" w:firstLine="420"/>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月，公司发行新股</w:t>
      </w:r>
      <w:r>
        <w:rPr>
          <w:rFonts w:ascii="Times New Roman" w:hAnsi="Times New Roman" w:cs="Times New Roman" w:eastAsia="Times New Roman" w:hint="default"/>
          <w:spacing w:val="-1"/>
        </w:rPr>
        <w:t>10,299,165</w:t>
      </w:r>
      <w:r>
        <w:rPr>
          <w:spacing w:val="-1"/>
        </w:rPr>
        <w:t>股，总股本由</w:t>
      </w:r>
      <w:r>
        <w:rPr>
          <w:rFonts w:ascii="Times New Roman" w:hAnsi="Times New Roman" w:cs="Times New Roman" w:eastAsia="Times New Roman" w:hint="default"/>
          <w:spacing w:val="-1"/>
        </w:rPr>
        <w:t>5919</w:t>
      </w:r>
      <w:r>
        <w:rPr>
          <w:spacing w:val="-1"/>
        </w:rPr>
        <w:t>万股增至</w:t>
      </w:r>
      <w:r>
        <w:rPr>
          <w:rFonts w:ascii="Times New Roman" w:hAnsi="Times New Roman" w:cs="Times New Roman" w:eastAsia="Times New Roman" w:hint="default"/>
          <w:spacing w:val="-1"/>
        </w:rPr>
        <w:t>69,489,165</w:t>
      </w:r>
      <w:r>
        <w:rPr>
          <w:spacing w:val="-1"/>
        </w:rPr>
        <w:t>股，公司股份总数及股</w:t>
      </w:r>
      <w:r>
        <w:rPr/>
        <w:t> 东结构相应调整，同时导致公司资产及净资产相应增加。</w:t>
      </w:r>
    </w:p>
    <w:p>
      <w:pPr>
        <w:pStyle w:val="BodyText"/>
        <w:spacing w:line="240" w:lineRule="auto" w:before="65"/>
        <w:ind w:left="63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股，总股本由</w:t>
      </w:r>
      <w:r>
        <w:rPr>
          <w:rFonts w:ascii="Times New Roman" w:hAnsi="Times New Roman" w:cs="Times New Roman" w:eastAsia="Times New Roman" w:hint="default"/>
        </w:rPr>
        <w:t>69,489,165</w:t>
      </w:r>
      <w:r>
        <w:rPr/>
        <w:t>股变更为</w:t>
      </w:r>
      <w:r>
        <w:rPr>
          <w:rFonts w:ascii="Times New Roman" w:hAnsi="Times New Roman" w:cs="Times New Roman" w:eastAsia="Times New Roman" w:hint="default"/>
        </w:rPr>
        <w:t>208,467,495</w:t>
      </w:r>
    </w:p>
    <w:p>
      <w:pPr>
        <w:pStyle w:val="BodyText"/>
        <w:spacing w:line="240" w:lineRule="auto" w:before="177"/>
        <w:ind w:left="214" w:right="0"/>
        <w:jc w:val="both"/>
      </w:pPr>
      <w:r>
        <w:rPr/>
        <w:t>股，公司股份总数增加，此次资本公积转增股本未导致公司股东结构、资产和负债结构发生变化。</w:t>
      </w:r>
    </w:p>
    <w:p>
      <w:pPr>
        <w:spacing w:line="240" w:lineRule="auto" w:before="10"/>
        <w:rPr>
          <w:rFonts w:ascii="宋体" w:hAnsi="宋体" w:cs="宋体" w:eastAsia="宋体" w:hint="default"/>
          <w:sz w:val="14"/>
          <w:szCs w:val="14"/>
        </w:rPr>
      </w:pPr>
    </w:p>
    <w:p>
      <w:pPr>
        <w:pStyle w:val="BodyText"/>
        <w:spacing w:line="386" w:lineRule="auto" w:before="0"/>
        <w:ind w:left="214" w:right="0"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月，公司发行新股</w:t>
      </w:r>
      <w:r>
        <w:rPr>
          <w:rFonts w:ascii="Times New Roman" w:hAnsi="Times New Roman" w:cs="Times New Roman" w:eastAsia="Times New Roman" w:hint="default"/>
          <w:spacing w:val="-1"/>
        </w:rPr>
        <w:t>30</w:t>
      </w:r>
      <w:r>
        <w:rPr>
          <w:spacing w:val="-1"/>
        </w:rPr>
        <w:t>万股，总股票由于</w:t>
      </w:r>
      <w:r>
        <w:rPr>
          <w:rFonts w:ascii="Times New Roman" w:hAnsi="Times New Roman" w:cs="Times New Roman" w:eastAsia="Times New Roman" w:hint="default"/>
          <w:spacing w:val="-1"/>
        </w:rPr>
        <w:t>208,467,495</w:t>
      </w:r>
      <w:r>
        <w:rPr>
          <w:spacing w:val="-1"/>
        </w:rPr>
        <w:t>股增至</w:t>
      </w:r>
      <w:r>
        <w:rPr>
          <w:rFonts w:ascii="Times New Roman" w:hAnsi="Times New Roman" w:cs="Times New Roman" w:eastAsia="Times New Roman" w:hint="default"/>
          <w:spacing w:val="-1"/>
        </w:rPr>
        <w:t>208,767,495</w:t>
      </w:r>
      <w:r>
        <w:rPr>
          <w:spacing w:val="-1"/>
        </w:rPr>
        <w:t>股，公司股份总数及</w:t>
      </w:r>
      <w:r>
        <w:rPr/>
        <w:t> 股东结构相应调整，同时导致公司资产及净资产相应增加。</w:t>
      </w:r>
    </w:p>
    <w:p>
      <w:pPr>
        <w:pStyle w:val="BodyText"/>
        <w:spacing w:line="240" w:lineRule="auto" w:before="65"/>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股，总股本由</w:t>
      </w:r>
      <w:r>
        <w:rPr>
          <w:rFonts w:ascii="Times New Roman" w:hAnsi="Times New Roman" w:cs="Times New Roman" w:eastAsia="Times New Roman" w:hint="default"/>
        </w:rPr>
        <w:t>208,767,495</w:t>
      </w:r>
      <w:r>
        <w:rPr/>
        <w:t>股变更为</w:t>
      </w:r>
      <w:r>
        <w:rPr>
          <w:rFonts w:ascii="Times New Roman" w:hAnsi="Times New Roman" w:cs="Times New Roman" w:eastAsia="Times New Roman" w:hint="default"/>
        </w:rPr>
        <w:t>417,534,990</w:t>
      </w:r>
    </w:p>
    <w:p>
      <w:pPr>
        <w:pStyle w:val="BodyText"/>
        <w:spacing w:line="240" w:lineRule="auto" w:before="177"/>
        <w:ind w:left="214" w:right="0"/>
        <w:jc w:val="both"/>
      </w:pPr>
      <w:r>
        <w:rPr/>
        <w:t>股，公司股份总数增加，此次资本公积转增股本未导致公司股东结构、资产和负债结构发生变化。</w:t>
      </w:r>
    </w:p>
    <w:p>
      <w:pPr>
        <w:spacing w:line="240" w:lineRule="auto" w:before="0"/>
        <w:rPr>
          <w:rFonts w:ascii="宋体" w:hAnsi="宋体" w:cs="宋体" w:eastAsia="宋体" w:hint="default"/>
          <w:sz w:val="20"/>
          <w:szCs w:val="20"/>
        </w:rPr>
      </w:pPr>
    </w:p>
    <w:p>
      <w:pPr>
        <w:pStyle w:val="Heading3"/>
        <w:spacing w:line="240" w:lineRule="auto" w:before="154"/>
        <w:ind w:left="214"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214" w:right="0"/>
        <w:jc w:val="both"/>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24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18"/>
        <w:gridCol w:w="276"/>
        <w:gridCol w:w="940"/>
        <w:gridCol w:w="226"/>
        <w:gridCol w:w="965"/>
        <w:gridCol w:w="1094"/>
        <w:gridCol w:w="244"/>
        <w:gridCol w:w="470"/>
        <w:gridCol w:w="746"/>
        <w:gridCol w:w="407"/>
        <w:gridCol w:w="824"/>
        <w:gridCol w:w="203"/>
        <w:gridCol w:w="870"/>
        <w:gridCol w:w="146"/>
        <w:gridCol w:w="1118"/>
      </w:tblGrid>
      <w:tr>
        <w:trPr>
          <w:trHeight w:val="2274" w:hRule="exact"/>
        </w:trPr>
        <w:tc>
          <w:tcPr>
            <w:tcW w:w="12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203"/>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17,802</w:t>
            </w:r>
          </w:p>
        </w:tc>
        <w:tc>
          <w:tcPr>
            <w:tcW w:w="119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1" w:right="177"/>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0" w:right="0"/>
              <w:jc w:val="left"/>
              <w:rPr>
                <w:rFonts w:ascii="Times New Roman" w:hAnsi="Times New Roman" w:cs="Times New Roman" w:eastAsia="Times New Roman" w:hint="default"/>
                <w:sz w:val="18"/>
                <w:szCs w:val="18"/>
              </w:rPr>
            </w:pPr>
            <w:r>
              <w:rPr>
                <w:rFonts w:ascii="Times New Roman"/>
                <w:sz w:val="18"/>
              </w:rPr>
              <w:t>17,802</w:t>
            </w:r>
          </w:p>
        </w:tc>
        <w:tc>
          <w:tcPr>
            <w:tcW w:w="121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21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204"/>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03" w:right="114"/>
              <w:jc w:val="both"/>
              <w:rPr>
                <w:rFonts w:ascii="宋体" w:hAnsi="宋体" w:cs="宋体" w:eastAsia="宋体" w:hint="default"/>
                <w:sz w:val="18"/>
                <w:szCs w:val="18"/>
              </w:rPr>
            </w:pPr>
            <w:r>
              <w:rPr>
                <w:rFonts w:ascii="宋体" w:hAnsi="宋体" w:cs="宋体" w:eastAsia="宋体" w:hint="default"/>
                <w:spacing w:val="-15"/>
                <w:sz w:val="18"/>
                <w:szCs w:val="18"/>
              </w:rPr>
              <w:t>（如有）（参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748" w:type="dxa"/>
            <w:gridSpan w:val="1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94"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65"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94" w:type="dxa"/>
            <w:vMerge w:val="restart"/>
            <w:tcBorders>
              <w:top w:val="single" w:sz="4" w:space="0" w:color="000000"/>
              <w:left w:val="single" w:sz="4" w:space="0" w:color="000000"/>
              <w:right w:val="single" w:sz="4" w:space="0" w:color="000000"/>
            </w:tcBorders>
          </w:tcPr>
          <w:p>
            <w:pPr>
              <w:pStyle w:val="TableParagraph"/>
              <w:spacing w:line="319" w:lineRule="auto" w:before="51"/>
              <w:ind w:left="259" w:right="10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14"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171" w:right="170"/>
              <w:jc w:val="both"/>
              <w:rPr>
                <w:rFonts w:ascii="宋体" w:hAnsi="宋体" w:cs="宋体" w:eastAsia="宋体" w:hint="default"/>
                <w:sz w:val="18"/>
                <w:szCs w:val="18"/>
              </w:rPr>
            </w:pPr>
            <w:r>
              <w:rPr>
                <w:rFonts w:ascii="宋体" w:hAnsi="宋体" w:cs="宋体" w:eastAsia="宋体" w:hint="default"/>
                <w:sz w:val="18"/>
                <w:szCs w:val="18"/>
              </w:rPr>
              <w:t>报告 期内 增减 变动 情况</w:t>
            </w:r>
          </w:p>
        </w:tc>
        <w:tc>
          <w:tcPr>
            <w:tcW w:w="1153"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121" w:right="12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27"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147" w:right="14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248" w:hRule="exact"/>
        </w:trPr>
        <w:tc>
          <w:tcPr>
            <w:tcW w:w="1494" w:type="dxa"/>
            <w:gridSpan w:val="2"/>
            <w:vMerge/>
            <w:tcBorders>
              <w:left w:val="single" w:sz="4" w:space="0" w:color="000000"/>
              <w:bottom w:val="single" w:sz="4" w:space="0" w:color="000000"/>
              <w:right w:val="single" w:sz="4" w:space="0" w:color="000000"/>
            </w:tcBorders>
          </w:tcPr>
          <w:p>
            <w:pPr/>
          </w:p>
        </w:tc>
        <w:tc>
          <w:tcPr>
            <w:tcW w:w="1165" w:type="dxa"/>
            <w:gridSpan w:val="2"/>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714" w:type="dxa"/>
            <w:gridSpan w:val="2"/>
            <w:vMerge/>
            <w:tcBorders>
              <w:left w:val="single" w:sz="4" w:space="0" w:color="000000"/>
              <w:bottom w:val="single" w:sz="4" w:space="0" w:color="000000"/>
              <w:right w:val="single" w:sz="4" w:space="0" w:color="000000"/>
            </w:tcBorders>
          </w:tcPr>
          <w:p>
            <w:pPr/>
          </w:p>
        </w:tc>
        <w:tc>
          <w:tcPr>
            <w:tcW w:w="1153" w:type="dxa"/>
            <w:gridSpan w:val="2"/>
            <w:vMerge/>
            <w:tcBorders>
              <w:left w:val="single" w:sz="4" w:space="0" w:color="000000"/>
              <w:bottom w:val="single" w:sz="4" w:space="0" w:color="000000"/>
              <w:right w:val="single" w:sz="4" w:space="0" w:color="000000"/>
            </w:tcBorders>
          </w:tcPr>
          <w:p>
            <w:pPr/>
          </w:p>
        </w:tc>
        <w:tc>
          <w:tcPr>
            <w:tcW w:w="1027" w:type="dxa"/>
            <w:gridSpan w:val="2"/>
            <w:vMerge/>
            <w:tcBorders>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9" w:right="158"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31.79%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132,740,904</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132,740,904</w:t>
            </w:r>
          </w:p>
        </w:tc>
        <w:tc>
          <w:tcPr>
            <w:tcW w:w="1027"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54,380,000</w:t>
            </w:r>
          </w:p>
        </w:tc>
      </w:tr>
      <w:tr>
        <w:trPr>
          <w:trHeight w:val="402"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8.68%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36,228,690</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36,228,690</w:t>
            </w:r>
          </w:p>
        </w:tc>
        <w:tc>
          <w:tcPr>
            <w:tcW w:w="1027"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4.64%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19,402,000</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14,551,500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4,850,500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1,530,000</w:t>
            </w:r>
          </w:p>
        </w:tc>
      </w:tr>
      <w:tr>
        <w:trPr>
          <w:trHeight w:val="402"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4.19%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17,481,264</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13,110,948</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4,370,316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9,960,000</w:t>
            </w:r>
          </w:p>
        </w:tc>
      </w:tr>
      <w:tr>
        <w:trPr>
          <w:trHeight w:val="1338"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商盛世成长混合 型证券投资基金</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2.99%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12,481,041</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12,481,041</w:t>
            </w:r>
          </w:p>
        </w:tc>
        <w:tc>
          <w:tcPr>
            <w:tcW w:w="870"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2.55%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10,658,362</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7,993,770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2,664,592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1,900,600</w:t>
            </w:r>
          </w:p>
        </w:tc>
      </w:tr>
      <w:tr>
        <w:trPr>
          <w:trHeight w:val="402"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2.55%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10,658,362</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7,975,020</w:t>
            </w: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2,658,342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7,000,000</w:t>
            </w:r>
          </w:p>
        </w:tc>
      </w:tr>
      <w:tr>
        <w:trPr>
          <w:trHeight w:val="1338"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7"/>
              <w:jc w:val="both"/>
              <w:rPr>
                <w:rFonts w:ascii="宋体" w:hAnsi="宋体" w:cs="宋体" w:eastAsia="宋体" w:hint="default"/>
                <w:sz w:val="18"/>
                <w:szCs w:val="18"/>
              </w:rPr>
            </w:pPr>
            <w:r>
              <w:rPr>
                <w:rFonts w:ascii="宋体" w:hAnsi="宋体" w:cs="宋体" w:eastAsia="宋体" w:hint="default"/>
                <w:sz w:val="18"/>
                <w:szCs w:val="18"/>
              </w:rPr>
              <w:t>九泰基金－工商 银行－九泰基金 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r>
              <w:rPr>
                <w:rFonts w:ascii="宋体" w:hAnsi="宋体" w:cs="宋体" w:eastAsia="宋体" w:hint="default"/>
                <w:spacing w:val="1"/>
                <w:sz w:val="18"/>
                <w:szCs w:val="18"/>
              </w:rPr>
              <w:t> </w:t>
            </w:r>
            <w:r>
              <w:rPr>
                <w:rFonts w:ascii="宋体" w:hAnsi="宋体" w:cs="宋体" w:eastAsia="宋体" w:hint="default"/>
                <w:sz w:val="18"/>
                <w:szCs w:val="18"/>
              </w:rPr>
              <w:t>产管理计划</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pacing w:val="-2"/>
                <w:sz w:val="18"/>
              </w:rPr>
              <w:t>2.11%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8,827,854</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8,827,854</w:t>
            </w:r>
          </w:p>
        </w:tc>
        <w:tc>
          <w:tcPr>
            <w:tcW w:w="1027"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中国建设银行股 份有限公司－华 商价值精选混合 型证券投资基金</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1.87%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7,811,094</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7,811,094</w:t>
            </w:r>
          </w:p>
        </w:tc>
        <w:tc>
          <w:tcPr>
            <w:tcW w:w="870"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上海祥禾泓安股 权投资合伙企业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6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3"/>
              <w:jc w:val="right"/>
              <w:rPr>
                <w:rFonts w:ascii="Times New Roman" w:hAnsi="Times New Roman" w:cs="Times New Roman" w:eastAsia="Times New Roman" w:hint="default"/>
                <w:sz w:val="18"/>
                <w:szCs w:val="18"/>
              </w:rPr>
            </w:pPr>
            <w:r>
              <w:rPr>
                <w:rFonts w:ascii="Times New Roman"/>
                <w:sz w:val="18"/>
              </w:rPr>
              <w:t>1.73%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7,222,794</w:t>
            </w:r>
          </w:p>
        </w:tc>
        <w:tc>
          <w:tcPr>
            <w:tcW w:w="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7,222,794</w:t>
            </w:r>
          </w:p>
        </w:tc>
        <w:tc>
          <w:tcPr>
            <w:tcW w:w="870" w:type="dxa"/>
            <w:tcBorders>
              <w:top w:val="single" w:sz="4" w:space="0" w:color="000000"/>
              <w:left w:val="single" w:sz="4" w:space="0" w:color="000000"/>
              <w:bottom w:val="single" w:sz="4" w:space="0" w:color="000000"/>
              <w:right w:val="single" w:sz="4" w:space="0" w:color="000000"/>
            </w:tcBorders>
          </w:tcPr>
          <w:p>
            <w:pPr/>
          </w:p>
        </w:tc>
        <w:tc>
          <w:tcPr>
            <w:tcW w:w="1265"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5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九泰基金－工商银行－九泰基金慧通定增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号资产管理计划参与公司发行股份购买竹园</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的股权的募集配套资金的认购，成为公司前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大股东。锁定期为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86" w:hRule="exact"/>
        </w:trPr>
        <w:tc>
          <w:tcPr>
            <w:tcW w:w="265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公司有限售条件股东之间不存在关联关系，也不属于《上市公司收购管理办法》规定的 </w:t>
            </w:r>
            <w:r>
              <w:rPr>
                <w:rFonts w:ascii="宋体" w:hAnsi="宋体" w:cs="宋体" w:eastAsia="宋体" w:hint="default"/>
                <w:spacing w:val="-4"/>
                <w:sz w:val="18"/>
                <w:szCs w:val="18"/>
              </w:rPr>
              <w:t>一致行动人。有限售条件股东与上述无限售条件股东之间不存在关联关系，也不属于《上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市公司收购管理办法》规定的一致行动人。公司未知无限售条件股东相互之间是否存在</w:t>
            </w:r>
          </w:p>
        </w:tc>
      </w:tr>
    </w:tbl>
    <w:p>
      <w:pPr>
        <w:spacing w:after="0" w:line="316" w:lineRule="auto"/>
        <w:jc w:val="both"/>
        <w:rPr>
          <w:rFonts w:ascii="宋体" w:hAnsi="宋体" w:cs="宋体" w:eastAsia="宋体" w:hint="default"/>
          <w:sz w:val="18"/>
          <w:szCs w:val="18"/>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659"/>
        <w:gridCol w:w="509"/>
        <w:gridCol w:w="3928"/>
        <w:gridCol w:w="1387"/>
        <w:gridCol w:w="1265"/>
      </w:tblGrid>
      <w:tr>
        <w:trPr>
          <w:trHeight w:val="362" w:hRule="exact"/>
        </w:trPr>
        <w:tc>
          <w:tcPr>
            <w:tcW w:w="2659" w:type="dxa"/>
            <w:tcBorders>
              <w:top w:val="single" w:sz="4" w:space="0" w:color="000000"/>
              <w:left w:val="single" w:sz="4" w:space="0" w:color="000000"/>
              <w:bottom w:val="single" w:sz="4" w:space="0" w:color="000000"/>
              <w:right w:val="single" w:sz="4" w:space="0" w:color="000000"/>
            </w:tcBorders>
          </w:tcPr>
          <w:p>
            <w:pPr/>
          </w:p>
        </w:tc>
        <w:tc>
          <w:tcPr>
            <w:tcW w:w="70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关联关系，也未知是否属于一致行动人。</w:t>
            </w:r>
          </w:p>
        </w:tc>
      </w:tr>
      <w:tr>
        <w:trPr>
          <w:trHeight w:val="402" w:hRule="exact"/>
        </w:trPr>
        <w:tc>
          <w:tcPr>
            <w:tcW w:w="974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168"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28" w:type="dxa"/>
            <w:vMerge w:val="restart"/>
            <w:tcBorders>
              <w:top w:val="single" w:sz="4" w:space="0" w:color="000000"/>
              <w:left w:val="single" w:sz="4" w:space="0" w:color="000000"/>
              <w:right w:val="single" w:sz="4" w:space="0" w:color="000000"/>
            </w:tcBorders>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168" w:type="dxa"/>
            <w:gridSpan w:val="2"/>
            <w:vMerge/>
            <w:tcBorders>
              <w:left w:val="single" w:sz="4" w:space="0" w:color="000000"/>
              <w:bottom w:val="single" w:sz="4" w:space="0" w:color="000000"/>
              <w:right w:val="single" w:sz="4" w:space="0" w:color="000000"/>
            </w:tcBorders>
          </w:tcPr>
          <w:p>
            <w:pPr/>
          </w:p>
        </w:tc>
        <w:tc>
          <w:tcPr>
            <w:tcW w:w="3928"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中国建设银行股份有限公司－华商盛 世成长混合型证券投资基金</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12,481,041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12,481,041</w:t>
            </w:r>
          </w:p>
        </w:tc>
      </w:tr>
      <w:tr>
        <w:trPr>
          <w:trHeight w:val="714"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中国建设银行股份有限公司－华商价 值精选混合型证券投资基金</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7,811,094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7,811,094</w:t>
            </w:r>
          </w:p>
        </w:tc>
      </w:tr>
      <w:tr>
        <w:trPr>
          <w:trHeight w:val="402"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4,850,500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4,850,500</w:t>
            </w:r>
          </w:p>
        </w:tc>
      </w:tr>
      <w:tr>
        <w:trPr>
          <w:trHeight w:val="1026"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中国工商银行股份有限公司－华商创 新成长灵活配置混合型发起式证券投 资基金</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4,748,268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4,748,268</w:t>
            </w:r>
          </w:p>
        </w:tc>
      </w:tr>
      <w:tr>
        <w:trPr>
          <w:trHeight w:val="402"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4,370,316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4,370,316</w:t>
            </w:r>
          </w:p>
        </w:tc>
      </w:tr>
      <w:tr>
        <w:trPr>
          <w:trHeight w:val="402"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王君</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4,002,365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4,002,365</w:t>
            </w:r>
          </w:p>
        </w:tc>
      </w:tr>
      <w:tr>
        <w:trPr>
          <w:trHeight w:val="402"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北京嘉俪九鼎投资中心（有限合伙）</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3,780,000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3,780,000</w:t>
            </w:r>
          </w:p>
        </w:tc>
      </w:tr>
      <w:tr>
        <w:trPr>
          <w:trHeight w:val="714"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嘉实基金－建设银行－中国人寿－中 国人寿委托嘉实基金公司混合型组合</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3,304,716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3,304,716</w:t>
            </w:r>
          </w:p>
        </w:tc>
      </w:tr>
      <w:tr>
        <w:trPr>
          <w:trHeight w:val="402"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全国社保基金一零九组合</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3,248,964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3,248,964</w:t>
            </w:r>
          </w:p>
        </w:tc>
      </w:tr>
      <w:tr>
        <w:trPr>
          <w:trHeight w:val="402"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林美美</w:t>
            </w:r>
          </w:p>
        </w:tc>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2,744,038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2,744,038</w:t>
            </w:r>
          </w:p>
        </w:tc>
      </w:tr>
      <w:tr>
        <w:trPr>
          <w:trHeight w:val="1026"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名无限售流通股股东之间，以及</w:t>
            </w:r>
          </w:p>
          <w:p>
            <w:pPr>
              <w:pStyle w:val="TableParagraph"/>
              <w:spacing w:line="302" w:lineRule="auto" w:before="61"/>
              <w:ind w:left="103" w:right="17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5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4"/>
              <w:jc w:val="left"/>
              <w:rPr>
                <w:rFonts w:ascii="宋体" w:hAnsi="宋体" w:cs="宋体" w:eastAsia="宋体" w:hint="default"/>
                <w:sz w:val="18"/>
                <w:szCs w:val="18"/>
              </w:rPr>
            </w:pPr>
            <w:r>
              <w:rPr>
                <w:rFonts w:ascii="宋体" w:hAnsi="宋体" w:cs="宋体" w:eastAsia="宋体" w:hint="default"/>
                <w:sz w:val="18"/>
                <w:szCs w:val="18"/>
              </w:rPr>
              <w:t>公司未知无限售条件股东相互之间是否存在关联关系，也未知是否属于一致行动 人。</w:t>
            </w:r>
          </w:p>
        </w:tc>
      </w:tr>
      <w:tr>
        <w:trPr>
          <w:trHeight w:val="714" w:hRule="exact"/>
        </w:trPr>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名普通股股东参与融资融券业务 </w:t>
            </w:r>
            <w:r>
              <w:rPr>
                <w:rFonts w:ascii="宋体" w:hAnsi="宋体" w:cs="宋体" w:eastAsia="宋体" w:hint="default"/>
                <w:spacing w:val="-8"/>
                <w:sz w:val="18"/>
                <w:szCs w:val="18"/>
              </w:rPr>
              <w:t>情况说明（如有）（参见注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5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2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214"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213" w:right="761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20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21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after="0"/>
        <w:jc w:val="left"/>
        <w:rPr>
          <w:rFonts w:ascii="宋体" w:hAnsi="宋体" w:cs="宋体" w:eastAsia="宋体" w:hint="default"/>
          <w:sz w:val="18"/>
          <w:szCs w:val="18"/>
        </w:rPr>
        <w:sectPr>
          <w:pgSz w:w="11910" w:h="16840"/>
          <w:pgMar w:header="877" w:footer="982" w:top="1100" w:bottom="1180" w:left="920" w:right="980"/>
        </w:sectPr>
      </w:pPr>
    </w:p>
    <w:p>
      <w:pPr>
        <w:spacing w:line="240" w:lineRule="auto" w:before="13"/>
        <w:rPr>
          <w:rFonts w:ascii="宋体" w:hAnsi="宋体" w:cs="宋体" w:eastAsia="宋体" w:hint="default"/>
          <w:sz w:val="21"/>
          <w:szCs w:val="21"/>
        </w:rPr>
      </w:pPr>
    </w:p>
    <w:p>
      <w:pPr>
        <w:spacing w:line="338" w:lineRule="auto" w:before="44"/>
        <w:ind w:left="153" w:right="70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148"/>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w:t>
      </w:r>
      <w:r>
        <w:rPr>
          <w:rFonts w:ascii="宋体" w:hAnsi="宋体" w:cs="宋体" w:eastAsia="宋体" w:hint="default"/>
          <w:w w:val="99"/>
          <w:sz w:val="18"/>
          <w:szCs w:val="18"/>
        </w:rPr>
        <w:t> </w:t>
      </w:r>
      <w:r>
        <w:rPr>
          <w:rFonts w:ascii="宋体" w:hAnsi="宋体" w:cs="宋体" w:eastAsia="宋体" w:hint="default"/>
          <w:sz w:val="18"/>
          <w:szCs w:val="18"/>
        </w:rPr>
        <w:t>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公司董事长兼总经理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bl>
    <w:p>
      <w:pPr>
        <w:spacing w:before="65"/>
        <w:ind w:left="154" w:right="148"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公司报告期实际控制人未发生变更。</w:t>
      </w:r>
      <w:r>
        <w:rPr>
          <w:rFonts w:ascii="宋体" w:hAnsi="宋体" w:cs="宋体" w:eastAsia="宋体" w:hint="default"/>
          <w:w w:val="99"/>
          <w:sz w:val="18"/>
          <w:szCs w:val="18"/>
        </w:rPr>
        <w:t> </w:t>
      </w:r>
      <w:r>
        <w:rPr>
          <w:rFonts w:ascii="宋体" w:hAnsi="宋体" w:cs="宋体" w:eastAsia="宋体" w:hint="default"/>
          <w:sz w:val="18"/>
          <w:szCs w:val="18"/>
        </w:rPr>
        <w:t>公司与实际控制人之间的产权及控制关系的方框图</w:t>
      </w:r>
    </w:p>
    <w:p>
      <w:pPr>
        <w:spacing w:line="240" w:lineRule="auto" w:before="4"/>
        <w:rPr>
          <w:rFonts w:ascii="宋体" w:hAnsi="宋体" w:cs="宋体" w:eastAsia="宋体" w:hint="default"/>
          <w:sz w:val="22"/>
          <w:szCs w:val="22"/>
        </w:rPr>
      </w:pPr>
    </w:p>
    <w:p>
      <w:pPr>
        <w:spacing w:line="2877" w:lineRule="exact"/>
        <w:ind w:left="216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542892" cy="182746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3542892" cy="1827466"/>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6"/>
        <w:rPr>
          <w:rFonts w:ascii="宋体" w:hAnsi="宋体" w:cs="宋体" w:eastAsia="宋体" w:hint="default"/>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4</w:t>
      </w:r>
      <w:r>
        <w:rPr/>
        <w:t>、其他持股在</w:t>
      </w:r>
      <w:r>
        <w:rPr>
          <w:spacing w:val="-59"/>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38" w:right="148"/>
        <w:jc w:val="left"/>
        <w:rPr>
          <w:b w:val="0"/>
          <w:bCs w:val="0"/>
        </w:rPr>
      </w:pPr>
      <w:bookmarkStart w:name="_TOC_250004" w:id="8"/>
      <w:r>
        <w:rPr/>
        <w:t>第七节</w:t>
      </w:r>
      <w:r>
        <w:rPr>
          <w:spacing w:val="-8"/>
        </w:rPr>
        <w:t> </w:t>
      </w:r>
      <w:r>
        <w:rPr/>
        <w:t>优先股相关情况</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32" w:right="148"/>
        <w:jc w:val="left"/>
        <w:rPr>
          <w:b w:val="0"/>
          <w:bCs w:val="0"/>
        </w:rPr>
      </w:pPr>
      <w:bookmarkStart w:name="_TOC_250003" w:id="9"/>
      <w:r>
        <w:rPr/>
        <w:t>第八节</w:t>
      </w:r>
      <w:r>
        <w:rPr>
          <w:spacing w:val="-17"/>
        </w:rPr>
        <w:t> </w:t>
      </w:r>
      <w:r>
        <w:rPr/>
        <w:t>董事、监事、高级管理人员和员工情况</w:t>
      </w:r>
      <w:bookmarkEnd w:id="9"/>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8"/>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66"/>
        <w:gridCol w:w="425"/>
        <w:gridCol w:w="992"/>
        <w:gridCol w:w="992"/>
        <w:gridCol w:w="992"/>
        <w:gridCol w:w="850"/>
        <w:gridCol w:w="709"/>
        <w:gridCol w:w="992"/>
        <w:gridCol w:w="925"/>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32" w:right="0"/>
              <w:jc w:val="left"/>
              <w:rPr>
                <w:rFonts w:ascii="宋体" w:hAnsi="宋体" w:cs="宋体" w:eastAsia="宋体" w:hint="default"/>
                <w:sz w:val="16"/>
                <w:szCs w:val="16"/>
              </w:rPr>
            </w:pPr>
            <w:r>
              <w:rPr>
                <w:rFonts w:ascii="宋体" w:hAnsi="宋体" w:cs="宋体" w:eastAsia="宋体" w:hint="default"/>
                <w:sz w:val="16"/>
                <w:szCs w:val="16"/>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32" w:right="0"/>
              <w:jc w:val="left"/>
              <w:rPr>
                <w:rFonts w:ascii="宋体" w:hAnsi="宋体" w:cs="宋体" w:eastAsia="宋体" w:hint="default"/>
                <w:sz w:val="16"/>
                <w:szCs w:val="16"/>
              </w:rPr>
            </w:pPr>
            <w:r>
              <w:rPr>
                <w:rFonts w:ascii="宋体" w:hAnsi="宋体" w:cs="宋体" w:eastAsia="宋体" w:hint="default"/>
                <w:sz w:val="16"/>
                <w:szCs w:val="16"/>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57" w:lineRule="auto"/>
              <w:ind w:left="100" w:right="101"/>
              <w:jc w:val="left"/>
              <w:rPr>
                <w:rFonts w:ascii="宋体" w:hAnsi="宋体" w:cs="宋体" w:eastAsia="宋体" w:hint="default"/>
                <w:sz w:val="16"/>
                <w:szCs w:val="16"/>
              </w:rPr>
            </w:pPr>
            <w:r>
              <w:rPr>
                <w:rFonts w:ascii="宋体" w:hAnsi="宋体" w:cs="宋体" w:eastAsia="宋体" w:hint="default"/>
                <w:sz w:val="16"/>
                <w:szCs w:val="16"/>
              </w:rPr>
              <w:t>任职</w:t>
            </w:r>
            <w:r>
              <w:rPr>
                <w:rFonts w:ascii="宋体" w:hAnsi="宋体" w:cs="宋体" w:eastAsia="宋体" w:hint="default"/>
                <w:w w:val="99"/>
                <w:sz w:val="16"/>
                <w:szCs w:val="16"/>
              </w:rPr>
              <w:t> </w:t>
            </w:r>
            <w:r>
              <w:rPr>
                <w:rFonts w:ascii="宋体" w:hAnsi="宋体" w:cs="宋体" w:eastAsia="宋体" w:hint="default"/>
                <w:sz w:val="16"/>
                <w:szCs w:val="16"/>
              </w:rPr>
              <w:t>状态</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6"/>
                <w:szCs w:val="16"/>
              </w:rPr>
            </w:pPr>
            <w:r>
              <w:rPr>
                <w:rFonts w:ascii="宋体" w:hAnsi="宋体" w:cs="宋体" w:eastAsia="宋体" w:hint="default"/>
                <w:sz w:val="16"/>
                <w:szCs w:val="16"/>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47"/>
              <w:jc w:val="right"/>
              <w:rPr>
                <w:rFonts w:ascii="宋体" w:hAnsi="宋体" w:cs="宋体" w:eastAsia="宋体" w:hint="default"/>
                <w:sz w:val="16"/>
                <w:szCs w:val="16"/>
              </w:rPr>
            </w:pPr>
            <w:r>
              <w:rPr>
                <w:rFonts w:ascii="宋体" w:hAnsi="宋体" w:cs="宋体" w:eastAsia="宋体" w:hint="default"/>
                <w:w w:val="95"/>
                <w:sz w:val="16"/>
                <w:szCs w:val="16"/>
              </w:rPr>
              <w:t>年龄</w:t>
            </w:r>
            <w:r>
              <w:rPr>
                <w:rFonts w:ascii="宋体" w:hAnsi="宋体" w:cs="宋体" w:eastAsia="宋体" w:hint="default"/>
                <w:sz w:val="16"/>
                <w:szCs w:val="16"/>
              </w:rPr>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57" w:lineRule="auto"/>
              <w:ind w:left="410" w:right="91" w:hanging="321"/>
              <w:jc w:val="left"/>
              <w:rPr>
                <w:rFonts w:ascii="宋体" w:hAnsi="宋体" w:cs="宋体" w:eastAsia="宋体" w:hint="default"/>
                <w:sz w:val="16"/>
                <w:szCs w:val="16"/>
              </w:rPr>
            </w:pPr>
            <w:r>
              <w:rPr>
                <w:rFonts w:ascii="宋体" w:hAnsi="宋体" w:cs="宋体" w:eastAsia="宋体" w:hint="default"/>
                <w:sz w:val="16"/>
                <w:szCs w:val="16"/>
              </w:rPr>
              <w:t>任期起始日</w:t>
            </w:r>
            <w:r>
              <w:rPr>
                <w:rFonts w:ascii="宋体" w:hAnsi="宋体" w:cs="宋体" w:eastAsia="宋体" w:hint="default"/>
                <w:w w:val="99"/>
                <w:sz w:val="16"/>
                <w:szCs w:val="16"/>
              </w:rPr>
              <w:t> </w:t>
            </w:r>
            <w:r>
              <w:rPr>
                <w:rFonts w:ascii="宋体" w:hAnsi="宋体" w:cs="宋体" w:eastAsia="宋体" w:hint="default"/>
                <w:sz w:val="16"/>
                <w:szCs w:val="16"/>
              </w:rPr>
              <w:t>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57" w:lineRule="auto"/>
              <w:ind w:left="410" w:right="91" w:hanging="321"/>
              <w:jc w:val="left"/>
              <w:rPr>
                <w:rFonts w:ascii="宋体" w:hAnsi="宋体" w:cs="宋体" w:eastAsia="宋体" w:hint="default"/>
                <w:sz w:val="16"/>
                <w:szCs w:val="16"/>
              </w:rPr>
            </w:pPr>
            <w:r>
              <w:rPr>
                <w:rFonts w:ascii="宋体" w:hAnsi="宋体" w:cs="宋体" w:eastAsia="宋体" w:hint="default"/>
                <w:sz w:val="16"/>
                <w:szCs w:val="16"/>
              </w:rPr>
              <w:t>任期终止日</w:t>
            </w:r>
            <w:r>
              <w:rPr>
                <w:rFonts w:ascii="宋体" w:hAnsi="宋体" w:cs="宋体" w:eastAsia="宋体" w:hint="default"/>
                <w:w w:val="99"/>
                <w:sz w:val="16"/>
                <w:szCs w:val="16"/>
              </w:rPr>
              <w:t> </w:t>
            </w:r>
            <w:r>
              <w:rPr>
                <w:rFonts w:ascii="宋体" w:hAnsi="宋体" w:cs="宋体" w:eastAsia="宋体" w:hint="default"/>
                <w:sz w:val="16"/>
                <w:szCs w:val="16"/>
              </w:rPr>
              <w:t>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期初持股数</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5" w:lineRule="auto" w:before="67"/>
              <w:ind w:left="99" w:right="101"/>
              <w:jc w:val="left"/>
              <w:rPr>
                <w:rFonts w:ascii="宋体" w:hAnsi="宋体" w:cs="宋体" w:eastAsia="宋体" w:hint="default"/>
                <w:sz w:val="16"/>
                <w:szCs w:val="16"/>
              </w:rPr>
            </w:pPr>
            <w:r>
              <w:rPr>
                <w:rFonts w:ascii="宋体" w:hAnsi="宋体" w:cs="宋体" w:eastAsia="宋体" w:hint="default"/>
                <w:sz w:val="16"/>
                <w:szCs w:val="16"/>
              </w:rPr>
              <w:t>本期增持</w:t>
            </w:r>
            <w:r>
              <w:rPr>
                <w:rFonts w:ascii="宋体" w:hAnsi="宋体" w:cs="宋体" w:eastAsia="宋体" w:hint="default"/>
                <w:w w:val="99"/>
                <w:sz w:val="16"/>
                <w:szCs w:val="16"/>
              </w:rPr>
              <w:t> </w:t>
            </w:r>
            <w:r>
              <w:rPr>
                <w:rFonts w:ascii="宋体" w:hAnsi="宋体" w:cs="宋体" w:eastAsia="宋体" w:hint="default"/>
                <w:sz w:val="16"/>
                <w:szCs w:val="16"/>
              </w:rPr>
              <w:t>股份数量</w:t>
            </w:r>
          </w:p>
          <w:p>
            <w:pPr>
              <w:pStyle w:val="TableParagraph"/>
              <w:spacing w:line="240" w:lineRule="auto" w:before="27"/>
              <w:ind w:left="179" w:right="0"/>
              <w:jc w:val="left"/>
              <w:rPr>
                <w:rFonts w:ascii="宋体" w:hAnsi="宋体" w:cs="宋体" w:eastAsia="宋体" w:hint="default"/>
                <w:sz w:val="16"/>
                <w:szCs w:val="16"/>
              </w:rPr>
            </w:pPr>
            <w:r>
              <w:rPr>
                <w:rFonts w:ascii="宋体" w:hAnsi="宋体" w:cs="宋体" w:eastAsia="宋体" w:hint="default"/>
                <w:sz w:val="16"/>
                <w:szCs w:val="16"/>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55" w:lineRule="auto" w:before="67"/>
              <w:ind w:left="30" w:right="29"/>
              <w:jc w:val="left"/>
              <w:rPr>
                <w:rFonts w:ascii="宋体" w:hAnsi="宋体" w:cs="宋体" w:eastAsia="宋体" w:hint="default"/>
                <w:sz w:val="16"/>
                <w:szCs w:val="16"/>
              </w:rPr>
            </w:pPr>
            <w:r>
              <w:rPr>
                <w:rFonts w:ascii="宋体" w:hAnsi="宋体" w:cs="宋体" w:eastAsia="宋体" w:hint="default"/>
                <w:sz w:val="16"/>
                <w:szCs w:val="16"/>
              </w:rPr>
              <w:t>本期减持</w:t>
            </w:r>
            <w:r>
              <w:rPr>
                <w:rFonts w:ascii="宋体" w:hAnsi="宋体" w:cs="宋体" w:eastAsia="宋体" w:hint="default"/>
                <w:w w:val="99"/>
                <w:sz w:val="16"/>
                <w:szCs w:val="16"/>
              </w:rPr>
              <w:t> </w:t>
            </w:r>
            <w:r>
              <w:rPr>
                <w:rFonts w:ascii="宋体" w:hAnsi="宋体" w:cs="宋体" w:eastAsia="宋体" w:hint="default"/>
                <w:sz w:val="16"/>
                <w:szCs w:val="16"/>
              </w:rPr>
              <w:t>股份数量</w:t>
            </w:r>
          </w:p>
          <w:p>
            <w:pPr>
              <w:pStyle w:val="TableParagraph"/>
              <w:spacing w:line="240" w:lineRule="auto" w:before="27"/>
              <w:ind w:left="110" w:right="0"/>
              <w:jc w:val="left"/>
              <w:rPr>
                <w:rFonts w:ascii="宋体" w:hAnsi="宋体" w:cs="宋体" w:eastAsia="宋体" w:hint="default"/>
                <w:sz w:val="16"/>
                <w:szCs w:val="16"/>
              </w:rPr>
            </w:pPr>
            <w:r>
              <w:rPr>
                <w:rFonts w:ascii="宋体" w:hAnsi="宋体" w:cs="宋体" w:eastAsia="宋体" w:hint="default"/>
                <w:sz w:val="16"/>
                <w:szCs w:val="16"/>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57" w:lineRule="auto"/>
              <w:ind w:left="170" w:right="91" w:hanging="81"/>
              <w:jc w:val="left"/>
              <w:rPr>
                <w:rFonts w:ascii="宋体" w:hAnsi="宋体" w:cs="宋体" w:eastAsia="宋体" w:hint="default"/>
                <w:sz w:val="16"/>
                <w:szCs w:val="16"/>
              </w:rPr>
            </w:pPr>
            <w:r>
              <w:rPr>
                <w:rFonts w:ascii="宋体" w:hAnsi="宋体" w:cs="宋体" w:eastAsia="宋体" w:hint="default"/>
                <w:sz w:val="16"/>
                <w:szCs w:val="16"/>
              </w:rPr>
              <w:t>其他增减变</w:t>
            </w:r>
            <w:r>
              <w:rPr>
                <w:rFonts w:ascii="宋体" w:hAnsi="宋体" w:cs="宋体" w:eastAsia="宋体" w:hint="default"/>
                <w:w w:val="99"/>
                <w:sz w:val="16"/>
                <w:szCs w:val="16"/>
              </w:rPr>
              <w:t> </w:t>
            </w:r>
            <w:r>
              <w:rPr>
                <w:rFonts w:ascii="宋体" w:hAnsi="宋体" w:cs="宋体" w:eastAsia="宋体" w:hint="default"/>
                <w:sz w:val="16"/>
                <w:szCs w:val="16"/>
              </w:rPr>
              <w:t>动（股）</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期末持股数</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冯滨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22" w:right="23"/>
              <w:jc w:val="left"/>
              <w:rPr>
                <w:rFonts w:ascii="宋体" w:hAnsi="宋体" w:cs="宋体" w:eastAsia="宋体" w:hint="default"/>
                <w:sz w:val="16"/>
                <w:szCs w:val="16"/>
              </w:rPr>
            </w:pPr>
            <w:r>
              <w:rPr>
                <w:rFonts w:ascii="宋体" w:hAnsi="宋体" w:cs="宋体" w:eastAsia="宋体" w:hint="default"/>
                <w:spacing w:val="-12"/>
                <w:sz w:val="16"/>
                <w:szCs w:val="16"/>
              </w:rPr>
              <w:t>董事长、总</w:t>
            </w:r>
            <w:r>
              <w:rPr>
                <w:rFonts w:ascii="宋体" w:hAnsi="宋体" w:cs="宋体" w:eastAsia="宋体" w:hint="default"/>
                <w:w w:val="99"/>
                <w:sz w:val="16"/>
                <w:szCs w:val="16"/>
              </w:rPr>
              <w:t> </w:t>
            </w:r>
            <w:r>
              <w:rPr>
                <w:rFonts w:ascii="宋体" w:hAnsi="宋体" w:cs="宋体" w:eastAsia="宋体" w:hint="default"/>
                <w:sz w:val="16"/>
                <w:szCs w:val="16"/>
              </w:rPr>
              <w:t>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51</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21,584,003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3,236,886</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107,920,015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132,740,904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郭洪斌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45</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36,228,690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36,228,690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林岩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22" w:right="23"/>
              <w:jc w:val="left"/>
              <w:rPr>
                <w:rFonts w:ascii="宋体" w:hAnsi="宋体" w:cs="宋体" w:eastAsia="宋体" w:hint="default"/>
                <w:sz w:val="16"/>
                <w:szCs w:val="16"/>
              </w:rPr>
            </w:pPr>
            <w:r>
              <w:rPr>
                <w:rFonts w:ascii="宋体" w:hAnsi="宋体" w:cs="宋体" w:eastAsia="宋体" w:hint="default"/>
                <w:spacing w:val="-12"/>
                <w:sz w:val="16"/>
                <w:szCs w:val="16"/>
              </w:rPr>
              <w:t>董事、副总</w:t>
            </w:r>
            <w:r>
              <w:rPr>
                <w:rFonts w:ascii="宋体" w:hAnsi="宋体" w:cs="宋体" w:eastAsia="宋体" w:hint="default"/>
                <w:w w:val="99"/>
                <w:sz w:val="16"/>
                <w:szCs w:val="16"/>
              </w:rPr>
              <w:t> </w:t>
            </w:r>
            <w:r>
              <w:rPr>
                <w:rFonts w:ascii="宋体" w:hAnsi="宋体" w:cs="宋体" w:eastAsia="宋体" w:hint="default"/>
                <w:sz w:val="16"/>
                <w:szCs w:val="16"/>
              </w:rPr>
              <w:t>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49</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3,229,000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16,145,000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19,402,000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何静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22" w:right="23"/>
              <w:jc w:val="left"/>
              <w:rPr>
                <w:rFonts w:ascii="宋体" w:hAnsi="宋体" w:cs="宋体" w:eastAsia="宋体" w:hint="default"/>
                <w:sz w:val="16"/>
                <w:szCs w:val="16"/>
              </w:rPr>
            </w:pPr>
            <w:r>
              <w:rPr>
                <w:rFonts w:ascii="宋体" w:hAnsi="宋体" w:cs="宋体" w:eastAsia="宋体" w:hint="default"/>
                <w:spacing w:val="-12"/>
                <w:sz w:val="16"/>
                <w:szCs w:val="16"/>
              </w:rPr>
              <w:t>董事、财务</w:t>
            </w:r>
            <w:r>
              <w:rPr>
                <w:rFonts w:ascii="宋体" w:hAnsi="宋体" w:cs="宋体" w:eastAsia="宋体" w:hint="default"/>
                <w:w w:val="99"/>
                <w:sz w:val="16"/>
                <w:szCs w:val="16"/>
              </w:rPr>
              <w:t> </w:t>
            </w:r>
            <w:r>
              <w:rPr>
                <w:rFonts w:ascii="宋体" w:hAnsi="宋体" w:cs="宋体" w:eastAsia="宋体" w:hint="default"/>
                <w:sz w:val="16"/>
                <w:szCs w:val="16"/>
              </w:rPr>
              <w:t>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52</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708,891</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3,544,455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4,253,346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韩丽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22" w:right="23"/>
              <w:jc w:val="left"/>
              <w:rPr>
                <w:rFonts w:ascii="宋体" w:hAnsi="宋体" w:cs="宋体" w:eastAsia="宋体" w:hint="default"/>
                <w:sz w:val="16"/>
                <w:szCs w:val="16"/>
              </w:rPr>
            </w:pPr>
            <w:r>
              <w:rPr>
                <w:rFonts w:ascii="宋体" w:hAnsi="宋体" w:cs="宋体" w:eastAsia="宋体" w:hint="default"/>
                <w:spacing w:val="-12"/>
                <w:sz w:val="16"/>
                <w:szCs w:val="16"/>
              </w:rPr>
              <w:t>董事、副总</w:t>
            </w:r>
            <w:r>
              <w:rPr>
                <w:rFonts w:ascii="宋体" w:hAnsi="宋体" w:cs="宋体" w:eastAsia="宋体" w:hint="default"/>
                <w:w w:val="99"/>
                <w:sz w:val="16"/>
                <w:szCs w:val="16"/>
              </w:rPr>
              <w:t> </w:t>
            </w:r>
            <w:r>
              <w:rPr>
                <w:rFonts w:ascii="宋体" w:hAnsi="宋体" w:cs="宋体" w:eastAsia="宋体" w:hint="default"/>
                <w:sz w:val="16"/>
                <w:szCs w:val="16"/>
              </w:rPr>
              <w:t>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48</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1,772,227</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8,861,135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10,633,362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白斌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30</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443,390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443,390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杨宏浩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43</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赵天庆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56</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孙云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53</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pacing w:val="-3"/>
                <w:sz w:val="16"/>
                <w:szCs w:val="16"/>
              </w:rPr>
              <w:t>11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姜付秀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46</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喻慧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22" w:right="125"/>
              <w:jc w:val="left"/>
              <w:rPr>
                <w:rFonts w:ascii="宋体" w:hAnsi="宋体" w:cs="宋体" w:eastAsia="宋体" w:hint="default"/>
                <w:sz w:val="16"/>
                <w:szCs w:val="16"/>
              </w:rPr>
            </w:pPr>
            <w:r>
              <w:rPr>
                <w:rFonts w:ascii="宋体" w:hAnsi="宋体" w:cs="宋体" w:eastAsia="宋体" w:hint="default"/>
                <w:sz w:val="16"/>
                <w:szCs w:val="16"/>
              </w:rPr>
              <w:t>监事会主</w:t>
            </w:r>
            <w:r>
              <w:rPr>
                <w:rFonts w:ascii="宋体" w:hAnsi="宋体" w:cs="宋体" w:eastAsia="宋体" w:hint="default"/>
                <w:w w:val="99"/>
                <w:sz w:val="16"/>
                <w:szCs w:val="16"/>
              </w:rPr>
              <w:t> </w:t>
            </w:r>
            <w:r>
              <w:rPr>
                <w:rFonts w:ascii="宋体" w:hAnsi="宋体" w:cs="宋体" w:eastAsia="宋体" w:hint="default"/>
                <w:sz w:val="16"/>
                <w:szCs w:val="16"/>
              </w:rPr>
              <w:t>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46</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708,891</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473,800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3,544,455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3,779,546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李鸿秀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42</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354,446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8,800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65,400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1,772,230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2,070,076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王薇薇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33</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曹建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43</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0"/>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2,913,544</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14,567,720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17,481,264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赵锐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46</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188,849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4,800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944,245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1,137,894</w:t>
            </w:r>
          </w:p>
        </w:tc>
      </w:tr>
    </w:tbl>
    <w:p>
      <w:pPr>
        <w:spacing w:after="0" w:line="240" w:lineRule="auto"/>
        <w:jc w:val="right"/>
        <w:rPr>
          <w:rFonts w:ascii="Times New Roman" w:hAnsi="Times New Roman" w:cs="Times New Roman" w:eastAsia="Times New Roman" w:hint="default"/>
          <w:sz w:val="16"/>
          <w:szCs w:val="16"/>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209" w:type="dxa"/>
        <w:tblLayout w:type="fixed"/>
        <w:tblCellMar>
          <w:top w:w="0" w:type="dxa"/>
          <w:left w:w="0" w:type="dxa"/>
          <w:bottom w:w="0" w:type="dxa"/>
          <w:right w:w="0" w:type="dxa"/>
        </w:tblCellMar>
        <w:tblLook w:val="01E0"/>
      </w:tblPr>
      <w:tblGrid>
        <w:gridCol w:w="798"/>
        <w:gridCol w:w="797"/>
        <w:gridCol w:w="533"/>
        <w:gridCol w:w="566"/>
        <w:gridCol w:w="425"/>
        <w:gridCol w:w="992"/>
        <w:gridCol w:w="992"/>
        <w:gridCol w:w="992"/>
        <w:gridCol w:w="850"/>
        <w:gridCol w:w="709"/>
        <w:gridCol w:w="992"/>
        <w:gridCol w:w="925"/>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杜政泰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w w:val="95"/>
                <w:sz w:val="16"/>
                <w:szCs w:val="16"/>
              </w:rPr>
              <w:t>现任</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48</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23,300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w w:val="95"/>
                <w:sz w:val="16"/>
              </w:rPr>
              <w:t>600</w:t>
            </w:r>
            <w:r>
              <w:rPr>
                <w:rFonts w:ascii="Times New Roman"/>
                <w:sz w:val="16"/>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2"/>
                <w:sz w:val="16"/>
              </w:rPr>
              <w:t>116,500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140,400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王春峰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w w:val="95"/>
                <w:sz w:val="16"/>
                <w:szCs w:val="16"/>
              </w:rPr>
              <w:t>现任</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50</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120,000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张莉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w w:val="95"/>
                <w:sz w:val="16"/>
                <w:szCs w:val="16"/>
              </w:rPr>
              <w:t>现任</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女</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44</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1,772,227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25,000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8,861,135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10,658,362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张磊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w w:val="95"/>
                <w:sz w:val="16"/>
                <w:szCs w:val="16"/>
              </w:rPr>
              <w:t>现任</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33</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336,245</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1,681,225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2,017,470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sz w:val="16"/>
                <w:szCs w:val="16"/>
              </w:rPr>
              <w:t>王锋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22" w:right="23"/>
              <w:jc w:val="left"/>
              <w:rPr>
                <w:rFonts w:ascii="宋体" w:hAnsi="宋体" w:cs="宋体" w:eastAsia="宋体" w:hint="default"/>
                <w:sz w:val="16"/>
                <w:szCs w:val="16"/>
              </w:rPr>
            </w:pPr>
            <w:r>
              <w:rPr>
                <w:rFonts w:ascii="宋体" w:hAnsi="宋体" w:cs="宋体" w:eastAsia="宋体" w:hint="default"/>
                <w:sz w:val="16"/>
                <w:szCs w:val="16"/>
              </w:rPr>
              <w:t>董事会秘</w:t>
            </w:r>
            <w:r>
              <w:rPr>
                <w:rFonts w:ascii="宋体" w:hAnsi="宋体" w:cs="宋体" w:eastAsia="宋体" w:hint="default"/>
                <w:w w:val="99"/>
                <w:sz w:val="16"/>
                <w:szCs w:val="16"/>
              </w:rPr>
              <w:t> </w:t>
            </w:r>
            <w:r>
              <w:rPr>
                <w:rFonts w:ascii="宋体" w:hAnsi="宋体" w:cs="宋体" w:eastAsia="宋体" w:hint="default"/>
                <w:spacing w:val="-12"/>
                <w:sz w:val="16"/>
                <w:szCs w:val="16"/>
              </w:rPr>
              <w:t>书、副总经</w:t>
            </w:r>
            <w:r>
              <w:rPr>
                <w:rFonts w:ascii="宋体" w:hAnsi="宋体" w:cs="宋体" w:eastAsia="宋体" w:hint="default"/>
                <w:w w:val="99"/>
                <w:sz w:val="16"/>
                <w:szCs w:val="16"/>
              </w:rPr>
              <w:t> </w:t>
            </w:r>
            <w:r>
              <w:rPr>
                <w:rFonts w:ascii="宋体" w:hAnsi="宋体" w:cs="宋体" w:eastAsia="宋体" w:hint="default"/>
                <w:sz w:val="16"/>
                <w:szCs w:val="16"/>
              </w:rPr>
              <w:t>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79"/>
              <w:jc w:val="right"/>
              <w:rPr>
                <w:rFonts w:ascii="宋体" w:hAnsi="宋体" w:cs="宋体" w:eastAsia="宋体" w:hint="default"/>
                <w:sz w:val="16"/>
                <w:szCs w:val="16"/>
              </w:rPr>
            </w:pPr>
            <w:r>
              <w:rPr>
                <w:rFonts w:ascii="宋体" w:hAnsi="宋体" w:cs="宋体" w:eastAsia="宋体" w:hint="default"/>
                <w:w w:val="95"/>
                <w:sz w:val="16"/>
                <w:szCs w:val="16"/>
              </w:rPr>
              <w:t>现任</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6"/>
                <w:szCs w:val="16"/>
              </w:rPr>
            </w:pPr>
            <w:r>
              <w:rPr>
                <w:rFonts w:ascii="宋体" w:hAnsi="宋体" w:cs="宋体" w:eastAsia="宋体" w:hint="default"/>
                <w:w w:val="99"/>
                <w:sz w:val="16"/>
                <w:szCs w:val="16"/>
              </w:rPr>
              <w:t>男</w:t>
            </w:r>
            <w:r>
              <w:rPr>
                <w:rFonts w:ascii="宋体" w:hAnsi="宋体" w:cs="宋体" w:eastAsia="宋体" w:hint="default"/>
                <w:sz w:val="16"/>
                <w:szCs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36</w:t>
            </w:r>
            <w:r>
              <w:rPr>
                <w:rFonts w:ascii="Times New Roman"/>
                <w:sz w:val="16"/>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pacing w:val="-3"/>
                <w:sz w:val="16"/>
                <w:szCs w:val="16"/>
              </w:rPr>
              <w:t>11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03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p>
          <w:p>
            <w:pPr>
              <w:pStyle w:val="TableParagraph"/>
              <w:spacing w:line="240" w:lineRule="auto" w:before="91"/>
              <w:ind w:left="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6"/>
              <w:ind w:left="2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208"/>
              <w:jc w:val="right"/>
              <w:rPr>
                <w:rFonts w:ascii="Times New Roman" w:hAnsi="Times New Roman" w:cs="Times New Roman" w:eastAsia="Times New Roman" w:hint="default"/>
                <w:sz w:val="16"/>
                <w:szCs w:val="16"/>
              </w:rPr>
            </w:pPr>
            <w:r>
              <w:rPr>
                <w:rFonts w:ascii="Times New Roman"/>
                <w:spacing w:val="-1"/>
                <w:w w:val="95"/>
                <w:sz w:val="16"/>
              </w:rPr>
              <w:t>--</w:t>
            </w:r>
            <w:r>
              <w:rPr>
                <w:rFonts w:ascii="Times New Roman"/>
                <w:sz w:val="16"/>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z w:val="16"/>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1"/>
              <w:jc w:val="center"/>
              <w:rPr>
                <w:rFonts w:ascii="Times New Roman" w:hAnsi="Times New Roman" w:cs="Times New Roman" w:eastAsia="Times New Roman" w:hint="default"/>
                <w:sz w:val="16"/>
                <w:szCs w:val="16"/>
              </w:rPr>
            </w:pPr>
            <w:r>
              <w:rPr>
                <w:rFonts w:ascii="Times New Roman"/>
                <w:sz w:val="16"/>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1"/>
              <w:jc w:val="center"/>
              <w:rPr>
                <w:rFonts w:ascii="Times New Roman" w:hAnsi="Times New Roman" w:cs="Times New Roman" w:eastAsia="Times New Roman" w:hint="default"/>
                <w:sz w:val="16"/>
                <w:szCs w:val="16"/>
              </w:rPr>
            </w:pPr>
            <w:r>
              <w:rPr>
                <w:rFonts w:ascii="Times New Roman"/>
                <w:sz w:val="16"/>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w w:val="95"/>
                <w:sz w:val="16"/>
              </w:rPr>
              <w:t>33,611,623</w:t>
            </w:r>
            <w:r>
              <w:rPr>
                <w:rFonts w:ascii="Times New Roman"/>
                <w:spacing w:val="-1"/>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39,976,166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7" w:right="0"/>
              <w:jc w:val="left"/>
              <w:rPr>
                <w:rFonts w:ascii="Times New Roman" w:hAnsi="Times New Roman" w:cs="Times New Roman" w:eastAsia="Times New Roman" w:hint="default"/>
                <w:sz w:val="16"/>
                <w:szCs w:val="16"/>
              </w:rPr>
            </w:pPr>
            <w:r>
              <w:rPr>
                <w:rFonts w:ascii="Times New Roman"/>
                <w:sz w:val="16"/>
              </w:rPr>
              <w:t>539,200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spacing w:val="-1"/>
                <w:w w:val="95"/>
                <w:sz w:val="16"/>
              </w:rPr>
              <w:t>168,058,115</w:t>
            </w:r>
            <w:r>
              <w:rPr>
                <w:rFonts w:ascii="Times New Roman"/>
                <w:spacing w:val="-1"/>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spacing w:val="-1"/>
                <w:sz w:val="16"/>
              </w:rPr>
              <w:t>241,106,704</w:t>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330"/>
        <w:gridCol w:w="1331"/>
        <w:gridCol w:w="1168"/>
        <w:gridCol w:w="1667"/>
        <w:gridCol w:w="4073"/>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66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竹园旅游董事长，公司与竹园国旅重组完成后同 时担任公司董事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33"/>
              <w:jc w:val="left"/>
              <w:rPr>
                <w:rFonts w:ascii="宋体" w:hAnsi="宋体" w:cs="宋体" w:eastAsia="宋体" w:hint="default"/>
                <w:sz w:val="18"/>
                <w:szCs w:val="18"/>
              </w:rPr>
            </w:pPr>
            <w:r>
              <w:rPr>
                <w:rFonts w:ascii="宋体" w:hAnsi="宋体" w:cs="宋体" w:eastAsia="宋体" w:hint="default"/>
                <w:sz w:val="18"/>
                <w:szCs w:val="18"/>
              </w:rPr>
              <w:t>原独立董事赵天庆连续任期满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年离任，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第五次临时股东大会选举孙云为新任独董</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7"/>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报告期内公司新聘任高管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赵天庆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连续任期满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年离任</w:t>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0"/>
        <w:jc w:val="left"/>
        <w:rPr>
          <w:b w:val="0"/>
          <w:bCs w:val="0"/>
        </w:rPr>
      </w:pPr>
      <w:r>
        <w:rPr/>
        <w:t>三、任职情况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214" w:right="0"/>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pStyle w:val="BodyText"/>
        <w:spacing w:line="240" w:lineRule="auto" w:before="0"/>
        <w:ind w:left="214" w:right="0"/>
        <w:jc w:val="left"/>
      </w:pPr>
      <w:r>
        <w:rPr/>
        <w:t>（</w:t>
      </w:r>
      <w:r>
        <w:rPr>
          <w:rFonts w:ascii="Times New Roman" w:hAnsi="Times New Roman" w:cs="Times New Roman" w:eastAsia="Times New Roman" w:hint="default"/>
        </w:rPr>
        <w:t>1</w:t>
      </w:r>
      <w:r>
        <w:rPr/>
        <w:t>）董事长冯滨：</w:t>
      </w:r>
      <w:r>
        <w:rPr>
          <w:spacing w:val="-27"/>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月至今任公司董事长、总经理。</w:t>
      </w:r>
    </w:p>
    <w:p>
      <w:pPr>
        <w:pStyle w:val="BodyText"/>
        <w:spacing w:line="240" w:lineRule="auto" w:before="177"/>
        <w:ind w:left="214" w:right="0"/>
        <w:jc w:val="left"/>
      </w:pPr>
      <w:r>
        <w:rPr/>
        <w:t>（</w:t>
      </w:r>
      <w:r>
        <w:rPr>
          <w:rFonts w:ascii="Times New Roman" w:hAnsi="Times New Roman" w:cs="Times New Roman" w:eastAsia="Times New Roman" w:hint="default"/>
        </w:rPr>
        <w:t>2</w:t>
      </w:r>
      <w:r>
        <w:rPr/>
        <w:t>）董事郭洪斌：</w:t>
      </w:r>
      <w:r>
        <w:rPr>
          <w:spacing w:val="-44"/>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月至今任竹园国旅执行董事。自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月任公司董事。</w:t>
      </w:r>
    </w:p>
    <w:p>
      <w:pPr>
        <w:pStyle w:val="BodyText"/>
        <w:spacing w:line="240" w:lineRule="auto" w:before="177"/>
        <w:ind w:left="214" w:right="0"/>
        <w:jc w:val="left"/>
      </w:pPr>
      <w:r>
        <w:rPr/>
        <w:t>（</w:t>
      </w:r>
      <w:r>
        <w:rPr>
          <w:rFonts w:ascii="Times New Roman" w:hAnsi="Times New Roman" w:cs="Times New Roman" w:eastAsia="Times New Roman" w:hint="default"/>
        </w:rPr>
        <w:t>3</w:t>
      </w:r>
      <w:r>
        <w:rPr/>
        <w:t>）董事林岩：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月至今任公司董事、副总经理。</w:t>
      </w:r>
    </w:p>
    <w:p>
      <w:pPr>
        <w:pStyle w:val="BodyText"/>
        <w:spacing w:line="240" w:lineRule="auto" w:before="177"/>
        <w:ind w:left="21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）董事韩丽：</w:t>
      </w:r>
      <w:r>
        <w:rPr>
          <w:spacing w:val="-37"/>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月任公司部门经理，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月至今任公司上海分社总经理，</w:t>
      </w:r>
      <w:r>
        <w:rPr>
          <w:rFonts w:ascii="Times New Roman" w:hAnsi="Times New Roman" w:cs="Times New Roman" w:eastAsia="Times New Roman" w:hint="default"/>
        </w:rPr>
        <w:t>2011</w:t>
      </w:r>
    </w:p>
    <w:p>
      <w:pPr>
        <w:pStyle w:val="BodyText"/>
        <w:spacing w:line="240" w:lineRule="auto" w:before="177"/>
        <w:ind w:left="214" w:right="0"/>
        <w:jc w:val="left"/>
      </w:pPr>
      <w:r>
        <w:rPr/>
        <w:t>年</w:t>
      </w:r>
      <w:r>
        <w:rPr>
          <w:rFonts w:ascii="Times New Roman" w:hAnsi="Times New Roman" w:cs="Times New Roman" w:eastAsia="Times New Roman" w:hint="default"/>
        </w:rPr>
        <w:t>6</w:t>
      </w:r>
      <w:r>
        <w:rPr/>
        <w:t>月至今任公司董事，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月至今任上海众信执行董事、总经理，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240" w:lineRule="auto" w:before="177"/>
        <w:ind w:left="214" w:right="0"/>
        <w:jc w:val="left"/>
      </w:pPr>
      <w:r>
        <w:rPr/>
        <w:t>（</w:t>
      </w:r>
      <w:r>
        <w:rPr>
          <w:rFonts w:ascii="Times New Roman" w:hAnsi="Times New Roman" w:cs="Times New Roman" w:eastAsia="Times New Roman" w:hint="default"/>
        </w:rPr>
        <w:t>5</w:t>
      </w:r>
      <w:r>
        <w:rPr/>
        <w:t>）董事何静：</w:t>
      </w:r>
      <w:r>
        <w:rPr>
          <w:spacing w:val="-28"/>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月至今任公司董事、财务总监。</w:t>
      </w:r>
    </w:p>
    <w:p>
      <w:pPr>
        <w:pStyle w:val="BodyText"/>
        <w:spacing w:line="398" w:lineRule="auto" w:before="177"/>
        <w:ind w:left="214" w:right="0" w:hanging="1"/>
        <w:jc w:val="left"/>
      </w:pPr>
      <w:r>
        <w:rPr/>
        <w:t>（</w:t>
      </w:r>
      <w:r>
        <w:rPr>
          <w:rFonts w:ascii="Times New Roman" w:hAnsi="Times New Roman" w:cs="Times New Roman" w:eastAsia="Times New Roman" w:hint="default"/>
        </w:rPr>
        <w:t>6</w:t>
      </w:r>
      <w:r>
        <w:rPr/>
        <w:t>）董事白斌：</w:t>
      </w:r>
      <w:r>
        <w:rPr>
          <w:spacing w:val="-27"/>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月，任昆吾九鼎投资管理有限公司投资总监，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月至今，任 </w:t>
      </w:r>
      <w:r>
        <w:rPr>
          <w:spacing w:val="-1"/>
        </w:rPr>
        <w:t>九信资产管理股份有限公司总经理；同时兼任神州高铁技术股份有限公司、神州长城股份有限公司、四川</w:t>
      </w:r>
      <w:r>
        <w:rPr>
          <w:spacing w:val="-84"/>
        </w:rPr>
        <w:t> </w:t>
      </w:r>
      <w:r>
        <w:rPr>
          <w:spacing w:val="-84"/>
        </w:rPr>
      </w:r>
      <w:r>
        <w:rPr/>
        <w:t>达威科技股份有限公司董事。</w:t>
      </w:r>
    </w:p>
    <w:p>
      <w:pPr>
        <w:spacing w:after="0" w:line="398" w:lineRule="auto"/>
        <w:jc w:val="left"/>
        <w:sectPr>
          <w:pgSz w:w="11910" w:h="16840"/>
          <w:pgMar w:header="877" w:footer="982" w:top="1100" w:bottom="1180" w:left="920" w:right="980"/>
        </w:sectPr>
      </w:pPr>
    </w:p>
    <w:p>
      <w:pPr>
        <w:spacing w:line="240" w:lineRule="auto" w:before="8"/>
        <w:rPr>
          <w:rFonts w:ascii="宋体" w:hAnsi="宋体" w:cs="宋体" w:eastAsia="宋体" w:hint="default"/>
          <w:sz w:val="26"/>
          <w:szCs w:val="26"/>
        </w:rPr>
      </w:pPr>
    </w:p>
    <w:p>
      <w:pPr>
        <w:pStyle w:val="BodyText"/>
        <w:spacing w:line="398" w:lineRule="auto" w:before="35"/>
        <w:ind w:right="149" w:hanging="1"/>
        <w:jc w:val="both"/>
      </w:pPr>
      <w:r>
        <w:rPr>
          <w:spacing w:val="-1"/>
        </w:rPr>
        <w:t>（</w:t>
      </w:r>
      <w:r>
        <w:rPr>
          <w:rFonts w:ascii="Times New Roman" w:hAnsi="Times New Roman" w:cs="Times New Roman" w:eastAsia="Times New Roman" w:hint="default"/>
          <w:spacing w:val="-1"/>
        </w:rPr>
        <w:t>7</w:t>
      </w:r>
      <w:r>
        <w:rPr>
          <w:spacing w:val="-1"/>
        </w:rPr>
        <w:t>）独立董事姜付秀：</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月至今先后任中国人民大学副教授、教授、博士生导师等职务，兼任朗姿</w:t>
      </w:r>
      <w:r>
        <w:rPr>
          <w:spacing w:val="-84"/>
        </w:rPr>
        <w:t> </w:t>
      </w:r>
      <w:r>
        <w:rPr>
          <w:spacing w:val="-84"/>
        </w:rPr>
      </w:r>
      <w:r>
        <w:rPr>
          <w:spacing w:val="-1"/>
        </w:rPr>
        <w:t>股份有限公司独立董事、烟台龙源电力技术股份有限公司独立董事、山东齐星铁塔科技股份有限公司独立</w:t>
      </w:r>
      <w:r>
        <w:rPr>
          <w:spacing w:val="-82"/>
        </w:rPr>
        <w:t> </w:t>
      </w:r>
      <w:r>
        <w:rPr>
          <w:spacing w:val="-82"/>
        </w:rPr>
      </w:r>
      <w:r>
        <w:rPr/>
        <w:t>董事、大唐国际发电股份有限公司独立董事。</w:t>
      </w:r>
    </w:p>
    <w:p>
      <w:pPr>
        <w:pStyle w:val="BodyText"/>
        <w:spacing w:line="240" w:lineRule="auto" w:before="54"/>
        <w:ind w:right="148"/>
        <w:jc w:val="left"/>
      </w:pPr>
      <w:r>
        <w:rPr/>
        <w:t>（</w:t>
      </w:r>
      <w:r>
        <w:rPr>
          <w:rFonts w:ascii="Times New Roman" w:hAnsi="Times New Roman" w:cs="Times New Roman" w:eastAsia="Times New Roman" w:hint="default"/>
        </w:rPr>
        <w:t>8</w:t>
      </w:r>
      <w:r>
        <w:rPr/>
        <w:t>）独立董事杨宏浩：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月至今任中国旅游研究院副研究员。</w:t>
      </w:r>
    </w:p>
    <w:p>
      <w:pPr>
        <w:pStyle w:val="BodyText"/>
        <w:spacing w:line="240" w:lineRule="auto" w:before="177"/>
        <w:ind w:right="148"/>
        <w:jc w:val="left"/>
      </w:pPr>
      <w:r>
        <w:rPr/>
        <w:t>（</w:t>
      </w:r>
      <w:r>
        <w:rPr>
          <w:rFonts w:ascii="Times New Roman" w:hAnsi="Times New Roman" w:cs="Times New Roman" w:eastAsia="Times New Roman" w:hint="default"/>
        </w:rPr>
        <w:t>9</w:t>
      </w:r>
      <w:r>
        <w:rPr/>
        <w:t>）独立董事孙云：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月至今任北京盈科律师事务所律师。</w:t>
      </w:r>
    </w:p>
    <w:p>
      <w:pPr>
        <w:pStyle w:val="BodyText"/>
        <w:spacing w:line="240" w:lineRule="auto" w:before="177"/>
        <w:ind w:right="148"/>
        <w:jc w:val="left"/>
      </w:pPr>
      <w:r>
        <w:rPr>
          <w:rFonts w:ascii="Times New Roman" w:hAnsi="Times New Roman" w:cs="Times New Roman" w:eastAsia="Times New Roman" w:hint="default"/>
        </w:rPr>
        <w:t>2</w:t>
      </w:r>
      <w:r>
        <w:rPr/>
        <w:t>、监事</w:t>
      </w:r>
    </w:p>
    <w:p>
      <w:pPr>
        <w:pStyle w:val="BodyText"/>
        <w:spacing w:line="386" w:lineRule="auto" w:before="177"/>
        <w:ind w:right="250" w:hanging="1"/>
        <w:jc w:val="left"/>
      </w:pPr>
      <w:r>
        <w:rPr/>
        <w:t>（</w:t>
      </w:r>
      <w:r>
        <w:rPr>
          <w:rFonts w:ascii="Times New Roman" w:hAnsi="Times New Roman" w:cs="Times New Roman" w:eastAsia="Times New Roman" w:hint="default"/>
        </w:rPr>
        <w:t>1</w:t>
      </w:r>
      <w:r>
        <w:rPr/>
        <w:t>）监事会主席喻慧：</w:t>
      </w:r>
      <w:r>
        <w:rPr>
          <w:spacing w:val="-34"/>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月任公司商务会奖中心会展部总监，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月至今任众信 商务的副总经理，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月至今任奇迹旅行执行董事、经理，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月起至今任公司监事会主席。</w:t>
      </w:r>
    </w:p>
    <w:p>
      <w:pPr>
        <w:pStyle w:val="BodyText"/>
        <w:spacing w:line="386" w:lineRule="auto" w:before="35"/>
        <w:ind w:right="148" w:hanging="1"/>
        <w:jc w:val="left"/>
      </w:pPr>
      <w:r>
        <w:rPr>
          <w:spacing w:val="-1"/>
        </w:rPr>
        <w:t>（</w:t>
      </w:r>
      <w:r>
        <w:rPr>
          <w:rFonts w:ascii="Times New Roman" w:hAnsi="Times New Roman" w:cs="Times New Roman" w:eastAsia="Times New Roman" w:hint="default"/>
          <w:spacing w:val="-1"/>
        </w:rPr>
        <w:t>2</w:t>
      </w:r>
      <w:r>
        <w:rPr>
          <w:spacing w:val="-1"/>
        </w:rPr>
        <w:t>）监事李鸿秀：</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月任公司出境旅游中心副总监，</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月至今任公司会员俱乐部</w:t>
      </w:r>
      <w:r>
        <w:rPr>
          <w:spacing w:val="-87"/>
        </w:rPr>
        <w:t> </w:t>
      </w:r>
      <w:r>
        <w:rPr>
          <w:spacing w:val="-87"/>
        </w:rPr>
      </w:r>
      <w:r>
        <w:rPr/>
        <w:t>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月起任公司监事。</w:t>
      </w:r>
    </w:p>
    <w:p>
      <w:pPr>
        <w:pStyle w:val="BodyText"/>
        <w:spacing w:line="240" w:lineRule="auto" w:before="35"/>
        <w:ind w:right="148"/>
        <w:jc w:val="left"/>
      </w:pPr>
      <w:r>
        <w:rPr/>
        <w:t>（</w:t>
      </w:r>
      <w:r>
        <w:rPr>
          <w:rFonts w:ascii="Times New Roman" w:hAnsi="Times New Roman" w:cs="Times New Roman" w:eastAsia="Times New Roman" w:hint="default"/>
        </w:rPr>
        <w:t>3</w:t>
      </w:r>
      <w:r>
        <w:rPr/>
        <w:t>）职工代表监事王薇薇：</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月至今任同业营销中心销售，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月起任公司职工代表监事。</w:t>
      </w:r>
    </w:p>
    <w:p>
      <w:pPr>
        <w:pStyle w:val="BodyText"/>
        <w:spacing w:line="240" w:lineRule="auto" w:before="177"/>
        <w:ind w:right="148"/>
        <w:jc w:val="left"/>
      </w:pPr>
      <w:r>
        <w:rPr>
          <w:rFonts w:ascii="Times New Roman" w:hAnsi="Times New Roman" w:cs="Times New Roman" w:eastAsia="Times New Roman" w:hint="default"/>
        </w:rPr>
        <w:t>3</w:t>
      </w:r>
      <w:r>
        <w:rPr/>
        <w:t>、高级管理人员</w:t>
      </w:r>
    </w:p>
    <w:p>
      <w:pPr>
        <w:pStyle w:val="BodyText"/>
        <w:spacing w:line="240" w:lineRule="auto" w:before="177"/>
        <w:ind w:right="148"/>
        <w:jc w:val="left"/>
      </w:pPr>
      <w:r>
        <w:rPr/>
        <w:t>（</w:t>
      </w:r>
      <w:r>
        <w:rPr>
          <w:rFonts w:ascii="Times New Roman" w:hAnsi="Times New Roman" w:cs="Times New Roman" w:eastAsia="Times New Roman" w:hint="default"/>
        </w:rPr>
        <w:t>1</w:t>
      </w:r>
      <w:r>
        <w:rPr/>
        <w:t>）总经理冯滨：详见董事部分。</w:t>
      </w:r>
    </w:p>
    <w:p>
      <w:pPr>
        <w:pStyle w:val="BodyText"/>
        <w:spacing w:line="240" w:lineRule="auto" w:before="177"/>
        <w:ind w:right="148"/>
        <w:jc w:val="left"/>
      </w:pPr>
      <w:r>
        <w:rPr/>
        <w:t>（</w:t>
      </w:r>
      <w:r>
        <w:rPr>
          <w:rFonts w:ascii="Times New Roman" w:hAnsi="Times New Roman" w:cs="Times New Roman" w:eastAsia="Times New Roman" w:hint="default"/>
        </w:rPr>
        <w:t>2</w:t>
      </w:r>
      <w:r>
        <w:rPr/>
        <w:t>）副总经理林岩：详见董事部分。</w:t>
      </w:r>
    </w:p>
    <w:p>
      <w:pPr>
        <w:pStyle w:val="BodyText"/>
        <w:spacing w:line="386" w:lineRule="auto" w:before="177"/>
        <w:ind w:right="148"/>
        <w:jc w:val="left"/>
      </w:pPr>
      <w:r>
        <w:rPr>
          <w:spacing w:val="-5"/>
        </w:rPr>
        <w:t>（</w:t>
      </w:r>
      <w:r>
        <w:rPr>
          <w:rFonts w:ascii="Times New Roman" w:hAnsi="Times New Roman" w:cs="Times New Roman" w:eastAsia="Times New Roman" w:hint="default"/>
          <w:spacing w:val="-5"/>
        </w:rPr>
        <w:t>3</w:t>
      </w:r>
      <w:r>
        <w:rPr>
          <w:spacing w:val="-5"/>
        </w:rPr>
        <w:t>）副总经理曹建：</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6</w:t>
      </w:r>
      <w:r>
        <w:rPr>
          <w:spacing w:val="-5"/>
        </w:rPr>
        <w:t>月至今任公司副总经理，其中</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10</w:t>
      </w:r>
      <w:r>
        <w:rPr>
          <w:spacing w:val="-5"/>
        </w:rPr>
        <w:t>月至</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月兼任公司董事会秘书。</w:t>
      </w:r>
      <w:r>
        <w:rPr>
          <w:spacing w:val="-72"/>
        </w:rPr>
        <w:t> </w:t>
      </w:r>
      <w:r>
        <w:rPr>
          <w:spacing w:val="-72"/>
        </w:rPr>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月任众信商务执行董事，</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月至今任优拓航服执行董事，</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月至今任优</w:t>
      </w:r>
      <w:r>
        <w:rPr>
          <w:spacing w:val="-88"/>
        </w:rPr>
        <w:t> </w:t>
      </w:r>
      <w:r>
        <w:rPr/>
        <w:t>逸文公关执行董事，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月至今任悠联货币执行董事、经理，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日至今任北京优达出入境 </w:t>
      </w:r>
      <w:r>
        <w:rPr>
          <w:spacing w:val="-1"/>
        </w:rPr>
        <w:t>服务有限公司执行董事，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日至今任广州优贷小额贷款有限公司执行董事，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日至今</w:t>
      </w:r>
      <w:r>
        <w:rPr>
          <w:spacing w:val="-84"/>
        </w:rPr>
        <w:t> </w:t>
      </w:r>
      <w:r>
        <w:rPr/>
        <w:t>任广州优盛互联网金融信息服务有限公司执行董事。</w:t>
      </w:r>
    </w:p>
    <w:p>
      <w:pPr>
        <w:pStyle w:val="BodyText"/>
        <w:spacing w:line="240" w:lineRule="auto" w:before="65"/>
        <w:ind w:right="148"/>
        <w:jc w:val="left"/>
      </w:pPr>
      <w:r>
        <w:rPr/>
        <w:t>（</w:t>
      </w:r>
      <w:r>
        <w:rPr>
          <w:rFonts w:ascii="Times New Roman" w:hAnsi="Times New Roman" w:cs="Times New Roman" w:eastAsia="Times New Roman" w:hint="default"/>
        </w:rPr>
        <w:t>4</w:t>
      </w:r>
      <w:r>
        <w:rPr/>
        <w:t>）副总经理韩丽：详见董事部分。</w:t>
      </w:r>
    </w:p>
    <w:p>
      <w:pPr>
        <w:pStyle w:val="BodyText"/>
        <w:spacing w:line="240" w:lineRule="auto" w:before="177"/>
        <w:ind w:right="148"/>
        <w:jc w:val="left"/>
      </w:pPr>
      <w:r>
        <w:rPr/>
        <w:t>（</w:t>
      </w:r>
      <w:r>
        <w:rPr>
          <w:rFonts w:ascii="Times New Roman" w:hAnsi="Times New Roman" w:cs="Times New Roman" w:eastAsia="Times New Roman" w:hint="default"/>
        </w:rPr>
        <w:t>5</w:t>
      </w:r>
      <w:r>
        <w:rPr/>
        <w:t>）财务总监何静：详见董事部分。</w:t>
      </w:r>
    </w:p>
    <w:p>
      <w:pPr>
        <w:pStyle w:val="BodyText"/>
        <w:spacing w:line="240" w:lineRule="auto" w:before="177"/>
        <w:ind w:right="148"/>
        <w:jc w:val="left"/>
      </w:pPr>
      <w:r>
        <w:rPr/>
        <w:t>（</w:t>
      </w:r>
      <w:r>
        <w:rPr>
          <w:rFonts w:ascii="Times New Roman" w:hAnsi="Times New Roman" w:cs="Times New Roman" w:eastAsia="Times New Roman" w:hint="default"/>
        </w:rPr>
        <w:t>6</w:t>
      </w:r>
      <w:r>
        <w:rPr/>
        <w:t>）副总经理赵锐：</w:t>
      </w:r>
      <w:r>
        <w:rPr>
          <w:spacing w:val="-28"/>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月至今任公司副总经理。</w:t>
      </w:r>
    </w:p>
    <w:p>
      <w:pPr>
        <w:pStyle w:val="BodyText"/>
        <w:spacing w:line="240" w:lineRule="auto" w:before="177"/>
        <w:ind w:right="148"/>
        <w:jc w:val="left"/>
      </w:pPr>
      <w:r>
        <w:rPr/>
        <w:t>（</w:t>
      </w:r>
      <w:r>
        <w:rPr>
          <w:rFonts w:ascii="Times New Roman" w:hAnsi="Times New Roman" w:cs="Times New Roman" w:eastAsia="Times New Roman" w:hint="default"/>
        </w:rPr>
        <w:t>7</w:t>
      </w:r>
      <w:r>
        <w:rPr/>
        <w:t>）副总经理杜政泰：</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2011</w:t>
      </w:r>
      <w:r>
        <w:rPr/>
        <w:t>年任台湾易游网旅行社副总经理，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386" w:lineRule="auto" w:before="177"/>
        <w:ind w:right="216" w:hanging="1"/>
        <w:jc w:val="left"/>
      </w:pPr>
      <w:r>
        <w:rPr/>
        <w:t>（</w:t>
      </w:r>
      <w:r>
        <w:rPr>
          <w:rFonts w:ascii="Times New Roman" w:hAnsi="Times New Roman" w:cs="Times New Roman" w:eastAsia="Times New Roman" w:hint="default"/>
        </w:rPr>
        <w:t>8</w:t>
      </w:r>
      <w:r>
        <w:rPr/>
        <w:t>）副总经理王春峰：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月任中国旅游出版社国际部主任、中国旅游出版社社长助理 兼中国旅游书店总经理、北京华天旅游国际广告公司总经理，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240" w:lineRule="auto" w:before="35"/>
        <w:ind w:right="0"/>
        <w:jc w:val="left"/>
      </w:pPr>
      <w:r>
        <w:rPr/>
        <w:t>（</w:t>
      </w:r>
      <w:r>
        <w:rPr>
          <w:rFonts w:ascii="Times New Roman" w:hAnsi="Times New Roman" w:cs="Times New Roman" w:eastAsia="Times New Roman" w:hint="default"/>
        </w:rPr>
        <w:t>9</w:t>
      </w:r>
      <w:r>
        <w:rPr/>
        <w:t>）副总经理张莉：</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月至今任公司商务会奖中心总监，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p>
    <w:p>
      <w:pPr>
        <w:pStyle w:val="BodyText"/>
        <w:spacing w:line="240" w:lineRule="auto" w:before="177"/>
        <w:ind w:left="153" w:right="148"/>
        <w:jc w:val="left"/>
      </w:pPr>
      <w:r>
        <w:rPr>
          <w:rFonts w:ascii="Times New Roman" w:hAnsi="Times New Roman" w:cs="Times New Roman" w:eastAsia="Times New Roman" w:hint="default"/>
        </w:rPr>
        <w:t>4</w:t>
      </w:r>
      <w:r>
        <w:rPr/>
        <w:t>日至今任众信商务的总经理，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月至今任众信商务公司执行董事、经理。</w:t>
      </w:r>
    </w:p>
    <w:p>
      <w:pPr>
        <w:pStyle w:val="BodyText"/>
        <w:spacing w:line="386" w:lineRule="auto" w:before="177"/>
        <w:ind w:right="216" w:hanging="1"/>
        <w:jc w:val="left"/>
      </w:pPr>
      <w:r>
        <w:rPr/>
        <w:t>（</w:t>
      </w:r>
      <w:r>
        <w:rPr>
          <w:rFonts w:ascii="Times New Roman" w:hAnsi="Times New Roman" w:cs="Times New Roman" w:eastAsia="Times New Roman" w:hint="default"/>
        </w:rPr>
        <w:t>10</w:t>
      </w:r>
      <w:r>
        <w:rPr/>
        <w:t>）副总经理张磊：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月至今任公司出境旅游中心总监，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月曾任公司监事会 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月至今任九州联合执行董事、经理，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240" w:lineRule="auto" w:before="35"/>
        <w:ind w:right="0"/>
        <w:jc w:val="left"/>
      </w:pPr>
      <w:r>
        <w:rPr/>
        <w:t>（</w:t>
      </w:r>
      <w:r>
        <w:rPr>
          <w:rFonts w:ascii="Times New Roman" w:hAnsi="Times New Roman" w:cs="Times New Roman" w:eastAsia="Times New Roman" w:hint="default"/>
        </w:rPr>
        <w:t>11</w:t>
      </w:r>
      <w:r>
        <w:rPr/>
        <w:t>）副总经理、董事会秘书王锋：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月任华泰联合证券有限公司投资银行总部执行董</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48"/>
        <w:jc w:val="left"/>
      </w:pPr>
      <w:r>
        <w:rPr/>
        <w:t>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日至今任公司副总经理、董事会秘书。</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3"/>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九信资产管理股份有限公司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神州高铁技术股份有限公司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神州长城股份有限公司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四川达威科技股份有限公司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中国旅游研究院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副研究员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中国人民大学商学院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系主任、教 </w:t>
            </w:r>
            <w:r>
              <w:rPr>
                <w:rFonts w:ascii="宋体" w:hAnsi="宋体" w:cs="宋体" w:eastAsia="宋体" w:hint="default"/>
                <w:spacing w:val="-8"/>
                <w:sz w:val="18"/>
                <w:szCs w:val="18"/>
              </w:rPr>
              <w:t>授、博士生导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朗姿股份有限公司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烟台龙源电力技术股份有限公司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山东齐星铁塔科技股份有限公司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北京市盈科律师事务所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四、董事、监事、高级管理人员报酬情况</w:t>
      </w:r>
      <w:r>
        <w:rPr>
          <w:b w:val="0"/>
          <w:bCs w:val="0"/>
        </w:rPr>
      </w:r>
    </w:p>
    <w:p>
      <w:pPr>
        <w:spacing w:line="240" w:lineRule="auto" w:before="8"/>
        <w:rPr>
          <w:rFonts w:ascii="宋体" w:hAnsi="宋体" w:cs="宋体" w:eastAsia="宋体" w:hint="default"/>
          <w:b/>
          <w:bCs/>
          <w:sz w:val="30"/>
          <w:szCs w:val="30"/>
        </w:rPr>
      </w:pPr>
    </w:p>
    <w:p>
      <w:pPr>
        <w:pStyle w:val="BodyText"/>
        <w:spacing w:line="398" w:lineRule="auto" w:before="0"/>
        <w:ind w:left="573" w:right="148" w:hanging="420"/>
        <w:jc w:val="left"/>
      </w:pPr>
      <w:r>
        <w:rPr/>
        <w:t>董事、监事、高级管理人员报酬的决策程序、确定依据、实际支付情况 </w:t>
      </w:r>
      <w:r>
        <w:rPr>
          <w:rFonts w:ascii="Times New Roman" w:hAnsi="Times New Roman" w:cs="Times New Roman" w:eastAsia="Times New Roman" w:hint="default"/>
        </w:rPr>
        <w:t>1</w:t>
      </w:r>
      <w:r>
        <w:rPr/>
        <w:t>、董事、监事、高级管理人员报酬的决策程序 </w:t>
      </w:r>
      <w:r>
        <w:rPr>
          <w:spacing w:val="-1"/>
        </w:rPr>
        <w:t>董事、监事薪酬由股东大会确定薪酬政策，由公司根据薪酬政策实施，每位董事、监事的年薪经年度</w:t>
      </w:r>
    </w:p>
    <w:p>
      <w:pPr>
        <w:pStyle w:val="BodyText"/>
        <w:spacing w:line="408" w:lineRule="auto" w:before="54"/>
        <w:ind w:right="148"/>
        <w:jc w:val="left"/>
      </w:pPr>
      <w:r>
        <w:rPr>
          <w:spacing w:val="-1"/>
        </w:rPr>
        <w:t>股东大会确认。高级管理人员薪酬由董事会确定薪酬政策并监督执行，每位高级管理人员的年薪经年度董</w:t>
      </w:r>
      <w:r>
        <w:rPr>
          <w:spacing w:val="-81"/>
        </w:rPr>
        <w:t> </w:t>
      </w:r>
      <w:r>
        <w:rPr>
          <w:spacing w:val="-81"/>
        </w:rPr>
      </w:r>
      <w:r>
        <w:rPr/>
        <w:t>事会确认。</w:t>
      </w:r>
    </w:p>
    <w:p>
      <w:pPr>
        <w:pStyle w:val="BodyText"/>
        <w:spacing w:line="240" w:lineRule="auto"/>
        <w:ind w:left="574" w:right="148"/>
        <w:jc w:val="left"/>
      </w:pPr>
      <w:r>
        <w:rPr>
          <w:rFonts w:ascii="Times New Roman" w:hAnsi="Times New Roman" w:cs="Times New Roman" w:eastAsia="Times New Roman" w:hint="default"/>
        </w:rPr>
        <w:t>2</w:t>
      </w:r>
      <w:r>
        <w:rPr/>
        <w:t>、董事、监事、高级管理人员报酬确定依据</w:t>
      </w:r>
    </w:p>
    <w:p>
      <w:pPr>
        <w:pStyle w:val="BodyText"/>
        <w:spacing w:line="408" w:lineRule="auto" w:before="177"/>
        <w:ind w:right="148" w:firstLine="420"/>
        <w:jc w:val="left"/>
      </w:pPr>
      <w:r>
        <w:rPr/>
        <w:t>①</w:t>
      </w:r>
      <w:r>
        <w:rPr>
          <w:spacing w:val="-21"/>
        </w:rPr>
        <w:t> </w:t>
      </w:r>
      <w:r>
        <w:rPr/>
        <w:t>不在公司担任具体管理职务的董事、监事不领取董事、监事职务报酬；在公司担任具体管理职务</w:t>
      </w:r>
      <w:r>
        <w:rPr/>
        <w:t> </w:t>
      </w:r>
      <w:r>
        <w:rPr>
          <w:spacing w:val="-1"/>
        </w:rPr>
        <w:t>的董事（包括董事长）、监事（包括监事长），根据其在公司的具体任职岗位领取相应的报酬，不再领取</w:t>
      </w:r>
      <w:r>
        <w:rPr>
          <w:spacing w:val="-85"/>
        </w:rPr>
        <w:t> </w:t>
      </w:r>
      <w:r>
        <w:rPr>
          <w:spacing w:val="-85"/>
        </w:rPr>
      </w:r>
      <w:r>
        <w:rPr/>
        <w:t>董事、监事职务报酬。</w:t>
      </w:r>
    </w:p>
    <w:p>
      <w:pPr>
        <w:pStyle w:val="BodyText"/>
        <w:spacing w:line="240" w:lineRule="auto"/>
        <w:ind w:left="574" w:right="148"/>
        <w:jc w:val="left"/>
      </w:pPr>
      <w:r>
        <w:rPr/>
        <w:t>②</w:t>
      </w:r>
      <w:r>
        <w:rPr>
          <w:spacing w:val="-21"/>
        </w:rPr>
        <w:t> </w:t>
      </w:r>
      <w:r>
        <w:rPr/>
        <w:t>公司独立董事的职务津贴为由年度股东大会审议。</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236" w:firstLine="420"/>
        <w:jc w:val="left"/>
      </w:pPr>
      <w:r>
        <w:rPr/>
        <w:t>③</w:t>
      </w:r>
      <w:r>
        <w:rPr>
          <w:spacing w:val="-21"/>
        </w:rPr>
        <w:t> </w:t>
      </w:r>
      <w:r>
        <w:rPr/>
        <w:t>董事、监事出席公司董事会、监事会、股东大会以及按《公司法》、《公司章程》相关规定行使</w:t>
      </w:r>
      <w:r>
        <w:rPr/>
        <w:t> 职权所需的合理费用（包括差旅费、办公费等）公司给予实报实销。</w:t>
      </w:r>
    </w:p>
    <w:p>
      <w:pPr>
        <w:pStyle w:val="BodyText"/>
        <w:spacing w:line="240" w:lineRule="auto"/>
        <w:ind w:left="573" w:right="148"/>
        <w:jc w:val="left"/>
      </w:pPr>
      <w:r>
        <w:rPr/>
        <w:t>④</w:t>
      </w:r>
      <w:r>
        <w:rPr>
          <w:spacing w:val="-21"/>
        </w:rPr>
        <w:t> </w:t>
      </w:r>
      <w:r>
        <w:rPr/>
        <w:t>董事、监事的报酬包括个人所得税，个人所得税由公司根据税法规定统一代扣代缴。</w:t>
      </w:r>
    </w:p>
    <w:p>
      <w:pPr>
        <w:spacing w:line="240" w:lineRule="auto" w:before="10"/>
        <w:rPr>
          <w:rFonts w:ascii="宋体" w:hAnsi="宋体" w:cs="宋体" w:eastAsia="宋体" w:hint="default"/>
          <w:sz w:val="14"/>
          <w:szCs w:val="14"/>
        </w:rPr>
      </w:pPr>
    </w:p>
    <w:p>
      <w:pPr>
        <w:pStyle w:val="BodyText"/>
        <w:tabs>
          <w:tab w:pos="573" w:val="left" w:leader="none"/>
        </w:tabs>
        <w:spacing w:line="386" w:lineRule="auto" w:before="0"/>
        <w:ind w:left="153" w:right="151" w:firstLine="60"/>
        <w:jc w:val="left"/>
      </w:pPr>
      <w:r>
        <w:rPr>
          <w:rFonts w:ascii="Times New Roman" w:hAnsi="Times New Roman" w:cs="Times New Roman" w:eastAsia="Times New Roman" w:hint="default"/>
        </w:rPr>
        <w:t>1.</w:t>
        <w:tab/>
      </w:r>
      <w:r>
        <w:rPr/>
        <w:t>董事、监事和高级管理人员报酬的实际支付情况 </w:t>
      </w:r>
      <w:r>
        <w:rPr>
          <w:spacing w:val="-8"/>
        </w:rPr>
        <w:t>公司根据薪酬计划按月发放薪酬。报告期内，公司共有董事、监事、高级管理人员</w:t>
      </w:r>
      <w:r>
        <w:rPr>
          <w:rFonts w:ascii="Times New Roman" w:hAnsi="Times New Roman" w:cs="Times New Roman" w:eastAsia="Times New Roman" w:hint="default"/>
          <w:spacing w:val="-8"/>
        </w:rPr>
        <w:t>20</w:t>
      </w:r>
      <w:r>
        <w:rPr>
          <w:spacing w:val="-8"/>
        </w:rPr>
        <w:t>人（含</w:t>
      </w:r>
      <w:r>
        <w:rPr>
          <w:rFonts w:ascii="Times New Roman" w:hAnsi="Times New Roman" w:cs="Times New Roman" w:eastAsia="Times New Roman" w:hint="default"/>
          <w:spacing w:val="-8"/>
        </w:rPr>
        <w:t>4</w:t>
      </w:r>
      <w:r>
        <w:rPr>
          <w:spacing w:val="-8"/>
        </w:rPr>
        <w:t>名独立董事），</w:t>
      </w:r>
      <w:r>
        <w:rPr>
          <w:spacing w:val="-58"/>
        </w:rPr>
        <w:t> </w:t>
      </w:r>
      <w:r>
        <w:rPr>
          <w:spacing w:val="-58"/>
        </w:rPr>
      </w:r>
      <w:r>
        <w:rPr/>
        <w:t>共从公司领取薪酬</w:t>
      </w:r>
      <w:r>
        <w:rPr>
          <w:rFonts w:ascii="Times New Roman" w:hAnsi="Times New Roman" w:cs="Times New Roman" w:eastAsia="Times New Roman" w:hint="default"/>
        </w:rPr>
        <w:t>(</w:t>
      </w:r>
      <w:r>
        <w:rPr/>
        <w:t>包括津贴）</w:t>
      </w:r>
      <w:r>
        <w:rPr>
          <w:rFonts w:ascii="Times New Roman" w:hAnsi="Times New Roman" w:cs="Times New Roman" w:eastAsia="Times New Roman" w:hint="default"/>
        </w:rPr>
        <w:t>412.17</w:t>
      </w:r>
      <w:r>
        <w:rPr/>
        <w:t>万元（含税）。</w:t>
      </w:r>
    </w:p>
    <w:p>
      <w:pPr>
        <w:spacing w:line="240" w:lineRule="auto" w:before="3"/>
        <w:rPr>
          <w:rFonts w:ascii="宋体" w:hAnsi="宋体" w:cs="宋体" w:eastAsia="宋体" w:hint="default"/>
          <w:sz w:val="22"/>
          <w:szCs w:val="22"/>
        </w:rPr>
      </w:pPr>
    </w:p>
    <w:p>
      <w:pPr>
        <w:spacing w:before="44"/>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24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赵天庆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412.15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2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247" w:firstLine="0"/>
        <w:jc w:val="right"/>
        <w:rPr>
          <w:rFonts w:ascii="宋体" w:hAnsi="宋体" w:cs="宋体" w:eastAsia="宋体" w:hint="default"/>
          <w:sz w:val="18"/>
          <w:szCs w:val="18"/>
        </w:rPr>
      </w:pPr>
      <w:r>
        <w:rPr/>
        <w:pict>
          <v:shape style="position:absolute;margin-left:259.020294pt;margin-top:22.632397pt;width:58.1pt;height:66.45pt;mso-position-horizontal-relative:page;mso-position-vertical-relative:paragraph;z-index:-9664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firstLine="46"/>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3" w:right="45"/>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59,940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139,860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97,860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321,720</w:t>
            </w:r>
          </w:p>
        </w:tc>
      </w:tr>
      <w:tr>
        <w:trPr>
          <w:trHeight w:val="714" w:hRule="exact"/>
        </w:trPr>
        <w:tc>
          <w:tcPr>
            <w:tcW w:w="1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6" w:right="60"/>
              <w:jc w:val="left"/>
              <w:rPr>
                <w:rFonts w:ascii="宋体" w:hAnsi="宋体" w:cs="宋体" w:eastAsia="宋体" w:hint="default"/>
                <w:sz w:val="18"/>
                <w:szCs w:val="18"/>
              </w:rPr>
            </w:pPr>
            <w:r>
              <w:rPr>
                <w:rFonts w:ascii="宋体" w:hAnsi="宋体" w:cs="宋体" w:eastAsia="宋体" w:hint="default"/>
                <w:sz w:val="18"/>
                <w:szCs w:val="18"/>
              </w:rPr>
              <w:t>期初股份数量、本期变动的股份数量和期末股份数量均按照资本公积转增股本后除权后的股数进行 了调整。</w:t>
            </w:r>
          </w:p>
        </w:tc>
      </w:tr>
    </w:tbl>
    <w:p>
      <w:pPr>
        <w:spacing w:line="240" w:lineRule="auto" w:before="2"/>
        <w:rPr>
          <w:rFonts w:ascii="宋体" w:hAnsi="宋体" w:cs="宋体" w:eastAsia="宋体" w:hint="default"/>
          <w:sz w:val="18"/>
          <w:szCs w:val="18"/>
        </w:rPr>
      </w:pPr>
    </w:p>
    <w:p>
      <w:pPr>
        <w:pStyle w:val="Heading2"/>
        <w:spacing w:line="240" w:lineRule="auto" w:before="26"/>
        <w:ind w:left="214"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BodyText"/>
        <w:spacing w:line="290" w:lineRule="auto" w:before="0"/>
        <w:ind w:left="634" w:right="3890" w:hanging="1"/>
        <w:jc w:val="left"/>
      </w:pPr>
      <w:r>
        <w:rPr>
          <w:rFonts w:ascii="Times New Roman" w:hAnsi="Times New Roman" w:cs="Times New Roman" w:eastAsia="Times New Roman" w:hint="default"/>
        </w:rPr>
        <w:t>1</w:t>
      </w:r>
      <w:r>
        <w:rPr/>
        <w:t>、员工人数及变化情况 报告期各期末，本公司及子公司的员工人数变化情况如下：</w:t>
      </w:r>
    </w:p>
    <w:p>
      <w:pPr>
        <w:spacing w:line="240" w:lineRule="auto" w:before="8"/>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380"/>
        <w:gridCol w:w="2548"/>
        <w:gridCol w:w="2303"/>
        <w:gridCol w:w="2410"/>
      </w:tblGrid>
      <w:tr>
        <w:trPr>
          <w:trHeight w:val="322" w:hRule="exact"/>
        </w:trPr>
        <w:tc>
          <w:tcPr>
            <w:tcW w:w="238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54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0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1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p>
        </w:tc>
      </w:tr>
      <w:tr>
        <w:trPr>
          <w:trHeight w:val="323"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期末在职人数</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3616</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97.70%</w:t>
            </w:r>
          </w:p>
        </w:tc>
      </w:tr>
    </w:tbl>
    <w:p>
      <w:pPr>
        <w:pStyle w:val="BodyText"/>
        <w:spacing w:line="290" w:lineRule="auto" w:before="26"/>
        <w:ind w:left="634" w:right="4730" w:hanging="1"/>
        <w:jc w:val="left"/>
      </w:pPr>
      <w:r>
        <w:rPr>
          <w:rFonts w:ascii="Times New Roman" w:hAnsi="Times New Roman" w:cs="Times New Roman" w:eastAsia="Times New Roman" w:hint="default"/>
        </w:rPr>
        <w:t>2</w:t>
      </w:r>
      <w:r>
        <w:rPr/>
        <w:t>、员工专业结构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日，公司员工的专业结构如下：</w:t>
      </w:r>
    </w:p>
    <w:p>
      <w:pPr>
        <w:spacing w:line="240" w:lineRule="auto" w:before="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74"/>
        <w:gridCol w:w="3293"/>
        <w:gridCol w:w="3290"/>
      </w:tblGrid>
      <w:tr>
        <w:trPr>
          <w:trHeight w:val="402" w:hRule="exact"/>
        </w:trPr>
        <w:tc>
          <w:tcPr>
            <w:tcW w:w="307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32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9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占员工人数比例%</w:t>
            </w:r>
          </w:p>
        </w:tc>
      </w:tr>
      <w:tr>
        <w:trPr>
          <w:trHeight w:val="40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业务人员</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3,034</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83.90%</w:t>
            </w:r>
          </w:p>
        </w:tc>
      </w:tr>
      <w:tr>
        <w:trPr>
          <w:trHeight w:val="40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162</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4.48%</w:t>
            </w:r>
          </w:p>
        </w:tc>
      </w:tr>
      <w:tr>
        <w:trPr>
          <w:trHeight w:val="32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3616</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5"/>
        <w:rPr>
          <w:rFonts w:ascii="宋体" w:hAnsi="宋体" w:cs="宋体" w:eastAsia="宋体" w:hint="default"/>
          <w:sz w:val="27"/>
          <w:szCs w:val="27"/>
        </w:rPr>
      </w:pPr>
    </w:p>
    <w:p>
      <w:pPr>
        <w:spacing w:line="3970" w:lineRule="exact"/>
        <w:ind w:left="1918" w:right="0" w:firstLine="0"/>
        <w:rPr>
          <w:rFonts w:ascii="宋体" w:hAnsi="宋体" w:cs="宋体" w:eastAsia="宋体" w:hint="default"/>
          <w:sz w:val="20"/>
          <w:szCs w:val="20"/>
        </w:rPr>
      </w:pPr>
      <w:r>
        <w:rPr>
          <w:rFonts w:ascii="宋体" w:hAnsi="宋体" w:cs="宋体" w:eastAsia="宋体" w:hint="default"/>
          <w:position w:val="-78"/>
          <w:sz w:val="20"/>
          <w:szCs w:val="20"/>
        </w:rPr>
        <w:pict>
          <v:group style="width:312.25pt;height:198.55pt;mso-position-horizontal-relative:char;mso-position-vertical-relative:line" coordorigin="0,0" coordsize="6245,3971">
            <v:shape style="position:absolute;left:11;top:10;width:6224;height:3952" type="#_x0000_t75" stroked="false">
              <v:imagedata r:id="rId19" o:title=""/>
            </v:shape>
            <v:group style="position:absolute;left:0;top:0;width:6245;height:3971" coordorigin="0,0" coordsize="6245,3971">
              <v:shape style="position:absolute;left:0;top:0;width:6245;height:3971" coordorigin="0,0" coordsize="6245,3971" path="m6244,0l2,0,0,2,0,3968,2,3971,6244,3971,6245,3968,6245,3966,11,3966,6,3961,11,3961,11,10,6,10,11,5,6245,5,6245,2,6244,0xe" filled="true" fillcolor="#bfbfbf" stroked="false">
                <v:path arrowok="t"/>
                <v:fill type="solid"/>
              </v:shape>
              <v:shape style="position:absolute;left:0;top:0;width:6245;height:3971" coordorigin="0,0" coordsize="6245,3971" path="m11,3961l6,3961,11,3966,11,3961xe" filled="true" fillcolor="#bfbfbf" stroked="false">
                <v:path arrowok="t"/>
                <v:fill type="solid"/>
              </v:shape>
              <v:shape style="position:absolute;left:0;top:0;width:6245;height:3971" coordorigin="0,0" coordsize="6245,3971" path="m6235,3961l11,3961,11,3966,6235,3966,6235,3961xe" filled="true" fillcolor="#bfbfbf" stroked="false">
                <v:path arrowok="t"/>
                <v:fill type="solid"/>
              </v:shape>
              <v:shape style="position:absolute;left:0;top:0;width:6245;height:3971" coordorigin="0,0" coordsize="6245,3971" path="m6235,5l6235,3966,6240,3961,6245,3961,6245,10,6240,10,6235,5xe" filled="true" fillcolor="#bfbfbf" stroked="false">
                <v:path arrowok="t"/>
                <v:fill type="solid"/>
              </v:shape>
              <v:shape style="position:absolute;left:0;top:0;width:6245;height:3971" coordorigin="0,0" coordsize="6245,3971" path="m6245,3961l6240,3961,6235,3966,6245,3966,6245,3961xe" filled="true" fillcolor="#bfbfbf" stroked="false">
                <v:path arrowok="t"/>
                <v:fill type="solid"/>
              </v:shape>
              <v:shape style="position:absolute;left:0;top:0;width:6245;height:3971" coordorigin="0,0" coordsize="6245,3971" path="m11,5l6,10,11,10,11,5xe" filled="true" fillcolor="#bfbfbf" stroked="false">
                <v:path arrowok="t"/>
                <v:fill type="solid"/>
              </v:shape>
              <v:shape style="position:absolute;left:0;top:0;width:6245;height:3971" coordorigin="0,0" coordsize="6245,3971" path="m6235,5l11,5,11,10,6235,10,6235,5xe" filled="true" fillcolor="#bfbfbf" stroked="false">
                <v:path arrowok="t"/>
                <v:fill type="solid"/>
              </v:shape>
              <v:shape style="position:absolute;left:0;top:0;width:6245;height:3971" coordorigin="0,0" coordsize="6245,3971" path="m6245,5l6235,5,6240,10,6245,10,6245,5xe" filled="true" fillcolor="#bfbfbf" stroked="false">
                <v:path arrowok="t"/>
                <v:fill type="solid"/>
              </v:shape>
            </v:group>
          </v:group>
        </w:pict>
      </w:r>
      <w:r>
        <w:rPr>
          <w:rFonts w:ascii="宋体" w:hAnsi="宋体" w:cs="宋体" w:eastAsia="宋体" w:hint="default"/>
          <w:position w:val="-78"/>
          <w:sz w:val="20"/>
          <w:szCs w:val="20"/>
        </w:rPr>
      </w:r>
    </w:p>
    <w:p>
      <w:pPr>
        <w:spacing w:line="240" w:lineRule="auto" w:before="12"/>
        <w:rPr>
          <w:rFonts w:ascii="宋体" w:hAnsi="宋体" w:cs="宋体" w:eastAsia="宋体" w:hint="default"/>
          <w:sz w:val="29"/>
          <w:szCs w:val="29"/>
        </w:rPr>
      </w:pPr>
    </w:p>
    <w:p>
      <w:pPr>
        <w:pStyle w:val="BodyText"/>
        <w:spacing w:line="290" w:lineRule="auto" w:before="35"/>
        <w:ind w:left="634" w:right="4390" w:hanging="1"/>
        <w:jc w:val="left"/>
      </w:pPr>
      <w:r>
        <w:rPr>
          <w:rFonts w:ascii="Times New Roman" w:hAnsi="Times New Roman" w:cs="Times New Roman" w:eastAsia="Times New Roman" w:hint="default"/>
        </w:rPr>
        <w:t>3</w:t>
      </w:r>
      <w:r>
        <w:rPr/>
        <w:t>、员工教育程度分布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日，公司员工的教育程度分布如下：</w:t>
      </w:r>
    </w:p>
    <w:p>
      <w:pPr>
        <w:spacing w:line="240" w:lineRule="auto" w:before="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36"/>
        <w:gridCol w:w="3360"/>
        <w:gridCol w:w="3359"/>
      </w:tblGrid>
      <w:tr>
        <w:trPr>
          <w:trHeight w:val="322" w:hRule="exact"/>
        </w:trPr>
        <w:tc>
          <w:tcPr>
            <w:tcW w:w="3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学历结构</w:t>
            </w:r>
          </w:p>
        </w:tc>
        <w:tc>
          <w:tcPr>
            <w:tcW w:w="3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占员工人数比例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421"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1,557.00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43.06%</w:t>
            </w:r>
          </w:p>
        </w:tc>
      </w:tr>
      <w:tr>
        <w:trPr>
          <w:trHeight w:val="422"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1,834.00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50.72%</w:t>
            </w:r>
          </w:p>
        </w:tc>
      </w:tr>
      <w:tr>
        <w:trPr>
          <w:trHeight w:val="422"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225.00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6.22%</w:t>
            </w:r>
          </w:p>
        </w:tc>
      </w:tr>
      <w:tr>
        <w:trPr>
          <w:trHeight w:val="422"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3,616.00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3694" w:lineRule="exact"/>
        <w:ind w:left="1723" w:right="0" w:firstLine="0"/>
        <w:rPr>
          <w:rFonts w:ascii="宋体" w:hAnsi="宋体" w:cs="宋体" w:eastAsia="宋体" w:hint="default"/>
          <w:sz w:val="20"/>
          <w:szCs w:val="20"/>
        </w:rPr>
      </w:pPr>
      <w:r>
        <w:rPr>
          <w:rFonts w:ascii="宋体" w:hAnsi="宋体" w:cs="宋体" w:eastAsia="宋体" w:hint="default"/>
          <w:position w:val="-73"/>
          <w:sz w:val="20"/>
          <w:szCs w:val="20"/>
        </w:rPr>
        <w:pict>
          <v:group style="width:331pt;height:184.75pt;mso-position-horizontal-relative:char;mso-position-vertical-relative:line" coordorigin="0,0" coordsize="6620,3695">
            <v:shape style="position:absolute;left:10;top:10;width:6600;height:3676" type="#_x0000_t75" stroked="false">
              <v:imagedata r:id="rId20" o:title=""/>
            </v:shape>
            <v:group style="position:absolute;left:0;top:0;width:6620;height:3695" coordorigin="0,0" coordsize="6620,3695">
              <v:shape style="position:absolute;left:0;top:0;width:6620;height:3695" coordorigin="0,0" coordsize="6620,3695" path="m6617,0l2,0,0,2,0,3692,2,3695,6617,3695,6619,3692,6619,3690,10,3690,5,3685,10,3685,10,10,5,10,10,5,6619,5,6619,2,6617,0xe" filled="true" fillcolor="#a6a6a6" stroked="false">
                <v:path arrowok="t"/>
                <v:fill type="solid"/>
              </v:shape>
              <v:shape style="position:absolute;left:0;top:0;width:6620;height:3695" coordorigin="0,0" coordsize="6620,3695" path="m10,3685l5,3685,10,3690,10,3685xe" filled="true" fillcolor="#a6a6a6" stroked="false">
                <v:path arrowok="t"/>
                <v:fill type="solid"/>
              </v:shape>
              <v:shape style="position:absolute;left:0;top:0;width:6620;height:3695" coordorigin="0,0" coordsize="6620,3695" path="m6610,3685l10,3685,10,3690,6610,3690,6610,3685xe" filled="true" fillcolor="#a6a6a6" stroked="false">
                <v:path arrowok="t"/>
                <v:fill type="solid"/>
              </v:shape>
              <v:shape style="position:absolute;left:0;top:0;width:6620;height:3695" coordorigin="0,0" coordsize="6620,3695" path="m6610,5l6610,3690,6614,3685,6619,3685,6619,10,6614,10,6610,5xe" filled="true" fillcolor="#a6a6a6" stroked="false">
                <v:path arrowok="t"/>
                <v:fill type="solid"/>
              </v:shape>
              <v:shape style="position:absolute;left:0;top:0;width:6620;height:3695" coordorigin="0,0" coordsize="6620,3695" path="m6619,3685l6614,3685,6610,3690,6619,3690,6619,3685xe" filled="true" fillcolor="#a6a6a6" stroked="false">
                <v:path arrowok="t"/>
                <v:fill type="solid"/>
              </v:shape>
              <v:shape style="position:absolute;left:0;top:0;width:6620;height:3695" coordorigin="0,0" coordsize="6620,3695" path="m10,5l5,10,10,10,10,5xe" filled="true" fillcolor="#a6a6a6" stroked="false">
                <v:path arrowok="t"/>
                <v:fill type="solid"/>
              </v:shape>
              <v:shape style="position:absolute;left:0;top:0;width:6620;height:3695" coordorigin="0,0" coordsize="6620,3695" path="m6610,5l10,5,10,10,6610,10,6610,5xe" filled="true" fillcolor="#a6a6a6" stroked="false">
                <v:path arrowok="t"/>
                <v:fill type="solid"/>
              </v:shape>
              <v:shape style="position:absolute;left:0;top:0;width:6620;height:3695" coordorigin="0,0" coordsize="6620,3695" path="m6619,5l6610,5,6614,10,6619,10,6619,5xe" filled="true" fillcolor="#a6a6a6" stroked="false">
                <v:path arrowok="t"/>
                <v:fill type="solid"/>
              </v:shape>
            </v:group>
          </v:group>
        </w:pict>
      </w:r>
      <w:r>
        <w:rPr>
          <w:rFonts w:ascii="宋体" w:hAnsi="宋体" w:cs="宋体" w:eastAsia="宋体" w:hint="default"/>
          <w:position w:val="-73"/>
          <w:sz w:val="20"/>
          <w:szCs w:val="20"/>
        </w:rPr>
      </w:r>
    </w:p>
    <w:p>
      <w:pPr>
        <w:spacing w:line="240" w:lineRule="auto" w:before="10"/>
        <w:rPr>
          <w:rFonts w:ascii="宋体" w:hAnsi="宋体" w:cs="宋体" w:eastAsia="宋体" w:hint="default"/>
          <w:sz w:val="13"/>
          <w:szCs w:val="13"/>
        </w:rPr>
      </w:pPr>
    </w:p>
    <w:p>
      <w:pPr>
        <w:pStyle w:val="BodyText"/>
        <w:spacing w:line="290" w:lineRule="auto" w:before="35"/>
        <w:ind w:left="214" w:right="5230" w:hanging="1"/>
        <w:jc w:val="left"/>
      </w:pPr>
      <w:r>
        <w:rPr>
          <w:rFonts w:ascii="Times New Roman" w:hAnsi="Times New Roman" w:cs="Times New Roman" w:eastAsia="Times New Roman" w:hint="default"/>
        </w:rPr>
        <w:t>4</w:t>
      </w:r>
      <w:r>
        <w:rPr/>
        <w:t>、员工年龄分布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日，公司员工的年龄结构如下：</w:t>
      </w:r>
    </w:p>
    <w:p>
      <w:pPr>
        <w:spacing w:line="240" w:lineRule="auto" w:before="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36"/>
        <w:gridCol w:w="3360"/>
        <w:gridCol w:w="3359"/>
      </w:tblGrid>
      <w:tr>
        <w:trPr>
          <w:trHeight w:val="322" w:hRule="exact"/>
        </w:trPr>
        <w:tc>
          <w:tcPr>
            <w:tcW w:w="3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年龄结构</w:t>
            </w:r>
          </w:p>
        </w:tc>
        <w:tc>
          <w:tcPr>
            <w:tcW w:w="3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占员工人数比例</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p>
        </w:tc>
      </w:tr>
      <w:tr>
        <w:trPr>
          <w:trHeight w:val="421"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岁及以下</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2,194.00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60.67%</w:t>
            </w:r>
          </w:p>
        </w:tc>
      </w:tr>
      <w:tr>
        <w:trPr>
          <w:trHeight w:val="422"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30-39</w:t>
            </w:r>
            <w:r>
              <w:rPr>
                <w:rFonts w:ascii="宋体" w:hAnsi="宋体" w:cs="宋体" w:eastAsia="宋体" w:hint="default"/>
                <w:sz w:val="18"/>
                <w:szCs w:val="18"/>
              </w:rPr>
              <w:t>岁</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1,129.00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31.22%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36"/>
        <w:gridCol w:w="3360"/>
        <w:gridCol w:w="3359"/>
      </w:tblGrid>
      <w:tr>
        <w:trPr>
          <w:trHeight w:val="422"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40-49</w:t>
            </w:r>
            <w:r>
              <w:rPr>
                <w:rFonts w:ascii="宋体" w:hAnsi="宋体" w:cs="宋体" w:eastAsia="宋体" w:hint="default"/>
                <w:sz w:val="18"/>
                <w:szCs w:val="18"/>
              </w:rPr>
              <w:t>岁</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4"/>
              <w:jc w:val="right"/>
              <w:rPr>
                <w:rFonts w:ascii="Times New Roman" w:hAnsi="Times New Roman" w:cs="Times New Roman" w:eastAsia="Times New Roman" w:hint="default"/>
                <w:sz w:val="18"/>
                <w:szCs w:val="18"/>
              </w:rPr>
            </w:pPr>
            <w:r>
              <w:rPr>
                <w:rFonts w:ascii="Times New Roman"/>
                <w:sz w:val="18"/>
              </w:rPr>
              <w:t>228.00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6.31%</w:t>
            </w:r>
          </w:p>
        </w:tc>
      </w:tr>
      <w:tr>
        <w:trPr>
          <w:trHeight w:val="421"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岁及以上</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69"/>
              <w:jc w:val="right"/>
              <w:rPr>
                <w:rFonts w:ascii="Times New Roman" w:hAnsi="Times New Roman" w:cs="Times New Roman" w:eastAsia="Times New Roman" w:hint="default"/>
                <w:sz w:val="18"/>
                <w:szCs w:val="18"/>
              </w:rPr>
            </w:pPr>
            <w:r>
              <w:rPr>
                <w:rFonts w:ascii="Times New Roman"/>
                <w:sz w:val="18"/>
              </w:rPr>
              <w:t>65.00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1.80%</w:t>
            </w:r>
          </w:p>
        </w:tc>
      </w:tr>
      <w:tr>
        <w:trPr>
          <w:trHeight w:val="422"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56"/>
              <w:jc w:val="right"/>
              <w:rPr>
                <w:rFonts w:ascii="Times New Roman" w:hAnsi="Times New Roman" w:cs="Times New Roman" w:eastAsia="Times New Roman" w:hint="default"/>
                <w:sz w:val="18"/>
                <w:szCs w:val="18"/>
              </w:rPr>
            </w:pPr>
            <w:r>
              <w:rPr>
                <w:rFonts w:ascii="Times New Roman"/>
                <w:sz w:val="18"/>
              </w:rPr>
              <w:t>3,616.00</w:t>
            </w:r>
          </w:p>
        </w:tc>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8"/>
          <w:szCs w:val="8"/>
        </w:rPr>
      </w:pPr>
    </w:p>
    <w:p>
      <w:pPr>
        <w:spacing w:line="3576" w:lineRule="exact"/>
        <w:ind w:left="1948" w:right="0" w:firstLine="0"/>
        <w:rPr>
          <w:rFonts w:ascii="宋体" w:hAnsi="宋体" w:cs="宋体" w:eastAsia="宋体" w:hint="default"/>
          <w:sz w:val="20"/>
          <w:szCs w:val="20"/>
        </w:rPr>
      </w:pPr>
      <w:r>
        <w:rPr>
          <w:rFonts w:ascii="宋体" w:hAnsi="宋体" w:cs="宋体" w:eastAsia="宋体" w:hint="default"/>
          <w:position w:val="-71"/>
          <w:sz w:val="20"/>
          <w:szCs w:val="20"/>
        </w:rPr>
        <w:pict>
          <v:group style="width:309.25pt;height:178.8pt;mso-position-horizontal-relative:char;mso-position-vertical-relative:line" coordorigin="0,0" coordsize="6185,3576">
            <v:shape style="position:absolute;left:11;top:11;width:6164;height:3556" type="#_x0000_t75" stroked="false">
              <v:imagedata r:id="rId21" o:title=""/>
            </v:shape>
            <v:group style="position:absolute;left:0;top:0;width:6185;height:3576" coordorigin="0,0" coordsize="6185,3576">
              <v:shape style="position:absolute;left:0;top:0;width:6185;height:3576" coordorigin="0,0" coordsize="6185,3576" path="m6182,0l2,0,0,2,0,3574,2,3576,6182,3576,6185,3574,6185,3571,11,3571,6,3566,11,3566,11,11,6,11,11,5,6185,5,6185,2,6182,0xe" filled="true" fillcolor="#a6a6a6" stroked="false">
                <v:path arrowok="t"/>
                <v:fill type="solid"/>
              </v:shape>
              <v:shape style="position:absolute;left:0;top:0;width:6185;height:3576" coordorigin="0,0" coordsize="6185,3576" path="m11,3566l6,3566,11,3571,11,3566xe" filled="true" fillcolor="#a6a6a6" stroked="false">
                <v:path arrowok="t"/>
                <v:fill type="solid"/>
              </v:shape>
              <v:shape style="position:absolute;left:0;top:0;width:6185;height:3576" coordorigin="0,0" coordsize="6185,3576" path="m6175,3566l11,3566,11,3571,6175,3571,6175,3566xe" filled="true" fillcolor="#a6a6a6" stroked="false">
                <v:path arrowok="t"/>
                <v:fill type="solid"/>
              </v:shape>
              <v:shape style="position:absolute;left:0;top:0;width:6185;height:3576" coordorigin="0,0" coordsize="6185,3576" path="m6175,5l6175,3571,6180,3566,6185,3566,6185,11,6180,11,6175,5xe" filled="true" fillcolor="#a6a6a6" stroked="false">
                <v:path arrowok="t"/>
                <v:fill type="solid"/>
              </v:shape>
              <v:shape style="position:absolute;left:0;top:0;width:6185;height:3576" coordorigin="0,0" coordsize="6185,3576" path="m6185,3566l6180,3566,6175,3571,6185,3571,6185,3566xe" filled="true" fillcolor="#a6a6a6" stroked="false">
                <v:path arrowok="t"/>
                <v:fill type="solid"/>
              </v:shape>
              <v:shape style="position:absolute;left:0;top:0;width:6185;height:3576" coordorigin="0,0" coordsize="6185,3576" path="m11,5l6,11,11,11,11,5xe" filled="true" fillcolor="#a6a6a6" stroked="false">
                <v:path arrowok="t"/>
                <v:fill type="solid"/>
              </v:shape>
              <v:shape style="position:absolute;left:0;top:0;width:6185;height:3576" coordorigin="0,0" coordsize="6185,3576" path="m6175,5l11,5,11,11,6175,11,6175,5xe" filled="true" fillcolor="#a6a6a6" stroked="false">
                <v:path arrowok="t"/>
                <v:fill type="solid"/>
              </v:shape>
              <v:shape style="position:absolute;left:0;top:0;width:6185;height:3576" coordorigin="0,0" coordsize="6185,3576" path="m6185,5l6175,5,6180,11,6185,11,6185,5xe" filled="true" fillcolor="#a6a6a6" stroked="false">
                <v:path arrowok="t"/>
                <v:fill type="solid"/>
              </v:shape>
            </v:group>
          </v:group>
        </w:pict>
      </w:r>
      <w:r>
        <w:rPr>
          <w:rFonts w:ascii="宋体" w:hAnsi="宋体" w:cs="宋体" w:eastAsia="宋体" w:hint="default"/>
          <w:position w:val="-71"/>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213"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725"/>
        <w:gridCol w:w="5843"/>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26,246.28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811" w:right="3827"/>
        <w:jc w:val="center"/>
        <w:rPr>
          <w:b w:val="0"/>
          <w:bCs w:val="0"/>
        </w:rPr>
      </w:pPr>
      <w:bookmarkStart w:name="_TOC_250002" w:id="10"/>
      <w:r>
        <w:rPr/>
        <w:t>第九节</w:t>
      </w:r>
      <w:r>
        <w:rPr>
          <w:spacing w:val="-5"/>
        </w:rPr>
        <w:t> </w:t>
      </w:r>
      <w:r>
        <w:rPr/>
        <w:t>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3"/>
        <w:spacing w:line="240" w:lineRule="auto" w:before="35"/>
        <w:ind w:left="214" w:right="0"/>
        <w:jc w:val="left"/>
        <w:rPr>
          <w:b w:val="0"/>
          <w:bCs w:val="0"/>
        </w:rPr>
      </w:pPr>
      <w:r>
        <w:rPr/>
        <w:t>一、公司治理的基本状况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213" w:right="230" w:firstLine="360"/>
        <w:jc w:val="both"/>
      </w:pPr>
      <w:r>
        <w:rPr/>
        <w:t>报告期内，公司严格按照中国证监会规定及《公司法》、《证券法》、《上市公司治理准则》、《深 </w:t>
      </w:r>
      <w:r>
        <w:rPr>
          <w:spacing w:val="-5"/>
        </w:rPr>
        <w:t>圳证券交易所股票上市规则》、《深圳证券交易所中小企业板上市公司规范运作指引》等法律法规的要求，</w:t>
      </w:r>
      <w:r>
        <w:rPr/>
        <w:t> </w:t>
      </w:r>
      <w:r>
        <w:rPr>
          <w:spacing w:val="-1"/>
        </w:rPr>
        <w:t>结合公司的实际情况，不断完善公司法人治理结构，建立健全内部控制制度，加强信息披露管理工作，不</w:t>
      </w:r>
      <w:r>
        <w:rPr>
          <w:spacing w:val="-82"/>
        </w:rPr>
        <w:t> </w:t>
      </w:r>
      <w:r>
        <w:rPr>
          <w:spacing w:val="-82"/>
        </w:rPr>
      </w:r>
      <w:r>
        <w:rPr/>
        <w:t>断规范公司运作，提高公司治理水平。</w:t>
      </w:r>
    </w:p>
    <w:p>
      <w:pPr>
        <w:pStyle w:val="BodyText"/>
        <w:spacing w:line="408" w:lineRule="auto"/>
        <w:ind w:left="213" w:right="268" w:firstLine="360"/>
        <w:jc w:val="both"/>
      </w:pPr>
      <w:r>
        <w:rPr/>
        <w:t>截至报告期末，公司整体运作规范，公司治理实际情况基本符合相关法律法规、规范性文件的要求， 具体情况如下：</w:t>
      </w:r>
    </w:p>
    <w:p>
      <w:pPr>
        <w:spacing w:line="386" w:lineRule="auto" w:before="46"/>
        <w:ind w:left="634" w:right="0" w:hanging="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、公司治理制度建立情况</w:t>
      </w:r>
      <w:r>
        <w:rPr>
          <w:rFonts w:ascii="宋体" w:hAnsi="宋体" w:cs="宋体" w:eastAsia="宋体" w:hint="default"/>
          <w:b/>
          <w:bCs/>
          <w:w w:val="99"/>
          <w:sz w:val="21"/>
          <w:szCs w:val="21"/>
        </w:rPr>
        <w:t> </w:t>
      </w:r>
      <w:r>
        <w:rPr>
          <w:rFonts w:ascii="宋体" w:hAnsi="宋体" w:cs="宋体" w:eastAsia="宋体" w:hint="default"/>
          <w:spacing w:val="-1"/>
          <w:sz w:val="21"/>
          <w:szCs w:val="21"/>
        </w:rPr>
        <w:t>根据公司业务发展和实际经营需要，报告期内公司制定了《风险投资管理制度》、《外汇套期保值业</w:t>
      </w:r>
    </w:p>
    <w:p>
      <w:pPr>
        <w:pStyle w:val="BodyText"/>
        <w:spacing w:line="240" w:lineRule="auto" w:before="65"/>
        <w:ind w:left="214" w:right="0"/>
        <w:jc w:val="left"/>
      </w:pPr>
      <w:r>
        <w:rPr/>
        <w:t>务管理制度》。截至报告期末，公司正在执行的主要治理制度如下：</w:t>
      </w:r>
    </w:p>
    <w:p>
      <w:pPr>
        <w:spacing w:line="240" w:lineRule="auto" w:before="13"/>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593"/>
        <w:gridCol w:w="4120"/>
        <w:gridCol w:w="2623"/>
        <w:gridCol w:w="2519"/>
      </w:tblGrid>
      <w:tr>
        <w:trPr>
          <w:trHeight w:val="634" w:hRule="exact"/>
        </w:trPr>
        <w:tc>
          <w:tcPr>
            <w:tcW w:w="59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86" w:right="0"/>
              <w:jc w:val="left"/>
              <w:rPr>
                <w:rFonts w:ascii="宋体" w:hAnsi="宋体" w:cs="宋体" w:eastAsia="宋体" w:hint="default"/>
                <w:sz w:val="21"/>
                <w:szCs w:val="21"/>
              </w:rPr>
            </w:pPr>
            <w:r>
              <w:rPr>
                <w:rFonts w:ascii="宋体" w:hAnsi="宋体" w:cs="宋体" w:eastAsia="宋体" w:hint="default"/>
                <w:sz w:val="21"/>
                <w:szCs w:val="21"/>
              </w:rPr>
              <w:t>号</w:t>
            </w:r>
          </w:p>
        </w:tc>
        <w:tc>
          <w:tcPr>
            <w:tcW w:w="412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62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251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1</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2</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8" w:right="0"/>
              <w:jc w:val="left"/>
              <w:rPr>
                <w:rFonts w:ascii="Times New Roman" w:hAnsi="Times New Roman" w:cs="Times New Roman" w:eastAsia="Times New Roman" w:hint="default"/>
                <w:sz w:val="21"/>
                <w:szCs w:val="21"/>
              </w:rPr>
            </w:pPr>
            <w:r>
              <w:rPr>
                <w:rFonts w:ascii="Times New Roman"/>
                <w:sz w:val="21"/>
              </w:rPr>
              <w:t>3</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4</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5</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董事会薪酬与考核委员会议事规则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8" w:right="0"/>
              <w:jc w:val="left"/>
              <w:rPr>
                <w:rFonts w:ascii="Times New Roman" w:hAnsi="Times New Roman" w:cs="Times New Roman" w:eastAsia="Times New Roman" w:hint="default"/>
                <w:sz w:val="21"/>
                <w:szCs w:val="21"/>
              </w:rPr>
            </w:pPr>
            <w:r>
              <w:rPr>
                <w:rFonts w:ascii="Times New Roman"/>
                <w:sz w:val="21"/>
              </w:rPr>
              <w:t>6</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7</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8</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董事会审计委员会年报工作规程</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8" w:right="0"/>
              <w:jc w:val="left"/>
              <w:rPr>
                <w:rFonts w:ascii="Times New Roman" w:hAnsi="Times New Roman" w:cs="Times New Roman" w:eastAsia="Times New Roman" w:hint="default"/>
                <w:sz w:val="21"/>
                <w:szCs w:val="21"/>
              </w:rPr>
            </w:pPr>
            <w:r>
              <w:rPr>
                <w:rFonts w:ascii="Times New Roman"/>
                <w:sz w:val="21"/>
              </w:rPr>
              <w:t>9</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6" w:right="0"/>
              <w:jc w:val="left"/>
              <w:rPr>
                <w:rFonts w:ascii="Times New Roman" w:hAnsi="Times New Roman" w:cs="Times New Roman" w:eastAsia="Times New Roman" w:hint="default"/>
                <w:sz w:val="21"/>
                <w:szCs w:val="21"/>
              </w:rPr>
            </w:pPr>
            <w:r>
              <w:rPr>
                <w:rFonts w:ascii="Times New Roman"/>
                <w:sz w:val="21"/>
              </w:rPr>
              <w:t>10</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11</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12</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6" w:right="0"/>
              <w:jc w:val="left"/>
              <w:rPr>
                <w:rFonts w:ascii="Times New Roman" w:hAnsi="Times New Roman" w:cs="Times New Roman" w:eastAsia="Times New Roman" w:hint="default"/>
                <w:sz w:val="21"/>
                <w:szCs w:val="21"/>
              </w:rPr>
            </w:pPr>
            <w:r>
              <w:rPr>
                <w:rFonts w:ascii="Times New Roman"/>
                <w:sz w:val="21"/>
              </w:rPr>
              <w:t>13</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14</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15</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6" w:right="0"/>
              <w:jc w:val="left"/>
              <w:rPr>
                <w:rFonts w:ascii="Times New Roman" w:hAnsi="Times New Roman" w:cs="Times New Roman" w:eastAsia="Times New Roman" w:hint="default"/>
                <w:sz w:val="21"/>
                <w:szCs w:val="21"/>
              </w:rPr>
            </w:pPr>
            <w:r>
              <w:rPr>
                <w:rFonts w:ascii="Times New Roman"/>
                <w:sz w:val="21"/>
              </w:rPr>
              <w:t>16</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17</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18</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6" w:right="0"/>
              <w:jc w:val="left"/>
              <w:rPr>
                <w:rFonts w:ascii="Times New Roman" w:hAnsi="Times New Roman" w:cs="Times New Roman" w:eastAsia="Times New Roman" w:hint="default"/>
                <w:sz w:val="21"/>
                <w:szCs w:val="21"/>
              </w:rPr>
            </w:pPr>
            <w:r>
              <w:rPr>
                <w:rFonts w:ascii="Times New Roman"/>
                <w:sz w:val="21"/>
              </w:rPr>
              <w:t>19</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20</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635"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6" w:right="0"/>
              <w:jc w:val="left"/>
              <w:rPr>
                <w:rFonts w:ascii="Times New Roman" w:hAnsi="Times New Roman" w:cs="Times New Roman" w:eastAsia="Times New Roman" w:hint="default"/>
                <w:sz w:val="21"/>
                <w:szCs w:val="21"/>
              </w:rPr>
            </w:pPr>
            <w:r>
              <w:rPr>
                <w:rFonts w:ascii="Times New Roman"/>
                <w:sz w:val="21"/>
              </w:rPr>
              <w:t>21</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w:t>
            </w:r>
            <w:r>
              <w:rPr>
                <w:rFonts w:ascii="宋体" w:hAnsi="宋体" w:cs="宋体" w:eastAsia="宋体" w:hint="default"/>
                <w:spacing w:val="-87"/>
                <w:sz w:val="21"/>
                <w:szCs w:val="21"/>
              </w:rPr>
              <w:t>、</w:t>
            </w:r>
            <w:r>
              <w:rPr>
                <w:rFonts w:ascii="宋体" w:hAnsi="宋体" w:cs="宋体" w:eastAsia="宋体" w:hint="default"/>
                <w:sz w:val="21"/>
                <w:szCs w:val="21"/>
              </w:rPr>
              <w:t>董</w:t>
            </w:r>
            <w:r>
              <w:rPr>
                <w:rFonts w:ascii="宋体" w:hAnsi="宋体" w:cs="宋体" w:eastAsia="宋体" w:hint="default"/>
                <w:spacing w:val="-2"/>
                <w:sz w:val="21"/>
                <w:szCs w:val="21"/>
              </w:rPr>
              <w:t>监</w:t>
            </w:r>
            <w:r>
              <w:rPr>
                <w:rFonts w:ascii="宋体" w:hAnsi="宋体" w:cs="宋体" w:eastAsia="宋体" w:hint="default"/>
                <w:sz w:val="21"/>
                <w:szCs w:val="21"/>
              </w:rPr>
              <w:t>高所持本公司股份及其变动管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理制度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年3月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0" w:lineRule="exact"/>
        <w:jc w:val="center"/>
        <w:rPr>
          <w:rFonts w:ascii="宋体" w:hAnsi="宋体" w:cs="宋体" w:eastAsia="宋体" w:hint="default"/>
          <w:sz w:val="21"/>
          <w:szCs w:val="21"/>
        </w:rPr>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593"/>
        <w:gridCol w:w="4120"/>
        <w:gridCol w:w="2623"/>
        <w:gridCol w:w="2519"/>
      </w:tblGrid>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22</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规范与关联方资金往来的管理制度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76" w:right="0"/>
              <w:jc w:val="left"/>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23</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内幕信息知情人登记备案制度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25</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76" w:right="0"/>
              <w:jc w:val="left"/>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76" w:right="0"/>
              <w:jc w:val="left"/>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分子公司管理制度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76" w:right="0"/>
              <w:jc w:val="left"/>
              <w:rPr>
                <w:rFonts w:ascii="宋体" w:hAnsi="宋体" w:cs="宋体" w:eastAsia="宋体" w:hint="default"/>
                <w:sz w:val="21"/>
                <w:szCs w:val="21"/>
              </w:rPr>
            </w:pPr>
            <w:r>
              <w:rPr>
                <w:rFonts w:ascii="宋体" w:hAnsi="宋体" w:cs="宋体" w:eastAsia="宋体" w:hint="default"/>
                <w:sz w:val="21"/>
                <w:szCs w:val="21"/>
              </w:rPr>
              <w:t>上市前已制定</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未披露</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28</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限制性股票激励计划实施考核管理办法</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3"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29</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风险投资管理制度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外汇套期保值业务管理制度</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386" w:lineRule="auto" w:before="63"/>
        <w:ind w:left="571" w:right="2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、关于公司与控股股东的关系</w:t>
      </w:r>
      <w:r>
        <w:rPr>
          <w:rFonts w:ascii="宋体" w:hAnsi="宋体" w:cs="宋体" w:eastAsia="宋体" w:hint="default"/>
          <w:b/>
          <w:bCs/>
          <w:spacing w:val="1"/>
          <w:w w:val="99"/>
          <w:sz w:val="21"/>
          <w:szCs w:val="21"/>
        </w:rPr>
        <w:t> </w:t>
      </w:r>
      <w:r>
        <w:rPr>
          <w:rFonts w:ascii="宋体" w:hAnsi="宋体" w:cs="宋体" w:eastAsia="宋体" w:hint="default"/>
          <w:sz w:val="21"/>
          <w:szCs w:val="21"/>
        </w:rPr>
        <w:t>公司控股股东严格按照《上市公司治理准则》、《深圳证券交易所股票上市规则》、《公司章程》、</w:t>
      </w:r>
    </w:p>
    <w:p>
      <w:pPr>
        <w:pStyle w:val="BodyText"/>
        <w:spacing w:line="408" w:lineRule="auto" w:before="65"/>
        <w:ind w:left="213" w:right="0"/>
        <w:jc w:val="left"/>
      </w:pPr>
      <w:r>
        <w:rPr/>
        <w:t>《中小企业板上市公司控股股东、实际控制人行为指引》规范自身行为，履行义务，通过股东大会行使股 东权利，未发生超越股东大会及董事会而直接干预公司经营与决策的行为，不存在控股股东占用公司资金 的现象，也不存在公司为控股股东、实际控制人提供担保的行为。公司具有独立的业务和自主经营能力，</w:t>
      </w:r>
      <w:r>
        <w:rPr>
          <w:spacing w:val="-36"/>
        </w:rPr>
        <w:t> </w:t>
      </w:r>
      <w:r>
        <w:rPr>
          <w:spacing w:val="-36"/>
        </w:rPr>
      </w:r>
      <w:r>
        <w:rPr/>
        <w:t>在业务、资产、人员、机构、财务等方面均独立于控股股东。</w:t>
      </w:r>
    </w:p>
    <w:p>
      <w:pPr>
        <w:pStyle w:val="BodyText"/>
        <w:spacing w:line="386" w:lineRule="auto"/>
        <w:ind w:left="571" w:right="253" w:hanging="1"/>
        <w:jc w:val="left"/>
      </w:pPr>
      <w:r>
        <w:rPr>
          <w:rFonts w:ascii="Times New Roman" w:hAnsi="Times New Roman" w:cs="Times New Roman" w:eastAsia="Times New Roman" w:hint="default"/>
          <w:b/>
          <w:bCs/>
        </w:rPr>
        <w:t>3</w:t>
      </w:r>
      <w:r>
        <w:rPr>
          <w:rFonts w:ascii="宋体" w:hAnsi="宋体" w:cs="宋体" w:eastAsia="宋体" w:hint="default"/>
          <w:b/>
          <w:bCs/>
        </w:rPr>
        <w:t>、股东与股东大会</w:t>
      </w:r>
      <w:r>
        <w:rPr>
          <w:rFonts w:ascii="宋体" w:hAnsi="宋体" w:cs="宋体" w:eastAsia="宋体" w:hint="default"/>
          <w:b/>
          <w:bCs/>
          <w:spacing w:val="1"/>
          <w:w w:val="99"/>
        </w:rPr>
        <w:t> </w:t>
      </w:r>
      <w:r>
        <w:rPr/>
        <w:t>报告期内，公司严格按照《上市公司股东大会规则》、《公司章程》、公司《股东大会议事规则》等</w:t>
      </w:r>
    </w:p>
    <w:p>
      <w:pPr>
        <w:pStyle w:val="BodyText"/>
        <w:spacing w:line="408" w:lineRule="auto" w:before="65"/>
        <w:ind w:left="214" w:right="0"/>
        <w:jc w:val="left"/>
      </w:pPr>
      <w:r>
        <w:rPr/>
        <w:t>规则的规定和要求，召集、召开股东大会，能够确保全体股东尤其是中小股东享有平等的地位，充分行使 自己的权利。股东大会全部采用现场投票和网络投票相结合的方式，在审议关系到投资者利益的事项时，</w:t>
      </w:r>
      <w:r>
        <w:rPr>
          <w:spacing w:val="-36"/>
        </w:rPr>
        <w:t> </w:t>
      </w:r>
      <w:r>
        <w:rPr>
          <w:spacing w:val="-36"/>
        </w:rPr>
      </w:r>
      <w:r>
        <w:rPr/>
        <w:t>对中小投资者进行单独计票，充分保证了股东特别是中小股东的权益。对股东大会审议的关联交易事项，</w:t>
      </w:r>
      <w:r>
        <w:rPr>
          <w:spacing w:val="-36"/>
        </w:rPr>
        <w:t> </w:t>
      </w:r>
      <w:r>
        <w:rPr>
          <w:spacing w:val="-36"/>
        </w:rPr>
      </w:r>
      <w:r>
        <w:rPr/>
        <w:t>关联股东已回避表决。报告期内召开的六次股东大会均由公司董事会召集召开，根据相关法律法规及《公</w:t>
      </w:r>
      <w:r>
        <w:rPr/>
        <w:t> 司章程》规定应由股东大会表决的事项均按照相应的权限审批后提交股东大会审议，不存在越权审批或先 实施后审批的情况。</w:t>
      </w:r>
    </w:p>
    <w:p>
      <w:pPr>
        <w:pStyle w:val="BodyText"/>
        <w:spacing w:line="386" w:lineRule="auto"/>
        <w:ind w:left="634" w:right="0" w:hanging="60"/>
        <w:jc w:val="left"/>
      </w:pPr>
      <w:r>
        <w:rPr>
          <w:rFonts w:ascii="Times New Roman" w:hAnsi="Times New Roman" w:cs="Times New Roman" w:eastAsia="Times New Roman" w:hint="default"/>
          <w:b/>
          <w:bCs/>
        </w:rPr>
        <w:t>4</w:t>
      </w:r>
      <w:r>
        <w:rPr>
          <w:rFonts w:ascii="宋体" w:hAnsi="宋体" w:cs="宋体" w:eastAsia="宋体" w:hint="default"/>
          <w:b/>
          <w:bCs/>
        </w:rPr>
        <w:t>、董事与董事会</w:t>
      </w:r>
      <w:r>
        <w:rPr>
          <w:rFonts w:ascii="宋体" w:hAnsi="宋体" w:cs="宋体" w:eastAsia="宋体" w:hint="default"/>
          <w:b/>
          <w:bCs/>
          <w:spacing w:val="1"/>
          <w:w w:val="99"/>
        </w:rPr>
        <w:t> </w:t>
      </w:r>
      <w:r>
        <w:rPr>
          <w:spacing w:val="-6"/>
        </w:rPr>
        <w:t>公司董事会由</w:t>
      </w:r>
      <w:r>
        <w:rPr>
          <w:rFonts w:ascii="Times New Roman" w:hAnsi="Times New Roman" w:cs="Times New Roman" w:eastAsia="Times New Roman" w:hint="default"/>
          <w:spacing w:val="-6"/>
        </w:rPr>
        <w:t>9</w:t>
      </w:r>
      <w:r>
        <w:rPr>
          <w:spacing w:val="-6"/>
        </w:rPr>
        <w:t>名董事组成，其中独立董事</w:t>
      </w:r>
      <w:r>
        <w:rPr>
          <w:rFonts w:ascii="Times New Roman" w:hAnsi="Times New Roman" w:cs="Times New Roman" w:eastAsia="Times New Roman" w:hint="default"/>
          <w:spacing w:val="-6"/>
        </w:rPr>
        <w:t>3</w:t>
      </w:r>
      <w:r>
        <w:rPr>
          <w:spacing w:val="-6"/>
        </w:rPr>
        <w:t>名，董事会的人数及人员构成符合法律法规和《公司章程》</w:t>
      </w:r>
    </w:p>
    <w:p>
      <w:pPr>
        <w:pStyle w:val="BodyText"/>
        <w:spacing w:line="408" w:lineRule="auto" w:before="35"/>
        <w:ind w:left="214" w:right="0"/>
        <w:jc w:val="left"/>
      </w:pPr>
      <w:r>
        <w:rPr/>
        <w:t>的要求。公司董事会设立了审计委员会、薪酬与考核委员会、战略委员会、提名委员会四个专门委员会，</w:t>
      </w:r>
      <w:r>
        <w:rPr>
          <w:spacing w:val="-36"/>
        </w:rPr>
        <w:t> </w:t>
      </w:r>
      <w:r>
        <w:rPr>
          <w:spacing w:val="-36"/>
        </w:rPr>
      </w:r>
      <w:r>
        <w:rPr/>
        <w:t>各尽其责，为董事会的决策提供专业的意见和参考。公司全体董事能够按照《深圳证券交易所中小企业板</w:t>
      </w:r>
      <w:r>
        <w:rPr/>
        <w:t> 上市公司规范运作指引》、《公司章程》、《董事会议事规则》等相关规定履行职责，勤勉尽责，以认真 负责的态度按时出席董事会和股东大会，积极参加相关知识的培训，熟悉有关法律法规，不仅为董事会的 决策提供科学、专业意见，并为董事会的规范运作做出了贡献。公司独立董事严格遵守《关于在上市公司 建立独立董事制度的指导意见》及公司《独立董事制度》的规定，勤勉尽责地履行职责和义务，主动向管 理层了解公司经营情况，与管理层交流行业发展态势，对需要独立董事发表意见的事项事先严格审查，谨</w:t>
      </w:r>
    </w:p>
    <w:p>
      <w:pPr>
        <w:spacing w:after="0" w:line="408" w:lineRule="auto"/>
        <w:jc w:val="left"/>
        <w:sectPr>
          <w:pgSz w:w="11910" w:h="16840"/>
          <w:pgMar w:header="877" w:footer="982" w:top="1100" w:bottom="1180" w:left="920" w:right="900"/>
        </w:sectPr>
      </w:pPr>
    </w:p>
    <w:p>
      <w:pPr>
        <w:spacing w:line="240" w:lineRule="auto" w:before="8"/>
        <w:rPr>
          <w:rFonts w:ascii="宋体" w:hAnsi="宋体" w:cs="宋体" w:eastAsia="宋体" w:hint="default"/>
          <w:sz w:val="26"/>
          <w:szCs w:val="26"/>
        </w:rPr>
      </w:pPr>
    </w:p>
    <w:p>
      <w:pPr>
        <w:pStyle w:val="BodyText"/>
        <w:spacing w:line="398" w:lineRule="auto" w:before="35"/>
        <w:ind w:left="153" w:right="136"/>
        <w:jc w:val="left"/>
      </w:pPr>
      <w:r>
        <w:rPr>
          <w:spacing w:val="-5"/>
        </w:rPr>
        <w:t>慎客观发表独立意见，以维护公司整体利益特别是中小投资者权益。公司严格按照法律法规和《公司章程》</w:t>
      </w:r>
      <w:r>
        <w:rPr>
          <w:spacing w:val="-101"/>
        </w:rPr>
        <w:t> </w:t>
      </w:r>
      <w:r>
        <w:rPr>
          <w:spacing w:val="-101"/>
        </w:rPr>
      </w:r>
      <w:r>
        <w:rPr/>
        <w:t>规定的选聘程序选聘董事、高级管理人员，报告期内，由于原独立董事赵天庆连任届满</w:t>
      </w:r>
      <w:r>
        <w:rPr>
          <w:rFonts w:ascii="Times New Roman" w:hAnsi="Times New Roman" w:cs="Times New Roman" w:eastAsia="Times New Roman" w:hint="default"/>
        </w:rPr>
        <w:t>6</w:t>
      </w:r>
      <w:r>
        <w:rPr/>
        <w:t>年，公司聘任了 一名新独董，并聘任了</w:t>
      </w:r>
      <w:r>
        <w:rPr>
          <w:rFonts w:ascii="Times New Roman" w:hAnsi="Times New Roman" w:cs="Times New Roman" w:eastAsia="Times New Roman" w:hint="default"/>
        </w:rPr>
        <w:t>1</w:t>
      </w:r>
      <w:r>
        <w:rPr/>
        <w:t>名新高管。</w:t>
      </w:r>
    </w:p>
    <w:p>
      <w:pPr>
        <w:pStyle w:val="BodyText"/>
        <w:spacing w:line="386" w:lineRule="auto" w:before="24"/>
        <w:ind w:left="574" w:right="148" w:hanging="1"/>
        <w:jc w:val="left"/>
      </w:pPr>
      <w:r>
        <w:rPr>
          <w:rFonts w:ascii="Times New Roman" w:hAnsi="Times New Roman" w:cs="Times New Roman" w:eastAsia="Times New Roman" w:hint="default"/>
          <w:b/>
          <w:bCs/>
        </w:rPr>
        <w:t>5</w:t>
      </w:r>
      <w:r>
        <w:rPr>
          <w:rFonts w:ascii="宋体" w:hAnsi="宋体" w:cs="宋体" w:eastAsia="宋体" w:hint="default"/>
          <w:b/>
          <w:bCs/>
        </w:rPr>
        <w:t>、监事与监事会</w:t>
      </w:r>
      <w:r>
        <w:rPr>
          <w:rFonts w:ascii="宋体" w:hAnsi="宋体" w:cs="宋体" w:eastAsia="宋体" w:hint="default"/>
          <w:b/>
          <w:bCs/>
          <w:spacing w:val="1"/>
          <w:w w:val="99"/>
        </w:rPr>
        <w:t> </w:t>
      </w:r>
      <w:r>
        <w:rPr>
          <w:spacing w:val="-1"/>
        </w:rPr>
        <w:t>公司监事会由</w:t>
      </w:r>
      <w:r>
        <w:rPr>
          <w:rFonts w:ascii="Times New Roman" w:hAnsi="Times New Roman" w:cs="Times New Roman" w:eastAsia="Times New Roman" w:hint="default"/>
          <w:spacing w:val="-1"/>
        </w:rPr>
        <w:t>3</w:t>
      </w:r>
      <w:r>
        <w:rPr>
          <w:spacing w:val="-1"/>
        </w:rPr>
        <w:t>名监事组成，其中职工代表监事</w:t>
      </w:r>
      <w:r>
        <w:rPr>
          <w:rFonts w:ascii="Times New Roman" w:hAnsi="Times New Roman" w:cs="Times New Roman" w:eastAsia="Times New Roman" w:hint="default"/>
          <w:spacing w:val="-1"/>
        </w:rPr>
        <w:t>1</w:t>
      </w:r>
      <w:r>
        <w:rPr>
          <w:spacing w:val="-1"/>
        </w:rPr>
        <w:t>名，监事会的人数及构成符合法律、法规的要求。公</w:t>
      </w:r>
    </w:p>
    <w:p>
      <w:pPr>
        <w:pStyle w:val="BodyText"/>
        <w:spacing w:line="408" w:lineRule="auto" w:before="35"/>
        <w:ind w:right="149"/>
        <w:jc w:val="both"/>
      </w:pPr>
      <w:r>
        <w:rPr>
          <w:spacing w:val="-1"/>
        </w:rPr>
        <w:t>司严格按照《公司法》、《公司章程》和《监事会议事规则》等相关法律法规的要求，认真履行职责。监</w:t>
      </w:r>
      <w:r>
        <w:rPr>
          <w:spacing w:val="-85"/>
        </w:rPr>
        <w:t> </w:t>
      </w:r>
      <w:r>
        <w:rPr>
          <w:spacing w:val="-85"/>
        </w:rPr>
      </w:r>
      <w:r>
        <w:rPr>
          <w:spacing w:val="-1"/>
        </w:rPr>
        <w:t>事会成员对公司各项决策和决议的形成、表决程序进行监督和审查，对公司经营运作的合法性进行监督检</w:t>
      </w:r>
      <w:r>
        <w:rPr>
          <w:spacing w:val="-81"/>
        </w:rPr>
        <w:t> </w:t>
      </w:r>
      <w:r>
        <w:rPr>
          <w:spacing w:val="-81"/>
        </w:rPr>
      </w:r>
      <w:r>
        <w:rPr>
          <w:spacing w:val="-1"/>
        </w:rPr>
        <w:t>查，对公司董事、高级管理人员履行职责情况的合法性、合规性进行有效监督，为完善法人治理结构、规</w:t>
      </w:r>
      <w:r>
        <w:rPr>
          <w:spacing w:val="-83"/>
        </w:rPr>
        <w:t> </w:t>
      </w:r>
      <w:r>
        <w:rPr>
          <w:spacing w:val="-83"/>
        </w:rPr>
      </w:r>
      <w:r>
        <w:rPr/>
        <w:t>范公司运作、促进公司稳健发展、维护公司和股东权益发挥积极作用。</w:t>
      </w:r>
    </w:p>
    <w:p>
      <w:pPr>
        <w:spacing w:line="386" w:lineRule="auto" w:before="46"/>
        <w:ind w:left="511" w:right="1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、绩效评价与激励约束机制</w:t>
      </w:r>
      <w:r>
        <w:rPr>
          <w:rFonts w:ascii="宋体" w:hAnsi="宋体" w:cs="宋体" w:eastAsia="宋体" w:hint="default"/>
          <w:b/>
          <w:bCs/>
          <w:w w:val="99"/>
          <w:sz w:val="21"/>
          <w:szCs w:val="21"/>
        </w:rPr>
        <w:t> </w:t>
      </w:r>
      <w:r>
        <w:rPr>
          <w:rFonts w:ascii="宋体" w:hAnsi="宋体" w:cs="宋体" w:eastAsia="宋体" w:hint="default"/>
          <w:sz w:val="21"/>
          <w:szCs w:val="21"/>
        </w:rPr>
        <w:t>公司高级管理人员的聘任能够做到公开、透明，符合相关法律法规的规定。公司建立了完善的绩效考</w:t>
      </w:r>
    </w:p>
    <w:p>
      <w:pPr>
        <w:pStyle w:val="BodyText"/>
        <w:spacing w:line="391" w:lineRule="auto" w:before="65"/>
        <w:ind w:right="149"/>
        <w:jc w:val="both"/>
      </w:pPr>
      <w:r>
        <w:rPr>
          <w:spacing w:val="-1"/>
        </w:rPr>
        <w:t>评机制，公司高级管理人员的薪酬与公司经营业绩指标挂钩。</w:t>
      </w:r>
      <w:r>
        <w:rPr>
          <w:rFonts w:ascii="Times New Roman" w:hAnsi="Times New Roman" w:cs="Times New Roman" w:eastAsia="Times New Roman" w:hint="default"/>
          <w:spacing w:val="-1"/>
        </w:rPr>
        <w:t>2014</w:t>
      </w:r>
      <w:r>
        <w:rPr>
          <w:spacing w:val="-1"/>
        </w:rPr>
        <w:t>年公司已经实施了股权激励计划，首次</w:t>
      </w:r>
      <w:r>
        <w:rPr>
          <w:spacing w:val="-84"/>
        </w:rPr>
        <w:t> </w:t>
      </w:r>
      <w:r>
        <w:rPr>
          <w:spacing w:val="-84"/>
        </w:rPr>
      </w:r>
      <w:r>
        <w:rPr>
          <w:spacing w:val="-1"/>
        </w:rPr>
        <w:t>授予股份的激励对象共</w:t>
      </w:r>
      <w:r>
        <w:rPr>
          <w:rFonts w:ascii="Times New Roman" w:hAnsi="Times New Roman" w:cs="Times New Roman" w:eastAsia="Times New Roman" w:hint="default"/>
          <w:spacing w:val="-1"/>
        </w:rPr>
        <w:t>91</w:t>
      </w:r>
      <w:r>
        <w:rPr>
          <w:spacing w:val="-1"/>
        </w:rPr>
        <w:t>人，授予股份</w:t>
      </w:r>
      <w:r>
        <w:rPr>
          <w:rFonts w:ascii="Times New Roman" w:hAnsi="Times New Roman" w:cs="Times New Roman" w:eastAsia="Times New Roman" w:hint="default"/>
          <w:spacing w:val="-1"/>
        </w:rPr>
        <w:t>90</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月，公司向符合条件的</w:t>
      </w:r>
      <w:r>
        <w:rPr>
          <w:rFonts w:ascii="Times New Roman" w:hAnsi="Times New Roman" w:cs="Times New Roman" w:eastAsia="Times New Roman" w:hint="default"/>
          <w:spacing w:val="-1"/>
        </w:rPr>
        <w:t>5</w:t>
      </w:r>
      <w:r>
        <w:rPr>
          <w:spacing w:val="-1"/>
        </w:rPr>
        <w:t>名激励对象授予预留限制</w:t>
      </w:r>
      <w:r>
        <w:rPr>
          <w:spacing w:val="-86"/>
        </w:rPr>
        <w:t> </w:t>
      </w:r>
      <w:r>
        <w:rPr>
          <w:spacing w:val="-86"/>
        </w:rPr>
      </w:r>
      <w:r>
        <w:rPr>
          <w:spacing w:val="-1"/>
        </w:rPr>
        <w:t>性股票</w:t>
      </w:r>
      <w:r>
        <w:rPr>
          <w:rFonts w:ascii="Times New Roman" w:hAnsi="Times New Roman" w:cs="Times New Roman" w:eastAsia="Times New Roman" w:hint="default"/>
          <w:spacing w:val="-1"/>
        </w:rPr>
        <w:t>30</w:t>
      </w:r>
      <w:r>
        <w:rPr>
          <w:spacing w:val="-1"/>
        </w:rPr>
        <w:t>万股（除权前</w:t>
      </w:r>
      <w:r>
        <w:rPr>
          <w:rFonts w:ascii="Times New Roman" w:hAnsi="Times New Roman" w:cs="Times New Roman" w:eastAsia="Times New Roman" w:hint="default"/>
          <w:spacing w:val="-1"/>
        </w:rPr>
        <w:t>10</w:t>
      </w:r>
      <w:r>
        <w:rPr>
          <w:spacing w:val="-1"/>
        </w:rPr>
        <w:t>万股）。在未来的工作中，公司将不断完善绩效评价标准，利用薪金、奖金、股</w:t>
      </w:r>
      <w:r>
        <w:rPr>
          <w:spacing w:val="-88"/>
        </w:rPr>
        <w:t> </w:t>
      </w:r>
      <w:r>
        <w:rPr>
          <w:spacing w:val="-88"/>
        </w:rPr>
      </w:r>
      <w:r>
        <w:rPr>
          <w:spacing w:val="-1"/>
        </w:rPr>
        <w:t>权等多样、合理、有效的激励措施，更好地调动员工的工作积极性，吸引和稳定优秀的管理、技术、业务</w:t>
      </w:r>
      <w:r>
        <w:rPr>
          <w:spacing w:val="-83"/>
        </w:rPr>
        <w:t> </w:t>
      </w:r>
      <w:r>
        <w:rPr>
          <w:spacing w:val="-83"/>
        </w:rPr>
      </w:r>
      <w:r>
        <w:rPr/>
        <w:t>人才。</w:t>
      </w:r>
    </w:p>
    <w:p>
      <w:pPr>
        <w:spacing w:line="386" w:lineRule="auto" w:before="61"/>
        <w:ind w:left="514" w:right="170"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、关于投资者关系管理</w:t>
      </w:r>
      <w:r>
        <w:rPr>
          <w:rFonts w:ascii="宋体" w:hAnsi="宋体" w:cs="宋体" w:eastAsia="宋体" w:hint="default"/>
          <w:b/>
          <w:bCs/>
          <w:w w:val="99"/>
          <w:sz w:val="21"/>
          <w:szCs w:val="21"/>
        </w:rPr>
        <w:t> </w:t>
      </w:r>
      <w:r>
        <w:rPr>
          <w:rFonts w:ascii="宋体" w:hAnsi="宋体" w:cs="宋体" w:eastAsia="宋体" w:hint="default"/>
          <w:sz w:val="21"/>
          <w:szCs w:val="21"/>
        </w:rPr>
        <w:t>公司董事会秘书为投资者关系工作负责人，公司证券事务部为专门的投资者关系管理机构，负责与投</w:t>
      </w:r>
    </w:p>
    <w:p>
      <w:pPr>
        <w:pStyle w:val="BodyText"/>
        <w:spacing w:line="408" w:lineRule="auto" w:before="65"/>
        <w:ind w:right="149"/>
        <w:jc w:val="both"/>
      </w:pPr>
      <w:r>
        <w:rPr>
          <w:spacing w:val="-1"/>
        </w:rPr>
        <w:t>资者沟通。公司上市以来，严格按照《深圳证券交易所股票上市规则》、《深圳证券交易所中小企业板上</w:t>
      </w:r>
      <w:r>
        <w:rPr>
          <w:spacing w:val="-83"/>
        </w:rPr>
        <w:t> </w:t>
      </w:r>
      <w:r>
        <w:rPr>
          <w:spacing w:val="-83"/>
        </w:rPr>
      </w:r>
      <w:r>
        <w:rPr>
          <w:spacing w:val="-1"/>
        </w:rPr>
        <w:t>市公司规范运作指引》等法律法规对投资者关系管理和信息披露的规定组织实施投资者关系的日常管理和</w:t>
      </w:r>
      <w:r>
        <w:rPr>
          <w:spacing w:val="-81"/>
        </w:rPr>
        <w:t> </w:t>
      </w:r>
      <w:r>
        <w:rPr>
          <w:spacing w:val="-81"/>
        </w:rPr>
      </w:r>
      <w:r>
        <w:rPr>
          <w:spacing w:val="-5"/>
        </w:rPr>
        <w:t>信息披露工作，通过电话、电子邮件、深圳证券交易所投资者关系互动平台、接待投资者现场调研等方式，</w:t>
      </w:r>
      <w:r>
        <w:rPr>
          <w:spacing w:val="-103"/>
        </w:rPr>
        <w:t> </w:t>
      </w:r>
      <w:r>
        <w:rPr>
          <w:spacing w:val="-103"/>
        </w:rPr>
      </w:r>
      <w:r>
        <w:rPr/>
        <w:t>保持与投资者的经常性沟通。</w:t>
      </w:r>
    </w:p>
    <w:p>
      <w:pPr>
        <w:spacing w:line="386" w:lineRule="auto" w:before="46"/>
        <w:ind w:left="514" w:right="1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、关于信息披露与透明度</w:t>
      </w:r>
      <w:r>
        <w:rPr>
          <w:rFonts w:ascii="宋体" w:hAnsi="宋体" w:cs="宋体" w:eastAsia="宋体" w:hint="default"/>
          <w:b/>
          <w:bCs/>
          <w:w w:val="99"/>
          <w:sz w:val="21"/>
          <w:szCs w:val="21"/>
        </w:rPr>
        <w:t> </w:t>
      </w:r>
      <w:r>
        <w:rPr>
          <w:rFonts w:ascii="宋体" w:hAnsi="宋体" w:cs="宋体" w:eastAsia="宋体" w:hint="default"/>
          <w:sz w:val="21"/>
          <w:szCs w:val="21"/>
        </w:rPr>
        <w:t>公司严格按照《深圳证券交易所股票上市规则》、《上市公司信息披露管理办法》、《公司章程》、</w:t>
      </w:r>
    </w:p>
    <w:p>
      <w:pPr>
        <w:pStyle w:val="BodyText"/>
        <w:spacing w:line="240" w:lineRule="auto" w:before="65"/>
        <w:ind w:right="0"/>
        <w:jc w:val="both"/>
      </w:pPr>
      <w:r>
        <w:rPr>
          <w:spacing w:val="-5"/>
        </w:rPr>
        <w:t>《信息披露管理制度》等相关规定，认真履行信息披露义务。公司指定《中国证券报》、《上海证券报》、</w:t>
      </w:r>
    </w:p>
    <w:p>
      <w:pPr>
        <w:spacing w:line="240" w:lineRule="auto" w:before="10"/>
        <w:rPr>
          <w:rFonts w:ascii="宋体" w:hAnsi="宋体" w:cs="宋体" w:eastAsia="宋体" w:hint="default"/>
          <w:sz w:val="14"/>
          <w:szCs w:val="14"/>
        </w:rPr>
      </w:pPr>
    </w:p>
    <w:p>
      <w:pPr>
        <w:pStyle w:val="BodyText"/>
        <w:spacing w:line="408" w:lineRule="auto" w:before="0"/>
        <w:ind w:right="151"/>
        <w:jc w:val="both"/>
      </w:pPr>
      <w:r>
        <w:rPr>
          <w:spacing w:val="-1"/>
        </w:rPr>
        <w:t>《证券时报》、《证券日报》和巨潮资讯网为公司信息披露的报纸和网站，真实、准确、及时地披露公司</w:t>
      </w:r>
      <w:r>
        <w:rPr>
          <w:spacing w:val="-85"/>
        </w:rPr>
        <w:t> </w:t>
      </w:r>
      <w:r>
        <w:rPr>
          <w:spacing w:val="-85"/>
        </w:rPr>
      </w:r>
      <w:r>
        <w:rPr>
          <w:spacing w:val="-1"/>
        </w:rPr>
        <w:t>信息，确保公司所有股东公平地获得公司相关信息。同时，公司通过电话、电子邮件、深圳证券交易所投</w:t>
      </w:r>
      <w:r>
        <w:rPr>
          <w:spacing w:val="-83"/>
        </w:rPr>
        <w:t> </w:t>
      </w:r>
      <w:r>
        <w:rPr>
          <w:spacing w:val="-83"/>
        </w:rPr>
      </w:r>
      <w:r>
        <w:rPr>
          <w:spacing w:val="-1"/>
        </w:rPr>
        <w:t>资者关系互动平台、接待投资者现场调研等方式回复投资者的咨询，以加强与投资者的沟通，提高信息披</w:t>
      </w:r>
      <w:r>
        <w:rPr>
          <w:spacing w:val="-83"/>
        </w:rPr>
        <w:t> </w:t>
      </w:r>
      <w:r>
        <w:rPr>
          <w:spacing w:val="-83"/>
        </w:rPr>
      </w:r>
      <w:r>
        <w:rPr>
          <w:spacing w:val="-1"/>
        </w:rPr>
        <w:t>露的透明度。在接待投资者后及时公告《投资者关系活动记录表》，保障广大投资者的知情权，确保获得</w:t>
      </w:r>
      <w:r>
        <w:rPr>
          <w:spacing w:val="-83"/>
        </w:rPr>
        <w:t> </w:t>
      </w:r>
      <w:r>
        <w:rPr>
          <w:spacing w:val="-83"/>
        </w:rPr>
      </w:r>
      <w:r>
        <w:rPr>
          <w:spacing w:val="-1"/>
        </w:rPr>
        <w:t>信息的公平性。同时，公司积极加强与监管机构的联系和沟通，主动地报告公司相关事项，确保公司信息</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披露工作的规范。</w:t>
      </w:r>
    </w:p>
    <w:p>
      <w:pPr>
        <w:spacing w:line="240" w:lineRule="auto" w:before="10"/>
        <w:rPr>
          <w:rFonts w:ascii="宋体" w:hAnsi="宋体" w:cs="宋体" w:eastAsia="宋体" w:hint="default"/>
          <w:sz w:val="14"/>
          <w:szCs w:val="14"/>
        </w:rPr>
      </w:pPr>
    </w:p>
    <w:p>
      <w:pPr>
        <w:pStyle w:val="BodyText"/>
        <w:spacing w:line="386" w:lineRule="auto" w:before="0"/>
        <w:ind w:left="514" w:right="230" w:hanging="1"/>
        <w:jc w:val="left"/>
      </w:pPr>
      <w:r>
        <w:rPr>
          <w:rFonts w:ascii="Times New Roman" w:hAnsi="Times New Roman" w:cs="Times New Roman" w:eastAsia="Times New Roman" w:hint="default"/>
          <w:b/>
          <w:bCs/>
        </w:rPr>
        <w:t>9</w:t>
      </w:r>
      <w:r>
        <w:rPr>
          <w:rFonts w:ascii="宋体" w:hAnsi="宋体" w:cs="宋体" w:eastAsia="宋体" w:hint="default"/>
          <w:b/>
          <w:bCs/>
        </w:rPr>
        <w:t>、关于相关利益者</w:t>
      </w:r>
      <w:r>
        <w:rPr>
          <w:rFonts w:ascii="宋体" w:hAnsi="宋体" w:cs="宋体" w:eastAsia="宋体" w:hint="default"/>
          <w:b/>
          <w:bCs/>
          <w:spacing w:val="1"/>
          <w:w w:val="99"/>
        </w:rPr>
        <w:t> </w:t>
      </w:r>
      <w:r>
        <w:rPr/>
        <w:t>公司充分尊重和维护相关利益者的合法权益，加强与各方的沟通和交流，积极与相关利益者合作，在</w:t>
      </w:r>
    </w:p>
    <w:p>
      <w:pPr>
        <w:pStyle w:val="BodyText"/>
        <w:spacing w:line="408" w:lineRule="auto" w:before="65"/>
        <w:ind w:right="0"/>
        <w:jc w:val="left"/>
      </w:pPr>
      <w:r>
        <w:rPr>
          <w:spacing w:val="-1"/>
        </w:rPr>
        <w:t>公司创造利润的同时，重视承担社会责任，关注公益事业，实现股东、员工、社会等各方利益的均衡，推</w:t>
      </w:r>
      <w:r>
        <w:rPr>
          <w:spacing w:val="-83"/>
        </w:rPr>
        <w:t> </w:t>
      </w:r>
      <w:r>
        <w:rPr>
          <w:spacing w:val="-83"/>
        </w:rPr>
      </w:r>
      <w:r>
        <w:rPr/>
        <w:t>动公司持续、稳定、健康地发展。</w:t>
      </w:r>
    </w:p>
    <w:p>
      <w:pPr>
        <w:pStyle w:val="BodyText"/>
        <w:spacing w:line="386" w:lineRule="auto"/>
        <w:ind w:left="514" w:right="230" w:firstLine="60"/>
        <w:jc w:val="left"/>
      </w:pPr>
      <w:r>
        <w:rPr>
          <w:rFonts w:ascii="Times New Roman" w:hAnsi="Times New Roman" w:cs="Times New Roman" w:eastAsia="Times New Roman" w:hint="default"/>
          <w:b/>
          <w:bCs/>
        </w:rPr>
        <w:t>10</w:t>
      </w:r>
      <w:r>
        <w:rPr>
          <w:rFonts w:ascii="宋体" w:hAnsi="宋体" w:cs="宋体" w:eastAsia="宋体" w:hint="default"/>
          <w:b/>
          <w:bCs/>
        </w:rPr>
        <w:t>、内部审计制度</w:t>
      </w:r>
      <w:r>
        <w:rPr>
          <w:rFonts w:ascii="宋体" w:hAnsi="宋体" w:cs="宋体" w:eastAsia="宋体" w:hint="default"/>
          <w:b/>
          <w:bCs/>
          <w:spacing w:val="1"/>
          <w:w w:val="99"/>
        </w:rPr>
        <w:t> </w:t>
      </w:r>
      <w:r>
        <w:rPr/>
        <w:t>为规范公司内部审计工作，提高内部审计工作质量，加强公司内部控制，防范和控制公司风险，根据</w:t>
      </w:r>
    </w:p>
    <w:p>
      <w:pPr>
        <w:pStyle w:val="BodyText"/>
        <w:spacing w:line="408" w:lineRule="auto" w:before="65"/>
        <w:ind w:left="153" w:right="102"/>
        <w:jc w:val="left"/>
      </w:pPr>
      <w:r>
        <w:rPr>
          <w:spacing w:val="-6"/>
        </w:rPr>
        <w:t>《公司法》、《证券法》、《深圳证券交易所上市公司内部审计工作指引》等法律法规、规范性文件及《公</w:t>
      </w:r>
      <w:r>
        <w:rPr>
          <w:spacing w:val="-62"/>
        </w:rPr>
        <w:t> </w:t>
      </w:r>
      <w:r>
        <w:rPr>
          <w:spacing w:val="-62"/>
        </w:rPr>
      </w:r>
      <w:r>
        <w:rPr/>
        <w:t>司章程》的有关规定，结合实际情况，公司制定了《内部审计制度》，设立了独立于财务部门、对审计委</w:t>
      </w:r>
      <w:r>
        <w:rPr/>
        <w:t> 员会负责的内部审计部门，内审部负责人由董事会任免，向审计委员会报告工作。报告期内，公司内部审 </w:t>
      </w:r>
      <w:r>
        <w:rPr>
          <w:spacing w:val="-3"/>
        </w:rPr>
        <w:t>计部门对公司的经营情况、财务状况及内部控制制度的建立和实施等进行检查和监督，对公司的对外投资、</w:t>
      </w:r>
      <w:r>
        <w:rPr>
          <w:spacing w:val="-92"/>
        </w:rPr>
        <w:t> </w:t>
      </w:r>
      <w:r>
        <w:rPr>
          <w:spacing w:val="-92"/>
        </w:rPr>
      </w:r>
      <w:r>
        <w:rPr/>
        <w:t>对外担保、关联交易、募集资金使用等重大事项进行了重点审计，并及时向审计委员会提交审计工作计划</w:t>
      </w:r>
      <w:r>
        <w:rPr/>
        <w:t> 和工作报告，就审计过程中发现的问题提出整改措施并监督执行。</w:t>
      </w:r>
    </w:p>
    <w:p>
      <w:pPr>
        <w:spacing w:line="240" w:lineRule="auto" w:before="0"/>
        <w:rPr>
          <w:rFonts w:ascii="宋体" w:hAnsi="宋体" w:cs="宋体" w:eastAsia="宋体" w:hint="default"/>
          <w:sz w:val="20"/>
          <w:szCs w:val="20"/>
        </w:rPr>
      </w:pPr>
    </w:p>
    <w:p>
      <w:pPr>
        <w:spacing w:before="16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240" w:lineRule="auto" w:before="12"/>
        <w:rPr>
          <w:rFonts w:ascii="宋体" w:hAnsi="宋体" w:cs="宋体" w:eastAsia="宋体" w:hint="default"/>
          <w:sz w:val="20"/>
          <w:szCs w:val="20"/>
        </w:rPr>
      </w:pPr>
    </w:p>
    <w:p>
      <w:pPr>
        <w:spacing w:line="489" w:lineRule="auto" w:before="0"/>
        <w:ind w:left="154" w:right="2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right="0" w:firstLine="420"/>
        <w:jc w:val="left"/>
      </w:pPr>
      <w:r>
        <w:rPr>
          <w:spacing w:val="-6"/>
        </w:rPr>
        <w:t>本公司设立以来，严格按照《公司法》、《证券法》等有关法律法规和《公司章程》的要求规范运作，</w:t>
      </w:r>
      <w:r>
        <w:rPr/>
        <w:t> 在业务、资产、人员、机构和财务等方面与控股股东、实际控制人及其控制的其他企业完全独立。</w:t>
      </w:r>
    </w:p>
    <w:p>
      <w:pPr>
        <w:pStyle w:val="BodyText"/>
        <w:spacing w:line="408" w:lineRule="auto"/>
        <w:ind w:left="574" w:right="0" w:hanging="420"/>
        <w:jc w:val="left"/>
      </w:pPr>
      <w:r>
        <w:rPr/>
        <w:t>（一）业务独立 公司主要从事出境旅游及商务会奖旅游等业务，公司拥有独立、完整的业务系统和必要的职能部门，</w:t>
      </w:r>
    </w:p>
    <w:p>
      <w:pPr>
        <w:pStyle w:val="BodyText"/>
        <w:spacing w:line="408" w:lineRule="auto"/>
        <w:ind w:right="0"/>
        <w:jc w:val="left"/>
      </w:pPr>
      <w:r>
        <w:rPr>
          <w:spacing w:val="-1"/>
        </w:rPr>
        <w:t>拥有必要的经营设备、人员、资金和技术设备，能够独立自主地进行经营活动，与股东不存在业务上的依</w:t>
      </w:r>
      <w:r>
        <w:rPr>
          <w:spacing w:val="-82"/>
        </w:rPr>
        <w:t> </w:t>
      </w:r>
      <w:r>
        <w:rPr>
          <w:spacing w:val="-82"/>
        </w:rPr>
      </w:r>
      <w:r>
        <w:rPr/>
        <w:t>赖关系。</w:t>
      </w:r>
    </w:p>
    <w:p>
      <w:pPr>
        <w:pStyle w:val="BodyText"/>
        <w:spacing w:line="408" w:lineRule="auto"/>
        <w:ind w:left="574" w:right="0" w:hanging="420"/>
        <w:jc w:val="left"/>
      </w:pPr>
      <w:r>
        <w:rPr/>
        <w:t>（二）资产独立 </w:t>
      </w:r>
      <w:r>
        <w:rPr>
          <w:spacing w:val="-1"/>
        </w:rPr>
        <w:t>公司是以有限公司整体变更为股份有限公司，原有限公司的全部资产未经剥离，整体进入了股份有限</w:t>
      </w:r>
    </w:p>
    <w:p>
      <w:pPr>
        <w:pStyle w:val="BodyText"/>
        <w:spacing w:line="408" w:lineRule="auto"/>
        <w:ind w:right="0"/>
        <w:jc w:val="left"/>
      </w:pPr>
      <w:r>
        <w:rPr>
          <w:spacing w:val="-1"/>
        </w:rPr>
        <w:t>公司。涉及的所有经营性资产均已办理了产权过户手续，并取得相关权属证明，公司资产完全独立于公司</w:t>
      </w:r>
      <w:r>
        <w:rPr>
          <w:spacing w:val="-83"/>
        </w:rPr>
        <w:t> </w:t>
      </w:r>
      <w:r>
        <w:rPr>
          <w:spacing w:val="-83"/>
        </w:rPr>
      </w:r>
      <w:r>
        <w:rPr>
          <w:spacing w:val="-1"/>
        </w:rPr>
        <w:t>股东，不存在依靠股东的生产经营场所进行生产经营的情况。公司亦未以其资产、权益或信誉等为各股东</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48"/>
        <w:jc w:val="left"/>
      </w:pPr>
      <w:r>
        <w:rPr>
          <w:spacing w:val="-1"/>
        </w:rPr>
        <w:t>的债务提供过担保，公司已取得了股东入股资产的合法产权，对所有资产具有完全的控制支配权，不存在</w:t>
      </w:r>
      <w:r>
        <w:rPr>
          <w:spacing w:val="-83"/>
        </w:rPr>
        <w:t> </w:t>
      </w:r>
      <w:r>
        <w:rPr>
          <w:spacing w:val="-83"/>
        </w:rPr>
      </w:r>
      <w:r>
        <w:rPr/>
        <w:t>资产、资金被控股股东占用而损害公司利益的情况。</w:t>
      </w:r>
    </w:p>
    <w:p>
      <w:pPr>
        <w:pStyle w:val="BodyText"/>
        <w:spacing w:line="408" w:lineRule="auto"/>
        <w:ind w:left="573" w:right="148" w:hanging="420"/>
        <w:jc w:val="left"/>
      </w:pPr>
      <w:r>
        <w:rPr/>
        <w:t>（三）人员独立 </w:t>
      </w:r>
      <w:r>
        <w:rPr>
          <w:spacing w:val="-6"/>
        </w:rPr>
        <w:t>公司逐步建立、健全了法人治理结构，董事、监事及高级管理人员严格按照《公司法》、《公司章程》</w:t>
      </w:r>
    </w:p>
    <w:p>
      <w:pPr>
        <w:pStyle w:val="BodyText"/>
        <w:spacing w:line="408" w:lineRule="auto"/>
        <w:ind w:left="153" w:right="151"/>
        <w:jc w:val="both"/>
      </w:pPr>
      <w:r>
        <w:rPr>
          <w:spacing w:val="-1"/>
        </w:rPr>
        <w:t>的有关规定产生，程序合法有效；公司的人事及工资管理与股东单位完全分离；公司实行全员聘用制，员</w:t>
      </w:r>
      <w:r>
        <w:rPr>
          <w:spacing w:val="-82"/>
        </w:rPr>
        <w:t> </w:t>
      </w:r>
      <w:r>
        <w:rPr>
          <w:spacing w:val="-82"/>
        </w:rPr>
      </w:r>
      <w:r>
        <w:rPr>
          <w:spacing w:val="-1"/>
        </w:rPr>
        <w:t>工均已参加了社会保险统筹。公司总经理、副总经理、董事会秘书、财务总监等高级管理人员专职在公司</w:t>
      </w:r>
      <w:r>
        <w:rPr>
          <w:spacing w:val="-82"/>
        </w:rPr>
        <w:t> </w:t>
      </w:r>
      <w:r>
        <w:rPr>
          <w:spacing w:val="-82"/>
        </w:rPr>
      </w:r>
      <w:r>
        <w:rPr/>
        <w:t>工作并领取报酬，均未在控股股东、实际控制人及其控制的其他企业担任除董事、监事以外的职务。</w:t>
      </w:r>
    </w:p>
    <w:p>
      <w:pPr>
        <w:pStyle w:val="BodyText"/>
        <w:spacing w:line="408" w:lineRule="auto"/>
        <w:ind w:left="574" w:right="148" w:hanging="420"/>
        <w:jc w:val="left"/>
      </w:pPr>
      <w:r>
        <w:rPr/>
        <w:t>（四）机构独立 </w:t>
      </w:r>
      <w:r>
        <w:rPr>
          <w:spacing w:val="-1"/>
        </w:rPr>
        <w:t>公司拥有独立的生产经营和办公机构，与关联方完全分开，不存在混合经营，合署办公等情况；所有</w:t>
      </w:r>
    </w:p>
    <w:p>
      <w:pPr>
        <w:pStyle w:val="BodyText"/>
        <w:spacing w:line="408" w:lineRule="auto"/>
        <w:ind w:left="153" w:right="148"/>
        <w:jc w:val="both"/>
      </w:pPr>
      <w:r>
        <w:rPr>
          <w:spacing w:val="-1"/>
        </w:rPr>
        <w:t>机构由公司根据实际情况和业务发展需要自主设置，不存在任何单位或个人干预公司机构设置的情况；公</w:t>
      </w:r>
      <w:r>
        <w:rPr>
          <w:spacing w:val="-81"/>
        </w:rPr>
        <w:t> </w:t>
      </w:r>
      <w:r>
        <w:rPr>
          <w:spacing w:val="-81"/>
        </w:rPr>
      </w:r>
      <w:r>
        <w:rPr>
          <w:spacing w:val="-5"/>
        </w:rPr>
        <w:t>司股东及其职能部门与公司及其职能部门之间不存在上下级关系；公司成立了股东大会、董事会、监事会，</w:t>
      </w:r>
      <w:r>
        <w:rPr>
          <w:spacing w:val="-101"/>
        </w:rPr>
        <w:t> </w:t>
      </w:r>
      <w:r>
        <w:rPr>
          <w:spacing w:val="-101"/>
        </w:rPr>
      </w:r>
      <w:r>
        <w:rPr>
          <w:spacing w:val="-1"/>
        </w:rPr>
        <w:t>公司的董事由股东大会经过合法的选举程序产生，经理等高级管理人员由董事会聘任，不存在控股股东干</w:t>
      </w:r>
      <w:r>
        <w:rPr>
          <w:spacing w:val="-81"/>
        </w:rPr>
        <w:t> </w:t>
      </w:r>
      <w:r>
        <w:rPr>
          <w:spacing w:val="-81"/>
        </w:rPr>
      </w:r>
      <w:r>
        <w:rPr/>
        <w:t>预公司董事会和股东大会人事任免的情况。</w:t>
      </w:r>
    </w:p>
    <w:p>
      <w:pPr>
        <w:pStyle w:val="BodyText"/>
        <w:spacing w:line="408" w:lineRule="auto"/>
        <w:ind w:left="573" w:right="148" w:hanging="420"/>
        <w:jc w:val="left"/>
      </w:pPr>
      <w:r>
        <w:rPr/>
        <w:t>（五）财务独立 </w:t>
      </w:r>
      <w:r>
        <w:rPr>
          <w:spacing w:val="-1"/>
        </w:rPr>
        <w:t>公司设立了独立的财务部门，配备了独立专职的财务人员，并已建立了符合有关会计制度要求的、独</w:t>
      </w:r>
    </w:p>
    <w:p>
      <w:pPr>
        <w:pStyle w:val="BodyText"/>
        <w:spacing w:line="398" w:lineRule="auto"/>
        <w:ind w:left="153" w:right="148"/>
        <w:jc w:val="left"/>
      </w:pPr>
      <w:r>
        <w:rPr>
          <w:spacing w:val="-1"/>
        </w:rPr>
        <w:t>立的财务核算体系和财务管理制度，实施严格的财务监督管理；公司独立开设银行账号，基本开户银行是</w:t>
      </w:r>
      <w:r>
        <w:rPr>
          <w:spacing w:val="-83"/>
        </w:rPr>
        <w:t> </w:t>
      </w:r>
      <w:r>
        <w:rPr>
          <w:spacing w:val="-83"/>
        </w:rPr>
      </w:r>
      <w:r>
        <w:rPr/>
        <w:t>中国工商银行股份有限公司北京东城支行，账号为</w:t>
      </w:r>
      <w:r>
        <w:rPr>
          <w:rFonts w:ascii="Times New Roman" w:hAnsi="Times New Roman" w:cs="Times New Roman" w:eastAsia="Times New Roman" w:hint="default"/>
        </w:rPr>
        <w:t>0200080709024555362</w:t>
      </w:r>
      <w:r>
        <w:rPr/>
        <w:t>；公司依法独立纳税，纳税登记 证号为：京税证字</w:t>
      </w:r>
      <w:r>
        <w:rPr>
          <w:rFonts w:ascii="Times New Roman" w:hAnsi="Times New Roman" w:cs="Times New Roman" w:eastAsia="Times New Roman" w:hint="default"/>
        </w:rPr>
        <w:t>110105101126585</w:t>
      </w:r>
      <w:r>
        <w:rPr/>
        <w:t>号；公司能够独立作出财务决策，独立对外签订合同，不受股东或其 </w:t>
      </w:r>
      <w:r>
        <w:rPr>
          <w:spacing w:val="-1"/>
        </w:rPr>
        <w:t>他单位干预或控制；公司未为股东提供担保，公司对所有的资产拥有完全的控制支配权；公司目前不存在</w:t>
      </w:r>
      <w:r>
        <w:rPr>
          <w:spacing w:val="-83"/>
        </w:rPr>
        <w:t> </w:t>
      </w:r>
      <w:r>
        <w:rPr>
          <w:spacing w:val="-83"/>
        </w:rPr>
      </w:r>
      <w:r>
        <w:rPr/>
        <w:t>资产、资金被股东占用或其他损害公司利益的情况。</w:t>
      </w:r>
    </w:p>
    <w:p>
      <w:pPr>
        <w:pStyle w:val="BodyText"/>
        <w:spacing w:line="240" w:lineRule="auto" w:before="54"/>
        <w:ind w:left="573" w:right="148"/>
        <w:jc w:val="left"/>
      </w:pPr>
      <w:r>
        <w:rPr>
          <w:spacing w:val="-6"/>
        </w:rPr>
        <w:t>综上所述，公司具有独立完整的业务、资产、人员、机构和财务体系，具有面向市场独立经营的能力。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148"/>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一次临时股东大会 决议的公告》</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2015-013</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度股东大会决议的 </w:t>
            </w:r>
            <w:r>
              <w:rPr>
                <w:rFonts w:ascii="宋体" w:hAnsi="宋体" w:cs="宋体" w:eastAsia="宋体" w:hint="default"/>
                <w:spacing w:val="-7"/>
                <w:sz w:val="18"/>
                <w:szCs w:val="18"/>
              </w:rPr>
              <w:t>公告》（</w:t>
            </w:r>
            <w:r>
              <w:rPr>
                <w:rFonts w:ascii="Times New Roman" w:hAnsi="Times New Roman" w:cs="Times New Roman" w:eastAsia="Times New Roman" w:hint="default"/>
                <w:spacing w:val="-7"/>
                <w:sz w:val="18"/>
                <w:szCs w:val="18"/>
              </w:rPr>
              <w:t>2015-043</w:t>
            </w:r>
            <w:r>
              <w:rPr>
                <w:rFonts w:ascii="宋体" w:hAnsi="宋体" w:cs="宋体" w:eastAsia="宋体" w:hint="default"/>
                <w:spacing w:val="-7"/>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二次临时股东大会 决议的公告》</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2015-062</w:t>
            </w:r>
            <w:r>
              <w:rPr>
                <w:rFonts w:ascii="宋体" w:hAnsi="宋体" w:cs="宋体" w:eastAsia="宋体" w:hint="default"/>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三次临时股东大会 决议的公告》</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2015-071</w:t>
            </w:r>
            <w:r>
              <w:rPr>
                <w:rFonts w:ascii="宋体" w:hAnsi="宋体" w:cs="宋体" w:eastAsia="宋体" w:hint="default"/>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四次临时股东大会 决议的公告》</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2015-091</w:t>
            </w:r>
            <w:r>
              <w:rPr>
                <w:rFonts w:ascii="宋体" w:hAnsi="宋体" w:cs="宋体" w:eastAsia="宋体" w:hint="default"/>
                <w:sz w:val="18"/>
                <w:szCs w:val="18"/>
              </w:rPr>
              <w:t>）</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19"/>
              <w:jc w:val="left"/>
              <w:rPr>
                <w:rFonts w:ascii="宋体" w:hAnsi="宋体" w:cs="宋体" w:eastAsia="宋体" w:hint="default"/>
                <w:sz w:val="18"/>
                <w:szCs w:val="18"/>
              </w:rPr>
            </w:pPr>
            <w:r>
              <w:rPr>
                <w:rFonts w:ascii="宋体" w:hAnsi="宋体" w:cs="宋体" w:eastAsia="宋体" w:hint="default"/>
                <w:sz w:val="18"/>
                <w:szCs w:val="18"/>
              </w:rPr>
              <w:t>五次临时股东大会 决议的公告》</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2015-115</w:t>
            </w:r>
            <w:r>
              <w:rPr>
                <w:rFonts w:ascii="宋体" w:hAnsi="宋体" w:cs="宋体" w:eastAsia="宋体" w:hint="default"/>
                <w:sz w:val="18"/>
                <w:szCs w:val="18"/>
              </w:rPr>
              <w:t>）</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其他资产管理机构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48"/>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赵天庆（离任）</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
        <w:rPr>
          <w:rFonts w:ascii="宋体" w:hAnsi="宋体" w:cs="宋体" w:eastAsia="宋体" w:hint="default"/>
          <w:b/>
          <w:bCs/>
          <w:sz w:val="25"/>
          <w:szCs w:val="25"/>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2"/>
        <w:rPr>
          <w:rFonts w:ascii="宋体" w:hAnsi="宋体" w:cs="宋体" w:eastAsia="宋体" w:hint="default"/>
          <w:sz w:val="20"/>
          <w:szCs w:val="20"/>
        </w:rPr>
      </w:pPr>
    </w:p>
    <w:p>
      <w:pPr>
        <w:spacing w:line="489" w:lineRule="auto" w:before="0"/>
        <w:ind w:left="154" w:right="6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40" w:lineRule="auto" w:before="10"/>
        <w:rPr>
          <w:rFonts w:ascii="宋体" w:hAnsi="宋体" w:cs="宋体" w:eastAsia="宋体" w:hint="default"/>
          <w:sz w:val="20"/>
          <w:szCs w:val="20"/>
        </w:rPr>
      </w:pPr>
    </w:p>
    <w:p>
      <w:pPr>
        <w:spacing w:line="489" w:lineRule="auto" w:before="0"/>
        <w:ind w:left="15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58"/>
        <w:ind w:right="210" w:firstLine="420"/>
        <w:jc w:val="both"/>
      </w:pPr>
      <w:r>
        <w:rPr>
          <w:spacing w:val="-1"/>
        </w:rPr>
        <w:t>公司独立董事根据《公司法》、《证券法》、《公司章程》和公司《独立董事制度》等法律法规的规</w:t>
      </w:r>
      <w:r>
        <w:rPr/>
        <w:t> </w:t>
      </w:r>
      <w:r>
        <w:rPr>
          <w:spacing w:val="-1"/>
        </w:rPr>
        <w:t>定，关注公司运作的规范性，勤勉尽责地履行职责和义务，主动向管理层了解公司经营情况，与管理层交</w:t>
      </w:r>
      <w:r>
        <w:rPr>
          <w:spacing w:val="-82"/>
        </w:rPr>
        <w:t> </w:t>
      </w:r>
      <w:r>
        <w:rPr>
          <w:spacing w:val="-82"/>
        </w:rPr>
      </w:r>
      <w:r>
        <w:rPr>
          <w:spacing w:val="-1"/>
        </w:rPr>
        <w:t>流行业发展态势，对需要独立董事发表意见的事项事先严格审查，谨慎客观发表独立意见，以维护公司整</w:t>
      </w:r>
      <w:r>
        <w:rPr>
          <w:spacing w:val="-83"/>
        </w:rPr>
        <w:t> </w:t>
      </w:r>
      <w:r>
        <w:rPr>
          <w:spacing w:val="-83"/>
        </w:rPr>
      </w:r>
      <w:r>
        <w:rPr/>
        <w:t>体利益特别是中小投资者权益。</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spacing w:line="386" w:lineRule="auto" w:before="163"/>
        <w:ind w:left="574"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、战略委员会履职情况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战略委员会主要负责对公司长期发展战略和重大投资决策进行研究并提出建议，向董事会报告工作并</w:t>
      </w:r>
    </w:p>
    <w:p>
      <w:pPr>
        <w:pStyle w:val="BodyText"/>
        <w:spacing w:line="408" w:lineRule="auto" w:before="65"/>
        <w:ind w:right="211"/>
        <w:jc w:val="both"/>
      </w:pPr>
      <w:r>
        <w:rPr>
          <w:spacing w:val="-1"/>
        </w:rPr>
        <w:t>对董事会负责。报告期内，公司董事会战略委员会委员认真履行职责，按照公司《董事会战略委员会议事</w:t>
      </w:r>
      <w:r>
        <w:rPr>
          <w:spacing w:val="-82"/>
        </w:rPr>
        <w:t> </w:t>
      </w:r>
      <w:r>
        <w:rPr>
          <w:spacing w:val="-82"/>
        </w:rPr>
      </w:r>
      <w:r>
        <w:rPr>
          <w:spacing w:val="-1"/>
        </w:rPr>
        <w:t>规则》的规定，对公司的发展战略、投资事项进行审核并提出建议。报告期内，董事会战略委员会召开会</w:t>
      </w:r>
      <w:r>
        <w:rPr>
          <w:spacing w:val="-83"/>
        </w:rPr>
        <w:t> </w:t>
      </w:r>
      <w:r>
        <w:rPr>
          <w:spacing w:val="-83"/>
        </w:rPr>
      </w:r>
      <w:r>
        <w:rPr/>
        <w:t>议情况如下：</w:t>
      </w:r>
    </w:p>
    <w:p>
      <w:pPr>
        <w:pStyle w:val="BodyText"/>
        <w:spacing w:line="398" w:lineRule="auto"/>
        <w:ind w:right="0" w:firstLine="41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日，第三届董事会战略委员会第三次会议审议通过了《关于公司由领先的出境旅游 运营商向全方位的出境综合服务提供商转变的发展战略升级的议案》，根据行业的竞争格局和发展趋势，</w:t>
      </w:r>
      <w:r>
        <w:rPr>
          <w:spacing w:val="-36"/>
        </w:rPr>
        <w:t> </w:t>
      </w:r>
      <w:r>
        <w:rPr>
          <w:spacing w:val="-36"/>
        </w:rPr>
      </w:r>
      <w:r>
        <w:rPr/>
        <w:t>确立了公司新的发展战略。</w:t>
      </w:r>
    </w:p>
    <w:p>
      <w:pPr>
        <w:pStyle w:val="BodyText"/>
        <w:spacing w:line="386" w:lineRule="auto" w:before="54"/>
        <w:ind w:right="229" w:firstLine="41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日，第三届董事会战略委员会第四次会议审议通过了《关于公司非公开发行</w:t>
      </w:r>
      <w:r>
        <w:rPr>
          <w:rFonts w:ascii="Times New Roman" w:hAnsi="Times New Roman" w:cs="Times New Roman" w:eastAsia="Times New Roman" w:hint="default"/>
        </w:rPr>
        <w:t>A</w:t>
      </w:r>
      <w:r>
        <w:rPr/>
        <w:t>股股 票方案的议案》等公司非公开发股的相关议案。</w:t>
      </w:r>
    </w:p>
    <w:p>
      <w:pPr>
        <w:pStyle w:val="BodyText"/>
        <w:spacing w:line="240" w:lineRule="auto" w:before="65"/>
        <w:ind w:left="57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日，第三届董事会战略委员会第五次会议审议通过了《关于公司筹划重大资产重组</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148"/>
        <w:jc w:val="left"/>
      </w:pPr>
      <w:r>
        <w:rPr/>
        <w:t>事项的议案》。</w:t>
      </w:r>
    </w:p>
    <w:p>
      <w:pPr>
        <w:spacing w:line="240" w:lineRule="auto" w:before="10"/>
        <w:rPr>
          <w:rFonts w:ascii="宋体" w:hAnsi="宋体" w:cs="宋体" w:eastAsia="宋体" w:hint="default"/>
          <w:sz w:val="14"/>
          <w:szCs w:val="14"/>
        </w:rPr>
      </w:pPr>
    </w:p>
    <w:p>
      <w:pPr>
        <w:spacing w:line="386" w:lineRule="auto" w:before="0"/>
        <w:ind w:left="634" w:right="138"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、审计委员会履职情况</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报告期内，根据中国证监会、深圳证券交易所有关规定及公司《董事会审计委员会议事规则》、《董</w:t>
      </w:r>
    </w:p>
    <w:p>
      <w:pPr>
        <w:pStyle w:val="BodyText"/>
        <w:spacing w:line="408" w:lineRule="auto" w:before="65"/>
        <w:ind w:right="151"/>
        <w:jc w:val="both"/>
      </w:pPr>
      <w:r>
        <w:rPr>
          <w:spacing w:val="-1"/>
        </w:rPr>
        <w:t>事会审计委员会年报工作流程》，公司审计委员会委员勤勉尽职，认真履行了公司内部审计与外部审计之</w:t>
      </w:r>
      <w:r>
        <w:rPr>
          <w:spacing w:val="-83"/>
        </w:rPr>
        <w:t> </w:t>
      </w:r>
      <w:r>
        <w:rPr>
          <w:spacing w:val="-83"/>
        </w:rPr>
      </w:r>
      <w:r>
        <w:rPr>
          <w:spacing w:val="-1"/>
        </w:rPr>
        <w:t>间的沟通、监督、核查职责，对公司经营情况、内控制度的制定和执行情况进行了严格的监督检查，在年</w:t>
      </w:r>
      <w:r>
        <w:rPr>
          <w:spacing w:val="-83"/>
        </w:rPr>
        <w:t> </w:t>
      </w:r>
      <w:r>
        <w:rPr>
          <w:spacing w:val="-83"/>
        </w:rPr>
      </w:r>
      <w:r>
        <w:rPr>
          <w:spacing w:val="-1"/>
        </w:rPr>
        <w:t>度财务报告编制及审计过程中认真履行了监督、核查职能。报告期内，董事会审计委员会召开会议情况如</w:t>
      </w:r>
      <w:r>
        <w:rPr>
          <w:spacing w:val="-83"/>
        </w:rPr>
        <w:t> </w:t>
      </w:r>
      <w:r>
        <w:rPr>
          <w:spacing w:val="-83"/>
        </w:rPr>
      </w:r>
      <w:r>
        <w:rPr/>
        <w:t>下：</w:t>
      </w:r>
    </w:p>
    <w:p>
      <w:pPr>
        <w:pStyle w:val="BodyText"/>
        <w:spacing w:line="386" w:lineRule="auto"/>
        <w:ind w:right="150" w:firstLine="419"/>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日，第三届董事会审计委员会第二次会议审议通过了《公司自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日的财务报表及附注》。</w:t>
      </w:r>
    </w:p>
    <w:p>
      <w:pPr>
        <w:pStyle w:val="BodyText"/>
        <w:spacing w:line="386" w:lineRule="auto" w:before="35"/>
        <w:ind w:right="150" w:firstLine="419"/>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日，第三届董事会审计委员会第三次会议审议通过了《公司自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日的财务报表及附注》。</w:t>
      </w:r>
    </w:p>
    <w:p>
      <w:pPr>
        <w:pStyle w:val="BodyText"/>
        <w:spacing w:line="386" w:lineRule="auto" w:before="35"/>
        <w:ind w:right="150" w:firstLine="419"/>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11</w:t>
      </w:r>
      <w:r>
        <w:rPr>
          <w:spacing w:val="-1"/>
        </w:rPr>
        <w:t>日，第三届董事会审计委员会第四次会议审议通过了《公司自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日的财务报表及附注》、《公司</w:t>
      </w:r>
      <w:r>
        <w:rPr>
          <w:rFonts w:ascii="Times New Roman" w:hAnsi="Times New Roman" w:cs="Times New Roman" w:eastAsia="Times New Roman" w:hint="default"/>
        </w:rPr>
        <w:t>2015</w:t>
      </w:r>
      <w:r>
        <w:rPr/>
        <w:t>年半年度募集资金存放与实际使用情况的专项报告》。</w:t>
      </w:r>
    </w:p>
    <w:p>
      <w:pPr>
        <w:pStyle w:val="BodyText"/>
        <w:spacing w:line="386" w:lineRule="auto" w:before="35"/>
        <w:ind w:right="148" w:firstLine="419"/>
        <w:jc w:val="both"/>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26</w:t>
      </w:r>
      <w:r>
        <w:rPr>
          <w:spacing w:val="-5"/>
        </w:rPr>
        <w:t>日，第三届董事会审计委员会第五次会议审议通过了《公司自</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30</w:t>
      </w:r>
      <w:r>
        <w:rPr>
          <w:spacing w:val="-5"/>
        </w:rPr>
        <w:t>日至</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日的财务报表及附注》。</w:t>
      </w:r>
    </w:p>
    <w:p>
      <w:pPr>
        <w:pStyle w:val="BodyText"/>
        <w:spacing w:line="400" w:lineRule="auto" w:before="35"/>
        <w:ind w:right="151" w:firstLine="420"/>
        <w:jc w:val="both"/>
      </w:pPr>
      <w:r>
        <w:rPr>
          <w:spacing w:val="-1"/>
        </w:rPr>
        <w:t>在</w:t>
      </w:r>
      <w:r>
        <w:rPr>
          <w:rFonts w:ascii="Times New Roman" w:hAnsi="Times New Roman" w:cs="Times New Roman" w:eastAsia="Times New Roman" w:hint="default"/>
          <w:spacing w:val="-1"/>
        </w:rPr>
        <w:t>2015</w:t>
      </w:r>
      <w:r>
        <w:rPr>
          <w:spacing w:val="-1"/>
        </w:rPr>
        <w:t>年度报告审计工作过程中，审计委员会会同公司审计机构北京中证天通会计师事务所（特殊普</w:t>
      </w:r>
      <w:r>
        <w:rPr/>
        <w:t> </w:t>
      </w:r>
      <w:r>
        <w:rPr>
          <w:spacing w:val="-1"/>
        </w:rPr>
        <w:t>通合伙）、内审部、财务部共同协商确定年度财务报告审计工作的时间表和重点审计范围，听取了审计机</w:t>
      </w:r>
      <w:r>
        <w:rPr>
          <w:spacing w:val="-82"/>
        </w:rPr>
        <w:t> </w:t>
      </w:r>
      <w:r>
        <w:rPr>
          <w:spacing w:val="-82"/>
        </w:rPr>
      </w:r>
      <w:r>
        <w:rPr>
          <w:spacing w:val="-1"/>
        </w:rPr>
        <w:t>构关于重大错报风险及特别风险的应对措施、重要交易、账户余额和列报等影响审计业务的重要因素及解</w:t>
      </w:r>
      <w:r>
        <w:rPr>
          <w:spacing w:val="-81"/>
        </w:rPr>
        <w:t> </w:t>
      </w:r>
      <w:r>
        <w:rPr>
          <w:spacing w:val="-81"/>
        </w:rPr>
      </w:r>
      <w:r>
        <w:rPr/>
        <w:t>决办法，并对审计结果应早于年报披露的时间以便各位董事审议做出了明确要求。</w:t>
      </w:r>
    </w:p>
    <w:p>
      <w:pPr>
        <w:pStyle w:val="BodyText"/>
        <w:spacing w:line="393" w:lineRule="auto" w:before="52"/>
        <w:ind w:left="153" w:right="150" w:firstLine="420"/>
        <w:jc w:val="both"/>
      </w:pPr>
      <w:r>
        <w:rPr>
          <w:spacing w:val="-1"/>
        </w:rPr>
        <w:t>审计委员会对审计机构</w:t>
      </w:r>
      <w:r>
        <w:rPr>
          <w:rFonts w:ascii="Times New Roman" w:hAnsi="Times New Roman" w:cs="Times New Roman" w:eastAsia="Times New Roman" w:hint="default"/>
          <w:spacing w:val="-1"/>
        </w:rPr>
        <w:t>2015</w:t>
      </w:r>
      <w:r>
        <w:rPr>
          <w:spacing w:val="-1"/>
        </w:rPr>
        <w:t>年度审计工作进行了评价和总结，认为北京中证天通会计师事务所（特殊</w:t>
      </w:r>
      <w:r>
        <w:rPr/>
        <w:t> </w:t>
      </w:r>
      <w:r>
        <w:rPr>
          <w:spacing w:val="-1"/>
        </w:rPr>
        <w:t>普通合伙）在公司</w:t>
      </w:r>
      <w:r>
        <w:rPr>
          <w:rFonts w:ascii="Times New Roman" w:hAnsi="Times New Roman" w:cs="Times New Roman" w:eastAsia="Times New Roman" w:hint="default"/>
          <w:spacing w:val="-1"/>
        </w:rPr>
        <w:t>2015</w:t>
      </w:r>
      <w:r>
        <w:rPr>
          <w:spacing w:val="-1"/>
        </w:rPr>
        <w:t>年度财务报告以及其他审计工作中能够尽职尽责，遵守会计和审计职业道德，具备</w:t>
      </w:r>
      <w:r>
        <w:rPr>
          <w:spacing w:val="-83"/>
        </w:rPr>
        <w:t> </w:t>
      </w:r>
      <w:r>
        <w:rPr>
          <w:spacing w:val="-83"/>
        </w:rPr>
      </w:r>
      <w:r>
        <w:rPr>
          <w:spacing w:val="-1"/>
        </w:rPr>
        <w:t>专业能力，恪守独立性和保持职业谨慎性，较为圆满地完成了公司委托的各项审计工作，审计委员会提议</w:t>
      </w:r>
      <w:r>
        <w:rPr>
          <w:spacing w:val="-83"/>
        </w:rPr>
        <w:t> </w:t>
      </w:r>
      <w:r>
        <w:rPr>
          <w:spacing w:val="-83"/>
        </w:rPr>
      </w:r>
      <w:r>
        <w:rPr/>
        <w:t>续聘其作为公司</w:t>
      </w:r>
      <w:r>
        <w:rPr>
          <w:rFonts w:ascii="Times New Roman" w:hAnsi="Times New Roman" w:cs="Times New Roman" w:eastAsia="Times New Roman" w:hint="default"/>
        </w:rPr>
        <w:t>2016</w:t>
      </w:r>
      <w:r>
        <w:rPr/>
        <w:t>年度的审计机构。</w:t>
      </w:r>
    </w:p>
    <w:p>
      <w:pPr>
        <w:spacing w:line="386" w:lineRule="auto" w:before="28"/>
        <w:ind w:left="634" w:right="138"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、提名委员会履职情况</w:t>
      </w:r>
      <w:r>
        <w:rPr>
          <w:rFonts w:ascii="宋体" w:hAnsi="宋体" w:cs="宋体" w:eastAsia="宋体" w:hint="default"/>
          <w:b/>
          <w:bCs/>
          <w:w w:val="99"/>
          <w:sz w:val="21"/>
          <w:szCs w:val="21"/>
        </w:rPr>
        <w:t> </w:t>
      </w:r>
      <w:r>
        <w:rPr>
          <w:rFonts w:ascii="宋体" w:hAnsi="宋体" w:cs="宋体" w:eastAsia="宋体" w:hint="default"/>
          <w:spacing w:val="-2"/>
          <w:sz w:val="21"/>
          <w:szCs w:val="21"/>
        </w:rPr>
        <w:t>根据公司《提名委员会议事规则》，提名委员会主要负责研究公司董事和高级管理人员的选择标准和</w:t>
      </w:r>
    </w:p>
    <w:p>
      <w:pPr>
        <w:pStyle w:val="BodyText"/>
        <w:spacing w:line="408" w:lineRule="auto" w:before="65"/>
        <w:ind w:right="151"/>
        <w:jc w:val="both"/>
      </w:pPr>
      <w:r>
        <w:rPr>
          <w:spacing w:val="-1"/>
        </w:rPr>
        <w:t>程序，进行选择和提出建议，对董事候选人和高管人员进行审查并提出建议。报告期内，董事会提名委员</w:t>
      </w:r>
      <w:r>
        <w:rPr>
          <w:spacing w:val="-82"/>
        </w:rPr>
        <w:t> </w:t>
      </w:r>
      <w:r>
        <w:rPr>
          <w:spacing w:val="-82"/>
        </w:rPr>
      </w:r>
      <w:r>
        <w:rPr/>
        <w:t>会召开会议情况如下：</w:t>
      </w:r>
    </w:p>
    <w:p>
      <w:pPr>
        <w:pStyle w:val="BodyText"/>
        <w:spacing w:line="386" w:lineRule="auto"/>
        <w:ind w:right="149" w:firstLine="479"/>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日，第三届董事会提名委员会第一次会议审议通过了《关于提名郭洪斌为第三届董</w:t>
      </w:r>
      <w:r>
        <w:rPr/>
        <w:t> 事会董事的议案》。</w:t>
      </w:r>
    </w:p>
    <w:p>
      <w:pPr>
        <w:pStyle w:val="BodyText"/>
        <w:spacing w:line="240" w:lineRule="auto" w:before="65"/>
        <w:ind w:left="63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日，第三届董事会提名委员会第二次会议审议通过了《关于提名孙云为第三届董</w:t>
      </w:r>
    </w:p>
    <w:p>
      <w:pPr>
        <w:spacing w:after="0" w:line="240" w:lineRule="auto"/>
        <w:jc w:val="left"/>
        <w:sectPr>
          <w:footerReference w:type="default" r:id="rId22"/>
          <w:pgSz w:w="11910" w:h="16840"/>
          <w:pgMar w:footer="982" w:header="877" w:top="1100" w:bottom="1180" w:left="980" w:right="980"/>
          <w:pgNumType w:start="94"/>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事会独立董事的议案》、《关于提名王锋为公司副总经理兼任董事会秘书的议案》。</w:t>
      </w:r>
    </w:p>
    <w:p>
      <w:pPr>
        <w:spacing w:line="240" w:lineRule="auto" w:before="10"/>
        <w:rPr>
          <w:rFonts w:ascii="宋体" w:hAnsi="宋体" w:cs="宋体" w:eastAsia="宋体" w:hint="default"/>
          <w:sz w:val="14"/>
          <w:szCs w:val="14"/>
        </w:rPr>
      </w:pPr>
    </w:p>
    <w:p>
      <w:pPr>
        <w:spacing w:line="386" w:lineRule="auto" w:before="0"/>
        <w:ind w:left="499" w:right="245" w:hanging="34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、薪酬与考核委员会履职情况</w:t>
      </w:r>
      <w:r>
        <w:rPr>
          <w:rFonts w:ascii="宋体" w:hAnsi="宋体" w:cs="宋体" w:eastAsia="宋体" w:hint="default"/>
          <w:b/>
          <w:bCs/>
          <w:spacing w:val="1"/>
          <w:w w:val="99"/>
          <w:sz w:val="21"/>
          <w:szCs w:val="21"/>
        </w:rPr>
        <w:t> </w:t>
      </w:r>
      <w:r>
        <w:rPr>
          <w:rFonts w:ascii="宋体" w:hAnsi="宋体" w:cs="宋体" w:eastAsia="宋体" w:hint="default"/>
          <w:sz w:val="21"/>
          <w:szCs w:val="21"/>
        </w:rPr>
        <w:t>根据公司《薪酬与考核委员会议事规则》，薪酬与考核委员会主要负责研究和审查公司董事和高级管</w:t>
      </w:r>
    </w:p>
    <w:p>
      <w:pPr>
        <w:pStyle w:val="BodyText"/>
        <w:spacing w:line="408" w:lineRule="auto" w:before="65"/>
        <w:ind w:left="153" w:right="208"/>
        <w:jc w:val="both"/>
      </w:pPr>
      <w:r>
        <w:rPr>
          <w:spacing w:val="-5"/>
        </w:rPr>
        <w:t>理人员的考核标准，负责制定、审查公司董事及高管人员的薪酬政策与方案，监督公司薪酬制度执行情况，</w:t>
      </w:r>
      <w:r>
        <w:rPr>
          <w:spacing w:val="-101"/>
        </w:rPr>
        <w:t> </w:t>
      </w:r>
      <w:r>
        <w:rPr>
          <w:spacing w:val="-101"/>
        </w:rPr>
      </w:r>
      <w:r>
        <w:rPr>
          <w:spacing w:val="-1"/>
        </w:rPr>
        <w:t>制定股权激励计划，向董事会报告工作并对董事会负责。报告期内，董事会薪酬与考核委员会召开会议情</w:t>
      </w:r>
      <w:r>
        <w:rPr>
          <w:spacing w:val="-83"/>
        </w:rPr>
        <w:t> </w:t>
      </w:r>
      <w:r>
        <w:rPr>
          <w:spacing w:val="-83"/>
        </w:rPr>
      </w:r>
      <w:r>
        <w:rPr/>
        <w:t>况如下：</w:t>
      </w:r>
    </w:p>
    <w:p>
      <w:pPr>
        <w:pStyle w:val="BodyText"/>
        <w:spacing w:line="386" w:lineRule="auto"/>
        <w:ind w:right="0" w:firstLine="419"/>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日，第三届董事会薪酬与考核委员会第二次会议审议通过了《关于董事、高级管理</w:t>
      </w:r>
      <w:r>
        <w:rPr/>
        <w:t> 人员报酬事项的议案》。</w:t>
      </w:r>
    </w:p>
    <w:p>
      <w:pPr>
        <w:pStyle w:val="BodyText"/>
        <w:spacing w:line="386" w:lineRule="auto" w:before="65"/>
        <w:ind w:right="255" w:firstLine="33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日，第三届董事会薪酬与考核委员会第三次会议审议通过了《关于公司向激励对象 授予预留限制性股票相关事项的议案》。</w:t>
      </w:r>
    </w:p>
    <w:p>
      <w:pPr>
        <w:pStyle w:val="BodyText"/>
        <w:spacing w:line="386" w:lineRule="auto" w:before="65"/>
        <w:ind w:left="153" w:right="0"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日，第三届董事会薪酬与考核委员会第四次会议审议通过了《关于首次授予的限 制性股票第一期解锁条件成就的议案》。</w:t>
      </w:r>
    </w:p>
    <w:p>
      <w:pPr>
        <w:spacing w:line="240" w:lineRule="auto" w:before="3"/>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3" w:right="0" w:firstLine="420"/>
        <w:jc w:val="left"/>
      </w:pPr>
      <w:r>
        <w:rPr/>
        <w:t>公司建立了较为完善的高级管理人员绩效考评体系和薪酬制度，同时，将新任未持股的高级管理人员 </w:t>
      </w:r>
      <w:r>
        <w:rPr>
          <w:spacing w:val="-3"/>
        </w:rPr>
        <w:t>纳入了公司股权激励计划。公司董事会薪酬与考核委员会负责对公司高级管理人员的工作能力、履职情况、</w:t>
      </w:r>
      <w:r>
        <w:rPr>
          <w:spacing w:val="-92"/>
        </w:rPr>
        <w:t> </w:t>
      </w:r>
      <w:r>
        <w:rPr>
          <w:spacing w:val="-92"/>
        </w:rPr>
      </w:r>
      <w:r>
        <w:rPr/>
        <w:t>预算完成情况进行考评，以年度预算完成指标情况为主要依据，结合经营管理工作及相关任务完成情况，</w:t>
      </w:r>
      <w:r>
        <w:rPr>
          <w:spacing w:val="-34"/>
        </w:rPr>
        <w:t> </w:t>
      </w:r>
      <w:r>
        <w:rPr>
          <w:spacing w:val="-34"/>
        </w:rPr>
      </w:r>
      <w:r>
        <w:rPr/>
        <w:t>确定其薪酬，并监督薪酬制度执行情况。报告期内，公司高级管理人员能够严格按照《公司法》、《公司</w:t>
      </w:r>
      <w:r>
        <w:rPr/>
        <w:t> </w:t>
      </w:r>
      <w:r>
        <w:rPr>
          <w:spacing w:val="-5"/>
        </w:rPr>
        <w:t>章程》及国家有关法律法规认真履行职责，积极落实公司股东大会和董事会相关决议，落实预算经营指标，</w:t>
      </w:r>
      <w:r>
        <w:rPr>
          <w:spacing w:val="-101"/>
        </w:rPr>
        <w:t> </w:t>
      </w:r>
      <w:r>
        <w:rPr>
          <w:spacing w:val="-101"/>
        </w:rPr>
      </w:r>
      <w:r>
        <w:rPr/>
        <w:t>不断提升公司的管理水平，推动公司持续健康发展，维护了公司长远利益和股东利益。</w:t>
      </w:r>
    </w:p>
    <w:p>
      <w:pPr>
        <w:pStyle w:val="BodyText"/>
        <w:spacing w:line="408" w:lineRule="auto"/>
        <w:ind w:left="153" w:right="0" w:firstLine="420"/>
        <w:jc w:val="left"/>
      </w:pPr>
      <w:r>
        <w:rPr>
          <w:spacing w:val="-1"/>
        </w:rPr>
        <w:t>为建立和完善公司内部激励机制和约束机制，充分发挥和调动公司高级管理人员的工作积极性和创造</w:t>
      </w:r>
      <w:r>
        <w:rPr/>
        <w:t> 性，公司将结合实际情况，进一步完善高级管理人员的激励和约束机制，建立科学的绩效考核机制。</w:t>
      </w:r>
    </w:p>
    <w:p>
      <w:pPr>
        <w:spacing w:after="0" w:line="408" w:lineRule="auto"/>
        <w:jc w:val="left"/>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148"/>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0"/>
        <w:ind w:left="0" w:right="183" w:firstLine="0"/>
        <w:jc w:val="right"/>
        <w:rPr>
          <w:rFonts w:ascii="宋体" w:hAnsi="宋体" w:cs="宋体" w:eastAsia="宋体" w:hint="default"/>
          <w:sz w:val="18"/>
          <w:szCs w:val="18"/>
        </w:rPr>
      </w:pPr>
      <w:r>
        <w:rPr/>
        <w:pict>
          <v:shape style="position:absolute;margin-left:56.459999pt;margin-top:-201.647949pt;width:479.1pt;height:564.9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3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7"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弊行为；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 告； （</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）注册会计师发现的却未被公司 内部控制识别的当期财务报告中的重大 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）审计委员会和内审部对公司 的对外财务报告和财务报告内部控制监 督无效。</w:t>
                        </w:r>
                      </w:p>
                    </w:tc>
                    <w:tc>
                      <w:tcPr>
                        <w:tcW w:w="305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认定主要以缺陷对业务流程有效性的 影响程度、发生的可能性作判定。 如 </w:t>
                        </w:r>
                        <w:r>
                          <w:rPr>
                            <w:rFonts w:ascii="宋体" w:hAnsi="宋体" w:cs="宋体" w:eastAsia="宋体" w:hint="default"/>
                            <w:spacing w:val="-4"/>
                            <w:sz w:val="18"/>
                            <w:szCs w:val="18"/>
                          </w:rPr>
                          <w:t>果缺陷发生的可能性较小，会降低工作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效率或效果、或加大效果的不确定性 或使之偏离预期目标为一般缺陷； 如 </w:t>
                        </w:r>
                        <w:r>
                          <w:rPr>
                            <w:rFonts w:ascii="宋体" w:hAnsi="宋体" w:cs="宋体" w:eastAsia="宋体" w:hint="default"/>
                            <w:spacing w:val="-4"/>
                            <w:sz w:val="18"/>
                            <w:szCs w:val="18"/>
                          </w:rPr>
                          <w:t>果缺陷发生的可能性较高，会显著降低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工作效率或效果、或显著加大效果的不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确定性、或使之显著偏离预期目标为重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 如果缺陷发生的可能性高， </w:t>
                        </w:r>
                        <w:r>
                          <w:rPr>
                            <w:rFonts w:ascii="宋体" w:hAnsi="宋体" w:cs="宋体" w:eastAsia="宋体" w:hint="default"/>
                            <w:spacing w:val="-4"/>
                            <w:sz w:val="18"/>
                            <w:szCs w:val="18"/>
                          </w:rPr>
                          <w:t>会严重降低工作效率或效果、或严重加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大效果的不确定性、或使之严重偏离预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期目标为重大缺陷。 另外，以下迹象 通常表明非财务报告内部控制可能存 在重大缺陷：</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）公司决策程序不科 </w:t>
                        </w:r>
                        <w:r>
                          <w:rPr>
                            <w:rFonts w:ascii="宋体" w:hAnsi="宋体" w:cs="宋体" w:eastAsia="宋体" w:hint="default"/>
                            <w:spacing w:val="-4"/>
                            <w:sz w:val="18"/>
                            <w:szCs w:val="18"/>
                          </w:rPr>
                          <w:t>学，如决策失误，导致企业并购后未能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达到预期目标； （</w:t>
                        </w:r>
                        <w:r>
                          <w:rPr>
                            <w:rFonts w:ascii="Times New Roman" w:hAnsi="Times New Roman" w:cs="Times New Roman" w:eastAsia="Times New Roman" w:hint="default"/>
                            <w:sz w:val="18"/>
                            <w:szCs w:val="18"/>
                          </w:rPr>
                          <w:t>2</w:t>
                        </w:r>
                        <w:r>
                          <w:rPr>
                            <w:rFonts w:ascii="宋体" w:hAnsi="宋体" w:cs="宋体" w:eastAsia="宋体" w:hint="default"/>
                            <w:sz w:val="18"/>
                            <w:szCs w:val="18"/>
                          </w:rPr>
                          <w:t>）违反国家法律 法规，如旅游服务出现群体投诉 、人 为的重大安全事务、产品质量不合格</w:t>
                        </w:r>
                      </w:p>
                      <w:p>
                        <w:pPr>
                          <w:pStyle w:val="TableParagraph"/>
                          <w:spacing w:line="304"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）中高级管理人员或关键业务、技 术人员较大规模流失；</w:t>
                        </w:r>
                        <w:r>
                          <w:rPr>
                            <w:rFonts w:ascii="宋体" w:hAnsi="宋体" w:cs="宋体" w:eastAsia="宋体" w:hint="default"/>
                            <w:spacing w:val="-40"/>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）内部控制</w:t>
                        </w:r>
                        <w:r>
                          <w:rPr>
                            <w:rFonts w:ascii="宋体" w:hAnsi="宋体" w:cs="宋体" w:eastAsia="宋体" w:hint="default"/>
                            <w:sz w:val="18"/>
                            <w:szCs w:val="18"/>
                          </w:rPr>
                          <w:t> 评价的结果特别是重大或重要缺陷未 得到整改；</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）重要业务缺乏制度控 制或制度系统性失效。</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3437"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298"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重大缺陷：该缺陷造成财产损失大于或等 于合并财务报表资产总额或当期全年合并 营业收入的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，以二者孰低为标准确定；</w:t>
                        </w:r>
                      </w:p>
                    </w:tc>
                    <w:tc>
                      <w:tcPr>
                        <w:tcW w:w="305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重大缺陷：该缺陷造成财产损失大于或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等于合并财务报表资产总额或当期全 年合并营业收入的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298"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44"/>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line="312" w:lineRule="exact"/>
        <w:ind w:left="667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2.050pt;height:15.6pt;mso-position-horizontal-relative:char;mso-position-vertical-relative:line" coordorigin="0,0" coordsize="3041,312">
            <v:group style="position:absolute;left:3018;top:0;width:23;height:312" coordorigin="3018,0" coordsize="23,312">
              <v:shape style="position:absolute;left:3018;top:0;width:23;height:312" coordorigin="3018,0" coordsize="23,312" path="m3018,312l3041,312,3041,0,3018,0,3018,312xe" filled="true" fillcolor="#ffffff" stroked="false">
                <v:path arrowok="t"/>
                <v:fill type="solid"/>
              </v:shape>
            </v:group>
            <v:group style="position:absolute;left:0;top:0;width:23;height:312" coordorigin="0,0" coordsize="23,312">
              <v:shape style="position:absolute;left:0;top:0;width:23;height:312" coordorigin="0,0" coordsize="23,312" path="m0,312l23,312,23,0,0,0,0,312xe" filled="true" fillcolor="#ffffff" stroked="false">
                <v:path arrowok="t"/>
                <v:fill type="solid"/>
              </v:shape>
            </v:group>
            <v:group style="position:absolute;left:23;top:0;width:2996;height:312" coordorigin="23,0" coordsize="2996,312">
              <v:shape style="position:absolute;left:23;top:0;width:2996;height:312" coordorigin="23,0" coordsize="2996,312" path="m23,312l3018,312,3018,0,23,0,23,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重要缺陷：该缺陷造成财产损失大于或等</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标准确定； 重要缺陷：该缺陷造成财</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于合并财务报表资产总额或当期全年合并</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产损失大于或等于合并财务报表资产</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总额或当期全年合并营业收入的</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低为标准确定；</w:t>
            </w:r>
            <w:r>
              <w:rPr>
                <w:rFonts w:ascii="宋体" w:hAnsi="宋体" w:cs="宋体" w:eastAsia="宋体" w:hint="default"/>
                <w:spacing w:val="-32"/>
                <w:sz w:val="18"/>
                <w:szCs w:val="18"/>
              </w:rPr>
              <w:t> </w:t>
            </w:r>
            <w:r>
              <w:rPr>
                <w:rFonts w:ascii="宋体" w:hAnsi="宋体" w:cs="宋体" w:eastAsia="宋体" w:hint="default"/>
                <w:spacing w:val="-3"/>
                <w:sz w:val="18"/>
                <w:szCs w:val="18"/>
              </w:rPr>
              <w:t>一般缺陷：该缺陷造成财</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产损失小于合并财务报表资产总额或全年</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确定； 一般缺陷：该缺陷造成财产损</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合并营业收入的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，以二者孰低为标准</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失小于合并财务报表资产总额或全年</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合并营业收入的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，以二者孰低为</w:t>
            </w: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
        </w:tc>
        <w:tc>
          <w:tcPr>
            <w:tcW w:w="3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标准确定。</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48"/>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pStyle w:val="Heading1"/>
        <w:spacing w:line="240" w:lineRule="auto" w:before="175"/>
        <w:ind w:right="3749"/>
        <w:jc w:val="center"/>
        <w:rPr>
          <w:b w:val="0"/>
          <w:bCs w:val="0"/>
        </w:rPr>
      </w:pPr>
      <w:bookmarkStart w:name="_TOC_250001" w:id="11"/>
      <w:r>
        <w:rPr/>
        <w:t>第十节</w:t>
      </w:r>
      <w:r>
        <w:rPr>
          <w:spacing w:val="-5"/>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[2016]</w:t>
            </w:r>
            <w:r>
              <w:rPr>
                <w:rFonts w:ascii="宋体" w:hAnsi="宋体" w:cs="宋体" w:eastAsia="宋体" w:hint="default"/>
                <w:sz w:val="18"/>
                <w:szCs w:val="18"/>
              </w:rPr>
              <w:t>审字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戴亮、孙太宏</w:t>
            </w:r>
          </w:p>
        </w:tc>
      </w:tr>
    </w:tbl>
    <w:p>
      <w:pPr>
        <w:spacing w:line="240" w:lineRule="auto" w:before="0"/>
        <w:rPr>
          <w:rFonts w:ascii="宋体" w:hAnsi="宋体" w:cs="宋体" w:eastAsia="宋体" w:hint="default"/>
          <w:b/>
          <w:bCs/>
          <w:sz w:val="25"/>
          <w:szCs w:val="25"/>
        </w:rPr>
      </w:pPr>
    </w:p>
    <w:p>
      <w:pPr>
        <w:pStyle w:val="Heading2"/>
        <w:spacing w:line="240" w:lineRule="auto" w:before="26"/>
        <w:ind w:left="3749" w:right="3749"/>
        <w:jc w:val="center"/>
        <w:rPr>
          <w:b w:val="0"/>
          <w:bCs w:val="0"/>
        </w:rPr>
      </w:pPr>
      <w:r>
        <w:rPr/>
        <w:t>审计报告正文</w:t>
      </w:r>
      <w:r>
        <w:rPr>
          <w:b w:val="0"/>
          <w:bCs w:val="0"/>
        </w:rPr>
      </w:r>
    </w:p>
    <w:p>
      <w:pPr>
        <w:spacing w:line="408" w:lineRule="auto" w:before="139"/>
        <w:ind w:left="578" w:right="130" w:hanging="425"/>
        <w:jc w:val="left"/>
        <w:rPr>
          <w:rFonts w:ascii="宋体" w:hAnsi="宋体" w:cs="宋体" w:eastAsia="宋体" w:hint="default"/>
          <w:sz w:val="21"/>
          <w:szCs w:val="21"/>
        </w:rPr>
      </w:pPr>
      <w:r>
        <w:rPr>
          <w:rFonts w:ascii="宋体" w:hAnsi="宋体" w:cs="宋体" w:eastAsia="宋体" w:hint="default"/>
          <w:b/>
          <w:bCs/>
          <w:sz w:val="21"/>
          <w:szCs w:val="21"/>
        </w:rPr>
        <w:t>北京众信国际旅行社股份有限公司全体股东：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我们审计了后附的北京众信国际旅行社股份有限公司（以下简称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众信旅游</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p>
      <w:pPr>
        <w:pStyle w:val="BodyText"/>
        <w:spacing w:line="386" w:lineRule="auto" w:before="14"/>
        <w:ind w:right="148"/>
        <w:jc w:val="left"/>
      </w:pP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2015</w:t>
      </w:r>
      <w:r>
        <w:rPr>
          <w:spacing w:val="-1"/>
        </w:rPr>
        <w:t>年的合并及母公司利润表、合并及母公司现金流量表、合并及</w:t>
      </w:r>
      <w:r>
        <w:rPr>
          <w:spacing w:val="-86"/>
        </w:rPr>
        <w:t> </w:t>
      </w:r>
      <w:r>
        <w:rPr>
          <w:spacing w:val="-86"/>
        </w:rPr>
      </w:r>
      <w:r>
        <w:rPr/>
        <w:t>母公司股东权益变动表以及财务报表附注。</w:t>
      </w:r>
    </w:p>
    <w:p>
      <w:pPr>
        <w:spacing w:line="408" w:lineRule="auto" w:before="65"/>
        <w:ind w:left="578" w:right="148" w:hanging="5"/>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编制和公允列报财务报表是众信旅游管理层的责任，这种责任包括：（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BodyText"/>
        <w:spacing w:line="386" w:lineRule="auto" w:before="14"/>
        <w:ind w:right="148"/>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35"/>
        </w:rPr>
        <w:t> </w:t>
      </w:r>
      <w:r>
        <w:rPr>
          <w:spacing w:val="-35"/>
        </w:rPr>
      </w:r>
      <w:r>
        <w:rPr/>
        <w:t>于舞弊或错误导致的重大错报。</w:t>
      </w:r>
    </w:p>
    <w:p>
      <w:pPr>
        <w:pStyle w:val="BodyText"/>
        <w:spacing w:line="408" w:lineRule="auto" w:before="65"/>
        <w:ind w:left="575" w:right="148"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before="45"/>
        <w:ind w:right="148"/>
        <w:jc w:val="left"/>
      </w:pP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408" w:lineRule="auto"/>
        <w:ind w:right="151" w:firstLine="421"/>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ind w:left="574" w:right="1999" w:firstLine="1"/>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ind w:left="634" w:right="148"/>
        <w:jc w:val="left"/>
        <w:rPr>
          <w:rFonts w:ascii="Times New Roman" w:hAnsi="Times New Roman" w:cs="Times New Roman" w:eastAsia="Times New Roman" w:hint="default"/>
        </w:rPr>
      </w:pPr>
      <w:r>
        <w:rPr/>
        <w:t>我们认为，上述财务报表在所有重大方面按照企业会计准则的规定编制，公允反映了众信旅游</w:t>
      </w:r>
      <w:r>
        <w:rPr>
          <w:rFonts w:ascii="Times New Roman" w:hAnsi="Times New Roman" w:cs="Times New Roman" w:eastAsia="Times New Roman" w:hint="default"/>
        </w:rPr>
        <w:t>2015</w:t>
      </w:r>
    </w:p>
    <w:p>
      <w:pPr>
        <w:spacing w:after="0" w:line="240" w:lineRule="auto"/>
        <w:jc w:val="left"/>
        <w:rPr>
          <w:rFonts w:ascii="Times New Roman" w:hAnsi="Times New Roman" w:cs="Times New Roman" w:eastAsia="Times New Roman" w:hint="default"/>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3"/>
        <w:ind w:right="148"/>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日合并及母公司财务状况以及</w:t>
      </w:r>
      <w:r>
        <w:rPr>
          <w:rFonts w:ascii="Times New Roman" w:hAnsi="Times New Roman" w:cs="Times New Roman" w:eastAsia="Times New Roman" w:hint="default"/>
        </w:rPr>
        <w:t>2015</w:t>
      </w:r>
      <w:r>
        <w:rPr/>
        <w:t>年度合并及母公司经营成果和现金流量。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tabs>
          <w:tab w:pos="6243" w:val="left" w:leader="none"/>
        </w:tabs>
        <w:spacing w:line="240" w:lineRule="auto" w:before="0"/>
        <w:ind w:left="153" w:right="148"/>
        <w:jc w:val="left"/>
      </w:pPr>
      <w:r>
        <w:rPr/>
        <w:t>北京中证天通会计师事务所（特殊普通合伙）</w:t>
        <w:tab/>
        <w:t>中国注册会计师：戴亮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290" w:val="left" w:leader="none"/>
        </w:tabs>
        <w:spacing w:line="240" w:lineRule="auto" w:before="137"/>
        <w:ind w:left="1665" w:right="148"/>
        <w:jc w:val="left"/>
      </w:pPr>
      <w:r>
        <w:rPr/>
        <w:t>中国</w:t>
      </w:r>
      <w:r>
        <w:rPr>
          <w:spacing w:val="-20"/>
        </w:rPr>
        <w:t> </w:t>
      </w:r>
      <w:r>
        <w:rPr/>
        <w:t>北京</w:t>
        <w:tab/>
        <w:t>中国注册会计师：</w:t>
      </w:r>
      <w:r>
        <w:rPr>
          <w:spacing w:val="-23"/>
        </w:rPr>
        <w:t> </w:t>
      </w:r>
      <w:r>
        <w:rPr/>
        <w:t>孙太宏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381"/>
        <w:jc w:val="righ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w:t>
      </w:r>
    </w:p>
    <w:p>
      <w:pPr>
        <w:spacing w:after="0" w:line="240" w:lineRule="auto"/>
        <w:jc w:val="righ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8"/>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3"/>
          <w:pgSz w:w="11910" w:h="16840"/>
          <w:pgMar w:footer="982" w:header="877" w:top="110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编制单位：北京众信国际旅行社股份有限公司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00" w:bottom="280" w:left="980" w:right="980"/>
          <w:cols w:num="3" w:equalWidth="0">
            <w:col w:w="3755" w:space="32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960,400,494.97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414,441,501.86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451,180,853.05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164,709,596.59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479,032,431.96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219,464,300.02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162,580.61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244,422,594.52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132,772,180.53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370,282.61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432,960.45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13,936,436.25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44,733,600.00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2,149,505,673.97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976,554,139.45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86,975,500.00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241,141,400.00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37,391,989.88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400" w:bottom="2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10,593,742.50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6,156,918.50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17,782,631.82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7,513,673.17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547,447,315.74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2,874,162.87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9,993,394.48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3,256,122.03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7,878,768.44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2,254,437.70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109,268,483.58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72,482,439.15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1,068,473,226.44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95,537,753.42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3,217,978,900.41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1,072,091,892.87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474,619,914.82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201,750,543.02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325,129,304.43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219,175,503.46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27,183,539.95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12,884,348.66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11,025,734.85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9,056,525.12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63,588.54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79,158,544.82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38,151,457.04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5,396,041.52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3,039,363.78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1,542,756,668.93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490,176,741.08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footerReference w:type="default" r:id="rId24"/>
          <w:pgSz w:w="11910" w:h="16840"/>
          <w:pgMar w:footer="982" w:header="877" w:top="1100" w:bottom="1180" w:left="980" w:right="98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1,542,756,668.93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490,176,741.08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417,534,990.00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691,927,335.40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200,242,253.93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34,442,400.00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13,172.93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46,248,846.10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36,029,203.16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443,137,394.83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280,550,166.37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1,564,419,339.26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576,011,623.46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110,802,892.22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5,903,528.33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1,675,222,231.48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581,915,151.79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3,217,978,900.41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1,072,091,892.87</w:t>
            </w:r>
          </w:p>
        </w:tc>
      </w:tr>
    </w:tbl>
    <w:p>
      <w:pPr>
        <w:tabs>
          <w:tab w:pos="3573" w:val="left" w:leader="none"/>
          <w:tab w:pos="7713" w:val="left" w:leader="none"/>
        </w:tabs>
        <w:spacing w:before="10"/>
        <w:ind w:left="154" w:right="148" w:firstLine="0"/>
        <w:jc w:val="left"/>
        <w:rPr>
          <w:rFonts w:ascii="宋体" w:hAnsi="宋体" w:cs="宋体" w:eastAsia="宋体" w:hint="default"/>
          <w:sz w:val="18"/>
          <w:szCs w:val="18"/>
        </w:rPr>
      </w:pPr>
      <w:r>
        <w:rPr>
          <w:rFonts w:ascii="宋体" w:hAnsi="宋体" w:cs="宋体" w:eastAsia="宋体" w:hint="default"/>
          <w:sz w:val="18"/>
          <w:szCs w:val="18"/>
        </w:rPr>
        <w:t>法定代表人：冯滨</w:t>
        <w:tab/>
        <w:t>主管会计工作负责人：何静</w:t>
        <w:tab/>
        <w:t>会计机构负责人：李海涛</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505,565,481.28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347,903,069.85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164,653,593.72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159,120,110.76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210,880,052.15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180,630,140.19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294,383,738.33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179,801,886.44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370,282.61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432,960.45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13,278,813.19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1,189,131,961.28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867,888,167.69</w:t>
            </w:r>
          </w:p>
        </w:tc>
      </w:tr>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154,589,000.00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1,166,387,210.25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85,100,080.00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4,299,717.38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5,957,168.84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15,853,217.24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7,513,673.17</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1,605,404.36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3,256,122.03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3,932,632.38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2,254,437.70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87,116,435.93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67,369,727.03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1,433,783,617.54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172,451,208.77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2,622,915,578.82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1,040,339,376.46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249,846,473.36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204,477,284.05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206,954,609.16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194,875,370.25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11,134,420.95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11,985,597.91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2,923,639.91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7,725,556.22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85,882,258.65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35,525,388.88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5,396,041.52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3,039,363.78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1,137,317,443.55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463,747,561.09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1,137,317,443.55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463,747,561.09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417,534,990.00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697,047,387.45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200,242,253.93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34,442,400.00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46,248,846.10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36,029,203.16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359,209,311.72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281,130,358.28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1,485,598,135.27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576,591,815.37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2,622,915,578.82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1,040,339,376.46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48"/>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8,370,233,260.31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4,217,003,082.71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8,370,070,679.70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4,217,003,082.71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162,580.61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8,116,208,780.32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4,072,682,718.49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7,603,758,074.36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3,847,151,762.77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43,975,024.28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21,582,449.07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367,013,733.44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187,825,001.44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90,072,297.38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37,190,750.10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3,715,177.21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-24,493,161.98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7,674,473.65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3,425,917.09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-1,760.12</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177.841202pt;margin-top:226.800003pt;width:193.1pt;height:19.650pt;mso-position-horizontal-relative:page;mso-position-vertical-relative:page;z-index:-96635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-1,760.12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254,022,719.87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144,320,364.22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4,374,385.87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4,050,860.78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10,029.98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783,776.17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103,919.65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82,005.63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53,919.65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257,613,329.57</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148,267,305.35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47,953,078.52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39,529,166.26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209,660,251.05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108,738,139.09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186,704,704.40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108,742,724.89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22,955,546.65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-4,585.80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25,828.38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13,172.93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13,172.93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13,172.93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165"/>
              <w:jc w:val="right"/>
              <w:rPr>
                <w:rFonts w:ascii="宋体" w:hAnsi="宋体" w:cs="宋体" w:eastAsia="宋体" w:hint="default"/>
                <w:sz w:val="18"/>
                <w:szCs w:val="18"/>
              </w:rPr>
            </w:pPr>
            <w:r>
              <w:rPr>
                <w:rFonts w:ascii="宋体" w:hAnsi="宋体" w:cs="宋体" w:eastAsia="宋体" w:hint="default"/>
                <w:sz w:val="18"/>
                <w:szCs w:val="18"/>
              </w:rPr>
              <w:t>归属于少数股东的其他综合收益的</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12,655.45</w:t>
            </w: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209,686,079.43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108,738,139.09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186,717,877.33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108,742,724.89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22,968,202.10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-4,585.80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0.314</w:t>
            </w:r>
          </w:p>
        </w:tc>
      </w:tr>
    </w:tbl>
    <w:p>
      <w:pPr>
        <w:spacing w:line="240" w:lineRule="auto" w:before="3"/>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法定代表人：冯滨</w:t>
        <w:tab/>
        <w:t>主管会计工作负责人：何静</w:t>
        <w:tab/>
        <w:t>会计机构负责人：李海涛</w:t>
      </w:r>
    </w:p>
    <w:p>
      <w:pPr>
        <w:spacing w:line="240" w:lineRule="auto" w:before="10"/>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3,827,259,092.31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4,183,741,098.41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3,428,743,136.19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3,827,326,245.58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24,005,373.52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20,837,680.12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207,367,883.90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180,465,598.27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50,488,512.27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35,836,773.78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808,569.68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-27,876,693.07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4,356,100.99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3,425,917.09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2,476,777.08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113,966,292.84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143,725,576.64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447,709.06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103,919.65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53,919.65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115,918,583.78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147,621,656.99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13,722,154.40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37,848,823.14</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102,196,429.38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109,772,833.85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102,196,429.38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109,772,833.85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年度公司将原由公司上海分社经营业务转由上海众信经营，故公司母公司营业收入等数据有所下降。</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8,190,922,850.26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4,234,326,436.49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99,147,318.84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50,818,005.67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8,290,070,169.10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4,285,144,442.16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7,442,868,044.75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3,827,995,232.68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249,078,976.10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110,118,236.91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125,209,356.06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62,887,777.40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372,106,334.51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214,687,562.77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8,277,562,711.42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4,215,688,809.76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12,507,457.68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69,455,632.40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95,562.22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95,562.22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29,967,151.98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10,757,398.74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252,177,056.29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-35,863,271.83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-8,103,421.13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246,280,936.44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111,503,977.61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-246,185,374.22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-111,245,977.61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211,423,705.34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190,170,579.72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980,894,350.05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155,670,000.00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1,192,318,055.39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345,840,579.72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396,555,450.00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149,530,000.00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22,891,558.44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12,574,343.00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419,447,008.44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162,104,343.00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772,871,046.95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183,736,236.72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3,642,870.78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294,526.66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542,836,001.19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142,240,418.17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400,304,431.86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258,064,013.69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943,140,433.05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400,304,431.86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48"/>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3,829,405,626.91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4,188,861,213.04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45,996,478.07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39,942,961.67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3,875,402,104.98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4,228,804,174.71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3,335,199,850.59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3,769,386,390.49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128,470,502.95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105,163,109.48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64,631,175.03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61,345,339.20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313,515,233.58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249,363,370.26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3,841,816,762.15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4,185,258,209.43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33,585,342.83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43,545,965.28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2,229,099.37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22,362.22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20,247,677.71</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22,499,139.30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22,267,692.42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10,559,198.94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638,651,564.25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125,800,080.00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660,919,256.67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136,359,278.94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-638,420,117.37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-136,101,278.94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211,423,705.34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190,170,579.72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789,686,000.00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155,670,000.00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1,001,109,705.34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345,840,579.72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149,530,000.00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19,948,210.08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12,574,343.00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240,774,210.08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162,104,343.00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760,335,495.26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183,736,236.72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1,088,698.79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951,920.99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156,589,419.51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92,132,844.05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336,266,589.85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244,133,745.80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492,856,009.36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336,266,589.85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3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73"/>
        <w:gridCol w:w="1181"/>
        <w:gridCol w:w="544"/>
        <w:gridCol w:w="544"/>
        <w:gridCol w:w="547"/>
        <w:gridCol w:w="1241"/>
        <w:gridCol w:w="1092"/>
        <w:gridCol w:w="775"/>
        <w:gridCol w:w="707"/>
        <w:gridCol w:w="1091"/>
        <w:gridCol w:w="742"/>
        <w:gridCol w:w="1181"/>
        <w:gridCol w:w="1181"/>
        <w:gridCol w:w="1316"/>
      </w:tblGrid>
      <w:tr>
        <w:trPr>
          <w:trHeight w:val="402" w:hRule="exact"/>
        </w:trPr>
        <w:tc>
          <w:tcPr>
            <w:tcW w:w="18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73" w:type="dxa"/>
            <w:vMerge/>
            <w:tcBorders>
              <w:left w:val="single" w:sz="4" w:space="0" w:color="000000"/>
              <w:right w:val="single" w:sz="4" w:space="0" w:color="000000"/>
            </w:tcBorders>
            <w:shd w:val="clear" w:color="auto" w:fill="D3D3D3"/>
          </w:tcPr>
          <w:p>
            <w:pPr/>
          </w:p>
        </w:tc>
        <w:tc>
          <w:tcPr>
            <w:tcW w:w="964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73"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714" w:hRule="exact"/>
        </w:trPr>
        <w:tc>
          <w:tcPr>
            <w:tcW w:w="1873"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6" w:right="8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6" w:right="8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775" w:type="dxa"/>
            <w:vMerge/>
            <w:tcBorders>
              <w:left w:val="single" w:sz="4" w:space="0" w:color="000000"/>
              <w:bottom w:val="single" w:sz="4" w:space="0" w:color="000000"/>
              <w:right w:val="single" w:sz="4" w:space="0" w:color="000000"/>
            </w:tcBorders>
            <w:shd w:val="clear" w:color="auto" w:fill="D3D3D3"/>
          </w:tcPr>
          <w:p>
            <w:pPr/>
          </w:p>
        </w:tc>
        <w:tc>
          <w:tcPr>
            <w:tcW w:w="707"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742"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59,190,000.00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200,242,253.93</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36,029,203.16</w:t>
            </w: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280,550,166.37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5,903,528.33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581,915,151.79</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59,190,000.00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200,242,253.93</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36,029,203.16</w:t>
            </w: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280,550,166.37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5,903,528.33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581,915,151.79</w:t>
            </w: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358,344,990.00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491,685,081.47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34,442,400.00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13,172.93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10,219,642.94</w:t>
            </w: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162,587,228.46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104,899,363.89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1,093,307,079.69</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13,172.93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186,704,704.40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22,968,202.10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209,686,079.43</w:t>
            </w: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10,599,165.00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844,550,958.52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34,442,400.00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820,707,723.52</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10,599,165.00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830,824,540.34</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841,423,705.34</w:t>
            </w: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74"/>
                <w:sz w:val="18"/>
                <w:szCs w:val="18"/>
              </w:rPr>
              <w:t>．</w:t>
            </w:r>
            <w:r>
              <w:rPr>
                <w:rFonts w:ascii="宋体" w:hAnsi="宋体" w:cs="宋体" w:eastAsia="宋体" w:hint="default"/>
                <w:sz w:val="18"/>
                <w:szCs w:val="18"/>
              </w:rPr>
              <w:t>股份支付计入所有者</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center"/>
              <w:rPr>
                <w:rFonts w:ascii="Times New Roman" w:hAnsi="Times New Roman" w:cs="Times New Roman" w:eastAsia="Times New Roman" w:hint="default"/>
                <w:sz w:val="18"/>
                <w:szCs w:val="18"/>
              </w:rPr>
            </w:pPr>
            <w:r>
              <w:rPr>
                <w:rFonts w:ascii="Times New Roman"/>
                <w:sz w:val="18"/>
              </w:rPr>
              <w:t>13,726,418.18</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13,726,418.18</w:t>
            </w:r>
          </w:p>
        </w:tc>
      </w:tr>
    </w:tbl>
    <w:p>
      <w:pPr>
        <w:spacing w:after="0" w:line="240" w:lineRule="auto"/>
        <w:jc w:val="right"/>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867" w:footer="978" w:top="1060" w:bottom="1160" w:left="1300" w:right="1300"/>
          <w:pgNumType w:start="112"/>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73"/>
        <w:gridCol w:w="1181"/>
        <w:gridCol w:w="544"/>
        <w:gridCol w:w="544"/>
        <w:gridCol w:w="547"/>
        <w:gridCol w:w="1241"/>
        <w:gridCol w:w="1092"/>
        <w:gridCol w:w="775"/>
        <w:gridCol w:w="707"/>
        <w:gridCol w:w="1091"/>
        <w:gridCol w:w="742"/>
        <w:gridCol w:w="1181"/>
        <w:gridCol w:w="1181"/>
        <w:gridCol w:w="1316"/>
      </w:tblGrid>
      <w:tr>
        <w:trPr>
          <w:trHeight w:val="377" w:hRule="exact"/>
        </w:trPr>
        <w:tc>
          <w:tcPr>
            <w:tcW w:w="1873"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44" w:type="dxa"/>
            <w:tcBorders>
              <w:top w:val="single" w:sz="15" w:space="0" w:color="000000"/>
              <w:left w:val="single" w:sz="4" w:space="0" w:color="000000"/>
              <w:bottom w:val="single" w:sz="4" w:space="0" w:color="000000"/>
              <w:right w:val="single" w:sz="4" w:space="0" w:color="000000"/>
            </w:tcBorders>
          </w:tcPr>
          <w:p>
            <w:pPr/>
          </w:p>
        </w:tc>
        <w:tc>
          <w:tcPr>
            <w:tcW w:w="544"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775" w:type="dxa"/>
            <w:tcBorders>
              <w:top w:val="single" w:sz="15" w:space="0" w:color="000000"/>
              <w:left w:val="single" w:sz="4" w:space="0" w:color="000000"/>
              <w:bottom w:val="single" w:sz="4" w:space="0" w:color="000000"/>
              <w:right w:val="single" w:sz="4" w:space="0" w:color="000000"/>
            </w:tcBorders>
          </w:tcPr>
          <w:p>
            <w:pPr/>
          </w:p>
        </w:tc>
        <w:tc>
          <w:tcPr>
            <w:tcW w:w="70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4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34,442,400.00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-34,442,400.00</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10,219,642.94</w:t>
            </w: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-24,117,475.94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-13,897,833.00</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10,219,642.94</w:t>
            </w: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-10,219,642.94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58.6pt;height:35.25pt;mso-position-horizontal-relative:char;mso-position-vertical-relative:line" coordorigin="0,0" coordsize="1172,705">
                  <v:group style="position:absolute;left:0;top:0;width:1172;height:705" coordorigin="0,0" coordsize="1172,705">
                    <v:shape style="position:absolute;left:0;top:0;width:1172;height:705" coordorigin="0,0" coordsize="1172,705" path="m0,0l0,704,1171,704,1171,0,0,0xe" filled="true" fillcolor="#ffffff" stroked="false">
                      <v:path arrowok="t"/>
                      <v:fill type="solid"/>
                    </v:shape>
                  </v:group>
                  <v:group style="position:absolute;left:23;top:156;width:1125;height:393" coordorigin="23,156" coordsize="1125,393">
                    <v:shape style="position:absolute;left:23;top:156;width:1125;height:393" coordorigin="23,156" coordsize="1125,393" path="m23,156l23,548,1147,548,1147,156,23,156xe" filled="true" fillcolor="#ffffff" stroked="false">
                      <v:path arrowok="t"/>
                      <v:fill type="solid"/>
                    </v:shape>
                  </v:group>
                </v:group>
              </w:pict>
            </w:r>
            <w:r>
              <w:rPr>
                <w:rFonts w:ascii="宋体" w:hAnsi="宋体" w:cs="宋体" w:eastAsia="宋体" w:hint="default"/>
                <w:position w:val="-13"/>
                <w:sz w:val="20"/>
                <w:szCs w:val="20"/>
              </w:rPr>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-13,897,833.00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-13,897,833.00</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347,745,825.00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-347,745,825.00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347,745,825.00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-347,745,825.00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-5,120,052.05</w:t>
            </w:r>
          </w:p>
        </w:tc>
        <w:tc>
          <w:tcPr>
            <w:tcW w:w="109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81,931,161.79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76,811,109.74</w:t>
            </w:r>
          </w:p>
        </w:tc>
      </w:tr>
      <w:tr>
        <w:trPr>
          <w:trHeight w:val="402" w:hRule="exact"/>
        </w:trPr>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417,534,990.00</w:t>
            </w:r>
          </w:p>
        </w:tc>
        <w:tc>
          <w:tcPr>
            <w:tcW w:w="544"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691,927,335.40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34,442,400.00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13,172.93</w:t>
            </w:r>
          </w:p>
        </w:tc>
        <w:tc>
          <w:tcPr>
            <w:tcW w:w="70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46,248,846.10</w:t>
            </w:r>
          </w:p>
        </w:tc>
        <w:tc>
          <w:tcPr>
            <w:tcW w:w="7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443,137,394.83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110,802,892.22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1,675,222,231.48</w:t>
            </w: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p>
      <w:pPr>
        <w:spacing w:line="421" w:lineRule="exact"/>
        <w:ind w:left="10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01.65pt;height:21.1pt;mso-position-horizontal-relative:char;mso-position-vertical-relative:line" coordorigin="0,0" coordsize="14033,422">
            <v:group style="position:absolute;left:1956;top:14;width:23;height:393" coordorigin="1956,14" coordsize="23,393">
              <v:shape style="position:absolute;left:1956;top:14;width:23;height:393" coordorigin="1956,14" coordsize="23,393" path="m1956,14l1956,407,1979,407,1979,14,1956,14xe" filled="true" fillcolor="#d3d3d3" stroked="false">
                <v:path arrowok="t"/>
                <v:fill type="solid"/>
              </v:shape>
            </v:group>
            <v:group style="position:absolute;left:14;top:14;width:23;height:393" coordorigin="14,14" coordsize="23,393">
              <v:shape style="position:absolute;left:14;top:14;width:23;height:393" coordorigin="14,14" coordsize="23,393" path="m14,14l14,407,37,407,37,14,14,14xe" filled="true" fillcolor="#d3d3d3" stroked="false">
                <v:path arrowok="t"/>
                <v:fill type="solid"/>
              </v:shape>
            </v:group>
            <v:group style="position:absolute;left:37;top:14;width:1919;height:393" coordorigin="37,14" coordsize="1919,393">
              <v:shape style="position:absolute;left:37;top:14;width:1919;height:393" coordorigin="37,14" coordsize="1919,393" path="m37,14l37,407,1956,407,1956,14,37,14xe" filled="true" fillcolor="#d3d3d3" stroked="false">
                <v:path arrowok="t"/>
                <v:fill type="solid"/>
              </v:shape>
            </v:group>
            <v:group style="position:absolute;left:1990;top:14;width:23;height:393" coordorigin="1990,14" coordsize="23,393">
              <v:shape style="position:absolute;left:1990;top:14;width:23;height:393" coordorigin="1990,14" coordsize="23,393" path="m1990,14l1990,407,2012,407,2012,14,1990,14xe" filled="true" fillcolor="#d3d3d3" stroked="false">
                <v:path arrowok="t"/>
                <v:fill type="solid"/>
              </v:shape>
            </v:group>
            <v:group style="position:absolute;left:13996;top:14;width:23;height:393" coordorigin="13996,14" coordsize="23,393">
              <v:shape style="position:absolute;left:13996;top:14;width:23;height:393" coordorigin="13996,14" coordsize="23,393" path="m13996,14l13996,407,14018,407,14018,14,13996,14xe" filled="true" fillcolor="#d3d3d3" stroked="false">
                <v:path arrowok="t"/>
                <v:fill type="solid"/>
              </v:shape>
            </v:group>
            <v:group style="position:absolute;left:2012;top:14;width:11984;height:393" coordorigin="2012,14" coordsize="11984,393">
              <v:shape style="position:absolute;left:2012;top:14;width:11984;height:393" coordorigin="2012,14" coordsize="11984,393" path="m2012,14l2012,407,13996,407,13996,14,2012,14xe" filled="true" fillcolor="#d3d3d3" stroked="false">
                <v:path arrowok="t"/>
                <v:fill type="solid"/>
              </v:shape>
            </v:group>
            <v:group style="position:absolute;left:5;top:10;width:14024;height:2" coordorigin="5,10" coordsize="14024,2">
              <v:shape style="position:absolute;left:5;top:10;width:14024;height:2" coordorigin="5,10" coordsize="14024,0" path="m5,10l14028,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1976;height:2" coordorigin="5,412" coordsize="1976,2">
              <v:shape style="position:absolute;left:5;top:412;width:1976;height:2" coordorigin="5,412" coordsize="1976,0" path="m5,412l1980,412e" filled="false" stroked="true" strokeweight=".47998pt" strokecolor="#000000">
                <v:path arrowok="t"/>
              </v:shape>
            </v:group>
            <v:group style="position:absolute;left:1985;top:14;width:2;height:402" coordorigin="1985,14" coordsize="2,402">
              <v:shape style="position:absolute;left:1985;top:14;width:2;height:402" coordorigin="1985,14" coordsize="0,402" path="m1985,14l1985,416e" filled="false" stroked="true" strokeweight=".48pt" strokecolor="#000000">
                <v:path arrowok="t"/>
              </v:shape>
            </v:group>
            <v:group style="position:absolute;left:1990;top:412;width:12029;height:2" coordorigin="1990,412" coordsize="12029,2">
              <v:shape style="position:absolute;left:1990;top:412;width:12029;height:2" coordorigin="1990,412" coordsize="12029,0" path="m1990,412l14018,412e" filled="false" stroked="true" strokeweight=".47998pt" strokecolor="#000000">
                <v:path arrowok="t"/>
              </v:shape>
            </v:group>
            <v:group style="position:absolute;left:14023;top:5;width:2;height:412" coordorigin="14023,5" coordsize="2,412">
              <v:shape style="position:absolute;left:14023;top:5;width:2;height:412" coordorigin="14023,5" coordsize="0,412" path="m14023,5l14023,416e" filled="false" stroked="true" strokeweight=".47998pt" strokecolor="#000000">
                <v:path arrowok="t"/>
              </v:shape>
              <v:shape style="position:absolute;left:10;top:10;width:1976;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82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75"/>
        <w:gridCol w:w="1091"/>
        <w:gridCol w:w="646"/>
        <w:gridCol w:w="646"/>
        <w:gridCol w:w="649"/>
        <w:gridCol w:w="1181"/>
        <w:gridCol w:w="844"/>
        <w:gridCol w:w="842"/>
        <w:gridCol w:w="844"/>
        <w:gridCol w:w="1091"/>
        <w:gridCol w:w="844"/>
        <w:gridCol w:w="1181"/>
        <w:gridCol w:w="1001"/>
        <w:gridCol w:w="1181"/>
      </w:tblGrid>
      <w:tr>
        <w:trPr>
          <w:trHeight w:val="416" w:hRule="exact"/>
        </w:trPr>
        <w:tc>
          <w:tcPr>
            <w:tcW w:w="1975" w:type="dxa"/>
            <w:tcBorders>
              <w:top w:val="single" w:sz="15" w:space="0" w:color="000000"/>
              <w:left w:val="single" w:sz="4" w:space="0" w:color="000000"/>
              <w:bottom w:val="nil" w:sz="6" w:space="0" w:color="auto"/>
              <w:right w:val="single" w:sz="4" w:space="0" w:color="000000"/>
            </w:tcBorders>
            <w:shd w:val="clear" w:color="auto" w:fill="D3D3D3"/>
          </w:tcPr>
          <w:p>
            <w:pPr/>
          </w:p>
        </w:tc>
        <w:tc>
          <w:tcPr>
            <w:tcW w:w="9857" w:type="dxa"/>
            <w:gridSpan w:val="11"/>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01"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1"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1975" w:type="dxa"/>
            <w:vMerge w:val="restart"/>
            <w:tcBorders>
              <w:top w:val="nil" w:sz="6" w:space="0" w:color="auto"/>
              <w:left w:val="single" w:sz="4" w:space="0" w:color="000000"/>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27" w:right="5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36" w:right="5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402" w:hRule="exact"/>
        </w:trPr>
        <w:tc>
          <w:tcPr>
            <w:tcW w:w="1975"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25,051,919.77</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194,442,724.87</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290,853,945.25</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center"/>
              <w:rPr>
                <w:rFonts w:ascii="宋体" w:hAnsi="宋体" w:cs="宋体" w:eastAsia="宋体" w:hint="default"/>
                <w:sz w:val="18"/>
                <w:szCs w:val="18"/>
              </w:rPr>
            </w:pP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25,051,919.77</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194,442,724.87</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290,853,945.25</w:t>
            </w: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10,977,283.39</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86,107,441.50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5,903,528.33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291,061,206.54</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108,742,724.89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108,738,139.09</w:t>
            </w: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188,576,953.32</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177,669,823.61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186,363,823.61</w:t>
            </w: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10,977,283.39</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-22,635,283.39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10,977,283.39</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75"/>
        <w:gridCol w:w="1091"/>
        <w:gridCol w:w="646"/>
        <w:gridCol w:w="646"/>
        <w:gridCol w:w="649"/>
        <w:gridCol w:w="1181"/>
        <w:gridCol w:w="844"/>
        <w:gridCol w:w="842"/>
        <w:gridCol w:w="844"/>
        <w:gridCol w:w="1091"/>
        <w:gridCol w:w="844"/>
        <w:gridCol w:w="1181"/>
        <w:gridCol w:w="1001"/>
        <w:gridCol w:w="1181"/>
      </w:tblGrid>
      <w:tr>
        <w:trPr>
          <w:trHeight w:val="728" w:hRule="exact"/>
        </w:trPr>
        <w:tc>
          <w:tcPr>
            <w:tcW w:w="197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091"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646" w:type="dxa"/>
            <w:tcBorders>
              <w:top w:val="single" w:sz="15" w:space="0" w:color="000000"/>
              <w:left w:val="single" w:sz="4" w:space="0" w:color="000000"/>
              <w:bottom w:val="single" w:sz="4" w:space="0" w:color="000000"/>
              <w:right w:val="single" w:sz="4" w:space="0" w:color="000000"/>
            </w:tcBorders>
          </w:tcPr>
          <w:p>
            <w:pPr/>
          </w:p>
        </w:tc>
        <w:tc>
          <w:tcPr>
            <w:tcW w:w="64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842"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44"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-11,658,000.00</w:t>
            </w:r>
          </w:p>
        </w:tc>
        <w:tc>
          <w:tcPr>
            <w:tcW w:w="100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5,404,114.13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5,404,114.13</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59,190,000.00</w:t>
            </w: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200,242,253.93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36,029,203.16</w:t>
            </w:r>
          </w:p>
        </w:tc>
        <w:tc>
          <w:tcPr>
            <w:tcW w:w="84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280,550,166.37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5,903,528.33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581,915,151.79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035"/>
        <w:gridCol w:w="1181"/>
        <w:gridCol w:w="896"/>
        <w:gridCol w:w="898"/>
        <w:gridCol w:w="899"/>
        <w:gridCol w:w="1241"/>
        <w:gridCol w:w="1093"/>
        <w:gridCol w:w="1090"/>
        <w:gridCol w:w="1093"/>
        <w:gridCol w:w="1091"/>
        <w:gridCol w:w="1181"/>
        <w:gridCol w:w="1316"/>
      </w:tblGrid>
      <w:tr>
        <w:trPr>
          <w:trHeight w:val="402" w:hRule="exact"/>
        </w:trPr>
        <w:tc>
          <w:tcPr>
            <w:tcW w:w="20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7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035" w:type="dxa"/>
            <w:vMerge/>
            <w:tcBorders>
              <w:left w:val="single" w:sz="4" w:space="0" w:color="000000"/>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49" w:right="89"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035"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1"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1090"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59,190,000.00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200,242,253.93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36,029,203.16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281,130,358.28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576,591,815.37</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35"/>
        <w:gridCol w:w="1181"/>
        <w:gridCol w:w="896"/>
        <w:gridCol w:w="898"/>
        <w:gridCol w:w="899"/>
        <w:gridCol w:w="1241"/>
        <w:gridCol w:w="1093"/>
        <w:gridCol w:w="1090"/>
        <w:gridCol w:w="1093"/>
        <w:gridCol w:w="1091"/>
        <w:gridCol w:w="1181"/>
        <w:gridCol w:w="1316"/>
      </w:tblGrid>
      <w:tr>
        <w:trPr>
          <w:trHeight w:val="416" w:hRule="exact"/>
        </w:trPr>
        <w:tc>
          <w:tcPr>
            <w:tcW w:w="203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6"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9"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7"/>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200,242,253.93</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36,029,203.16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281,130,358.28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576,591,815.37</w:t>
            </w: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358,344,990.00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496,805,133.52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34,442,400.00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10,219,642.94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78,078,953.44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909,006,319.90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102,196,429.38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102,196,429.38</w:t>
            </w: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10,599,165.00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844,550,958.52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34,442,400.00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820,707,723.52</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10,599,165.00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830,824,540.34</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841,423,705.34</w:t>
            </w: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13,726,418.18</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13,726,418.18</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34,442,400.00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-34,442,400.00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10,219,642.94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-24,117,475.94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-13,897,833.00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10,219,642.94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-10,219,642.94</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-13,897,833.00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-13,897,833.00</w:t>
            </w: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347,745,825.00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-347,745,825.00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347,745,825.00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-347,745,825.00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35"/>
        <w:gridCol w:w="1181"/>
        <w:gridCol w:w="896"/>
        <w:gridCol w:w="898"/>
        <w:gridCol w:w="899"/>
        <w:gridCol w:w="1241"/>
        <w:gridCol w:w="1093"/>
        <w:gridCol w:w="1090"/>
        <w:gridCol w:w="1093"/>
        <w:gridCol w:w="1091"/>
        <w:gridCol w:w="1181"/>
        <w:gridCol w:w="1316"/>
      </w:tblGrid>
      <w:tr>
        <w:trPr>
          <w:trHeight w:val="377" w:hRule="exact"/>
        </w:trPr>
        <w:tc>
          <w:tcPr>
            <w:tcW w:w="203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96"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899" w:type="dxa"/>
            <w:tcBorders>
              <w:top w:val="single" w:sz="15" w:space="0" w:color="000000"/>
              <w:left w:val="single" w:sz="4" w:space="0" w:color="000000"/>
              <w:bottom w:val="single" w:sz="4" w:space="0" w:color="000000"/>
              <w:right w:val="single" w:sz="4" w:space="0" w:color="000000"/>
            </w:tcBorders>
          </w:tcPr>
          <w:p>
            <w:pPr/>
          </w:p>
        </w:tc>
        <w:tc>
          <w:tcPr>
            <w:tcW w:w="1241"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417,534,990.00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697,047,387.45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34,442,400.00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46,248,846.10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359,209,311.72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1,485,598,135.27</w:t>
            </w: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070"/>
        <w:gridCol w:w="1091"/>
        <w:gridCol w:w="932"/>
        <w:gridCol w:w="932"/>
        <w:gridCol w:w="935"/>
        <w:gridCol w:w="1181"/>
        <w:gridCol w:w="1129"/>
        <w:gridCol w:w="1127"/>
        <w:gridCol w:w="1128"/>
        <w:gridCol w:w="1127"/>
        <w:gridCol w:w="1181"/>
        <w:gridCol w:w="1181"/>
      </w:tblGrid>
      <w:tr>
        <w:trPr>
          <w:trHeight w:val="402" w:hRule="exact"/>
        </w:trPr>
        <w:tc>
          <w:tcPr>
            <w:tcW w:w="20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4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070" w:type="dxa"/>
            <w:vMerge/>
            <w:tcBorders>
              <w:left w:val="single" w:sz="4" w:space="0" w:color="000000"/>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67"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2" w:hRule="exact"/>
        </w:trPr>
        <w:tc>
          <w:tcPr>
            <w:tcW w:w="2070"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29" w:type="dxa"/>
            <w:vMerge/>
            <w:tcBorders>
              <w:left w:val="single" w:sz="4" w:space="0" w:color="000000"/>
              <w:bottom w:val="single" w:sz="4" w:space="0" w:color="000000"/>
              <w:right w:val="single" w:sz="4" w:space="0" w:color="000000"/>
            </w:tcBorders>
            <w:shd w:val="clear" w:color="auto" w:fill="D3D3D3"/>
          </w:tcPr>
          <w:p>
            <w:pPr/>
          </w:p>
        </w:tc>
        <w:tc>
          <w:tcPr>
            <w:tcW w:w="1127" w:type="dxa"/>
            <w:vMerge/>
            <w:tcBorders>
              <w:left w:val="single" w:sz="4" w:space="0" w:color="000000"/>
              <w:bottom w:val="single" w:sz="4" w:space="0" w:color="000000"/>
              <w:right w:val="single" w:sz="4" w:space="0" w:color="000000"/>
            </w:tcBorders>
            <w:shd w:val="clear" w:color="auto" w:fill="D3D3D3"/>
          </w:tcPr>
          <w:p>
            <w:pPr/>
          </w:p>
        </w:tc>
        <w:tc>
          <w:tcPr>
            <w:tcW w:w="1128" w:type="dxa"/>
            <w:vMerge/>
            <w:tcBorders>
              <w:left w:val="single" w:sz="4" w:space="0" w:color="000000"/>
              <w:bottom w:val="single" w:sz="4" w:space="0" w:color="000000"/>
              <w:right w:val="single" w:sz="4" w:space="0" w:color="000000"/>
            </w:tcBorders>
            <w:shd w:val="clear" w:color="auto" w:fill="D3D3D3"/>
          </w:tcPr>
          <w:p>
            <w:pPr/>
          </w:p>
        </w:tc>
        <w:tc>
          <w:tcPr>
            <w:tcW w:w="1127"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193,992,807.82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290,404,028.20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
              <w:jc w:val="center"/>
              <w:rPr>
                <w:rFonts w:ascii="宋体" w:hAnsi="宋体" w:cs="宋体" w:eastAsia="宋体" w:hint="default"/>
                <w:sz w:val="18"/>
                <w:szCs w:val="18"/>
              </w:rPr>
            </w:pP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51,000,000.00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20,359,300.61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25,051,919.77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193,992,807.82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290,404,028.20</w:t>
            </w: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87,137,550.46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286,187,787.17</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109,772,833.85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109,772,833.85</w:t>
            </w: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179,882,953.32</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188,072,953.32</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177,669,823.61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185,859,823.61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70"/>
        <w:gridCol w:w="1091"/>
        <w:gridCol w:w="932"/>
        <w:gridCol w:w="932"/>
        <w:gridCol w:w="935"/>
        <w:gridCol w:w="1181"/>
        <w:gridCol w:w="1129"/>
        <w:gridCol w:w="1127"/>
        <w:gridCol w:w="1128"/>
        <w:gridCol w:w="1127"/>
        <w:gridCol w:w="1181"/>
        <w:gridCol w:w="1181"/>
      </w:tblGrid>
      <w:tr>
        <w:trPr>
          <w:trHeight w:val="728" w:hRule="exact"/>
        </w:trPr>
        <w:tc>
          <w:tcPr>
            <w:tcW w:w="207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入资本</w:t>
            </w:r>
          </w:p>
        </w:tc>
        <w:tc>
          <w:tcPr>
            <w:tcW w:w="1091"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93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28" w:type="dxa"/>
            <w:tcBorders>
              <w:top w:val="single" w:sz="15" w:space="0" w:color="000000"/>
              <w:left w:val="single" w:sz="4" w:space="0" w:color="000000"/>
              <w:bottom w:val="single" w:sz="4" w:space="0" w:color="000000"/>
              <w:right w:val="single" w:sz="4" w:space="0" w:color="000000"/>
            </w:tcBorders>
          </w:tcPr>
          <w:p>
            <w:pPr/>
          </w:p>
        </w:tc>
        <w:tc>
          <w:tcPr>
            <w:tcW w:w="112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2,213,129.71</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-22,635,283.39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-10,977,283.39</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z w:val="18"/>
                <w:szCs w:val="18"/>
              </w:rPr>
              <w:t> 分配</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-11,658,000.00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59,190,000.00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200,242,253.93</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36,029,203.16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281,130,358.28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576,591,815.37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53"/>
        <w:ind w:right="0"/>
        <w:jc w:val="both"/>
        <w:rPr>
          <w:b w:val="0"/>
          <w:bCs w:val="0"/>
        </w:rPr>
      </w:pPr>
      <w:r>
        <w:rPr/>
        <w:t>三、公司基本情况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484" w:lineRule="auto" w:before="0"/>
        <w:ind w:left="634" w:right="138" w:hanging="1"/>
        <w:jc w:val="left"/>
      </w:pPr>
      <w:r>
        <w:rPr>
          <w:rFonts w:ascii="Times New Roman" w:hAnsi="Times New Roman" w:cs="Times New Roman" w:eastAsia="Times New Roman" w:hint="default"/>
        </w:rPr>
        <w:t>1</w:t>
      </w:r>
      <w:r>
        <w:rPr/>
        <w:t>、注册地及总部地址 公司注册地址为北京市朝阳区和平街东土城路</w:t>
      </w:r>
      <w:r>
        <w:rPr>
          <w:rFonts w:ascii="Times New Roman" w:hAnsi="Times New Roman" w:cs="Times New Roman" w:eastAsia="Times New Roman" w:hint="default"/>
        </w:rPr>
        <w:t>12</w:t>
      </w:r>
      <w:r>
        <w:rPr/>
        <w:t>号院</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4</w:t>
      </w:r>
      <w:r>
        <w:rPr/>
        <w:t>层，总部地址与注册地一致。 </w:t>
      </w:r>
      <w:r>
        <w:rPr>
          <w:rFonts w:ascii="Times New Roman" w:hAnsi="Times New Roman" w:cs="Times New Roman" w:eastAsia="Times New Roman" w:hint="default"/>
        </w:rPr>
        <w:t>2</w:t>
      </w:r>
      <w:r>
        <w:rPr/>
        <w:t>、业务性质及主要经营活动 </w:t>
      </w:r>
      <w:r>
        <w:rPr>
          <w:spacing w:val="-2"/>
        </w:rPr>
        <w:t>公司属于旅游服务行业，主要经营出境游批发、出境游零售及商务会奖旅游。经营范围为：入境旅游</w:t>
      </w:r>
    </w:p>
    <w:p>
      <w:pPr>
        <w:pStyle w:val="BodyText"/>
        <w:spacing w:line="254" w:lineRule="exact" w:before="0"/>
        <w:ind w:right="0"/>
        <w:jc w:val="both"/>
      </w:pPr>
      <w:r>
        <w:rPr/>
        <w:t>业务；国内旅游业务；出境旅游业务；保险兼业代理；因特网信息服务业务（除新闻、出版、教育、医疗</w:t>
      </w:r>
    </w:p>
    <w:p>
      <w:pPr>
        <w:spacing w:line="240" w:lineRule="auto" w:before="10"/>
        <w:rPr>
          <w:rFonts w:ascii="宋体" w:hAnsi="宋体" w:cs="宋体" w:eastAsia="宋体" w:hint="default"/>
          <w:sz w:val="14"/>
          <w:szCs w:val="14"/>
        </w:rPr>
      </w:pPr>
    </w:p>
    <w:p>
      <w:pPr>
        <w:pStyle w:val="BodyText"/>
        <w:spacing w:line="405" w:lineRule="auto" w:before="0"/>
        <w:ind w:right="146"/>
        <w:jc w:val="both"/>
      </w:pPr>
      <w:r>
        <w:rPr>
          <w:spacing w:val="-1"/>
        </w:rPr>
        <w:t>保健、药品、医疗器械以外的内容）；图书、报纸、期刊、电子出版物、音像制品零售、网上销售（出版</w:t>
      </w:r>
      <w:r>
        <w:rPr>
          <w:spacing w:val="-88"/>
        </w:rPr>
        <w:t> </w:t>
      </w:r>
      <w:r>
        <w:rPr>
          <w:spacing w:val="-88"/>
        </w:rPr>
      </w:r>
      <w:r>
        <w:rPr/>
        <w:t>物经营许可证有效期至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日）；民用航空运输销售代理；承办展览展示活动；会议服务；销售</w:t>
      </w:r>
      <w:r>
        <w:rPr>
          <w:spacing w:val="-36"/>
        </w:rPr>
        <w:t> </w:t>
      </w:r>
      <w:r>
        <w:rPr>
          <w:spacing w:val="-36"/>
        </w:rPr>
      </w:r>
      <w:r>
        <w:rPr>
          <w:spacing w:val="-6"/>
        </w:rPr>
        <w:t>纺织品、服装、日用品、文化用品、体育用品及器材、家用电器、电子产品、五金、家具、室内装饰材料；</w:t>
      </w:r>
      <w:r>
        <w:rPr>
          <w:spacing w:val="-66"/>
        </w:rPr>
        <w:t> </w:t>
      </w:r>
      <w:r>
        <w:rPr>
          <w:spacing w:val="-66"/>
        </w:rPr>
      </w:r>
      <w:r>
        <w:rPr>
          <w:spacing w:val="-1"/>
        </w:rPr>
        <w:t>组织文化艺术交流（演出除外）；企业营销及形象策划；公关活动策划；技术开发；软件开发；电脑图文</w:t>
      </w:r>
      <w:r>
        <w:rPr>
          <w:spacing w:val="-85"/>
        </w:rPr>
        <w:t> </w:t>
      </w:r>
      <w:r>
        <w:rPr>
          <w:spacing w:val="-85"/>
        </w:rPr>
      </w:r>
      <w:r>
        <w:rPr>
          <w:spacing w:val="-1"/>
        </w:rPr>
        <w:t>设计、制作；设计、制作、代理、发布广告；翻译服务；摄影扩印服务；汽车租赁；计算机及通讯设备租</w:t>
      </w:r>
      <w:r>
        <w:rPr>
          <w:spacing w:val="-86"/>
        </w:rPr>
        <w:t> </w:t>
      </w:r>
      <w:r>
        <w:rPr>
          <w:spacing w:val="-86"/>
        </w:rPr>
      </w:r>
      <w:r>
        <w:rPr>
          <w:spacing w:val="-1"/>
        </w:rPr>
        <w:t>赁；投资咨询；房地产信息咨询（房地产经纪除外）；经济贸易咨询。领取本执照后，应到市交通委运输</w:t>
      </w:r>
      <w:r>
        <w:rPr>
          <w:spacing w:val="-85"/>
        </w:rPr>
        <w:t> </w:t>
      </w:r>
      <w:r>
        <w:rPr>
          <w:spacing w:val="-85"/>
        </w:rPr>
      </w:r>
      <w:r>
        <w:rPr/>
        <w:t>管理局备案。</w:t>
      </w:r>
    </w:p>
    <w:p>
      <w:pPr>
        <w:pStyle w:val="BodyText"/>
        <w:spacing w:line="386" w:lineRule="auto" w:before="48"/>
        <w:ind w:left="636" w:right="148" w:hanging="1"/>
        <w:jc w:val="left"/>
      </w:pPr>
      <w:r>
        <w:rPr>
          <w:rFonts w:ascii="Times New Roman" w:hAnsi="Times New Roman" w:cs="Times New Roman" w:eastAsia="Times New Roman" w:hint="default"/>
        </w:rPr>
        <w:t>3</w:t>
      </w:r>
      <w:r>
        <w:rPr/>
        <w:t>、财务报告批准报出日 公司</w:t>
      </w:r>
      <w:r>
        <w:rPr>
          <w:rFonts w:ascii="Times New Roman" w:hAnsi="Times New Roman" w:cs="Times New Roman" w:eastAsia="Times New Roman" w:hint="default"/>
        </w:rPr>
        <w:t>2015</w:t>
      </w:r>
      <w:r>
        <w:rPr/>
        <w:t>年度财务报告经第三届董事会第四十次会议审议通过，并于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日批准报出。 报告期公司新设子公司</w:t>
      </w:r>
      <w:r>
        <w:rPr>
          <w:rFonts w:ascii="Times New Roman" w:hAnsi="Times New Roman" w:cs="Times New Roman" w:eastAsia="Times New Roman" w:hint="default"/>
        </w:rPr>
        <w:t>11</w:t>
      </w:r>
      <w:r>
        <w:rPr/>
        <w:t>家，非同一控制下企业合并子、孙公司</w:t>
      </w:r>
      <w:r>
        <w:rPr>
          <w:rFonts w:ascii="Times New Roman" w:hAnsi="Times New Roman" w:cs="Times New Roman" w:eastAsia="Times New Roman" w:hint="default"/>
        </w:rPr>
        <w:t>4</w:t>
      </w:r>
      <w:r>
        <w:rPr/>
        <w:t>家，详见本附注八、合并范围的变</w:t>
      </w:r>
    </w:p>
    <w:p>
      <w:pPr>
        <w:pStyle w:val="BodyText"/>
        <w:spacing w:line="240" w:lineRule="auto" w:before="35"/>
        <w:ind w:right="0"/>
        <w:jc w:val="both"/>
      </w:pPr>
      <w:r>
        <w:rPr/>
        <w:t>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8"/>
          <w:szCs w:val="28"/>
        </w:rPr>
      </w:pPr>
    </w:p>
    <w:p>
      <w:pPr>
        <w:pStyle w:val="Heading2"/>
        <w:spacing w:line="240" w:lineRule="auto"/>
        <w:ind w:right="0"/>
        <w:jc w:val="both"/>
        <w:rPr>
          <w:b w:val="0"/>
          <w:bCs w:val="0"/>
        </w:rPr>
      </w:pPr>
      <w:r>
        <w:rPr/>
        <w:t>四、财务报表的编制基础</w:t>
      </w:r>
      <w:r>
        <w:rPr>
          <w:b w:val="0"/>
          <w:bCs w:val="0"/>
        </w:rPr>
      </w:r>
    </w:p>
    <w:p>
      <w:pPr>
        <w:spacing w:line="240" w:lineRule="auto" w:before="6"/>
        <w:rPr>
          <w:rFonts w:ascii="宋体" w:hAnsi="宋体" w:cs="宋体" w:eastAsia="宋体" w:hint="default"/>
          <w:b/>
          <w:bCs/>
          <w:sz w:val="30"/>
          <w:szCs w:val="30"/>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150" w:firstLine="48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w:t>
      </w:r>
      <w:r>
        <w:rPr/>
        <w:t> </w:t>
      </w:r>
      <w:r>
        <w:rPr>
          <w:spacing w:val="-2"/>
        </w:rPr>
        <w:t>则》和各项具体会计准则、企业会计准则应用指南、企业会计准则解释及其他相关规定</w:t>
      </w:r>
      <w:r>
        <w:rPr>
          <w:rFonts w:ascii="Times New Roman" w:hAnsi="Times New Roman" w:cs="Times New Roman" w:eastAsia="Times New Roman" w:hint="default"/>
          <w:spacing w:val="-2"/>
        </w:rPr>
        <w:t>(</w:t>
      </w:r>
      <w:r>
        <w:rPr>
          <w:spacing w:val="-2"/>
        </w:rPr>
        <w:t>下合称“企业会计</w:t>
      </w:r>
      <w:r>
        <w:rPr/>
        <w:t> 准则” </w:t>
      </w:r>
      <w:r>
        <w:rPr>
          <w:rFonts w:ascii="Times New Roman" w:hAnsi="Times New Roman" w:cs="Times New Roman" w:eastAsia="Times New Roman" w:hint="default"/>
        </w:rPr>
        <w:t>)</w:t>
      </w:r>
      <w:r>
        <w:rPr/>
        <w:t>，以及中国证券监督管理委员会《公开发行证券的公司信息披露编报规则第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财务报告 的一般规定》</w:t>
      </w:r>
      <w:r>
        <w:rPr>
          <w:spacing w:val="-3"/>
        </w:rPr>
        <w:t> </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after="0" w:line="386" w:lineRule="auto"/>
        <w:jc w:val="both"/>
        <w:sectPr>
          <w:headerReference w:type="default" r:id="rId27"/>
          <w:footerReference w:type="default" r:id="rId28"/>
          <w:pgSz w:w="11910" w:h="16840"/>
          <w:pgMar w:header="877" w:footer="982" w:top="1100" w:bottom="1180" w:left="980" w:right="980"/>
          <w:pgNumType w:start="119"/>
        </w:sectPr>
      </w:pPr>
    </w:p>
    <w:p>
      <w:pPr>
        <w:spacing w:line="240" w:lineRule="auto" w:before="8"/>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spacing w:line="633" w:lineRule="auto" w:before="189"/>
        <w:ind w:left="153" w:right="1581" w:firstLine="480"/>
        <w:jc w:val="left"/>
        <w:rPr>
          <w:rFonts w:ascii="宋体" w:hAnsi="宋体" w:cs="宋体" w:eastAsia="宋体" w:hint="default"/>
          <w:sz w:val="21"/>
          <w:szCs w:val="21"/>
        </w:rPr>
      </w:pPr>
      <w:r>
        <w:rPr>
          <w:rFonts w:ascii="宋体" w:hAnsi="宋体" w:cs="宋体" w:eastAsia="宋体" w:hint="default"/>
          <w:sz w:val="21"/>
          <w:szCs w:val="21"/>
        </w:rPr>
        <w:t>公司自本报告期末至少</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个月具备持续经营能力，无影响持续经营能力的重大事项。 </w:t>
      </w:r>
      <w:r>
        <w:rPr>
          <w:rFonts w:ascii="宋体" w:hAnsi="宋体" w:cs="宋体" w:eastAsia="宋体" w:hint="default"/>
          <w:b/>
          <w:bCs/>
          <w:sz w:val="21"/>
          <w:szCs w:val="21"/>
        </w:rPr>
        <w:t>五、重要会计政策及会计估计</w:t>
      </w:r>
      <w:r>
        <w:rPr>
          <w:rFonts w:ascii="宋体" w:hAnsi="宋体" w:cs="宋体" w:eastAsia="宋体" w:hint="default"/>
          <w:sz w:val="21"/>
          <w:szCs w:val="21"/>
        </w:rPr>
      </w:r>
    </w:p>
    <w:p>
      <w:pPr>
        <w:pStyle w:val="BodyText"/>
        <w:spacing w:line="441" w:lineRule="auto" w:before="150"/>
        <w:ind w:left="575" w:right="0" w:hanging="422"/>
        <w:jc w:val="left"/>
      </w:pPr>
      <w:r>
        <w:rPr/>
        <w:t>具体会计政策和会计估计提示： </w:t>
      </w:r>
      <w:r>
        <w:rPr>
          <w:spacing w:val="-1"/>
        </w:rPr>
        <w:t>本公司及各子公司主从事旅游服务业务。本公司及各子公司根据实际生产经营特点，依据相关企业会</w:t>
      </w:r>
    </w:p>
    <w:p>
      <w:pPr>
        <w:pStyle w:val="BodyText"/>
        <w:spacing w:line="240" w:lineRule="auto" w:before="17"/>
        <w:ind w:left="153" w:right="0"/>
        <w:jc w:val="left"/>
      </w:pPr>
      <w:r>
        <w:rPr/>
        <w:t>计准则的规定，对收入确认等交易和事项制定了若干项具体会计政策和会计估计。</w:t>
      </w:r>
    </w:p>
    <w:p>
      <w:pPr>
        <w:spacing w:line="750" w:lineRule="atLeast" w:before="34"/>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本公司声明编制的财务报表符合《企业会计准则》的要求，真实、完整地反映了本公司的财务状况、</w:t>
      </w:r>
    </w:p>
    <w:p>
      <w:pPr>
        <w:spacing w:line="240" w:lineRule="auto" w:before="10"/>
        <w:rPr>
          <w:rFonts w:ascii="宋体" w:hAnsi="宋体" w:cs="宋体" w:eastAsia="宋体" w:hint="default"/>
          <w:sz w:val="14"/>
          <w:szCs w:val="14"/>
        </w:rPr>
      </w:pPr>
    </w:p>
    <w:p>
      <w:pPr>
        <w:pStyle w:val="BodyText"/>
        <w:spacing w:line="240" w:lineRule="auto" w:before="0"/>
        <w:ind w:left="153" w:right="0"/>
        <w:jc w:val="left"/>
      </w:pPr>
      <w:r>
        <w:rPr/>
        <w:t>经营成果和现金流量等财务信息。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3" w:right="0"/>
        <w:jc w:val="left"/>
      </w:pPr>
      <w:r>
        <w:rPr/>
        <w:t>本公司采用公历制，自每年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pStyle w:val="Heading3"/>
        <w:spacing w:line="240" w:lineRule="auto" w:before="189"/>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4" w:right="0"/>
        <w:jc w:val="left"/>
      </w:pPr>
      <w:r>
        <w:rPr/>
        <w:t>本公司营业周期</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pStyle w:val="Heading3"/>
        <w:spacing w:line="240" w:lineRule="auto" w:before="189"/>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4" w:right="0"/>
        <w:jc w:val="left"/>
      </w:pPr>
      <w:r>
        <w:rPr/>
        <w:t>公司以人民币为记账本位币。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84" w:lineRule="auto" w:before="189"/>
        <w:ind w:left="634" w:right="198" w:hanging="1"/>
        <w:jc w:val="left"/>
      </w:pPr>
      <w:r>
        <w:rPr/>
        <w:t>（</w:t>
      </w:r>
      <w:r>
        <w:rPr>
          <w:rFonts w:ascii="Times New Roman" w:hAnsi="Times New Roman" w:cs="Times New Roman" w:eastAsia="Times New Roman" w:hint="default"/>
        </w:rPr>
        <w:t>1</w:t>
      </w:r>
      <w:r>
        <w:rPr/>
        <w:t>）同一控制下企业合并 </w:t>
      </w:r>
      <w:r>
        <w:rPr>
          <w:spacing w:val="-2"/>
        </w:rPr>
        <w:t>同一控制下的企业合并，合并方在企业合并中取得的资产和负债，按照合并日在被合并方的账面价值</w:t>
      </w:r>
    </w:p>
    <w:p>
      <w:pPr>
        <w:pStyle w:val="BodyText"/>
        <w:spacing w:line="254" w:lineRule="exact" w:before="0"/>
        <w:ind w:right="0"/>
        <w:jc w:val="left"/>
      </w:pPr>
      <w:r>
        <w:rPr/>
        <w:t>计量。合并方取得的净资产账面价值与支付的合并对价账面价值（或发行股份面值总额）的差额，调整资</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1"/>
        </w:rPr>
        <w:t>本公积；资本公积不足冲减的，调整留存收益。合并方为进行企业合并发生的各项直接相关费用，包括为</w:t>
      </w:r>
      <w:r>
        <w:rPr>
          <w:spacing w:val="-82"/>
        </w:rPr>
        <w:t> </w:t>
      </w:r>
      <w:r>
        <w:rPr>
          <w:spacing w:val="-82"/>
        </w:rPr>
      </w:r>
      <w:r>
        <w:rPr>
          <w:spacing w:val="-1"/>
        </w:rPr>
        <w:t>进行企业合并而支付的审计费用、评估费用、法律服务费用等，于发生时计入当期损益。合并形成母子公</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210"/>
        <w:jc w:val="both"/>
      </w:pPr>
      <w:r>
        <w:rPr>
          <w:spacing w:val="-1"/>
        </w:rPr>
        <w:t>司关系的，母公司编制合并日的合并资产负债表、合并利润表和合并现金流量表。合并资产负债表中被合</w:t>
      </w:r>
      <w:r>
        <w:rPr>
          <w:spacing w:val="-83"/>
        </w:rPr>
        <w:t> </w:t>
      </w:r>
      <w:r>
        <w:rPr>
          <w:spacing w:val="-83"/>
        </w:rPr>
      </w:r>
      <w:r>
        <w:rPr>
          <w:spacing w:val="-1"/>
        </w:rPr>
        <w:t>并方的各项资产、负债，按其账面价值计量。合并利润表包括参与合并各方自合并当期期初至合并日所发</w:t>
      </w:r>
      <w:r>
        <w:rPr>
          <w:spacing w:val="-83"/>
        </w:rPr>
        <w:t> </w:t>
      </w:r>
      <w:r>
        <w:rPr>
          <w:spacing w:val="-83"/>
        </w:rPr>
      </w:r>
      <w:r>
        <w:rPr>
          <w:spacing w:val="-1"/>
        </w:rPr>
        <w:t>生的收入、费用和利润。被合并方在合并前实现的净利润，在合并利润表中单列项目反映。合并现金流量</w:t>
      </w:r>
      <w:r>
        <w:rPr>
          <w:spacing w:val="-82"/>
        </w:rPr>
        <w:t> </w:t>
      </w:r>
      <w:r>
        <w:rPr>
          <w:spacing w:val="-82"/>
        </w:rPr>
      </w:r>
      <w:r>
        <w:rPr/>
        <w:t>表包括参与合并各方自合并当期期初至合并日的现金流量。</w:t>
      </w:r>
    </w:p>
    <w:p>
      <w:pPr>
        <w:pStyle w:val="BodyText"/>
        <w:spacing w:line="408" w:lineRule="auto" w:before="166"/>
        <w:ind w:left="153" w:right="210" w:firstLine="465"/>
        <w:jc w:val="both"/>
      </w:pPr>
      <w:r>
        <w:rPr>
          <w:spacing w:val="-2"/>
        </w:rPr>
        <w:t>通过多次交易分步实现同一控制下企业合并的，在母公司财务报表中，以合并日持股比例计算的合并</w:t>
      </w:r>
      <w:r>
        <w:rPr/>
        <w:t> </w:t>
      </w:r>
      <w:r>
        <w:rPr>
          <w:spacing w:val="-1"/>
        </w:rPr>
        <w:t>日应享有被合并方账面所有者权益份额作为该项投资的初始投资成本，初始投资成本与其原长期股权投资</w:t>
      </w:r>
      <w:r>
        <w:rPr>
          <w:spacing w:val="-81"/>
        </w:rPr>
        <w:t> </w:t>
      </w:r>
      <w:r>
        <w:rPr>
          <w:spacing w:val="-81"/>
        </w:rPr>
      </w:r>
      <w:r>
        <w:rPr>
          <w:spacing w:val="-1"/>
        </w:rPr>
        <w:t>账面价值加上合并日取得进一步股份新支付对价的账面价值之和的差额，调整资本公积（股本溢价），资</w:t>
      </w:r>
      <w:r>
        <w:rPr>
          <w:spacing w:val="-82"/>
        </w:rPr>
        <w:t> </w:t>
      </w:r>
      <w:r>
        <w:rPr>
          <w:spacing w:val="-82"/>
        </w:rPr>
      </w:r>
      <w:r>
        <w:rPr>
          <w:spacing w:val="-1"/>
        </w:rPr>
        <w:t>本公积不足冲减的，冲减留存收益。在合并财务报表中，对于合并日之前取得的对被合并方的股权以及合</w:t>
      </w:r>
      <w:r>
        <w:rPr>
          <w:spacing w:val="-83"/>
        </w:rPr>
        <w:t> </w:t>
      </w:r>
      <w:r>
        <w:rPr>
          <w:spacing w:val="-83"/>
        </w:rPr>
      </w:r>
      <w:r>
        <w:rPr>
          <w:spacing w:val="-1"/>
        </w:rPr>
        <w:t>并日新取得的对被合并方的股权，按照其在合并日应享有被合并方账面所有者权益份额作为合并日初始投</w:t>
      </w:r>
      <w:r>
        <w:rPr>
          <w:spacing w:val="-81"/>
        </w:rPr>
        <w:t> </w:t>
      </w:r>
      <w:r>
        <w:rPr>
          <w:spacing w:val="-81"/>
        </w:rPr>
      </w:r>
      <w:r>
        <w:rPr>
          <w:spacing w:val="-1"/>
        </w:rPr>
        <w:t>资成本，合并日初始投资成本与其原长期股权投资账面价值加上合并日取得进一步股份新支付对价的账面</w:t>
      </w:r>
      <w:r>
        <w:rPr>
          <w:spacing w:val="-81"/>
        </w:rPr>
        <w:t> </w:t>
      </w:r>
      <w:r>
        <w:rPr>
          <w:spacing w:val="-81"/>
        </w:rPr>
      </w:r>
      <w:r>
        <w:rPr/>
        <w:t>价值之和的差额，调整资本公积（股本溢价），资本公积不足冲减的，冲减留存收益。</w:t>
      </w:r>
    </w:p>
    <w:p>
      <w:pPr>
        <w:pStyle w:val="BodyText"/>
        <w:spacing w:line="484" w:lineRule="auto"/>
        <w:ind w:left="634" w:right="198" w:hanging="1"/>
        <w:jc w:val="left"/>
      </w:pPr>
      <w:r>
        <w:rPr/>
        <w:t>（</w:t>
      </w:r>
      <w:r>
        <w:rPr>
          <w:rFonts w:ascii="Times New Roman" w:hAnsi="Times New Roman" w:cs="Times New Roman" w:eastAsia="Times New Roman" w:hint="default"/>
        </w:rPr>
        <w:t>2</w:t>
      </w:r>
      <w:r>
        <w:rPr/>
        <w:t>）非同一控制下企业合并 </w:t>
      </w:r>
      <w:r>
        <w:rPr>
          <w:spacing w:val="-2"/>
        </w:rPr>
        <w:t>非同一控制下的企业合并，合并成本为购买方在购买日为取得对被购买方的控制权而付出的资产、发</w:t>
      </w:r>
    </w:p>
    <w:p>
      <w:pPr>
        <w:pStyle w:val="BodyText"/>
        <w:spacing w:line="254" w:lineRule="exact" w:before="0"/>
        <w:ind w:right="0"/>
        <w:jc w:val="left"/>
      </w:pPr>
      <w:r>
        <w:rPr/>
        <w:t>生或承担的负债以及发行的权益性证券的公允价值；如果是通过多次交换交易分步实现的企业合并，合并</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t>成本为每一单项交易成本之和；购买方为企业合并发生的审计、法律服务、评估咨询等中介费用以及其他 相关费用，应于发生时计入当期损益；在合并合同或协议中对可能影响合并成本的未来事项作出约定的，</w:t>
      </w:r>
      <w:r>
        <w:rPr>
          <w:spacing w:val="-36"/>
        </w:rPr>
        <w:t> </w:t>
      </w:r>
      <w:r>
        <w:rPr>
          <w:spacing w:val="-36"/>
        </w:rPr>
      </w:r>
      <w:r>
        <w:rPr/>
        <w:t>如果在购买日估计未来事项很可能发生并且对合并成本的影响金额能够可靠计量的，购买方应当将其计入</w:t>
      </w:r>
      <w:r>
        <w:rPr/>
        <w:t> 合并成本。</w:t>
      </w:r>
    </w:p>
    <w:p>
      <w:pPr>
        <w:pStyle w:val="BodyText"/>
        <w:spacing w:line="408" w:lineRule="auto"/>
        <w:ind w:right="209" w:firstLine="480"/>
        <w:jc w:val="both"/>
      </w:pPr>
      <w:r>
        <w:rPr>
          <w:spacing w:val="-2"/>
        </w:rPr>
        <w:t>非同一控制下企业合并中所取得的被购买方符合确认条件的可辨认资产、负债及或有负债，在购买日</w:t>
      </w:r>
      <w:r>
        <w:rPr/>
        <w:t> </w:t>
      </w:r>
      <w:r>
        <w:rPr>
          <w:spacing w:val="-1"/>
        </w:rPr>
        <w:t>以公允价值计量。购买方对合并成本大于合并中取得的被购买方可辨认净资产公允价值份额的差额，确认</w:t>
      </w:r>
      <w:r>
        <w:rPr>
          <w:spacing w:val="-81"/>
        </w:rPr>
        <w:t> </w:t>
      </w:r>
      <w:r>
        <w:rPr>
          <w:spacing w:val="-81"/>
        </w:rPr>
      </w:r>
      <w:r>
        <w:rPr>
          <w:spacing w:val="-1"/>
        </w:rPr>
        <w:t>为商誉。购买方对合并成本小于合并中取得的被购买方可辨认净资产公允价值份额的，经复核后合并成本</w:t>
      </w:r>
      <w:r>
        <w:rPr>
          <w:spacing w:val="-81"/>
        </w:rPr>
        <w:t> </w:t>
      </w:r>
      <w:r>
        <w:rPr>
          <w:spacing w:val="-81"/>
        </w:rPr>
      </w:r>
      <w:r>
        <w:rPr>
          <w:spacing w:val="-1"/>
        </w:rPr>
        <w:t>仍小于合并中取得的被购买方可辨认净资产公允价值份额的差额，计入当期损益。通过多次交易分步实现</w:t>
      </w:r>
      <w:r>
        <w:rPr>
          <w:spacing w:val="-81"/>
        </w:rPr>
        <w:t> </w:t>
      </w:r>
      <w:r>
        <w:rPr>
          <w:spacing w:val="-81"/>
        </w:rPr>
      </w:r>
      <w:r>
        <w:rPr>
          <w:spacing w:val="-1"/>
        </w:rPr>
        <w:t>非同一控制下企业合并的，在母公司财务报表中，以购买日之前所持被购买方的股权投资的账面价值与购</w:t>
      </w:r>
      <w:r>
        <w:rPr>
          <w:spacing w:val="-81"/>
        </w:rPr>
        <w:t> </w:t>
      </w:r>
      <w:r>
        <w:rPr>
          <w:spacing w:val="-81"/>
        </w:rPr>
      </w:r>
      <w:r>
        <w:rPr>
          <w:spacing w:val="-1"/>
        </w:rPr>
        <w:t>买日新增投资成本之和，作为该项投资的初始投资成本；购买日之前持有的被购买方的股权涉及其他综合</w:t>
      </w:r>
      <w:r>
        <w:rPr>
          <w:spacing w:val="-81"/>
        </w:rPr>
        <w:t> </w:t>
      </w:r>
      <w:r>
        <w:rPr>
          <w:spacing w:val="-81"/>
        </w:rPr>
      </w:r>
      <w:r>
        <w:rPr>
          <w:spacing w:val="-1"/>
        </w:rPr>
        <w:t>收益的，应当在处置该项投资时将与其相关的其他综合收益转入当期投资收益。在合并财务报表中，对于</w:t>
      </w:r>
      <w:r>
        <w:rPr>
          <w:spacing w:val="-83"/>
        </w:rPr>
        <w:t> </w:t>
      </w:r>
      <w:r>
        <w:rPr>
          <w:spacing w:val="-83"/>
        </w:rPr>
      </w:r>
      <w:r>
        <w:rPr>
          <w:spacing w:val="-1"/>
        </w:rPr>
        <w:t>购买日之前持有的被购买方的股权，按照该股权在购买日的公允价值进行重新计量，公允价值与其账面价</w:t>
      </w:r>
      <w:r>
        <w:rPr>
          <w:spacing w:val="-81"/>
        </w:rPr>
        <w:t> </w:t>
      </w:r>
      <w:r>
        <w:rPr>
          <w:spacing w:val="-81"/>
        </w:rPr>
      </w:r>
      <w:r>
        <w:rPr>
          <w:spacing w:val="-1"/>
        </w:rPr>
        <w:t>值的差额计入当期投资收益；购买日之前持有的被购买方的股权涉及其他综合收益的，与其相关的其他综</w:t>
      </w:r>
      <w:r>
        <w:rPr>
          <w:spacing w:val="-81"/>
        </w:rPr>
        <w:t> </w:t>
      </w:r>
      <w:r>
        <w:rPr>
          <w:spacing w:val="-81"/>
        </w:rPr>
      </w:r>
      <w:r>
        <w:rPr>
          <w:spacing w:val="-1"/>
        </w:rPr>
        <w:t>合收益应当转为购买日所属当期投资收益；以购买日之前所持被购买方的股权于购买日的公允价值与与购</w:t>
      </w:r>
      <w:r>
        <w:rPr>
          <w:spacing w:val="-81"/>
        </w:rPr>
        <w:t> </w:t>
      </w:r>
      <w:r>
        <w:rPr>
          <w:spacing w:val="-81"/>
        </w:rPr>
      </w:r>
      <w:r>
        <w:rPr>
          <w:spacing w:val="-1"/>
        </w:rPr>
        <w:t>买日新购入股权所支付对价的公允价值之和作为合并成本，与购买方取得的按购买日持股比例计算应享有</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50"/>
        <w:jc w:val="both"/>
      </w:pPr>
      <w:r>
        <w:rPr>
          <w:spacing w:val="-1"/>
        </w:rPr>
        <w:t>的被购买方可辨认净资产于购买日的公允价值的份额比较，确定购买日应予确认的商誉或应计入合并当期</w:t>
      </w:r>
      <w:r>
        <w:rPr>
          <w:spacing w:val="-81"/>
        </w:rPr>
        <w:t> </w:t>
      </w:r>
      <w:r>
        <w:rPr>
          <w:spacing w:val="-81"/>
        </w:rPr>
      </w:r>
      <w:r>
        <w:rPr/>
        <w:t>损益的金额。</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38" w:hanging="1"/>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before="0"/>
        <w:ind w:left="634" w:right="138" w:hanging="1"/>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w:t>
      </w:r>
    </w:p>
    <w:p>
      <w:pPr>
        <w:pStyle w:val="BodyText"/>
        <w:spacing w:line="408" w:lineRule="auto" w:before="65"/>
        <w:ind w:right="151"/>
        <w:jc w:val="both"/>
      </w:pP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408" w:lineRule="auto"/>
        <w:ind w:right="149" w:firstLine="480"/>
        <w:jc w:val="both"/>
      </w:pPr>
      <w:r>
        <w:rPr>
          <w:spacing w:val="-2"/>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408" w:lineRule="auto"/>
        <w:ind w:right="149" w:firstLine="480"/>
        <w:jc w:val="both"/>
      </w:pPr>
      <w:r>
        <w:rPr>
          <w:spacing w:val="-2"/>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408" w:lineRule="auto"/>
        <w:ind w:left="634" w:right="138" w:hanging="1"/>
        <w:jc w:val="left"/>
      </w:pPr>
      <w:r>
        <w:rPr/>
        <w:t>①</w:t>
      </w:r>
      <w:r>
        <w:rPr>
          <w:spacing w:val="-1"/>
        </w:rPr>
        <w:t> </w:t>
      </w:r>
      <w:r>
        <w:rPr/>
        <w:t>增加子公司或业务</w:t>
      </w:r>
      <w:r>
        <w:rPr/>
        <w:t> </w:t>
      </w:r>
      <w:r>
        <w:rPr>
          <w:spacing w:val="-2"/>
        </w:rPr>
        <w:t>在报告期内，若因同一控制下企业合并增加子公司或业务的，则调整合并资产负债表的期初数；将子</w:t>
      </w:r>
    </w:p>
    <w:p>
      <w:pPr>
        <w:pStyle w:val="BodyText"/>
        <w:spacing w:line="408" w:lineRule="auto"/>
        <w:ind w:right="149"/>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49" w:firstLine="480"/>
        <w:jc w:val="both"/>
      </w:pPr>
      <w:r>
        <w:rPr>
          <w:spacing w:val="-2"/>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40" w:lineRule="auto"/>
        <w:ind w:left="634" w:right="0"/>
        <w:jc w:val="left"/>
      </w:pPr>
      <w:r>
        <w:rPr/>
        <w:t>在报告期内，若因非同一控制下企业合并增加子公司或业务的，则不调整合并资产负债表期初数；将</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50"/>
        <w:jc w:val="both"/>
      </w:pP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left="153" w:right="151" w:firstLine="480"/>
        <w:jc w:val="both"/>
      </w:pPr>
      <w:r>
        <w:rPr>
          <w:spacing w:val="-2"/>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633" w:right="148"/>
        <w:jc w:val="left"/>
      </w:pPr>
      <w:r>
        <w:rPr/>
        <w:t>②</w:t>
      </w:r>
      <w:r>
        <w:rPr>
          <w:spacing w:val="-2"/>
        </w:rPr>
        <w:t> </w:t>
      </w:r>
      <w:r>
        <w:rPr/>
        <w:t>处置子公司或业务</w:t>
      </w:r>
    </w:p>
    <w:p>
      <w:pPr>
        <w:spacing w:line="240" w:lineRule="auto" w:before="10"/>
        <w:rPr>
          <w:rFonts w:ascii="宋体" w:hAnsi="宋体" w:cs="宋体" w:eastAsia="宋体" w:hint="default"/>
          <w:sz w:val="14"/>
          <w:szCs w:val="14"/>
        </w:rPr>
      </w:pPr>
    </w:p>
    <w:p>
      <w:pPr>
        <w:pStyle w:val="BodyText"/>
        <w:spacing w:line="386" w:lineRule="auto" w:before="0"/>
        <w:ind w:left="634" w:right="138"/>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52"/>
        </w:rPr>
        <w:t> </w:t>
      </w:r>
      <w:r>
        <w:rPr/>
        <w:t>一般处理方法 </w:t>
      </w:r>
      <w:r>
        <w:rPr>
          <w:spacing w:val="-2"/>
        </w:rPr>
        <w:t>在报告期内，本公司处置子公司或业务，则该子公司或业务期初至处置日的收入、费用、利润纳入合</w:t>
      </w:r>
    </w:p>
    <w:p>
      <w:pPr>
        <w:pStyle w:val="BodyText"/>
        <w:spacing w:line="408" w:lineRule="auto" w:before="65"/>
        <w:ind w:left="634" w:right="138" w:hanging="480"/>
        <w:jc w:val="left"/>
      </w:pPr>
      <w:r>
        <w:rPr/>
        <w:t>并利润表；该子公司或业务期初至处置日的现金流量纳入合并现金流量表。 </w:t>
      </w:r>
      <w:r>
        <w:rPr>
          <w:spacing w:val="-2"/>
        </w:rPr>
        <w:t>因处置部分股权投资或其他原因丧失了对被投资方控制权时，对于处置后的剩余股权投资，本公司按</w:t>
      </w:r>
    </w:p>
    <w:p>
      <w:pPr>
        <w:pStyle w:val="BodyText"/>
        <w:spacing w:line="408" w:lineRule="auto"/>
        <w:ind w:right="149"/>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386" w:lineRule="auto"/>
        <w:ind w:left="578" w:right="150" w:firstLine="55"/>
        <w:jc w:val="left"/>
      </w:pPr>
      <w:r>
        <w:rPr>
          <w:rFonts w:ascii="Times New Roman" w:hAnsi="Times New Roman" w:cs="Times New Roman" w:eastAsia="Times New Roman" w:hint="default"/>
        </w:rPr>
        <w:t>b.</w:t>
      </w:r>
      <w:r>
        <w:rPr/>
        <w:t>分步处置子公司 </w:t>
      </w:r>
      <w:r>
        <w:rPr>
          <w:spacing w:val="-1"/>
        </w:rPr>
        <w:t>通过多次交易分步处置对子公司股权投资直至丧失控制权的，处置对子公司股权投资的各项交易的条</w:t>
      </w:r>
    </w:p>
    <w:p>
      <w:pPr>
        <w:pStyle w:val="BodyText"/>
        <w:spacing w:line="408" w:lineRule="auto" w:before="65"/>
        <w:ind w:right="149"/>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5" w:right="3578" w:hanging="1"/>
        <w:jc w:val="left"/>
      </w:pPr>
      <w:r>
        <w:rPr/>
        <w:t>ⅰ</w:t>
      </w:r>
      <w:r>
        <w:rPr>
          <w:spacing w:val="-3"/>
        </w:rPr>
        <w:t> </w:t>
      </w:r>
      <w:r>
        <w:rPr/>
        <w:t>．这些交易是同时或者在考虑了彼此影响的情况下订立的；</w:t>
      </w:r>
      <w:r>
        <w:rPr/>
        <w:t> ⅱ</w:t>
      </w:r>
      <w:r>
        <w:rPr>
          <w:spacing w:val="-2"/>
        </w:rPr>
        <w:t> </w:t>
      </w:r>
      <w:r>
        <w:rPr/>
        <w:t>．这些交易整体才能达成一项完整的商业结果；</w:t>
      </w:r>
      <w:r>
        <w:rPr/>
        <w:t> ⅲ．一项交易的发生取决于其他至少一项交易的发生；</w:t>
      </w:r>
    </w:p>
    <w:p>
      <w:pPr>
        <w:pStyle w:val="BodyText"/>
        <w:spacing w:line="408" w:lineRule="auto"/>
        <w:ind w:left="155" w:right="148" w:firstLine="424"/>
        <w:jc w:val="left"/>
      </w:pPr>
      <w:r>
        <w:rPr/>
        <w:t>ⅳ．一项交易单独看是不经济的，但是和其他交易一并考虑时是经济的。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82"/>
        </w:rPr>
        <w:t> </w:t>
      </w:r>
      <w:r>
        <w:rPr>
          <w:spacing w:val="-82"/>
        </w:rPr>
      </w:r>
      <w:r>
        <w:rPr>
          <w:spacing w:val="-1"/>
        </w:rPr>
        <w:t>公司并丧失控制权的交易进行会计处理；但是，在丧失控制权之前每一次处置价款与处置投资对应的享有</w:t>
      </w:r>
      <w:r>
        <w:rPr>
          <w:spacing w:val="-83"/>
        </w:rPr>
        <w:t> </w:t>
      </w:r>
      <w:r>
        <w:rPr>
          <w:spacing w:val="-83"/>
        </w:rPr>
      </w:r>
      <w:r>
        <w:rPr>
          <w:spacing w:val="-1"/>
        </w:rPr>
        <w:t>该子公司净资产份额的差额，在合并财务报表中确认为其他综合收益，在丧失控制权时一并转入丧失控制</w:t>
      </w:r>
      <w:r>
        <w:rPr>
          <w:spacing w:val="-83"/>
        </w:rPr>
        <w:t> </w:t>
      </w:r>
      <w:r>
        <w:rPr>
          <w:spacing w:val="-83"/>
        </w:rPr>
      </w:r>
      <w:r>
        <w:rPr/>
        <w:t>权当期的损益。</w:t>
      </w:r>
    </w:p>
    <w:p>
      <w:pPr>
        <w:pStyle w:val="BodyText"/>
        <w:spacing w:line="240" w:lineRule="auto"/>
        <w:ind w:left="634" w:right="0"/>
        <w:jc w:val="left"/>
      </w:pPr>
      <w:r>
        <w:rPr/>
        <w:t>处置对子公司股权投资直至丧失控制权的各项交易不属于一揽子交易的，在丧失控制权之前，按不丧</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633" w:right="199"/>
        <w:jc w:val="left"/>
      </w:pPr>
      <w:r>
        <w:rPr>
          <w:rFonts w:ascii="Times New Roman" w:hAnsi="Times New Roman" w:cs="Times New Roman" w:eastAsia="Times New Roman" w:hint="default"/>
        </w:rPr>
        <w:t>c.</w:t>
      </w:r>
      <w:r>
        <w:rPr/>
        <w:t>购买子公司少数股权 </w:t>
      </w:r>
      <w:r>
        <w:rPr>
          <w:spacing w:val="-2"/>
        </w:rPr>
        <w:t>本公司因购买少数股权新取得的长期股权投资与按照新增持股比例计算应享有子公司自购买日（或合</w:t>
      </w:r>
    </w:p>
    <w:p>
      <w:pPr>
        <w:pStyle w:val="BodyText"/>
        <w:spacing w:line="408" w:lineRule="auto" w:before="65"/>
        <w:ind w:left="153"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408" w:lineRule="auto"/>
        <w:ind w:left="634" w:right="0" w:hanging="1"/>
        <w:jc w:val="left"/>
      </w:pPr>
      <w:r>
        <w:rPr/>
        <w:t>③</w:t>
      </w:r>
      <w:r>
        <w:rPr>
          <w:spacing w:val="-1"/>
        </w:rPr>
        <w:t> </w:t>
      </w:r>
      <w:r>
        <w:rPr/>
        <w:t>不丧失控制权的情况下部分处置对子公司的股权投资</w:t>
      </w:r>
      <w:r>
        <w:rPr/>
        <w:t> </w:t>
      </w:r>
      <w:r>
        <w:rPr>
          <w:spacing w:val="2"/>
        </w:rPr>
        <w:t>在不丧失控制权的情况下因部分处置对子公司的长期股权投资而取得的处置价款与处置长期股权投</w:t>
      </w:r>
    </w:p>
    <w:p>
      <w:pPr>
        <w:pStyle w:val="BodyText"/>
        <w:spacing w:line="408" w:lineRule="auto"/>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pStyle w:val="BodyText"/>
        <w:spacing w:line="484" w:lineRule="auto" w:before="189"/>
        <w:ind w:left="578" w:right="91" w:hanging="1"/>
        <w:jc w:val="left"/>
      </w:pPr>
      <w:r>
        <w:rPr/>
        <w:t>（</w:t>
      </w:r>
      <w:r>
        <w:rPr>
          <w:rFonts w:ascii="Times New Roman" w:hAnsi="Times New Roman" w:cs="Times New Roman" w:eastAsia="Times New Roman" w:hint="default"/>
        </w:rPr>
        <w:t>1</w:t>
      </w:r>
      <w:r>
        <w:rPr/>
        <w:t>）、合营安排的分类 </w:t>
      </w:r>
      <w:r>
        <w:rPr>
          <w:spacing w:val="-3"/>
        </w:rPr>
        <w:t>合营安排，是指一项由两个或两个以上的参与方共同控制的安排。合营安排分为共同经营和合营企业。</w:t>
      </w:r>
    </w:p>
    <w:p>
      <w:pPr>
        <w:pStyle w:val="BodyText"/>
        <w:spacing w:line="254" w:lineRule="exact" w:before="0"/>
        <w:ind w:right="0"/>
        <w:jc w:val="left"/>
      </w:pPr>
      <w:r>
        <w:rPr/>
        <w:t>共同经营，是指合营方享有该安排相关资产且承担该安排相关负债的合营安排。合营企业，是指合营方仅</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对该安排的净资产享有权利的合营</w:t>
      </w:r>
      <w:r>
        <w:rPr>
          <w:spacing w:val="-1"/>
        </w:rPr>
        <w:t> </w:t>
      </w:r>
      <w:r>
        <w:rPr/>
        <w:t>安排。</w:t>
      </w:r>
    </w:p>
    <w:p>
      <w:pPr>
        <w:spacing w:line="240" w:lineRule="auto" w:before="12"/>
        <w:rPr>
          <w:rFonts w:ascii="宋体" w:hAnsi="宋体" w:cs="宋体" w:eastAsia="宋体" w:hint="default"/>
          <w:sz w:val="23"/>
          <w:szCs w:val="23"/>
        </w:rPr>
      </w:pPr>
    </w:p>
    <w:p>
      <w:pPr>
        <w:pStyle w:val="BodyText"/>
        <w:spacing w:line="386" w:lineRule="auto" w:before="0"/>
        <w:ind w:left="634" w:right="0" w:hanging="56"/>
        <w:jc w:val="left"/>
      </w:pPr>
      <w:r>
        <w:rPr/>
        <w:t>（</w:t>
      </w:r>
      <w:r>
        <w:rPr>
          <w:rFonts w:ascii="Times New Roman" w:hAnsi="Times New Roman" w:cs="Times New Roman" w:eastAsia="Times New Roman" w:hint="default"/>
        </w:rPr>
        <w:t>2</w:t>
      </w:r>
      <w:r>
        <w:rPr/>
        <w:t>）、共同经营的会计处理方法 本公司确认与共同经营中利益份额相关的下列项目，并按照相关企业会计准则的规定进行会计处理：</w:t>
      </w:r>
    </w:p>
    <w:p>
      <w:pPr>
        <w:pStyle w:val="BodyText"/>
        <w:spacing w:line="240" w:lineRule="auto" w:before="65"/>
        <w:ind w:left="634" w:right="0"/>
        <w:jc w:val="left"/>
      </w:pPr>
      <w:r>
        <w:rPr/>
        <w:t>①</w:t>
      </w:r>
      <w:r>
        <w:rPr>
          <w:spacing w:val="-2"/>
        </w:rPr>
        <w:t> </w:t>
      </w:r>
      <w:r>
        <w:rPr/>
        <w:t>确认单独所持有的资产，以及按其份额确认共同持有的资产；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t>②</w:t>
      </w:r>
      <w:r>
        <w:rPr>
          <w:spacing w:val="-2"/>
        </w:rPr>
        <w:t> </w:t>
      </w:r>
      <w:r>
        <w:rPr/>
        <w:t>确认单独所承担的负债，以及按其份额确认共同承担的负债；</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t>③</w:t>
      </w:r>
      <w:r>
        <w:rPr>
          <w:spacing w:val="-2"/>
        </w:rPr>
        <w:t> </w:t>
      </w:r>
      <w:r>
        <w:rPr/>
        <w:t>确认出售其享有的共同经营产出份额所产生的收入；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t>④</w:t>
      </w:r>
      <w:r>
        <w:rPr>
          <w:spacing w:val="-2"/>
        </w:rPr>
        <w:t> </w:t>
      </w:r>
      <w:r>
        <w:rPr/>
        <w:t>按其份额确认共同经营因出售产出所产生的收入；</w:t>
      </w:r>
    </w:p>
    <w:p>
      <w:pPr>
        <w:spacing w:line="240" w:lineRule="auto" w:before="10"/>
        <w:rPr>
          <w:rFonts w:ascii="宋体" w:hAnsi="宋体" w:cs="宋体" w:eastAsia="宋体" w:hint="default"/>
          <w:sz w:val="14"/>
          <w:szCs w:val="14"/>
        </w:rPr>
      </w:pPr>
    </w:p>
    <w:p>
      <w:pPr>
        <w:pStyle w:val="BodyText"/>
        <w:spacing w:line="240" w:lineRule="auto" w:before="0"/>
        <w:ind w:left="634" w:right="0"/>
        <w:jc w:val="left"/>
      </w:pPr>
      <w:r>
        <w:rPr/>
        <w:t>⑤</w:t>
      </w:r>
      <w:r>
        <w:rPr>
          <w:spacing w:val="-2"/>
        </w:rPr>
        <w:t> </w:t>
      </w:r>
      <w:r>
        <w:rPr/>
        <w:t>确认单独所发生的费用，以及按其份额确认共同经营发生的费用</w:t>
      </w:r>
    </w:p>
    <w:p>
      <w:pPr>
        <w:spacing w:line="750" w:lineRule="atLeast" w:before="34"/>
        <w:ind w:left="578" w:right="204"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本公司在编制现金流量表时所确定的现金，是指本公司库存现金以及可以随时用于支付的存款。</w:t>
      </w:r>
      <w:r>
        <w:rPr>
          <w:rFonts w:ascii="宋体" w:hAnsi="宋体" w:cs="宋体" w:eastAsia="宋体" w:hint="default"/>
          <w:spacing w:val="67"/>
          <w:sz w:val="21"/>
          <w:szCs w:val="21"/>
        </w:rPr>
        <w:t> </w:t>
      </w:r>
      <w:r>
        <w:rPr>
          <w:rFonts w:ascii="宋体" w:hAnsi="宋体" w:cs="宋体" w:eastAsia="宋体" w:hint="default"/>
          <w:sz w:val="21"/>
          <w:szCs w:val="21"/>
        </w:rPr>
        <w:t>本</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1"/>
        </w:rPr>
        <w:t>公司在编制现金流量表时所确定的现金等价物，是指本公司持有的期限短、流动性强、易于转换为已知金</w:t>
      </w:r>
      <w:r>
        <w:rPr>
          <w:spacing w:val="-83"/>
        </w:rPr>
        <w:t> </w:t>
      </w:r>
      <w:r>
        <w:rPr>
          <w:spacing w:val="-83"/>
        </w:rPr>
      </w:r>
      <w:r>
        <w:rPr/>
        <w:t>额现金、价值变动风险很小的投资。</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Heading3"/>
        <w:spacing w:line="240" w:lineRule="auto" w:before="35"/>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98" w:hanging="56"/>
        <w:jc w:val="left"/>
      </w:pPr>
      <w:r>
        <w:rPr/>
        <w:t>（</w:t>
      </w:r>
      <w:r>
        <w:rPr>
          <w:rFonts w:ascii="Times New Roman" w:hAnsi="Times New Roman" w:cs="Times New Roman" w:eastAsia="Times New Roman" w:hint="default"/>
        </w:rPr>
        <w:t>1</w:t>
      </w:r>
      <w:r>
        <w:rPr/>
        <w:t>）外币业务 </w:t>
      </w:r>
      <w:r>
        <w:rPr>
          <w:spacing w:val="-2"/>
        </w:rPr>
        <w:t>对于发生的外币交易，在初始确认时，采用与交易发生日的即期汇率相近似的汇率将外币金额折算为</w:t>
      </w:r>
    </w:p>
    <w:p>
      <w:pPr>
        <w:pStyle w:val="BodyText"/>
        <w:spacing w:line="408" w:lineRule="auto" w:before="65"/>
        <w:ind w:right="209"/>
        <w:jc w:val="both"/>
      </w:pPr>
      <w:r>
        <w:rPr>
          <w:spacing w:val="-1"/>
        </w:rPr>
        <w:t>记账本位币金额。资产负债表日外币货币性项目，因资产负债表日即期汇率与初始确认时或者前一资产负</w:t>
      </w:r>
      <w:r>
        <w:rPr>
          <w:spacing w:val="-81"/>
        </w:rPr>
        <w:t> </w:t>
      </w:r>
      <w:r>
        <w:rPr>
          <w:spacing w:val="-81"/>
        </w:rPr>
      </w:r>
      <w:r>
        <w:rPr>
          <w:spacing w:val="-1"/>
        </w:rPr>
        <w:t>债表日即期汇率不同而产生的汇兑差额，计入当期损益；与购建或生产符合资本化条件的资产相关的外币</w:t>
      </w:r>
      <w:r>
        <w:rPr>
          <w:spacing w:val="-81"/>
        </w:rPr>
        <w:t> </w:t>
      </w:r>
      <w:r>
        <w:rPr>
          <w:spacing w:val="-81"/>
        </w:rPr>
      </w:r>
      <w:r>
        <w:rPr>
          <w:spacing w:val="-1"/>
        </w:rPr>
        <w:t>借款产生的汇兑差额，按照借款费用资本化的原则进行处理。资产负债表日以历史成本计量的外币非货币</w:t>
      </w:r>
      <w:r>
        <w:rPr>
          <w:spacing w:val="-81"/>
        </w:rPr>
        <w:t> </w:t>
      </w:r>
      <w:r>
        <w:rPr>
          <w:spacing w:val="-81"/>
        </w:rPr>
      </w:r>
      <w:r>
        <w:rPr/>
        <w:t>性项目，仍采用交易发生日的即期汇率折算，不改变其记账本位币金额。</w:t>
      </w:r>
    </w:p>
    <w:p>
      <w:pPr>
        <w:pStyle w:val="BodyText"/>
        <w:spacing w:line="386" w:lineRule="auto"/>
        <w:ind w:left="634" w:right="198" w:firstLine="49"/>
        <w:jc w:val="left"/>
      </w:pPr>
      <w:r>
        <w:rPr/>
        <w:t>（</w:t>
      </w:r>
      <w:r>
        <w:rPr>
          <w:rFonts w:ascii="Times New Roman" w:hAnsi="Times New Roman" w:cs="Times New Roman" w:eastAsia="Times New Roman" w:hint="default"/>
        </w:rPr>
        <w:t>2</w:t>
      </w:r>
      <w:r>
        <w:rPr/>
        <w:t>）外币财务报表的折算 </w:t>
      </w:r>
      <w:r>
        <w:rPr>
          <w:spacing w:val="-2"/>
        </w:rPr>
        <w:t>本公司对控股子公司、合营企业、联营企业等，采用与本公司不同的记账本位币对外币财务报表折算</w:t>
      </w:r>
    </w:p>
    <w:p>
      <w:pPr>
        <w:pStyle w:val="BodyText"/>
        <w:spacing w:line="408" w:lineRule="auto" w:before="65"/>
        <w:ind w:left="634" w:right="0" w:hanging="480"/>
        <w:jc w:val="left"/>
      </w:pPr>
      <w:r>
        <w:rPr/>
        <w:t>后，进行会计核算及合并财务报表的编报。 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386" w:lineRule="auto" w:before="14"/>
        <w:ind w:right="205"/>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3"/>
        </w:rPr>
        <w:t> </w:t>
      </w:r>
      <w:r>
        <w:rPr>
          <w:spacing w:val="-23"/>
        </w:rPr>
      </w:r>
      <w:r>
        <w:rPr/>
        <w:t>汇率折算。折算产生的外币财务报表折算差额，在资产负债表中其他综合收益项目下单独列示。</w:t>
      </w:r>
    </w:p>
    <w:p>
      <w:pPr>
        <w:pStyle w:val="BodyText"/>
        <w:spacing w:line="408" w:lineRule="auto" w:before="65"/>
        <w:ind w:right="0" w:firstLine="480"/>
        <w:jc w:val="left"/>
      </w:pPr>
      <w:r>
        <w:rPr>
          <w:spacing w:val="-5"/>
        </w:rPr>
        <w:t>外币现金流量按照系统合理方法确定的，采用交易发生日的即期汇率折算。汇率变动对现金的影响额，</w:t>
      </w:r>
      <w:r>
        <w:rPr/>
        <w:t> 在现金流量表中单独列示。</w:t>
      </w:r>
    </w:p>
    <w:p>
      <w:pPr>
        <w:pStyle w:val="BodyText"/>
        <w:spacing w:line="408" w:lineRule="auto"/>
        <w:ind w:right="198" w:firstLine="480"/>
        <w:jc w:val="left"/>
      </w:pPr>
      <w:r>
        <w:rPr>
          <w:spacing w:val="-2"/>
        </w:rPr>
        <w:t>处置境外经营时，与该境外经营有关的外币报表折算差额，全部或按处置该境外经营的比例转入处置</w:t>
      </w:r>
      <w:r>
        <w:rPr/>
        <w:t> 当期损益。</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0" w:hanging="1"/>
        <w:jc w:val="left"/>
      </w:pPr>
      <w:r>
        <w:rPr/>
        <w:t>（</w:t>
      </w:r>
      <w:r>
        <w:rPr>
          <w:rFonts w:ascii="Times New Roman" w:hAnsi="Times New Roman" w:cs="Times New Roman" w:eastAsia="Times New Roman" w:hint="default"/>
        </w:rPr>
        <w:t>1</w:t>
      </w:r>
      <w:r>
        <w:rPr/>
        <w:t>）金融资产、金融负债的分类 </w:t>
      </w:r>
      <w:r>
        <w:rPr>
          <w:spacing w:val="2"/>
        </w:rPr>
        <w:t>本公司按照投资目的和经济实质对拥有的金融资产分为以公允价值计量且其变动计入当期损益的金</w:t>
      </w:r>
    </w:p>
    <w:p>
      <w:pPr>
        <w:pStyle w:val="BodyText"/>
        <w:spacing w:line="408" w:lineRule="auto" w:before="65"/>
        <w:ind w:right="211"/>
        <w:jc w:val="both"/>
      </w:pPr>
      <w:r>
        <w:rPr>
          <w:spacing w:val="-1"/>
        </w:rPr>
        <w:t>融资产、持有至到期投资、贷款及应收款项、可供出售金融资产四大类。按照经济实质将金融负债划分为</w:t>
      </w:r>
      <w:r>
        <w:rPr>
          <w:spacing w:val="-82"/>
        </w:rPr>
        <w:t> </w:t>
      </w:r>
      <w:r>
        <w:rPr>
          <w:spacing w:val="-82"/>
        </w:rPr>
      </w:r>
      <w:r>
        <w:rPr/>
        <w:t>以公允价值计量且其变动计入当期损益的金融负债和其他金融负债两大类。</w:t>
      </w:r>
    </w:p>
    <w:p>
      <w:pPr>
        <w:pStyle w:val="BodyText"/>
        <w:spacing w:line="240" w:lineRule="auto"/>
        <w:ind w:left="634" w:right="0"/>
        <w:jc w:val="left"/>
      </w:pPr>
      <w:r>
        <w:rPr/>
        <w:t>（</w:t>
      </w:r>
      <w:r>
        <w:rPr>
          <w:rFonts w:ascii="Times New Roman" w:hAnsi="Times New Roman" w:cs="Times New Roman" w:eastAsia="Times New Roman" w:hint="default"/>
        </w:rPr>
        <w:t>2</w:t>
      </w:r>
      <w:r>
        <w:rPr/>
        <w:t>）金融工具确认依据和计量方法</w:t>
      </w:r>
    </w:p>
    <w:p>
      <w:pPr>
        <w:pStyle w:val="BodyText"/>
        <w:spacing w:line="408" w:lineRule="auto" w:before="177"/>
        <w:ind w:left="578" w:right="0" w:hanging="1"/>
        <w:jc w:val="left"/>
      </w:pPr>
      <w:r>
        <w:rPr/>
        <w:t>①</w:t>
      </w:r>
      <w:r>
        <w:rPr>
          <w:spacing w:val="-1"/>
        </w:rPr>
        <w:t> </w:t>
      </w:r>
      <w:r>
        <w:rPr/>
        <w:t>以公允价值计量且其变动计入当期损益的金融资产（金融负债）</w:t>
      </w:r>
      <w:r>
        <w:rPr/>
        <w:t> </w:t>
      </w:r>
      <w:r>
        <w:rPr>
          <w:spacing w:val="-1"/>
        </w:rPr>
        <w:t>取得时以公允价值（扣除已宣告但尚未发放的现金股利或已到付息期但尚未领取的债券利息）作为初</w:t>
      </w:r>
    </w:p>
    <w:p>
      <w:pPr>
        <w:pStyle w:val="BodyText"/>
        <w:spacing w:line="408" w:lineRule="auto"/>
        <w:ind w:right="209"/>
        <w:jc w:val="both"/>
      </w:pPr>
      <w:r>
        <w:rPr>
          <w:spacing w:val="-1"/>
        </w:rPr>
        <w:t>始确认金额，相关的交易费用计入当期损益。持有期间将取得的利息或现金股利确认为投资收益，期末将</w:t>
      </w:r>
      <w:r>
        <w:rPr>
          <w:spacing w:val="-83"/>
        </w:rPr>
        <w:t> </w:t>
      </w:r>
      <w:r>
        <w:rPr>
          <w:spacing w:val="-83"/>
        </w:rPr>
      </w:r>
      <w:r>
        <w:rPr>
          <w:spacing w:val="-1"/>
        </w:rPr>
        <w:t>公允价值变动计入当期损益。处置时，其公允价值与初始入账金额之间的差额确认为投资收益，同时调整</w:t>
      </w:r>
      <w:r>
        <w:rPr>
          <w:spacing w:val="-83"/>
        </w:rPr>
        <w:t> </w:t>
      </w:r>
      <w:r>
        <w:rPr>
          <w:spacing w:val="-83"/>
        </w:rPr>
      </w:r>
      <w:r>
        <w:rPr/>
        <w:t>公允价值变动损益。</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8" w:right="91" w:hanging="4"/>
        <w:jc w:val="left"/>
      </w:pPr>
      <w:r>
        <w:rPr/>
        <w:t>②</w:t>
      </w:r>
      <w:r>
        <w:rPr>
          <w:spacing w:val="-2"/>
        </w:rPr>
        <w:t> </w:t>
      </w:r>
      <w:r>
        <w:rPr/>
        <w:t>持有至到期投资</w:t>
      </w:r>
      <w:r>
        <w:rPr/>
        <w:t> </w:t>
      </w:r>
      <w:r>
        <w:rPr>
          <w:spacing w:val="-3"/>
        </w:rPr>
        <w:t>取得时按公允价值（扣除已到付息期但尚未领取的债券利息）和相关交易费用之和作为初始确认金额。</w:t>
      </w:r>
    </w:p>
    <w:p>
      <w:pPr>
        <w:pStyle w:val="BodyText"/>
        <w:spacing w:line="408" w:lineRule="auto"/>
        <w:ind w:left="153" w:right="208"/>
        <w:jc w:val="both"/>
      </w:pPr>
      <w:r>
        <w:rPr>
          <w:spacing w:val="-5"/>
        </w:rPr>
        <w:t>持有期间按照摊余成本和实际利率（如实际利率与票面利率差别较小的，按票面利率）计算确认利息收入，</w:t>
      </w:r>
      <w:r>
        <w:rPr>
          <w:spacing w:val="-101"/>
        </w:rPr>
        <w:t> </w:t>
      </w:r>
      <w:r>
        <w:rPr>
          <w:spacing w:val="-101"/>
        </w:rPr>
      </w:r>
      <w:r>
        <w:rPr>
          <w:spacing w:val="-1"/>
        </w:rPr>
        <w:t>计入投资收益。实际利率在取得时确定，在该预期存续期间或适用的更短期间内保持不变。处置时，将所</w:t>
      </w:r>
      <w:r>
        <w:rPr>
          <w:spacing w:val="-82"/>
        </w:rPr>
        <w:t> </w:t>
      </w:r>
      <w:r>
        <w:rPr>
          <w:spacing w:val="-82"/>
        </w:rPr>
      </w:r>
      <w:r>
        <w:rPr/>
        <w:t>取得价款与该投资账面价值之间的差额计入投资收益。</w:t>
      </w:r>
    </w:p>
    <w:p>
      <w:pPr>
        <w:pStyle w:val="BodyText"/>
        <w:spacing w:line="408" w:lineRule="auto"/>
        <w:ind w:left="578" w:right="210" w:hanging="4"/>
        <w:jc w:val="left"/>
      </w:pPr>
      <w:r>
        <w:rPr/>
        <w:t>③</w:t>
      </w:r>
      <w:r>
        <w:rPr>
          <w:spacing w:val="-2"/>
        </w:rPr>
        <w:t> </w:t>
      </w:r>
      <w:r>
        <w:rPr/>
        <w:t>应收款项</w:t>
      </w:r>
      <w:r>
        <w:rPr/>
        <w:t> </w:t>
      </w:r>
      <w:r>
        <w:rPr>
          <w:spacing w:val="-1"/>
        </w:rPr>
        <w:t>公司对外销售商品或提供劳务形成的应收债权，以及公司持有的其他企业的不包括在活跃市场上有报</w:t>
      </w:r>
    </w:p>
    <w:p>
      <w:pPr>
        <w:pStyle w:val="BodyText"/>
        <w:spacing w:line="408" w:lineRule="auto"/>
        <w:ind w:left="153" w:right="210"/>
        <w:jc w:val="both"/>
      </w:pPr>
      <w:r>
        <w:rPr>
          <w:spacing w:val="-1"/>
        </w:rPr>
        <w:t>价的债务工具的债权，包括应收账款、其他应收款等，以向购货方应收的合同或协议价款作为初始确认金</w:t>
      </w:r>
      <w:r>
        <w:rPr>
          <w:spacing w:val="-83"/>
        </w:rPr>
        <w:t> </w:t>
      </w:r>
      <w:r>
        <w:rPr>
          <w:spacing w:val="-83"/>
        </w:rPr>
      </w:r>
      <w:r>
        <w:rPr>
          <w:spacing w:val="-1"/>
        </w:rPr>
        <w:t>额；具有融资性质的，按其现值进行初始确认。收回或处置时，将取得的价款与该应收款项账面价值之间</w:t>
      </w:r>
      <w:r>
        <w:rPr>
          <w:spacing w:val="-82"/>
        </w:rPr>
        <w:t> </w:t>
      </w:r>
      <w:r>
        <w:rPr>
          <w:spacing w:val="-82"/>
        </w:rPr>
      </w:r>
      <w:r>
        <w:rPr/>
        <w:t>的差额计入当期损益。</w:t>
      </w:r>
    </w:p>
    <w:p>
      <w:pPr>
        <w:pStyle w:val="BodyText"/>
        <w:spacing w:line="408" w:lineRule="auto"/>
        <w:ind w:left="578" w:right="0" w:hanging="4"/>
        <w:jc w:val="left"/>
      </w:pPr>
      <w:r>
        <w:rPr/>
        <w:t>④</w:t>
      </w:r>
      <w:r>
        <w:rPr>
          <w:spacing w:val="-2"/>
        </w:rPr>
        <w:t> </w:t>
      </w:r>
      <w:r>
        <w:rPr/>
        <w:t>可供出售金融资产</w:t>
      </w:r>
      <w:r>
        <w:rPr/>
        <w:t> </w:t>
      </w:r>
      <w:r>
        <w:rPr>
          <w:spacing w:val="-1"/>
        </w:rPr>
        <w:t>取得时按公允价值（扣除已宣告但尚未发放的现金股利或已到付息期但尚未领取的债券利息）和相关</w:t>
      </w:r>
    </w:p>
    <w:p>
      <w:pPr>
        <w:pStyle w:val="BodyText"/>
        <w:spacing w:line="408" w:lineRule="auto"/>
        <w:ind w:left="153" w:right="208"/>
        <w:jc w:val="both"/>
      </w:pPr>
      <w:r>
        <w:rPr>
          <w:spacing w:val="-1"/>
        </w:rPr>
        <w:t>交易费用之和作为初始确认金额。持有期间将取得的利息或现金股利确认为投资收益。期末以公允价值计</w:t>
      </w:r>
      <w:r>
        <w:rPr>
          <w:spacing w:val="-81"/>
        </w:rPr>
        <w:t> </w:t>
      </w:r>
      <w:r>
        <w:rPr>
          <w:spacing w:val="-81"/>
        </w:rPr>
      </w:r>
      <w:r>
        <w:rPr>
          <w:spacing w:val="-1"/>
        </w:rPr>
        <w:t>量且将公允价值变动计入其他综合收益。但是，在活跃市场中没有报价且其公允价值不能可靠计量的权益</w:t>
      </w:r>
      <w:r>
        <w:rPr>
          <w:spacing w:val="-81"/>
        </w:rPr>
        <w:t> </w:t>
      </w:r>
      <w:r>
        <w:rPr>
          <w:spacing w:val="-81"/>
        </w:rPr>
      </w:r>
      <w:r>
        <w:rPr>
          <w:spacing w:val="-5"/>
        </w:rPr>
        <w:t>工具投资，以及与该权益工具挂钩并须通过交付该权益工具结算的衍生金融资产，按照成本计量。处置时，</w:t>
      </w:r>
      <w:r>
        <w:rPr>
          <w:spacing w:val="-101"/>
        </w:rPr>
        <w:t> </w:t>
      </w:r>
      <w:r>
        <w:rPr>
          <w:spacing w:val="-101"/>
        </w:rPr>
      </w:r>
      <w:r>
        <w:rPr>
          <w:spacing w:val="-1"/>
        </w:rPr>
        <w:t>将取得的价款与该金融资产账面价值之间的差额，计入投资损益；同时，将原直接计入其他综合收益的公</w:t>
      </w:r>
      <w:r>
        <w:rPr>
          <w:spacing w:val="-83"/>
        </w:rPr>
        <w:t> </w:t>
      </w:r>
      <w:r>
        <w:rPr>
          <w:spacing w:val="-83"/>
        </w:rPr>
      </w:r>
      <w:r>
        <w:rPr/>
        <w:t>允价值变动累计额对应处置部分的金额转出，计入当期损益。</w:t>
      </w:r>
    </w:p>
    <w:p>
      <w:pPr>
        <w:pStyle w:val="BodyText"/>
        <w:spacing w:line="408" w:lineRule="auto"/>
        <w:ind w:left="634" w:right="1580" w:hanging="1"/>
        <w:jc w:val="left"/>
      </w:pPr>
      <w:r>
        <w:rPr/>
        <w:t>⑤</w:t>
      </w:r>
      <w:r>
        <w:rPr>
          <w:spacing w:val="-1"/>
        </w:rPr>
        <w:t> </w:t>
      </w:r>
      <w:r>
        <w:rPr/>
        <w:t>其他金融负债</w:t>
      </w:r>
      <w:r>
        <w:rPr/>
        <w:t> 按其公允价值和相关交易费用之和作为初始确认金额。采用摊余成本进行后续计量。</w:t>
      </w:r>
    </w:p>
    <w:p>
      <w:pPr>
        <w:pStyle w:val="BodyText"/>
        <w:spacing w:line="386" w:lineRule="auto"/>
        <w:ind w:left="574" w:right="0" w:firstLine="60"/>
        <w:jc w:val="left"/>
      </w:pPr>
      <w:r>
        <w:rPr/>
        <w:t>（</w:t>
      </w:r>
      <w:r>
        <w:rPr>
          <w:rFonts w:ascii="Times New Roman" w:hAnsi="Times New Roman" w:cs="Times New Roman" w:eastAsia="Times New Roman" w:hint="default"/>
        </w:rPr>
        <w:t>3</w:t>
      </w:r>
      <w:r>
        <w:rPr/>
        <w:t>）金融资产转移的确认依据和计量方法 </w:t>
      </w:r>
      <w:r>
        <w:rPr>
          <w:spacing w:val="-1"/>
        </w:rPr>
        <w:t>公司发生金融资产转移时，如已将金融资产所有权上几乎所有的风险和报酬转移给转入方，则终止确</w:t>
      </w:r>
    </w:p>
    <w:p>
      <w:pPr>
        <w:pStyle w:val="BodyText"/>
        <w:spacing w:line="408" w:lineRule="auto" w:before="65"/>
        <w:ind w:left="575" w:right="0" w:hanging="422"/>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408" w:lineRule="auto"/>
        <w:ind w:right="209"/>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5" w:right="0"/>
        <w:jc w:val="left"/>
      </w:pPr>
      <w:r>
        <w:rPr/>
        <w:t>①</w:t>
      </w:r>
      <w:r>
        <w:rPr>
          <w:spacing w:val="-3"/>
        </w:rPr>
        <w:t> </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0" w:firstLine="421"/>
        <w:jc w:val="left"/>
      </w:pPr>
      <w:r>
        <w:rPr/>
        <w:t>②</w:t>
      </w:r>
      <w:r>
        <w:rPr>
          <w:spacing w:val="59"/>
        </w:rPr>
        <w:t> </w:t>
      </w:r>
      <w:r>
        <w:rPr/>
        <w:t>因转移而收到的对价，与原直接计入所有者权益的公允价值变动累计额（涉及转移的金融资产为</w:t>
      </w:r>
      <w:r>
        <w:rPr>
          <w:spacing w:val="2"/>
        </w:rPr>
        <w:t> </w:t>
      </w:r>
      <w:r>
        <w:rPr/>
        <w:t>可供出售金融资产的情形）之和。</w:t>
      </w:r>
    </w:p>
    <w:p>
      <w:pPr>
        <w:pStyle w:val="BodyText"/>
        <w:spacing w:line="408" w:lineRule="auto"/>
        <w:ind w:left="160" w:right="208"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spacing w:after="0" w:line="408" w:lineRule="auto"/>
        <w:jc w:val="left"/>
        <w:sectPr>
          <w:footerReference w:type="default" r:id="rId29"/>
          <w:pgSz w:w="11910" w:h="16840"/>
          <w:pgMar w:footer="982" w:header="877" w:top="1100" w:bottom="1180" w:left="980" w:right="920"/>
          <w:pgNumType w:start="126"/>
        </w:sectPr>
      </w:pPr>
    </w:p>
    <w:p>
      <w:pPr>
        <w:spacing w:line="240" w:lineRule="auto" w:before="8"/>
        <w:rPr>
          <w:rFonts w:ascii="宋体" w:hAnsi="宋体" w:cs="宋体" w:eastAsia="宋体" w:hint="default"/>
          <w:sz w:val="26"/>
          <w:szCs w:val="26"/>
        </w:rPr>
      </w:pPr>
    </w:p>
    <w:p>
      <w:pPr>
        <w:pStyle w:val="BodyText"/>
        <w:spacing w:line="240" w:lineRule="auto" w:before="35"/>
        <w:ind w:left="581" w:right="148"/>
        <w:jc w:val="left"/>
      </w:pPr>
      <w:r>
        <w:rPr/>
        <w:t>①</w:t>
      </w:r>
      <w:r>
        <w:rPr>
          <w:spacing w:val="-3"/>
        </w:rPr>
        <w:t> </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left="160" w:right="152" w:firstLine="421"/>
        <w:jc w:val="both"/>
      </w:pPr>
      <w:r>
        <w:rPr/>
        <w:t>②</w:t>
      </w:r>
      <w:r>
        <w:rPr>
          <w:spacing w:val="52"/>
        </w:rPr>
        <w:t> </w:t>
      </w:r>
      <w:r>
        <w:rPr/>
        <w:t>终止确认部分的对价，与原直接计入所有者权益的公允价值变动累计额中对应终止确认部分的金</w:t>
      </w:r>
      <w:r>
        <w:rPr/>
        <w:t> 额（涉及转移的金融资产为可供出售金融资产的情形）之和。</w:t>
      </w:r>
    </w:p>
    <w:p>
      <w:pPr>
        <w:pStyle w:val="BodyText"/>
        <w:spacing w:line="240" w:lineRule="auto"/>
        <w:ind w:left="634" w:right="148"/>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4"/>
          <w:szCs w:val="14"/>
        </w:rPr>
      </w:pPr>
    </w:p>
    <w:p>
      <w:pPr>
        <w:pStyle w:val="BodyText"/>
        <w:spacing w:line="386" w:lineRule="auto" w:before="0"/>
        <w:ind w:left="634" w:right="138" w:hanging="1"/>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w:t>
      </w:r>
    </w:p>
    <w:p>
      <w:pPr>
        <w:pStyle w:val="BodyText"/>
        <w:spacing w:line="408" w:lineRule="auto" w:before="65"/>
        <w:ind w:right="149"/>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right="149" w:firstLine="480"/>
        <w:jc w:val="both"/>
      </w:pPr>
      <w:r>
        <w:rPr>
          <w:spacing w:val="-2"/>
        </w:rPr>
        <w:t>对现存金融负债全部或部分合同条款作出实质性修改的，则终止确认现存金融负债或其一部分，同时</w:t>
      </w:r>
      <w:r>
        <w:rPr/>
        <w:t> </w:t>
      </w:r>
      <w:r>
        <w:rPr>
          <w:spacing w:val="-1"/>
        </w:rPr>
        <w:t>将修改条款后的金融负债确认为一项新金融负债。金融负债全部或部分终止确认时，终止确认的金融负债</w:t>
      </w:r>
      <w:r>
        <w:rPr>
          <w:spacing w:val="-81"/>
        </w:rPr>
        <w:t> </w:t>
      </w:r>
      <w:r>
        <w:rPr>
          <w:spacing w:val="-81"/>
        </w:rPr>
      </w:r>
      <w:r>
        <w:rPr>
          <w:spacing w:val="-1"/>
        </w:rPr>
        <w:t>账面价值与支付对价（包括转出的非现金资产或承担的新金融负债）之间的差额，计入当期损益。本公司</w:t>
      </w:r>
      <w:r>
        <w:rPr>
          <w:spacing w:val="-82"/>
        </w:rPr>
        <w:t> </w:t>
      </w:r>
      <w:r>
        <w:rPr>
          <w:spacing w:val="-82"/>
        </w:rPr>
      </w:r>
      <w:r>
        <w:rPr>
          <w:spacing w:val="-1"/>
        </w:rPr>
        <w:t>若回购部分金融负债的，在回购日按照继续确认部分与终止确认部分的相对公允价值，将该金融负债整体</w:t>
      </w:r>
      <w:r>
        <w:rPr>
          <w:spacing w:val="-81"/>
        </w:rPr>
        <w:t> </w:t>
      </w:r>
      <w:r>
        <w:rPr>
          <w:spacing w:val="-81"/>
        </w:rPr>
      </w:r>
      <w:r>
        <w:rPr>
          <w:spacing w:val="-1"/>
        </w:rPr>
        <w:t>的账面价值进行分配。分配给终止确认部分的账面价值与支付的对价（包括转出的非现金资产或承担的新</w:t>
      </w:r>
      <w:r>
        <w:rPr>
          <w:spacing w:val="-81"/>
        </w:rPr>
        <w:t> </w:t>
      </w:r>
      <w:r>
        <w:rPr>
          <w:spacing w:val="-81"/>
        </w:rPr>
      </w:r>
      <w:r>
        <w:rPr/>
        <w:t>金融负债）之间的差额，计入当期损益。</w:t>
      </w:r>
    </w:p>
    <w:p>
      <w:pPr>
        <w:pStyle w:val="BodyText"/>
        <w:spacing w:line="386" w:lineRule="auto" w:before="166"/>
        <w:ind w:left="634" w:right="138" w:hanging="120"/>
        <w:jc w:val="left"/>
      </w:pPr>
      <w:r>
        <w:rPr/>
        <w:t>（</w:t>
      </w:r>
      <w:r>
        <w:rPr>
          <w:rFonts w:ascii="Times New Roman" w:hAnsi="Times New Roman" w:cs="Times New Roman" w:eastAsia="Times New Roman" w:hint="default"/>
        </w:rPr>
        <w:t>5</w:t>
      </w:r>
      <w:r>
        <w:rPr/>
        <w:t>）金融资产和金融负债公允价值的确定方法 </w:t>
      </w:r>
      <w:r>
        <w:rPr>
          <w:spacing w:val="-2"/>
        </w:rPr>
        <w:t>存在活跃市场的金融资产或金融负债，以活跃市场的报价确定其公允价值，活跃市场的报价包括易于</w:t>
      </w:r>
    </w:p>
    <w:p>
      <w:pPr>
        <w:pStyle w:val="BodyText"/>
        <w:spacing w:line="408" w:lineRule="auto" w:before="65"/>
        <w:ind w:right="149"/>
        <w:jc w:val="both"/>
      </w:pPr>
      <w:r>
        <w:rPr>
          <w:spacing w:val="-1"/>
        </w:rPr>
        <w:t>定期从交易所、经纪商、行业协会、定价服务机构等获得的价格，且代表了在公平交易中实际发生的市场</w:t>
      </w:r>
      <w:r>
        <w:rPr>
          <w:spacing w:val="-82"/>
        </w:rPr>
        <w:t> </w:t>
      </w:r>
      <w:r>
        <w:rPr>
          <w:spacing w:val="-82"/>
        </w:rPr>
      </w:r>
      <w:r>
        <w:rPr>
          <w:spacing w:val="-1"/>
        </w:rPr>
        <w:t>交易的价格；不存在活跃市场的金融资产或金融负债，采用估值技术确定其公允价值。估值技术包括参考</w:t>
      </w:r>
      <w:r>
        <w:rPr>
          <w:spacing w:val="-83"/>
        </w:rPr>
        <w:t> </w:t>
      </w:r>
      <w:r>
        <w:rPr>
          <w:spacing w:val="-83"/>
        </w:rPr>
      </w:r>
      <w:r>
        <w:rPr>
          <w:spacing w:val="-1"/>
        </w:rPr>
        <w:t>熟悉情况并自愿交易的各方最近进行的市场交易中使用的价格、参照实质上相同的其他金融资产或金融负</w:t>
      </w:r>
      <w:r>
        <w:rPr>
          <w:spacing w:val="-81"/>
        </w:rPr>
        <w:t> </w:t>
      </w:r>
      <w:r>
        <w:rPr>
          <w:spacing w:val="-81"/>
        </w:rPr>
      </w:r>
      <w:r>
        <w:rPr/>
        <w:t>债的当前公允价值、现金流量折现法和期权定价模型等。</w:t>
      </w:r>
    </w:p>
    <w:p>
      <w:pPr>
        <w:pStyle w:val="BodyText"/>
        <w:spacing w:line="386" w:lineRule="auto"/>
        <w:ind w:left="634" w:right="138" w:hanging="1"/>
        <w:jc w:val="left"/>
      </w:pPr>
      <w:r>
        <w:rPr/>
        <w:t>（</w:t>
      </w:r>
      <w:r>
        <w:rPr>
          <w:rFonts w:ascii="Times New Roman" w:hAnsi="Times New Roman" w:cs="Times New Roman" w:eastAsia="Times New Roman" w:hint="default"/>
        </w:rPr>
        <w:t>6</w:t>
      </w:r>
      <w:r>
        <w:rPr/>
        <w:t>）金融资产（不含应收款项）减值测试方法、减值准备计提方法 </w:t>
      </w:r>
      <w:r>
        <w:rPr>
          <w:spacing w:val="-2"/>
        </w:rPr>
        <w:t>除以公允价值计量且其变动计入当期损益的金融资产外，本公司于资产负债表日对金融资产的账面价</w:t>
      </w:r>
    </w:p>
    <w:p>
      <w:pPr>
        <w:pStyle w:val="BodyText"/>
        <w:spacing w:line="240" w:lineRule="auto" w:before="65"/>
        <w:ind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08" w:lineRule="auto" w:before="0"/>
        <w:ind w:left="575" w:right="148" w:hanging="1"/>
        <w:jc w:val="left"/>
      </w:pPr>
      <w:r>
        <w:rPr/>
        <w:t>①</w:t>
      </w:r>
      <w:r>
        <w:rPr>
          <w:spacing w:val="-2"/>
        </w:rPr>
        <w:t> </w:t>
      </w:r>
      <w:r>
        <w:rPr/>
        <w:t>可供出售金融资产的减值准备：</w:t>
      </w:r>
      <w:r>
        <w:rPr/>
        <w:t> </w:t>
      </w:r>
      <w:r>
        <w:rPr>
          <w:spacing w:val="-1"/>
        </w:rPr>
        <w:t>期末如果可供出售金融资产的公允价值发生严重下降，或在综合考虑各种相关因素后，预期这种下降</w:t>
      </w:r>
    </w:p>
    <w:p>
      <w:pPr>
        <w:pStyle w:val="BodyText"/>
        <w:spacing w:line="408" w:lineRule="auto"/>
        <w:ind w:right="147"/>
        <w:jc w:val="both"/>
      </w:pPr>
      <w:r>
        <w:rPr/>
        <w:t>趋势属于非暂时性的，</w:t>
      </w:r>
      <w:r>
        <w:rPr>
          <w:spacing w:val="59"/>
        </w:rPr>
        <w:t> </w:t>
      </w:r>
      <w:r>
        <w:rPr/>
        <w:t>就认定其已发生减值，将原直接计入所有者权益的公允价值下降形成的累计损失</w:t>
      </w:r>
      <w:r>
        <w:rPr>
          <w:spacing w:val="-94"/>
        </w:rPr>
        <w:t> </w:t>
      </w:r>
      <w:r>
        <w:rPr>
          <w:spacing w:val="-94"/>
        </w:rPr>
      </w:r>
      <w:r>
        <w:rPr/>
        <w:t>一并转出，确认减值损失。</w:t>
      </w:r>
    </w:p>
    <w:p>
      <w:pPr>
        <w:pStyle w:val="BodyText"/>
        <w:spacing w:line="408" w:lineRule="auto"/>
        <w:ind w:right="149" w:firstLine="421"/>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575" w:right="136"/>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spacing w:val="-44"/>
        </w:rPr>
        <w:t> </w:t>
      </w:r>
      <w:r>
        <w:rPr>
          <w:rFonts w:ascii="Times New Roman" w:hAnsi="Times New Roman" w:cs="Times New Roman" w:eastAsia="Times New Roman" w:hint="default"/>
        </w:rPr>
        <w:t>a.</w:t>
      </w:r>
      <w:r>
        <w:rPr/>
        <w:t>被投资人发生严重财务困难，很</w:t>
      </w:r>
    </w:p>
    <w:p>
      <w:pPr>
        <w:pStyle w:val="BodyText"/>
        <w:spacing w:line="386" w:lineRule="auto" w:before="14"/>
        <w:ind w:right="130"/>
        <w:jc w:val="left"/>
      </w:pPr>
      <w:r>
        <w:rPr/>
        <w:t>可能倒闭或者财务重组；</w:t>
      </w:r>
      <w:r>
        <w:rPr>
          <w:spacing w:val="-73"/>
        </w:rPr>
        <w:t> </w:t>
      </w:r>
      <w:r>
        <w:rPr>
          <w:rFonts w:ascii="Times New Roman" w:hAnsi="Times New Roman" w:cs="Times New Roman" w:eastAsia="Times New Roman" w:hint="default"/>
        </w:rPr>
        <w:t>b.</w:t>
      </w:r>
      <w:r>
        <w:rPr/>
        <w:t>被投资人经营所处的技术、市场、经济或法律环境等发生重大不利变化，可能 无法收回投资成本。</w:t>
      </w:r>
    </w:p>
    <w:p>
      <w:pPr>
        <w:pStyle w:val="BodyText"/>
        <w:spacing w:line="408" w:lineRule="auto" w:before="65"/>
        <w:ind w:left="634" w:right="2780" w:hanging="59"/>
        <w:jc w:val="left"/>
      </w:pPr>
      <w:r>
        <w:rPr/>
        <w:t>②</w:t>
      </w:r>
      <w:r>
        <w:rPr>
          <w:spacing w:val="-2"/>
        </w:rPr>
        <w:t> </w:t>
      </w:r>
      <w:r>
        <w:rPr/>
        <w:t>持有至到期投资的减值准备</w:t>
      </w:r>
      <w:r>
        <w:rPr/>
        <w:t> 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3"/>
        <w:spacing w:line="240" w:lineRule="auto"/>
        <w:ind w:right="148"/>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及以上的应收款项。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对单项金额重大的应收账款，单独进行减值测试，有客观证 据表明其发生了减值的，根据其未来现金流量现值低于其账 面价值的差额计提坏账准备。单项金额重大经单</w:t>
            </w:r>
            <w:r>
              <w:rPr>
                <w:rFonts w:ascii="宋体" w:hAnsi="宋体" w:cs="宋体" w:eastAsia="宋体" w:hint="default"/>
                <w:spacing w:val="-37"/>
                <w:sz w:val="18"/>
                <w:szCs w:val="18"/>
              </w:rPr>
              <w:t> </w:t>
            </w:r>
            <w:r>
              <w:rPr>
                <w:rFonts w:ascii="宋体" w:hAnsi="宋体" w:cs="宋体" w:eastAsia="宋体" w:hint="default"/>
                <w:sz w:val="18"/>
                <w:szCs w:val="18"/>
              </w:rPr>
              <w:t>独测试未发</w:t>
            </w:r>
            <w:r>
              <w:rPr>
                <w:rFonts w:ascii="宋体" w:hAnsi="宋体" w:cs="宋体" w:eastAsia="宋体" w:hint="default"/>
                <w:sz w:val="18"/>
                <w:szCs w:val="18"/>
              </w:rPr>
              <w:t> 生减值的应收账款，再按组合计提坏账准备。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个月，以下同）</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38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4.3pt;height:19.1pt;mso-position-horizontal-relative:char;mso-position-vertical-relative:line" coordorigin="0,0" coordsize="9686,382">
            <v:group style="position:absolute;left:932;top:14;width:23;height:352" coordorigin="932,14" coordsize="23,352">
              <v:shape style="position:absolute;left:932;top:14;width:23;height:352" coordorigin="932,14" coordsize="23,352" path="m932,366l955,366,955,14,932,14,932,366xe" filled="true" fillcolor="#d3d3d3" stroked="false">
                <v:path arrowok="t"/>
                <v:fill type="solid"/>
              </v:shape>
            </v:group>
            <v:group style="position:absolute;left:14;top:14;width:23;height:352" coordorigin="14,14" coordsize="23,352">
              <v:shape style="position:absolute;left:14;top:14;width:23;height:352" coordorigin="14,14" coordsize="23,352" path="m14,366l37,366,37,14,14,14,14,366xe" filled="true" fillcolor="#d3d3d3" stroked="false">
                <v:path arrowok="t"/>
                <v:fill type="solid"/>
              </v:shape>
            </v:group>
            <v:group style="position:absolute;left:37;top:14;width:896;height:352" coordorigin="37,14" coordsize="896,352">
              <v:shape style="position:absolute;left:37;top:14;width:896;height:352" coordorigin="37,14" coordsize="896,352" path="m37,366l932,366,932,14,37,14,37,366xe" filled="true" fillcolor="#d3d3d3" stroked="false">
                <v:path arrowok="t"/>
                <v:fill type="solid"/>
              </v:shape>
            </v:group>
            <v:group style="position:absolute;left:5;top:10;width:9676;height:2" coordorigin="5,10" coordsize="9676,2">
              <v:shape style="position:absolute;left:5;top:10;width:9676;height:2" coordorigin="5,10" coordsize="9676,0" path="m5,10l9680,10e" filled="false" stroked="true" strokeweight=".47998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952;height:2" coordorigin="5,372" coordsize="952,2">
              <v:shape style="position:absolute;left:5;top:372;width:952;height:2" coordorigin="5,372" coordsize="952,0" path="m5,372l956,372e" filled="false" stroked="true" strokeweight=".47998pt" strokecolor="#000000">
                <v:path arrowok="t"/>
              </v:shape>
            </v:group>
            <v:group style="position:absolute;left:961;top:14;width:2;height:363" coordorigin="961,14" coordsize="2,363">
              <v:shape style="position:absolute;left:961;top:14;width:2;height:363" coordorigin="961,14" coordsize="0,363" path="m961,14l961,377e" filled="false" stroked="true" strokeweight=".48001pt" strokecolor="#000000">
                <v:path arrowok="t"/>
              </v:shape>
            </v:group>
            <v:group style="position:absolute;left:966;top:372;width:8705;height:2" coordorigin="966,372" coordsize="8705,2">
              <v:shape style="position:absolute;left:966;top:372;width:8705;height:2" coordorigin="966,372" coordsize="8705,0" path="m966,372l9671,372e" filled="false" stroked="true" strokeweight=".47998pt" strokecolor="#000000">
                <v:path arrowok="t"/>
              </v:shape>
            </v:group>
            <v:group style="position:absolute;left:9676;top:5;width:2;height:372" coordorigin="9676,5" coordsize="2,372">
              <v:shape style="position:absolute;left:9676;top:5;width:2;height:372" coordorigin="9676,5" coordsize="0,372" path="m9676,5l9676,377e" filled="false" stroked="true" strokeweight=".48004pt" strokecolor="#000000">
                <v:path arrowok="t"/>
              </v:shape>
              <v:shape style="position:absolute;left:10;top:10;width:951;height:363"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w:t>
                      </w:r>
                    </w:p>
                  </w:txbxContent>
                </v:textbox>
                <w10:wrap type="none"/>
              </v:shape>
              <v:shape style="position:absolute;left:961;top:10;width:8715;height:363"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单项金额不重大但债务人已出现经营状况和财务状况恶化、债务人偿债能力降低或逾期未履行偿债义务超过三</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951"/>
        <w:gridCol w:w="8715"/>
      </w:tblGrid>
      <w:tr>
        <w:trPr>
          <w:trHeight w:val="674" w:hRule="exact"/>
        </w:trPr>
        <w:tc>
          <w:tcPr>
            <w:tcW w:w="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96"/>
              <w:jc w:val="left"/>
              <w:rPr>
                <w:rFonts w:ascii="宋体" w:hAnsi="宋体" w:cs="宋体" w:eastAsia="宋体" w:hint="default"/>
                <w:sz w:val="18"/>
                <w:szCs w:val="18"/>
              </w:rPr>
            </w:pPr>
            <w:r>
              <w:rPr>
                <w:rFonts w:ascii="宋体" w:hAnsi="宋体" w:cs="宋体" w:eastAsia="宋体" w:hint="default"/>
                <w:sz w:val="18"/>
                <w:szCs w:val="18"/>
              </w:rPr>
              <w:t>坏账准备 的理由</w:t>
            </w:r>
          </w:p>
        </w:tc>
        <w:tc>
          <w:tcPr>
            <w:tcW w:w="8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年以上、债务人可能倒闭或进行其他财务重组等情形的应收款项。</w:t>
            </w:r>
          </w:p>
        </w:tc>
      </w:tr>
      <w:tr>
        <w:trPr>
          <w:trHeight w:val="1026" w:hRule="exact"/>
        </w:trPr>
        <w:tc>
          <w:tcPr>
            <w:tcW w:w="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6"/>
              <w:jc w:val="both"/>
              <w:rPr>
                <w:rFonts w:ascii="宋体" w:hAnsi="宋体" w:cs="宋体" w:eastAsia="宋体" w:hint="default"/>
                <w:sz w:val="18"/>
                <w:szCs w:val="18"/>
              </w:rPr>
            </w:pPr>
            <w:r>
              <w:rPr>
                <w:rFonts w:ascii="宋体" w:hAnsi="宋体" w:cs="宋体" w:eastAsia="宋体" w:hint="default"/>
                <w:sz w:val="18"/>
                <w:szCs w:val="18"/>
              </w:rPr>
              <w:t>坏账准备 的计提方 法</w:t>
            </w:r>
          </w:p>
        </w:tc>
        <w:tc>
          <w:tcPr>
            <w:tcW w:w="8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单项金额虽不重大但单项计提坏账准备的应收账款，有客观证据表明其发生了减值的，且未来现金流量现值与 以账龄为信用风险特征的应收账款组合未来现金流量现值存在显著差异，则单独进行减值测试，根据其未来现 金流量现值低于其账面价值的差额计提坏账准备。</w:t>
            </w:r>
          </w:p>
        </w:tc>
      </w:tr>
    </w:tbl>
    <w:p>
      <w:pPr>
        <w:spacing w:line="240" w:lineRule="auto" w:before="1"/>
        <w:rPr>
          <w:rFonts w:ascii="宋体" w:hAnsi="宋体" w:cs="宋体" w:eastAsia="宋体" w:hint="default"/>
          <w:b/>
          <w:bCs/>
          <w:sz w:val="25"/>
          <w:szCs w:val="25"/>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4</w:t>
      </w:r>
      <w:r>
        <w:rPr/>
        <w:t>）</w:t>
      </w:r>
      <w:r>
        <w:rPr>
          <w:spacing w:val="-2"/>
        </w:rPr>
        <w:t> </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153" w:right="151" w:firstLine="480"/>
        <w:jc w:val="both"/>
      </w:pPr>
      <w:r>
        <w:rPr>
          <w:spacing w:val="-2"/>
        </w:rPr>
        <w:t>其他应收款：期末余额占其他应收款余额</w:t>
      </w:r>
      <w:r>
        <w:rPr>
          <w:rFonts w:ascii="Times New Roman" w:hAnsi="Times New Roman" w:cs="Times New Roman" w:eastAsia="Times New Roman" w:hint="default"/>
          <w:spacing w:val="-2"/>
        </w:rPr>
        <w:t>15%</w:t>
      </w:r>
      <w:r>
        <w:rPr>
          <w:spacing w:val="-2"/>
        </w:rPr>
        <w:t>及以上的其他应收款为单项金额重大的其他应收款。其</w:t>
      </w:r>
      <w:r>
        <w:rPr/>
        <w:t> </w:t>
      </w:r>
      <w:r>
        <w:rPr>
          <w:spacing w:val="-1"/>
        </w:rPr>
        <w:t>他应收款均进行单独测试，有客观证据表明其发生减值的，根据其未来现金流量现值低于其账面价值的差</w:t>
      </w:r>
      <w:r>
        <w:rPr>
          <w:spacing w:val="-81"/>
        </w:rPr>
        <w:t> </w:t>
      </w:r>
      <w:r>
        <w:rPr>
          <w:spacing w:val="-81"/>
        </w:rPr>
      </w:r>
      <w:r>
        <w:rPr/>
        <w:t>额计提坏账准备。</w:t>
      </w:r>
    </w:p>
    <w:p>
      <w:pPr>
        <w:pStyle w:val="BodyText"/>
        <w:spacing w:line="408" w:lineRule="auto" w:before="54"/>
        <w:ind w:left="153" w:right="148" w:firstLine="480"/>
        <w:jc w:val="both"/>
      </w:pPr>
      <w:r>
        <w:rPr>
          <w:spacing w:val="-2"/>
        </w:rPr>
        <w:t>对于其他应收款项（包括应收票据、预付款项、应收利息、长期应收款等），有客观证据表明其发生</w:t>
      </w:r>
      <w:r>
        <w:rPr/>
        <w:t> 减值的，根据其未来现金流量现值低于其账面价值的差额计提坏账准备。</w:t>
      </w:r>
    </w:p>
    <w:p>
      <w:pPr>
        <w:spacing w:line="240" w:lineRule="auto" w:before="6"/>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3620" w:hanging="1"/>
        <w:jc w:val="left"/>
      </w:pPr>
      <w:r>
        <w:rPr/>
        <w:t>（</w:t>
      </w:r>
      <w:r>
        <w:rPr>
          <w:rFonts w:ascii="Times New Roman" w:hAnsi="Times New Roman" w:cs="Times New Roman" w:eastAsia="Times New Roman" w:hint="default"/>
        </w:rPr>
        <w:t>1</w:t>
      </w:r>
      <w:r>
        <w:rPr/>
        <w:t>）存货的分类 公司为旅游服务类企业，存货主要为库存商品及低值易耗品。</w:t>
      </w:r>
    </w:p>
    <w:p>
      <w:pPr>
        <w:pStyle w:val="BodyText"/>
        <w:spacing w:line="386" w:lineRule="auto" w:before="65"/>
        <w:ind w:left="634" w:right="6876" w:hanging="1"/>
        <w:jc w:val="left"/>
      </w:pPr>
      <w:r>
        <w:rPr/>
        <w:t>（</w:t>
      </w:r>
      <w:r>
        <w:rPr>
          <w:rFonts w:ascii="Times New Roman" w:hAnsi="Times New Roman" w:cs="Times New Roman" w:eastAsia="Times New Roman" w:hint="default"/>
        </w:rPr>
        <w:t>2</w:t>
      </w:r>
      <w:r>
        <w:rPr/>
        <w:t>）发出存货的计价方法 计价方法：先进先出法</w:t>
      </w:r>
    </w:p>
    <w:p>
      <w:pPr>
        <w:pStyle w:val="BodyText"/>
        <w:spacing w:line="240" w:lineRule="auto" w:before="65"/>
        <w:ind w:left="634" w:right="148"/>
        <w:jc w:val="left"/>
      </w:pPr>
      <w:r>
        <w:rPr/>
        <w:t>取得的存货按实际成本进行初始计量，发出按先进先出法计价。</w:t>
      </w:r>
    </w:p>
    <w:p>
      <w:pPr>
        <w:spacing w:line="240" w:lineRule="auto" w:before="10"/>
        <w:rPr>
          <w:rFonts w:ascii="宋体" w:hAnsi="宋体" w:cs="宋体" w:eastAsia="宋体" w:hint="default"/>
          <w:sz w:val="14"/>
          <w:szCs w:val="14"/>
        </w:rPr>
      </w:pPr>
    </w:p>
    <w:p>
      <w:pPr>
        <w:pStyle w:val="BodyText"/>
        <w:spacing w:line="386" w:lineRule="auto" w:before="0"/>
        <w:ind w:left="634" w:right="7190" w:hanging="1"/>
        <w:jc w:val="left"/>
      </w:pPr>
      <w:r>
        <w:rPr/>
        <w:t>（</w:t>
      </w:r>
      <w:r>
        <w:rPr>
          <w:rFonts w:ascii="Times New Roman" w:hAnsi="Times New Roman" w:cs="Times New Roman" w:eastAsia="Times New Roman" w:hint="default"/>
        </w:rPr>
        <w:t>3</w:t>
      </w:r>
      <w:r>
        <w:rPr/>
        <w:t>）存货的盘存制度 盘存制度：永续盘存制</w:t>
      </w:r>
    </w:p>
    <w:p>
      <w:pPr>
        <w:pStyle w:val="BodyText"/>
        <w:spacing w:line="398" w:lineRule="auto" w:before="65"/>
        <w:ind w:left="634" w:right="5826" w:hanging="1"/>
        <w:jc w:val="left"/>
      </w:pPr>
      <w:r>
        <w:rPr/>
        <w:t>（</w:t>
      </w:r>
      <w:r>
        <w:rPr>
          <w:rFonts w:ascii="Times New Roman" w:hAnsi="Times New Roman" w:cs="Times New Roman" w:eastAsia="Times New Roman" w:hint="default"/>
        </w:rPr>
        <w:t>4</w:t>
      </w:r>
      <w:r>
        <w:rPr/>
        <w:t>）低值易耗品和包装物的摊销方法 低值易耗品采用一次摊销法。 包装物采用一次摊销法。</w:t>
      </w:r>
    </w:p>
    <w:p>
      <w:pPr>
        <w:spacing w:line="240" w:lineRule="auto" w:before="1"/>
        <w:rPr>
          <w:rFonts w:ascii="宋体" w:hAnsi="宋体" w:cs="宋体" w:eastAsia="宋体" w:hint="default"/>
          <w:sz w:val="27"/>
          <w:szCs w:val="27"/>
        </w:rPr>
      </w:pPr>
    </w:p>
    <w:p>
      <w:pPr>
        <w:pStyle w:val="Heading3"/>
        <w:spacing w:line="240" w:lineRule="auto"/>
        <w:ind w:right="148"/>
        <w:jc w:val="left"/>
        <w:rPr>
          <w:b w:val="0"/>
          <w:bCs w:val="0"/>
        </w:rPr>
      </w:pPr>
      <w:r>
        <w:rPr>
          <w:rFonts w:ascii="Times New Roman" w:hAnsi="Times New Roman" w:cs="Times New Roman" w:eastAsia="Times New Roman" w:hint="default"/>
        </w:rPr>
        <w:t>13</w:t>
      </w:r>
      <w:r>
        <w:rPr/>
        <w:t>、</w:t>
      </w:r>
      <w:r>
        <w:rPr>
          <w:spacing w:val="-2"/>
        </w:rPr>
        <w:t> </w:t>
      </w:r>
      <w:r>
        <w:rPr/>
        <w:t>发放贷款及垫款</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38" w:hanging="1"/>
        <w:jc w:val="left"/>
      </w:pPr>
      <w:r>
        <w:rPr/>
        <w:t>（</w:t>
      </w:r>
      <w:r>
        <w:rPr>
          <w:rFonts w:ascii="Times New Roman" w:hAnsi="Times New Roman" w:cs="Times New Roman" w:eastAsia="Times New Roman" w:hint="default"/>
        </w:rPr>
        <w:t>1</w:t>
      </w:r>
      <w:r>
        <w:rPr/>
        <w:t>）贷款 </w:t>
      </w:r>
      <w:r>
        <w:rPr>
          <w:spacing w:val="-2"/>
        </w:rPr>
        <w:t>本公司按当前市场条件发放的贷款，按发放贷款的本金作为初始确认金额。贷款持有期间所确认的利</w:t>
      </w:r>
    </w:p>
    <w:p>
      <w:pPr>
        <w:pStyle w:val="BodyText"/>
        <w:spacing w:line="240" w:lineRule="auto" w:before="65"/>
        <w:ind w:right="148"/>
        <w:jc w:val="left"/>
      </w:pPr>
      <w:r>
        <w:rPr/>
        <w:t>息收入，根据实际利率计算。实际利率在发放贷款时确定，在贷款合同规定期间内保持不变。</w:t>
      </w:r>
    </w:p>
    <w:p>
      <w:pPr>
        <w:spacing w:line="240" w:lineRule="auto" w:before="10"/>
        <w:rPr>
          <w:rFonts w:ascii="宋体" w:hAnsi="宋体" w:cs="宋体" w:eastAsia="宋体" w:hint="default"/>
          <w:sz w:val="14"/>
          <w:szCs w:val="14"/>
        </w:rPr>
      </w:pPr>
    </w:p>
    <w:p>
      <w:pPr>
        <w:pStyle w:val="BodyText"/>
        <w:spacing w:line="240" w:lineRule="auto" w:before="0"/>
        <w:ind w:left="634" w:right="148"/>
        <w:jc w:val="left"/>
      </w:pPr>
      <w:r>
        <w:rPr/>
        <w:t>（</w:t>
      </w:r>
      <w:r>
        <w:rPr>
          <w:rFonts w:ascii="Times New Roman" w:hAnsi="Times New Roman" w:cs="Times New Roman" w:eastAsia="Times New Roman" w:hint="default"/>
        </w:rPr>
        <w:t>2</w:t>
      </w:r>
      <w:r>
        <w:rPr/>
        <w:t>）贷款减值准备的确认标准和计提方法</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98" w:firstLine="480"/>
        <w:jc w:val="left"/>
      </w:pPr>
      <w:r>
        <w:rPr>
          <w:spacing w:val="-2"/>
        </w:rPr>
        <w:t>期末对每一单项贷款按其资产质量分为正常、关注、次级、可疑和损失五类，其主要分类标准和计提</w:t>
      </w:r>
      <w:r>
        <w:rPr/>
        <w:t> 损失准备的比例为：</w:t>
      </w:r>
    </w:p>
    <w:p>
      <w:pPr>
        <w:pStyle w:val="BodyText"/>
        <w:spacing w:line="386" w:lineRule="auto"/>
        <w:ind w:right="0" w:firstLine="480"/>
        <w:jc w:val="left"/>
      </w:pPr>
      <w:r>
        <w:rPr>
          <w:spacing w:val="-3"/>
        </w:rPr>
        <w:t>正常：交易对手能够履行合同或协议，没有足够理由怀疑债务本金和利息不能按时足额偿还，按</w:t>
      </w:r>
      <w:r>
        <w:rPr>
          <w:rFonts w:ascii="Times New Roman" w:hAnsi="Times New Roman" w:cs="Times New Roman" w:eastAsia="Times New Roman" w:hint="default"/>
          <w:spacing w:val="-3"/>
        </w:rPr>
        <w:t>1.5%</w:t>
      </w:r>
      <w:r>
        <w:rPr>
          <w:rFonts w:ascii="Times New Roman" w:hAnsi="Times New Roman" w:cs="Times New Roman" w:eastAsia="Times New Roman" w:hint="default"/>
        </w:rPr>
        <w:t> </w:t>
      </w:r>
      <w:r>
        <w:rPr/>
        <w:t>计提损失准备。</w:t>
      </w:r>
    </w:p>
    <w:p>
      <w:pPr>
        <w:pStyle w:val="BodyText"/>
        <w:spacing w:line="408" w:lineRule="auto" w:before="65"/>
        <w:ind w:right="0" w:firstLine="480"/>
        <w:jc w:val="left"/>
      </w:pPr>
      <w:r>
        <w:rPr>
          <w:spacing w:val="-2"/>
        </w:rPr>
        <w:t>关注：尽管交易对手目前有能力偿还，但存在一些可能对偿还产生不利影响的因素的债权类资产；交</w:t>
      </w:r>
      <w:r>
        <w:rPr/>
        <w:t> 易对手的现金偿还能力出现明显问题，但交易对手的抵押或质押的可变现资产大于等于债务本金及收益，</w:t>
      </w:r>
      <w:r>
        <w:rPr>
          <w:spacing w:val="-36"/>
        </w:rPr>
        <w:t> </w:t>
      </w:r>
      <w:r>
        <w:rPr>
          <w:spacing w:val="-36"/>
        </w:rPr>
      </w:r>
      <w:r>
        <w:rPr/>
        <w:t>按</w:t>
      </w:r>
      <w:r>
        <w:rPr>
          <w:rFonts w:ascii="Times New Roman" w:hAnsi="Times New Roman" w:cs="Times New Roman" w:eastAsia="Times New Roman" w:hint="default"/>
        </w:rPr>
        <w:t>3%</w:t>
      </w:r>
      <w:r>
        <w:rPr/>
        <w:t>计提损失准备。</w:t>
      </w:r>
    </w:p>
    <w:p>
      <w:pPr>
        <w:pStyle w:val="BodyText"/>
        <w:spacing w:line="408" w:lineRule="auto" w:before="14"/>
        <w:ind w:right="0" w:firstLine="480"/>
        <w:jc w:val="left"/>
      </w:pPr>
      <w:r>
        <w:rPr/>
        <w:t>次级：交易对手的偿还能力出现明显问题，完全依靠其正常经营收入无法足额偿还债务本金及收益，</w:t>
      </w:r>
      <w:r>
        <w:rPr>
          <w:spacing w:val="1"/>
        </w:rPr>
        <w:t> </w:t>
      </w:r>
      <w:r>
        <w:rPr/>
        <w:t>即使执行担保，也可能会造成一定损失，按</w:t>
      </w:r>
      <w:r>
        <w:rPr>
          <w:rFonts w:ascii="Times New Roman" w:hAnsi="Times New Roman" w:cs="Times New Roman" w:eastAsia="Times New Roman" w:hint="default"/>
        </w:rPr>
        <w:t>30%</w:t>
      </w:r>
      <w:r>
        <w:rPr/>
        <w:t>计提损失准备。</w:t>
      </w:r>
    </w:p>
    <w:p>
      <w:pPr>
        <w:pStyle w:val="BodyText"/>
        <w:spacing w:line="386" w:lineRule="auto" w:before="14"/>
        <w:ind w:right="0" w:firstLine="480"/>
        <w:jc w:val="left"/>
      </w:pPr>
      <w:r>
        <w:rPr>
          <w:spacing w:val="-2"/>
        </w:rPr>
        <w:t>可疑：交易对手无法足额偿还债务本金及利息，即使执行担保，也肯定要造成较大损失，按</w:t>
      </w:r>
      <w:r>
        <w:rPr>
          <w:rFonts w:ascii="Times New Roman" w:hAnsi="Times New Roman" w:cs="Times New Roman" w:eastAsia="Times New Roman" w:hint="default"/>
          <w:spacing w:val="-2"/>
        </w:rPr>
        <w:t>60%</w:t>
      </w:r>
      <w:r>
        <w:rPr>
          <w:spacing w:val="-2"/>
        </w:rPr>
        <w:t>计提</w:t>
      </w:r>
      <w:r>
        <w:rPr/>
        <w:t> 损失准备。</w:t>
      </w:r>
    </w:p>
    <w:p>
      <w:pPr>
        <w:pStyle w:val="BodyText"/>
        <w:spacing w:line="408" w:lineRule="auto" w:before="65"/>
        <w:ind w:right="198" w:firstLine="480"/>
        <w:jc w:val="left"/>
      </w:pPr>
      <w:r>
        <w:rPr>
          <w:spacing w:val="-2"/>
        </w:rPr>
        <w:t>损失：在采取所有可能的措施或一切必要的法律程序后，资产及收益仍然无法收回，或只能收回极少</w:t>
      </w:r>
      <w:r>
        <w:rPr/>
        <w:t> 部分，按</w:t>
      </w:r>
      <w:r>
        <w:rPr>
          <w:rFonts w:ascii="Times New Roman" w:hAnsi="Times New Roman" w:cs="Times New Roman" w:eastAsia="Times New Roman" w:hint="default"/>
        </w:rPr>
        <w:t>100%</w:t>
      </w:r>
      <w:r>
        <w:rPr/>
        <w:t>计提损失准备。</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634" w:right="198" w:hanging="60"/>
        <w:jc w:val="left"/>
      </w:pPr>
      <w:r>
        <w:rPr/>
        <w:t>（</w:t>
      </w: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w:t>
      </w:r>
    </w:p>
    <w:p>
      <w:pPr>
        <w:pStyle w:val="BodyText"/>
        <w:spacing w:line="408" w:lineRule="auto" w:before="65"/>
        <w:ind w:right="207"/>
        <w:jc w:val="both"/>
      </w:pPr>
      <w:r>
        <w:rPr>
          <w:spacing w:val="-1"/>
        </w:rPr>
        <w:t>的参与方一致同意后才能决策。本公司与其他合营方一同对被投资单位实施共同控制且对被投资单位净资</w:t>
      </w:r>
      <w:r>
        <w:rPr>
          <w:spacing w:val="-81"/>
        </w:rPr>
        <w:t> </w:t>
      </w:r>
      <w:r>
        <w:rPr>
          <w:spacing w:val="-81"/>
        </w:rPr>
      </w:r>
      <w:r>
        <w:rPr>
          <w:spacing w:val="-1"/>
        </w:rPr>
        <w:t>产享有权利的，被投资单位为本公司的合营企业。重大影响，是指对一个企业的财务和经营决策有参与决</w:t>
      </w:r>
      <w:r>
        <w:rPr>
          <w:spacing w:val="-83"/>
        </w:rPr>
        <w:t> </w:t>
      </w:r>
      <w:r>
        <w:rPr>
          <w:spacing w:val="-83"/>
        </w:rPr>
      </w:r>
      <w:r>
        <w:rPr/>
        <w:t>策的权力，但并不能够控制或者与其他方一起共同控制这些政策的制定。</w:t>
      </w:r>
      <w:r>
        <w:rPr>
          <w:spacing w:val="60"/>
        </w:rPr>
        <w:t> </w:t>
      </w:r>
      <w:r>
        <w:rPr/>
        <w:t>本能够对被投资单位施加重大</w:t>
      </w:r>
      <w:r>
        <w:rPr>
          <w:spacing w:val="-94"/>
        </w:rPr>
        <w:t> </w:t>
      </w:r>
      <w:r>
        <w:rPr>
          <w:spacing w:val="-94"/>
        </w:rPr>
      </w:r>
      <w:r>
        <w:rPr/>
        <w:t>影响的，被投资单位为本公司联营企业。</w:t>
      </w:r>
    </w:p>
    <w:p>
      <w:pPr>
        <w:pStyle w:val="BodyText"/>
        <w:spacing w:line="240" w:lineRule="auto"/>
        <w:ind w:left="634" w:right="0"/>
        <w:jc w:val="left"/>
      </w:pPr>
      <w:r>
        <w:rPr/>
        <w:t>（</w:t>
      </w:r>
      <w:r>
        <w:rPr>
          <w:rFonts w:ascii="Times New Roman" w:hAnsi="Times New Roman" w:cs="Times New Roman" w:eastAsia="Times New Roman" w:hint="default"/>
        </w:rPr>
        <w:t>2</w:t>
      </w:r>
      <w:r>
        <w:rPr/>
        <w:t>）初始投资成本的确定</w:t>
      </w:r>
    </w:p>
    <w:p>
      <w:pPr>
        <w:pStyle w:val="BodyText"/>
        <w:spacing w:line="408" w:lineRule="auto" w:before="177"/>
        <w:ind w:left="634" w:right="198" w:hanging="1"/>
        <w:jc w:val="left"/>
      </w:pPr>
      <w:r>
        <w:rPr/>
        <w:t>①</w:t>
      </w:r>
      <w:r>
        <w:rPr>
          <w:spacing w:val="-1"/>
        </w:rPr>
        <w:t> </w:t>
      </w:r>
      <w:r>
        <w:rPr/>
        <w:t>企业合并形成的长期股权投资</w:t>
      </w:r>
      <w:r>
        <w:rPr/>
        <w:t> </w:t>
      </w:r>
      <w:r>
        <w:rPr>
          <w:spacing w:val="-2"/>
        </w:rPr>
        <w:t>同一控制下的企业合并：公司以支付现金、转让非现金资产或承担债务方式以及以发行权益性证券作</w:t>
      </w:r>
    </w:p>
    <w:p>
      <w:pPr>
        <w:pStyle w:val="BodyText"/>
        <w:spacing w:line="408" w:lineRule="auto"/>
        <w:ind w:right="207"/>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t>日</w:t>
      </w:r>
      <w:r>
        <w:rPr>
          <w:spacing w:val="71"/>
        </w:rPr>
        <w:t> </w:t>
      </w:r>
      <w:r>
        <w:rPr/>
        <w:t>进一步取得股份新支付对价的账面价值之和的差额，调整股本溢价，股本溢价不足冲减的，冲减留存</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both"/>
      </w:pPr>
      <w:r>
        <w:rPr/>
        <w:t>收益。</w:t>
      </w:r>
    </w:p>
    <w:p>
      <w:pPr>
        <w:spacing w:line="240" w:lineRule="auto" w:before="10"/>
        <w:rPr>
          <w:rFonts w:ascii="宋体" w:hAnsi="宋体" w:cs="宋体" w:eastAsia="宋体" w:hint="default"/>
          <w:sz w:val="14"/>
          <w:szCs w:val="14"/>
        </w:rPr>
      </w:pPr>
    </w:p>
    <w:p>
      <w:pPr>
        <w:pStyle w:val="BodyText"/>
        <w:spacing w:line="408" w:lineRule="auto" w:before="0"/>
        <w:ind w:right="310" w:firstLine="480"/>
        <w:jc w:val="both"/>
      </w:pPr>
      <w:r>
        <w:rPr>
          <w:spacing w:val="-2"/>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8" w:lineRule="auto"/>
        <w:ind w:left="634" w:right="298" w:hanging="1"/>
        <w:jc w:val="left"/>
      </w:pPr>
      <w:r>
        <w:rPr/>
        <w:t>②</w:t>
      </w:r>
      <w:r>
        <w:rPr>
          <w:spacing w:val="-1"/>
        </w:rPr>
        <w:t> </w:t>
      </w:r>
      <w:r>
        <w:rPr/>
        <w:t>其他方式取得的长期股权投资</w:t>
      </w:r>
      <w:r>
        <w:rPr/>
        <w:t>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w:t>
      </w:r>
    </w:p>
    <w:p>
      <w:pPr>
        <w:pStyle w:val="BodyText"/>
        <w:spacing w:line="408" w:lineRule="auto"/>
        <w:ind w:right="309"/>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634" w:right="298"/>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26" w:right="298"/>
        <w:jc w:val="left"/>
      </w:pPr>
      <w:r>
        <w:rPr/>
        <w:t>（</w:t>
      </w:r>
      <w:r>
        <w:rPr>
          <w:rFonts w:ascii="Times New Roman" w:hAnsi="Times New Roman" w:cs="Times New Roman" w:eastAsia="Times New Roman" w:hint="default"/>
        </w:rPr>
        <w:t>3</w:t>
      </w:r>
      <w:r>
        <w:rPr/>
        <w:t>）后续计量及损益确认方法</w:t>
      </w:r>
    </w:p>
    <w:p>
      <w:pPr>
        <w:pStyle w:val="BodyText"/>
        <w:spacing w:line="408" w:lineRule="auto" w:before="177"/>
        <w:ind w:left="634" w:right="298" w:hanging="1"/>
        <w:jc w:val="left"/>
      </w:pPr>
      <w:r>
        <w:rPr/>
        <w:t>①</w:t>
      </w:r>
      <w:r>
        <w:rPr>
          <w:spacing w:val="-1"/>
        </w:rPr>
        <w:t> </w:t>
      </w:r>
      <w:r>
        <w:rPr/>
        <w:t>成本法核算的长期股权投资</w:t>
      </w:r>
      <w:r>
        <w:rPr/>
        <w:t> </w:t>
      </w:r>
      <w:r>
        <w:rPr>
          <w:spacing w:val="-2"/>
        </w:rPr>
        <w:t>公司对子公司的长期股权投资，采用成本法核算。除取得投资时实际支付的价款或对价中包含的已宣</w:t>
      </w:r>
    </w:p>
    <w:p>
      <w:pPr>
        <w:pStyle w:val="BodyText"/>
        <w:spacing w:line="408" w:lineRule="auto"/>
        <w:ind w:right="309"/>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408" w:lineRule="auto"/>
        <w:ind w:left="634" w:right="298" w:hanging="1"/>
        <w:jc w:val="left"/>
      </w:pPr>
      <w:r>
        <w:rPr/>
        <w:t>②</w:t>
      </w:r>
      <w:r>
        <w:rPr>
          <w:spacing w:val="-1"/>
        </w:rPr>
        <w:t> </w:t>
      </w:r>
      <w:r>
        <w:rPr/>
        <w:t>权益法核算的长期股权投资</w:t>
      </w:r>
      <w:r>
        <w:rPr/>
        <w:t> </w:t>
      </w:r>
      <w:r>
        <w:rPr>
          <w:spacing w:val="-2"/>
        </w:rPr>
        <w:t>对联营企业和合营企业的长期股权投资，采用权益法核算。初始投资成本大于投资时应享有被投资单</w:t>
      </w:r>
    </w:p>
    <w:p>
      <w:pPr>
        <w:pStyle w:val="BodyText"/>
        <w:spacing w:line="408" w:lineRule="auto"/>
        <w:ind w:right="309"/>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309" w:firstLine="480"/>
        <w:jc w:val="both"/>
      </w:pPr>
      <w:r>
        <w:rPr>
          <w:spacing w:val="-2"/>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ind w:right="90" w:firstLine="480"/>
        <w:jc w:val="left"/>
      </w:pPr>
      <w:r>
        <w:rPr>
          <w:spacing w:val="-2"/>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BodyText"/>
        <w:spacing w:line="240" w:lineRule="auto"/>
        <w:ind w:left="634" w:right="0"/>
        <w:jc w:val="left"/>
      </w:pPr>
      <w:r>
        <w:rPr>
          <w:spacing w:val="-2"/>
        </w:rPr>
        <w:t>公司与联营企业、合营企业之间发生的未实现内部交易损益按照应享有的比例计算归属于公司的部分，</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0" w:lineRule="auto" w:before="35"/>
        <w:ind w:right="0"/>
        <w:jc w:val="left"/>
      </w:pPr>
      <w:r>
        <w:rPr/>
        <w:t>予以抵销，在此基础上确认投资收益。与被投资单位发生的未实现内部交易损失，属于资产减值损失的，</w:t>
      </w:r>
      <w:r>
        <w:rPr>
          <w:spacing w:val="-34"/>
        </w:rPr>
        <w:t> </w:t>
      </w:r>
      <w:r>
        <w:rPr>
          <w:spacing w:val="-34"/>
        </w:rPr>
      </w:r>
      <w:r>
        <w:rPr/>
        <w:t>全额确认。公司与联营企业、 合营企业之间发生投出或出售资产的交易，</w:t>
      </w:r>
      <w:r>
        <w:rPr>
          <w:spacing w:val="-20"/>
        </w:rPr>
        <w:t> </w:t>
      </w:r>
      <w:r>
        <w:rPr/>
        <w:t>该资产构成业务的，按照本附</w:t>
      </w:r>
      <w:r>
        <w:rPr/>
        <w:t> 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w:t>
      </w:r>
      <w:r>
        <w:rPr>
          <w:spacing w:val="-89"/>
        </w:rPr>
        <w:t> </w:t>
      </w:r>
      <w:r>
        <w:rPr>
          <w:spacing w:val="-89"/>
        </w:rPr>
      </w:r>
      <w:r>
        <w:rPr/>
        <w:t>的相关政策进行会计处理。</w:t>
      </w:r>
    </w:p>
    <w:p>
      <w:pPr>
        <w:pStyle w:val="BodyText"/>
        <w:spacing w:line="408" w:lineRule="auto" w:before="52"/>
        <w:ind w:right="211" w:firstLine="480"/>
        <w:jc w:val="both"/>
      </w:pPr>
      <w:r>
        <w:rPr>
          <w:spacing w:val="-2"/>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BodyText"/>
        <w:spacing w:line="386" w:lineRule="auto"/>
        <w:ind w:left="634" w:right="198" w:hanging="1"/>
        <w:jc w:val="left"/>
      </w:pPr>
      <w:r>
        <w:rPr/>
        <w:t>（</w:t>
      </w:r>
      <w:r>
        <w:rPr>
          <w:rFonts w:ascii="Times New Roman" w:hAnsi="Times New Roman" w:cs="Times New Roman" w:eastAsia="Times New Roman" w:hint="default"/>
        </w:rPr>
        <w:t>3</w:t>
      </w:r>
      <w:r>
        <w:rPr/>
        <w:t>）长期股权投资的处置 </w:t>
      </w:r>
      <w:r>
        <w:rPr>
          <w:spacing w:val="-2"/>
        </w:rPr>
        <w:t>处置长期股权投资，其账面价值与实际取得价款的差额，计入当期损益。采用权益法核算的长期股权</w:t>
      </w:r>
    </w:p>
    <w:p>
      <w:pPr>
        <w:pStyle w:val="BodyText"/>
        <w:spacing w:line="408" w:lineRule="auto" w:before="65"/>
        <w:ind w:right="209"/>
        <w:jc w:val="both"/>
      </w:pPr>
      <w:r>
        <w:rPr>
          <w:spacing w:val="-1"/>
        </w:rPr>
        <w:t>投资，在处置该项投资时，采用与被投资单位直接处置相关资产或负债相同的基础，按相应比例对原计入</w:t>
      </w:r>
      <w:r>
        <w:rPr>
          <w:spacing w:val="-83"/>
        </w:rPr>
        <w:t> </w:t>
      </w:r>
      <w:r>
        <w:rPr>
          <w:spacing w:val="-83"/>
        </w:rPr>
      </w:r>
      <w:r>
        <w:rPr>
          <w:spacing w:val="-1"/>
        </w:rPr>
        <w:t>其他综合收益的部分进行会计处理。因被投资单位除净损益、其他综合收益和利润分配以外的其他所有者</w:t>
      </w:r>
      <w:r>
        <w:rPr>
          <w:spacing w:val="-81"/>
        </w:rPr>
        <w:t> </w:t>
      </w:r>
      <w:r>
        <w:rPr>
          <w:spacing w:val="-81"/>
        </w:rPr>
      </w:r>
      <w:r>
        <w:rPr>
          <w:spacing w:val="-1"/>
        </w:rPr>
        <w:t>权益变动而确认的所有者权益，按比例结转入当期损益，由于被投资方重新计量设定受益计划净负债或净</w:t>
      </w:r>
      <w:r>
        <w:rPr>
          <w:spacing w:val="-81"/>
        </w:rPr>
        <w:t> </w:t>
      </w:r>
      <w:r>
        <w:rPr>
          <w:spacing w:val="-81"/>
        </w:rPr>
      </w:r>
      <w:r>
        <w:rPr/>
        <w:t>资产变动而产生的其他综合收益除外。</w:t>
      </w:r>
    </w:p>
    <w:p>
      <w:pPr>
        <w:pStyle w:val="BodyText"/>
        <w:spacing w:line="408" w:lineRule="auto"/>
        <w:ind w:right="209" w:firstLine="480"/>
        <w:jc w:val="both"/>
      </w:pPr>
      <w:r>
        <w:rPr>
          <w:spacing w:val="-2"/>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right="209" w:firstLine="480"/>
        <w:jc w:val="both"/>
      </w:pPr>
      <w:r>
        <w:rPr>
          <w:spacing w:val="-2"/>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right="209" w:firstLine="480"/>
        <w:jc w:val="both"/>
      </w:pPr>
      <w:r>
        <w:rPr>
          <w:spacing w:val="-2"/>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Heading3"/>
        <w:spacing w:line="240" w:lineRule="auto" w:before="35"/>
        <w:ind w:right="148"/>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pStyle w:val="BodyText"/>
        <w:spacing w:line="444" w:lineRule="auto" w:before="190"/>
        <w:ind w:left="153" w:right="7671"/>
        <w:jc w:val="left"/>
      </w:pPr>
      <w:r>
        <w:rPr/>
        <w:t>投资性房地产计量模式 成本法计量 折旧或摊销方法 年限平均法。</w:t>
      </w:r>
    </w:p>
    <w:p>
      <w:pPr>
        <w:spacing w:line="240" w:lineRule="auto" w:before="2"/>
        <w:rPr>
          <w:rFonts w:ascii="宋体" w:hAnsi="宋体" w:cs="宋体" w:eastAsia="宋体" w:hint="default"/>
          <w:sz w:val="18"/>
          <w:szCs w:val="18"/>
        </w:rPr>
      </w:pPr>
    </w:p>
    <w:p>
      <w:pPr>
        <w:pStyle w:val="Heading3"/>
        <w:spacing w:line="240" w:lineRule="auto"/>
        <w:ind w:left="153" w:right="148"/>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39" w:firstLine="480"/>
        <w:jc w:val="left"/>
      </w:pPr>
      <w:r>
        <w:rPr>
          <w:spacing w:val="-2"/>
        </w:rPr>
        <w:t>固定资产指为生产商品、提供劳务、出租或经营管理而持有的，使用寿命超过一个会计年度的有形资</w:t>
      </w:r>
      <w:r>
        <w:rPr/>
        <w:t> 产。同时满足以下条件时予以确认：</w:t>
      </w:r>
    </w:p>
    <w:p>
      <w:pPr>
        <w:pStyle w:val="BodyText"/>
        <w:spacing w:line="240" w:lineRule="auto"/>
        <w:ind w:left="633" w:right="148"/>
        <w:jc w:val="left"/>
      </w:pPr>
      <w:r>
        <w:rPr/>
        <w:t>①</w:t>
      </w:r>
      <w:r>
        <w:rPr>
          <w:spacing w:val="45"/>
        </w:rPr>
        <w:t> </w:t>
      </w:r>
      <w:r>
        <w:rPr/>
        <w:t>与该固定资产有关的经济利益很可能流入企业；</w:t>
      </w:r>
    </w:p>
    <w:p>
      <w:pPr>
        <w:spacing w:line="240" w:lineRule="auto" w:before="10"/>
        <w:rPr>
          <w:rFonts w:ascii="宋体" w:hAnsi="宋体" w:cs="宋体" w:eastAsia="宋体" w:hint="default"/>
          <w:sz w:val="14"/>
          <w:szCs w:val="14"/>
        </w:rPr>
      </w:pPr>
    </w:p>
    <w:p>
      <w:pPr>
        <w:pStyle w:val="BodyText"/>
        <w:spacing w:line="240" w:lineRule="auto" w:before="0"/>
        <w:ind w:left="633" w:right="148"/>
        <w:jc w:val="left"/>
      </w:pPr>
      <w:r>
        <w:rPr/>
        <w:t>②</w:t>
      </w:r>
      <w:r>
        <w:rPr>
          <w:spacing w:val="-2"/>
        </w:rPr>
        <w:t> </w:t>
      </w:r>
      <w:r>
        <w:rPr/>
        <w:t>该固定资产的成本能够可靠地计量。</w:t>
      </w:r>
    </w:p>
    <w:p>
      <w:pPr>
        <w:spacing w:line="240" w:lineRule="auto" w:before="0"/>
        <w:rPr>
          <w:rFonts w:ascii="宋体" w:hAnsi="宋体" w:cs="宋体" w:eastAsia="宋体" w:hint="default"/>
          <w:sz w:val="20"/>
          <w:szCs w:val="20"/>
        </w:rPr>
      </w:pPr>
    </w:p>
    <w:p>
      <w:pPr>
        <w:pStyle w:val="Heading3"/>
        <w:spacing w:line="240" w:lineRule="auto" w:before="154"/>
        <w:ind w:left="153" w:right="14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9.5%-11.88%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38" w:firstLine="480"/>
        <w:jc w:val="left"/>
      </w:pPr>
      <w:r>
        <w:rPr>
          <w:spacing w:val="-2"/>
        </w:rPr>
        <w:t>融资租入固定资产的认定依据：实质上转移了与资产所有权有关的全部风险和报酬的租赁。具体认定</w:t>
      </w:r>
      <w:r>
        <w:rPr/>
        <w:t> 依据为符合下列一项或数项条件的：</w:t>
      </w:r>
    </w:p>
    <w:p>
      <w:pPr>
        <w:pStyle w:val="BodyText"/>
        <w:spacing w:line="240" w:lineRule="auto"/>
        <w:ind w:left="634" w:right="148"/>
        <w:jc w:val="left"/>
      </w:pPr>
      <w:r>
        <w:rPr/>
        <w:t>①</w:t>
      </w:r>
      <w:r>
        <w:rPr>
          <w:spacing w:val="45"/>
        </w:rPr>
        <w:t> </w:t>
      </w:r>
      <w:r>
        <w:rPr/>
        <w:t>在租赁期届满时，租赁资产的所有权转移给承租人；</w:t>
      </w:r>
    </w:p>
    <w:p>
      <w:pPr>
        <w:spacing w:line="240" w:lineRule="auto" w:before="10"/>
        <w:rPr>
          <w:rFonts w:ascii="宋体" w:hAnsi="宋体" w:cs="宋体" w:eastAsia="宋体" w:hint="default"/>
          <w:sz w:val="14"/>
          <w:szCs w:val="14"/>
        </w:rPr>
      </w:pPr>
    </w:p>
    <w:p>
      <w:pPr>
        <w:pStyle w:val="BodyText"/>
        <w:spacing w:line="408" w:lineRule="auto" w:before="0"/>
        <w:ind w:right="131" w:firstLine="480"/>
        <w:jc w:val="left"/>
      </w:pPr>
      <w:r>
        <w:rPr/>
        <w:t>②</w:t>
      </w:r>
      <w:r>
        <w:rPr>
          <w:spacing w:val="24"/>
        </w:rPr>
        <w:t> </w:t>
      </w:r>
      <w:r>
        <w:rPr/>
        <w:t>承租人有购买租赁资产的选择权，所订立的购买价款预计将远低于行使选择权时租赁资产的公允</w:t>
      </w:r>
      <w:r>
        <w:rPr/>
        <w:t> 价值，因而在租赁开始日就可以合理确定承租人会行使这种选择权；</w:t>
      </w:r>
    </w:p>
    <w:p>
      <w:pPr>
        <w:pStyle w:val="BodyText"/>
        <w:spacing w:line="240" w:lineRule="auto"/>
        <w:ind w:left="634" w:right="148"/>
        <w:jc w:val="left"/>
      </w:pPr>
      <w:r>
        <w:rPr/>
        <w:t>③</w:t>
      </w:r>
      <w:r>
        <w:rPr>
          <w:spacing w:val="45"/>
        </w:rPr>
        <w:t> </w:t>
      </w:r>
      <w:r>
        <w:rPr/>
        <w:t>即使资产的所有权不转移，但租赁期占租赁资产使用寿命的大部分；</w:t>
      </w:r>
    </w:p>
    <w:p>
      <w:pPr>
        <w:spacing w:line="240" w:lineRule="auto" w:before="10"/>
        <w:rPr>
          <w:rFonts w:ascii="宋体" w:hAnsi="宋体" w:cs="宋体" w:eastAsia="宋体" w:hint="default"/>
          <w:sz w:val="14"/>
          <w:szCs w:val="14"/>
        </w:rPr>
      </w:pPr>
    </w:p>
    <w:p>
      <w:pPr>
        <w:pStyle w:val="BodyText"/>
        <w:spacing w:line="240" w:lineRule="auto" w:before="0"/>
        <w:ind w:left="634" w:right="148"/>
        <w:jc w:val="left"/>
      </w:pPr>
      <w:r>
        <w:rPr/>
        <w:t>④</w:t>
      </w:r>
      <w:r>
        <w:rPr>
          <w:spacing w:val="45"/>
        </w:rPr>
        <w:t> </w:t>
      </w:r>
      <w:r>
        <w:rPr/>
        <w:t>承租人在租赁开始日的最低租赁付款额现值，几乎相当于租赁开始日租赁资产公允价值；</w:t>
      </w:r>
    </w:p>
    <w:p>
      <w:pPr>
        <w:spacing w:line="240" w:lineRule="auto" w:before="10"/>
        <w:rPr>
          <w:rFonts w:ascii="宋体" w:hAnsi="宋体" w:cs="宋体" w:eastAsia="宋体" w:hint="default"/>
          <w:sz w:val="14"/>
          <w:szCs w:val="14"/>
        </w:rPr>
      </w:pPr>
    </w:p>
    <w:p>
      <w:pPr>
        <w:pStyle w:val="BodyText"/>
        <w:spacing w:line="408" w:lineRule="auto" w:before="0"/>
        <w:ind w:right="133" w:firstLine="480"/>
        <w:jc w:val="left"/>
      </w:pPr>
      <w:r>
        <w:rPr/>
        <w:t>⑤</w:t>
      </w:r>
      <w:r>
        <w:rPr>
          <w:spacing w:val="22"/>
        </w:rPr>
        <w:t> </w:t>
      </w:r>
      <w:r>
        <w:rPr/>
        <w:t>租赁资产性质特殊，如不作较大改造只有承租人才能使用。融资租入固定资产的计价方法：融资</w:t>
      </w:r>
      <w:r>
        <w:rPr/>
        <w:t> </w:t>
      </w:r>
      <w:r>
        <w:rPr>
          <w:spacing w:val="-1"/>
        </w:rPr>
        <w:t>租入固定资产初始计价为租赁期开始日租赁资产公允价值与最低租赁付款额现值较低者作为入账价值；融</w:t>
      </w:r>
    </w:p>
    <w:p>
      <w:pPr>
        <w:spacing w:after="0" w:line="408"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298"/>
        <w:jc w:val="left"/>
      </w:pPr>
      <w:r>
        <w:rPr/>
        <w:t>资租入固定资产后续计价采用与自有固定资产相一致的折旧政策计提折旧及减值准备。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298"/>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6570" w:hanging="421"/>
        <w:jc w:val="left"/>
      </w:pPr>
      <w:r>
        <w:rPr/>
        <w:t>（</w:t>
      </w:r>
      <w:r>
        <w:rPr>
          <w:rFonts w:ascii="Times New Roman" w:hAnsi="Times New Roman" w:cs="Times New Roman" w:eastAsia="Times New Roman" w:hint="default"/>
        </w:rPr>
        <w:t>1</w:t>
      </w:r>
      <w:r>
        <w:rPr/>
        <w:t>）在建工程的类别 在建工程按工程项目分类核算。</w:t>
      </w:r>
    </w:p>
    <w:p>
      <w:pPr>
        <w:pStyle w:val="BodyText"/>
        <w:spacing w:line="386" w:lineRule="auto" w:before="65"/>
        <w:ind w:left="578" w:right="310" w:hanging="425"/>
        <w:jc w:val="left"/>
      </w:pPr>
      <w:r>
        <w:rPr/>
        <w:t>（</w:t>
      </w:r>
      <w:r>
        <w:rPr>
          <w:rFonts w:ascii="Times New Roman" w:hAnsi="Times New Roman" w:cs="Times New Roman" w:eastAsia="Times New Roman" w:hint="default"/>
        </w:rPr>
        <w:t>2</w:t>
      </w:r>
      <w:r>
        <w:rPr/>
        <w:t>）在建工程结转为固定资产的标准和时点 </w:t>
      </w:r>
      <w:r>
        <w:rPr>
          <w:spacing w:val="-1"/>
        </w:rPr>
        <w:t>在工程完工验收合格交付使用的当月结转固定资产。对已达到预定可使用状态但尚未办理竣工决算的</w:t>
      </w:r>
    </w:p>
    <w:p>
      <w:pPr>
        <w:pStyle w:val="BodyText"/>
        <w:spacing w:line="408" w:lineRule="auto" w:before="65"/>
        <w:ind w:left="153" w:right="308"/>
        <w:jc w:val="both"/>
      </w:pPr>
      <w:r>
        <w:rPr>
          <w:spacing w:val="-5"/>
        </w:rPr>
        <w:t>固定资产，按照估计价值确定其成本，并计提折旧；待办理竣工决算后，按实际成本调整原来的暂估价值，</w:t>
      </w:r>
      <w:r>
        <w:rPr>
          <w:spacing w:val="-102"/>
        </w:rPr>
        <w:t> </w:t>
      </w:r>
      <w:r>
        <w:rPr>
          <w:spacing w:val="-102"/>
        </w:rPr>
      </w:r>
      <w:r>
        <w:rPr/>
        <w:t>但不调整原已计提的折旧额。</w:t>
      </w:r>
    </w:p>
    <w:p>
      <w:pPr>
        <w:pStyle w:val="BodyText"/>
        <w:spacing w:line="386" w:lineRule="auto"/>
        <w:ind w:left="578" w:right="298" w:hanging="425"/>
        <w:jc w:val="left"/>
      </w:pPr>
      <w:r>
        <w:rPr/>
        <w:t>（</w:t>
      </w:r>
      <w:r>
        <w:rPr>
          <w:rFonts w:ascii="Times New Roman" w:hAnsi="Times New Roman" w:cs="Times New Roman" w:eastAsia="Times New Roman" w:hint="default"/>
        </w:rPr>
        <w:t>3</w:t>
      </w:r>
      <w:r>
        <w:rPr/>
        <w:t>）在建工程的减值测试方法、减值准备计提方法 </w:t>
      </w:r>
      <w:r>
        <w:rPr>
          <w:spacing w:val="-1"/>
        </w:rPr>
        <w:t>资产负债表日，本公司对在建工程检查是否存在可能发生减值的迹象，当存在减值迹象时应进行减值</w:t>
      </w:r>
    </w:p>
    <w:p>
      <w:pPr>
        <w:pStyle w:val="BodyText"/>
        <w:spacing w:line="408" w:lineRule="auto" w:before="65"/>
        <w:ind w:left="153" w:right="310"/>
        <w:jc w:val="both"/>
      </w:pPr>
      <w:r>
        <w:rPr>
          <w:spacing w:val="-1"/>
        </w:rPr>
        <w:t>测试确认其可收回金额，按账面价值与可收回金额孰低计提减值准备，减值损失一经计提，在以后会计期</w:t>
      </w:r>
      <w:r>
        <w:rPr>
          <w:spacing w:val="-83"/>
        </w:rPr>
        <w:t> </w:t>
      </w:r>
      <w:r>
        <w:rPr>
          <w:spacing w:val="-83"/>
        </w:rPr>
      </w:r>
      <w:r>
        <w:rPr/>
        <w:t>间不再转回。</w:t>
      </w:r>
    </w:p>
    <w:p>
      <w:pPr>
        <w:pStyle w:val="BodyText"/>
        <w:spacing w:line="408" w:lineRule="auto"/>
        <w:ind w:left="153" w:right="298" w:firstLine="424"/>
        <w:jc w:val="left"/>
      </w:pPr>
      <w:r>
        <w:rPr>
          <w:spacing w:val="3"/>
        </w:rPr>
        <w:t>在建工程可收回金额根据资产公允价值减去处置费用后的净额与资产预计未来现金流量的现值两者</w:t>
      </w:r>
      <w:r>
        <w:rPr/>
        <w:t> 孰高确定。</w:t>
      </w:r>
    </w:p>
    <w:p>
      <w:pPr>
        <w:spacing w:line="240" w:lineRule="auto" w:before="6"/>
        <w:rPr>
          <w:rFonts w:ascii="宋体" w:hAnsi="宋体" w:cs="宋体" w:eastAsia="宋体" w:hint="default"/>
          <w:sz w:val="26"/>
          <w:szCs w:val="26"/>
        </w:rPr>
      </w:pPr>
    </w:p>
    <w:p>
      <w:pPr>
        <w:pStyle w:val="Heading3"/>
        <w:spacing w:line="240" w:lineRule="auto"/>
        <w:ind w:right="298"/>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153" w:right="307"/>
        <w:jc w:val="both"/>
      </w:pPr>
      <w:r>
        <w:rPr/>
        <w:t>（</w:t>
      </w:r>
      <w:r>
        <w:rPr>
          <w:rFonts w:ascii="Times New Roman" w:hAnsi="Times New Roman" w:cs="Times New Roman" w:eastAsia="Times New Roman" w:hint="default"/>
        </w:rPr>
        <w:t>1</w:t>
      </w:r>
      <w:r>
        <w:rPr/>
        <w:t>）借款费用包括借款面值发生的利息、折价或溢价的摊销和辅助费用以及因外币借款而发生的汇兑差</w:t>
      </w:r>
      <w:r>
        <w:rPr>
          <w:spacing w:val="-35"/>
        </w:rPr>
        <w:t> </w:t>
      </w:r>
      <w:r>
        <w:rPr>
          <w:spacing w:val="-35"/>
        </w:rPr>
      </w:r>
      <w:r>
        <w:rPr>
          <w:spacing w:val="-2"/>
        </w:rPr>
        <w:t>额，因专门借款而发生的利息、折价或溢价的摊销和汇兑差额</w:t>
      </w:r>
      <w:r>
        <w:rPr>
          <w:rFonts w:ascii="Times New Roman" w:hAnsi="Times New Roman" w:cs="Times New Roman" w:eastAsia="Times New Roman" w:hint="default"/>
          <w:spacing w:val="-2"/>
        </w:rPr>
        <w:t>,</w:t>
      </w:r>
      <w:r>
        <w:rPr>
          <w:spacing w:val="-2"/>
        </w:rPr>
        <w:t>在同时具备下列三个条件时，借款费用予以</w:t>
      </w:r>
      <w:r>
        <w:rPr>
          <w:spacing w:val="-89"/>
        </w:rPr>
        <w:t> </w:t>
      </w:r>
      <w:r>
        <w:rPr>
          <w:spacing w:val="-89"/>
        </w:rPr>
      </w:r>
      <w:r>
        <w:rPr/>
        <w:t>资本化：</w:t>
      </w:r>
    </w:p>
    <w:p>
      <w:pPr>
        <w:pStyle w:val="BodyText"/>
        <w:spacing w:line="240" w:lineRule="auto" w:before="65"/>
        <w:ind w:left="577" w:right="298"/>
        <w:jc w:val="left"/>
      </w:pPr>
      <w:r>
        <w:rPr/>
        <w:t>①</w:t>
      </w:r>
      <w:r>
        <w:rPr>
          <w:spacing w:val="-21"/>
        </w:rPr>
        <w:t> </w:t>
      </w:r>
      <w:r>
        <w:rPr/>
        <w:t>资产支出已经发生；</w:t>
      </w:r>
    </w:p>
    <w:p>
      <w:pPr>
        <w:spacing w:line="240" w:lineRule="auto" w:before="10"/>
        <w:rPr>
          <w:rFonts w:ascii="宋体" w:hAnsi="宋体" w:cs="宋体" w:eastAsia="宋体" w:hint="default"/>
          <w:sz w:val="14"/>
          <w:szCs w:val="14"/>
        </w:rPr>
      </w:pPr>
    </w:p>
    <w:p>
      <w:pPr>
        <w:pStyle w:val="BodyText"/>
        <w:spacing w:line="240" w:lineRule="auto" w:before="0"/>
        <w:ind w:left="577" w:right="298"/>
        <w:jc w:val="left"/>
      </w:pPr>
      <w:r>
        <w:rPr/>
        <w:t>②</w:t>
      </w:r>
      <w:r>
        <w:rPr>
          <w:spacing w:val="-21"/>
        </w:rPr>
        <w:t> </w:t>
      </w:r>
      <w:r>
        <w:rPr/>
        <w:t>借款费用已经发生；</w:t>
      </w:r>
    </w:p>
    <w:p>
      <w:pPr>
        <w:spacing w:line="240" w:lineRule="auto" w:before="10"/>
        <w:rPr>
          <w:rFonts w:ascii="宋体" w:hAnsi="宋体" w:cs="宋体" w:eastAsia="宋体" w:hint="default"/>
          <w:sz w:val="14"/>
          <w:szCs w:val="14"/>
        </w:rPr>
      </w:pPr>
    </w:p>
    <w:p>
      <w:pPr>
        <w:pStyle w:val="BodyText"/>
        <w:spacing w:line="408" w:lineRule="auto" w:before="0"/>
        <w:ind w:left="573" w:right="1864" w:firstLine="3"/>
        <w:jc w:val="left"/>
      </w:pPr>
      <w:r>
        <w:rPr/>
        <w:t>③</w:t>
      </w:r>
      <w:r>
        <w:rPr>
          <w:spacing w:val="-21"/>
        </w:rPr>
        <w:t> </w:t>
      </w:r>
      <w:r>
        <w:rPr/>
        <w:t>为使资产达到预定可使用或者可销售状态所必要的购建或者生产活动已经开始。</w:t>
      </w:r>
      <w:r>
        <w:rPr/>
        <w:t> 其他的借款利息、折价或溢价的摊销和汇兑差额，在发生当期确认费用。</w:t>
      </w:r>
    </w:p>
    <w:p>
      <w:pPr>
        <w:pStyle w:val="BodyText"/>
        <w:spacing w:line="386" w:lineRule="auto"/>
        <w:ind w:left="633" w:right="91" w:hanging="480"/>
        <w:jc w:val="left"/>
      </w:pPr>
      <w:r>
        <w:rPr/>
        <w:t>（</w:t>
      </w:r>
      <w:r>
        <w:rPr>
          <w:rFonts w:ascii="Times New Roman" w:hAnsi="Times New Roman" w:cs="Times New Roman" w:eastAsia="Times New Roman" w:hint="default"/>
        </w:rPr>
        <w:t>2</w:t>
      </w:r>
      <w:r>
        <w:rPr/>
        <w:t>）资本化金额的确定 </w:t>
      </w:r>
      <w:r>
        <w:rPr>
          <w:spacing w:val="-2"/>
        </w:rPr>
        <w:t>为购建或者生产符合资本化条件的资产而借入专门借款的，应当以专门借款当期实际发生的利息费用，</w:t>
      </w:r>
    </w:p>
    <w:p>
      <w:pPr>
        <w:pStyle w:val="BodyText"/>
        <w:spacing w:line="408" w:lineRule="auto" w:before="65"/>
        <w:ind w:right="310"/>
        <w:jc w:val="both"/>
      </w:pPr>
      <w:r>
        <w:rPr>
          <w:spacing w:val="-1"/>
        </w:rPr>
        <w:t>减去将尚未动用的借款资金存入银行取得的利息收入或进行暂时性投资取得的投资收益后的金额确定。为</w:t>
      </w:r>
      <w:r>
        <w:rPr>
          <w:spacing w:val="-81"/>
        </w:rPr>
        <w:t> </w:t>
      </w:r>
      <w:r>
        <w:rPr>
          <w:spacing w:val="-81"/>
        </w:rPr>
      </w:r>
      <w:r>
        <w:rPr>
          <w:spacing w:val="-1"/>
        </w:rPr>
        <w:t>购建或者生产符合资本化条件的资产而占用了一般借款的，根据项目的累计资产支出超出专门借款部分的</w:t>
      </w:r>
      <w:r>
        <w:rPr>
          <w:spacing w:val="-81"/>
        </w:rPr>
        <w:t> </w:t>
      </w:r>
      <w:r>
        <w:rPr>
          <w:spacing w:val="-81"/>
        </w:rPr>
      </w:r>
      <w:r>
        <w:rPr/>
        <w:t>支出加权平均数乘以所占用一般借款的资本化率，确认一般借款应予资本化的利息金额。</w:t>
      </w:r>
    </w:p>
    <w:p>
      <w:pPr>
        <w:spacing w:after="0" w:line="408" w:lineRule="auto"/>
        <w:jc w:val="both"/>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8" w:lineRule="auto" w:before="35"/>
        <w:ind w:right="90" w:firstLine="480"/>
        <w:jc w:val="left"/>
      </w:pPr>
      <w:r>
        <w:rPr>
          <w:spacing w:val="-2"/>
        </w:rPr>
        <w:t>专门借款发生的辅助费用，在所购建或者生产的符合资本化条件的资产达到预定可使用或者可销售状</w:t>
      </w:r>
      <w:r>
        <w:rPr/>
        <w:t> 态之前，应当在发生时根据其发生额予以资本化，计入符合资本化条件的资产的成本；在所购建或者生产 的符合资本化条件的资产达到预定可使用或者可销售状态之后，应当在发生时根据其发生额确认为费用，</w:t>
      </w:r>
      <w:r>
        <w:rPr>
          <w:spacing w:val="-34"/>
        </w:rPr>
        <w:t> </w:t>
      </w:r>
      <w:r>
        <w:rPr>
          <w:spacing w:val="-34"/>
        </w:rPr>
      </w:r>
      <w:r>
        <w:rPr/>
        <w:t>计入当期损益。一般借款发生的辅助费用，于发生时计入当期损益。</w:t>
      </w:r>
    </w:p>
    <w:p>
      <w:pPr>
        <w:pStyle w:val="BodyText"/>
        <w:spacing w:line="240" w:lineRule="auto"/>
        <w:ind w:right="0"/>
        <w:jc w:val="both"/>
      </w:pPr>
      <w:r>
        <w:rPr/>
        <w:t>（</w:t>
      </w:r>
      <w:r>
        <w:rPr>
          <w:rFonts w:ascii="Times New Roman" w:hAnsi="Times New Roman" w:cs="Times New Roman" w:eastAsia="Times New Roman" w:hint="default"/>
        </w:rPr>
        <w:t>3</w:t>
      </w:r>
      <w:r>
        <w:rPr/>
        <w:t>）资本化率的确定</w:t>
      </w:r>
    </w:p>
    <w:p>
      <w:pPr>
        <w:pStyle w:val="BodyText"/>
        <w:spacing w:line="240" w:lineRule="auto" w:before="177"/>
        <w:ind w:left="721" w:right="298"/>
        <w:jc w:val="left"/>
      </w:pPr>
      <w:r>
        <w:rPr/>
        <w:t>①</w:t>
      </w:r>
      <w:r>
        <w:rPr>
          <w:spacing w:val="-21"/>
        </w:rPr>
        <w:t> </w:t>
      </w:r>
      <w:r>
        <w:rPr/>
        <w:t>为购建固定资产借入一笔专门借款，资本化率为该项借款的利率；</w:t>
      </w:r>
    </w:p>
    <w:p>
      <w:pPr>
        <w:spacing w:line="240" w:lineRule="auto" w:before="10"/>
        <w:rPr>
          <w:rFonts w:ascii="宋体" w:hAnsi="宋体" w:cs="宋体" w:eastAsia="宋体" w:hint="default"/>
          <w:sz w:val="14"/>
          <w:szCs w:val="14"/>
        </w:rPr>
      </w:pPr>
    </w:p>
    <w:p>
      <w:pPr>
        <w:pStyle w:val="BodyText"/>
        <w:spacing w:line="240" w:lineRule="auto" w:before="0"/>
        <w:ind w:left="721" w:right="298"/>
        <w:jc w:val="left"/>
      </w:pPr>
      <w:r>
        <w:rPr/>
        <w:t>②</w:t>
      </w:r>
      <w:r>
        <w:rPr>
          <w:spacing w:val="-21"/>
        </w:rPr>
        <w:t> </w:t>
      </w:r>
      <w:r>
        <w:rPr/>
        <w:t>为购入固定资产借入一笔以上的专门借款，资本化率为这些借款的加权平均利率。</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w:t>
      </w:r>
      <w:r>
        <w:rPr>
          <w:rFonts w:ascii="Times New Roman" w:hAnsi="Times New Roman" w:cs="Times New Roman" w:eastAsia="Times New Roman" w:hint="default"/>
        </w:rPr>
        <w:t>4</w:t>
      </w:r>
      <w:r>
        <w:rPr/>
        <w:t>）暂停资本化</w:t>
      </w:r>
    </w:p>
    <w:p>
      <w:pPr>
        <w:pStyle w:val="BodyText"/>
        <w:spacing w:line="398" w:lineRule="auto" w:before="177"/>
        <w:ind w:right="311" w:firstLine="480"/>
        <w:jc w:val="both"/>
      </w:pPr>
      <w:r>
        <w:rPr/>
        <w:t>若资产在购建或者生产过程中发生非正常中断、且中断时间连续超过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个月的，应当暂停借款费用 </w:t>
      </w:r>
      <w:r>
        <w:rPr>
          <w:spacing w:val="-1"/>
        </w:rPr>
        <w:t>的资本化。在中断期间发生的借款费用应当确认为费用，计入当期损益，直至资产的购建或者生产活动重</w:t>
      </w:r>
      <w:r>
        <w:rPr>
          <w:spacing w:val="-83"/>
        </w:rPr>
        <w:t> </w:t>
      </w:r>
      <w:r>
        <w:rPr>
          <w:spacing w:val="-83"/>
        </w:rPr>
      </w:r>
      <w:r>
        <w:rPr/>
        <w:t>新开始。</w:t>
      </w:r>
    </w:p>
    <w:p>
      <w:pPr>
        <w:pStyle w:val="BodyText"/>
        <w:spacing w:line="240" w:lineRule="auto" w:before="54"/>
        <w:ind w:right="0"/>
        <w:jc w:val="both"/>
      </w:pPr>
      <w:r>
        <w:rPr/>
        <w:t>（</w:t>
      </w:r>
      <w:r>
        <w:rPr>
          <w:rFonts w:ascii="Times New Roman" w:hAnsi="Times New Roman" w:cs="Times New Roman" w:eastAsia="Times New Roman" w:hint="default"/>
        </w:rPr>
        <w:t>5</w:t>
      </w:r>
      <w:r>
        <w:rPr/>
        <w:t>）停止资本化</w:t>
      </w:r>
    </w:p>
    <w:p>
      <w:pPr>
        <w:pStyle w:val="BodyText"/>
        <w:spacing w:line="408" w:lineRule="auto" w:before="177"/>
        <w:ind w:right="90" w:firstLine="480"/>
        <w:jc w:val="left"/>
      </w:pPr>
      <w:r>
        <w:rPr/>
        <w:t>购建或者生产符合资本化条件的资产达到预定可使用或者可销售状态时，借款费用应当停止资本化。 在符合资本化条件的资产达到预定可使用或者可销售状态之后所发生的借款费用，应当在发生时根据其发 生额确认为费用，计入当期损益。</w:t>
      </w:r>
    </w:p>
    <w:p>
      <w:pPr>
        <w:pStyle w:val="BodyText"/>
        <w:spacing w:line="408" w:lineRule="auto"/>
        <w:ind w:right="298" w:firstLine="480"/>
        <w:jc w:val="left"/>
      </w:pPr>
      <w:r>
        <w:rPr>
          <w:spacing w:val="-2"/>
        </w:rPr>
        <w:t>购建或者生产的资产的各部分分别完工，但必须等到整体完工后才可使用或者可对外销售的，应当在</w:t>
      </w:r>
      <w:r>
        <w:rPr/>
        <w:t> 该资产整体完工时停止借款费用的资本化。</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153" w:right="307"/>
        <w:jc w:val="both"/>
      </w:pPr>
      <w:r>
        <w:rPr/>
        <w:t>（</w:t>
      </w:r>
      <w:r>
        <w:rPr>
          <w:rFonts w:ascii="Times New Roman" w:hAnsi="Times New Roman" w:cs="Times New Roman" w:eastAsia="Times New Roman" w:hint="default"/>
        </w:rPr>
        <w:t>1</w:t>
      </w:r>
      <w:r>
        <w:rPr/>
        <w:t>）借款费用包括借款面值发生的利息、折价或溢价的摊销和辅助费用以及因外币借款而发生的汇兑差</w:t>
      </w:r>
      <w:r>
        <w:rPr>
          <w:spacing w:val="-35"/>
        </w:rPr>
        <w:t> </w:t>
      </w:r>
      <w:r>
        <w:rPr>
          <w:spacing w:val="-35"/>
        </w:rPr>
      </w:r>
      <w:r>
        <w:rPr>
          <w:spacing w:val="-2"/>
        </w:rPr>
        <w:t>额，因专门借款而发生的利息、折价或溢价的摊销和汇兑差额</w:t>
      </w:r>
      <w:r>
        <w:rPr>
          <w:rFonts w:ascii="Times New Roman" w:hAnsi="Times New Roman" w:cs="Times New Roman" w:eastAsia="Times New Roman" w:hint="default"/>
          <w:spacing w:val="-2"/>
        </w:rPr>
        <w:t>,</w:t>
      </w:r>
      <w:r>
        <w:rPr>
          <w:spacing w:val="-2"/>
        </w:rPr>
        <w:t>在同时具备下列三个条件时，借款费用予以</w:t>
      </w:r>
      <w:r>
        <w:rPr>
          <w:spacing w:val="-89"/>
        </w:rPr>
        <w:t> </w:t>
      </w:r>
      <w:r>
        <w:rPr>
          <w:spacing w:val="-89"/>
        </w:rPr>
      </w:r>
      <w:r>
        <w:rPr/>
        <w:t>资本化：</w:t>
      </w:r>
    </w:p>
    <w:p>
      <w:pPr>
        <w:pStyle w:val="BodyText"/>
        <w:spacing w:line="240" w:lineRule="auto" w:before="65"/>
        <w:ind w:left="577" w:right="298"/>
        <w:jc w:val="left"/>
      </w:pPr>
      <w:r>
        <w:rPr/>
        <w:t>①</w:t>
      </w:r>
      <w:r>
        <w:rPr>
          <w:spacing w:val="-21"/>
        </w:rPr>
        <w:t> </w:t>
      </w:r>
      <w:r>
        <w:rPr/>
        <w:t>资产支出已经发生；</w:t>
      </w:r>
    </w:p>
    <w:p>
      <w:pPr>
        <w:spacing w:line="240" w:lineRule="auto" w:before="10"/>
        <w:rPr>
          <w:rFonts w:ascii="宋体" w:hAnsi="宋体" w:cs="宋体" w:eastAsia="宋体" w:hint="default"/>
          <w:sz w:val="14"/>
          <w:szCs w:val="14"/>
        </w:rPr>
      </w:pPr>
    </w:p>
    <w:p>
      <w:pPr>
        <w:pStyle w:val="BodyText"/>
        <w:spacing w:line="240" w:lineRule="auto" w:before="0"/>
        <w:ind w:left="577" w:right="298"/>
        <w:jc w:val="left"/>
      </w:pPr>
      <w:r>
        <w:rPr/>
        <w:t>②</w:t>
      </w:r>
      <w:r>
        <w:rPr>
          <w:spacing w:val="-21"/>
        </w:rPr>
        <w:t> </w:t>
      </w:r>
      <w:r>
        <w:rPr/>
        <w:t>借款费用已经发生；</w:t>
      </w:r>
    </w:p>
    <w:p>
      <w:pPr>
        <w:spacing w:line="240" w:lineRule="auto" w:before="10"/>
        <w:rPr>
          <w:rFonts w:ascii="宋体" w:hAnsi="宋体" w:cs="宋体" w:eastAsia="宋体" w:hint="default"/>
          <w:sz w:val="14"/>
          <w:szCs w:val="14"/>
        </w:rPr>
      </w:pPr>
    </w:p>
    <w:p>
      <w:pPr>
        <w:pStyle w:val="BodyText"/>
        <w:spacing w:line="408" w:lineRule="auto" w:before="0"/>
        <w:ind w:left="573" w:right="1864" w:firstLine="3"/>
        <w:jc w:val="left"/>
      </w:pPr>
      <w:r>
        <w:rPr/>
        <w:t>③</w:t>
      </w:r>
      <w:r>
        <w:rPr>
          <w:spacing w:val="-21"/>
        </w:rPr>
        <w:t> </w:t>
      </w:r>
      <w:r>
        <w:rPr/>
        <w:t>为使资产达到预定可使用或者可销售状态所必要的购建或者生产活动已经开始。</w:t>
      </w:r>
      <w:r>
        <w:rPr/>
        <w:t> 其他的借款利息、折价或溢价的摊销和汇兑差额，在发生当期确认费用。</w:t>
      </w:r>
    </w:p>
    <w:p>
      <w:pPr>
        <w:pStyle w:val="BodyText"/>
        <w:spacing w:line="386" w:lineRule="auto"/>
        <w:ind w:left="633" w:right="91" w:hanging="480"/>
        <w:jc w:val="left"/>
      </w:pPr>
      <w:r>
        <w:rPr/>
        <w:t>（</w:t>
      </w:r>
      <w:r>
        <w:rPr>
          <w:rFonts w:ascii="Times New Roman" w:hAnsi="Times New Roman" w:cs="Times New Roman" w:eastAsia="Times New Roman" w:hint="default"/>
        </w:rPr>
        <w:t>2</w:t>
      </w:r>
      <w:r>
        <w:rPr/>
        <w:t>）资本化金额的确定 </w:t>
      </w:r>
      <w:r>
        <w:rPr>
          <w:spacing w:val="-2"/>
        </w:rPr>
        <w:t>为购建或者生产符合资本化条件的资产而借入专门借款的，应当以专门借款当期实际发生的利息费用，</w:t>
      </w:r>
    </w:p>
    <w:p>
      <w:pPr>
        <w:spacing w:after="0" w:line="386"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8" w:lineRule="auto" w:before="35"/>
        <w:ind w:right="210"/>
        <w:jc w:val="both"/>
      </w:pPr>
      <w:r>
        <w:rPr>
          <w:spacing w:val="-1"/>
        </w:rPr>
        <w:t>减去将尚未动用的借款资金存入银行取得的利息收入或进行暂时性投资取得的投资收益后的金额确定。为</w:t>
      </w:r>
      <w:r>
        <w:rPr>
          <w:spacing w:val="-81"/>
        </w:rPr>
        <w:t> </w:t>
      </w:r>
      <w:r>
        <w:rPr>
          <w:spacing w:val="-81"/>
        </w:rPr>
      </w:r>
      <w:r>
        <w:rPr>
          <w:spacing w:val="-1"/>
        </w:rPr>
        <w:t>购建或者生产符合资本化条件的资产而占用了一般借款的，根据项目的累计资产支出超出专门借款部分的</w:t>
      </w:r>
      <w:r>
        <w:rPr>
          <w:spacing w:val="-81"/>
        </w:rPr>
        <w:t> </w:t>
      </w:r>
      <w:r>
        <w:rPr>
          <w:spacing w:val="-81"/>
        </w:rPr>
      </w:r>
      <w:r>
        <w:rPr/>
        <w:t>支出加权平均数乘以所占用一般借款的资本化率，确认一般借款应予资本化的利息金额。</w:t>
      </w:r>
    </w:p>
    <w:p>
      <w:pPr>
        <w:pStyle w:val="BodyText"/>
        <w:spacing w:line="408" w:lineRule="auto"/>
        <w:ind w:left="153" w:right="0" w:firstLine="480"/>
        <w:jc w:val="left"/>
      </w:pPr>
      <w:r>
        <w:rPr>
          <w:spacing w:val="-2"/>
        </w:rPr>
        <w:t>专门借款发生的辅助费用，在所购建或者生产的符合资本化条件的资产达到预定可使用或者可销售状</w:t>
      </w:r>
      <w:r>
        <w:rPr/>
        <w:t> 态之前，应当在发生时根据其发生额予以资本化，计入符合资本化条件的资产的成本；在所购建或者生产 的符合资本化条件的资产达到预定可使用或者可销售状态之后，应当在发生时根据其发生额确认为费用，</w:t>
      </w:r>
      <w:r>
        <w:rPr>
          <w:spacing w:val="-34"/>
        </w:rPr>
        <w:t> </w:t>
      </w:r>
      <w:r>
        <w:rPr>
          <w:spacing w:val="-34"/>
        </w:rPr>
      </w:r>
      <w:r>
        <w:rPr/>
        <w:t>计入当期损益。一般借款发生的辅助费用，于发生时计入当期损益。</w:t>
      </w:r>
    </w:p>
    <w:p>
      <w:pPr>
        <w:pStyle w:val="BodyText"/>
        <w:spacing w:line="240" w:lineRule="auto"/>
        <w:ind w:left="153" w:right="0"/>
        <w:jc w:val="left"/>
      </w:pPr>
      <w:r>
        <w:rPr/>
        <w:t>（</w:t>
      </w:r>
      <w:r>
        <w:rPr>
          <w:rFonts w:ascii="Times New Roman" w:hAnsi="Times New Roman" w:cs="Times New Roman" w:eastAsia="Times New Roman" w:hint="default"/>
        </w:rPr>
        <w:t>3</w:t>
      </w:r>
      <w:r>
        <w:rPr/>
        <w:t>）资本化率的确定</w:t>
      </w:r>
    </w:p>
    <w:p>
      <w:pPr>
        <w:pStyle w:val="BodyText"/>
        <w:spacing w:line="240" w:lineRule="auto" w:before="177"/>
        <w:ind w:left="721" w:right="0"/>
        <w:jc w:val="left"/>
      </w:pPr>
      <w:r>
        <w:rPr/>
        <w:t>①</w:t>
      </w:r>
      <w:r>
        <w:rPr>
          <w:spacing w:val="-21"/>
        </w:rPr>
        <w:t> </w:t>
      </w:r>
      <w:r>
        <w:rPr/>
        <w:t>为购建固定资产借入一笔专门借款，资本化率为该项借款的利率；</w:t>
      </w:r>
    </w:p>
    <w:p>
      <w:pPr>
        <w:spacing w:line="240" w:lineRule="auto" w:before="10"/>
        <w:rPr>
          <w:rFonts w:ascii="宋体" w:hAnsi="宋体" w:cs="宋体" w:eastAsia="宋体" w:hint="default"/>
          <w:sz w:val="14"/>
          <w:szCs w:val="14"/>
        </w:rPr>
      </w:pPr>
    </w:p>
    <w:p>
      <w:pPr>
        <w:pStyle w:val="BodyText"/>
        <w:spacing w:line="240" w:lineRule="auto" w:before="0"/>
        <w:ind w:left="721" w:right="0"/>
        <w:jc w:val="left"/>
      </w:pPr>
      <w:r>
        <w:rPr/>
        <w:t>②</w:t>
      </w:r>
      <w:r>
        <w:rPr>
          <w:spacing w:val="-21"/>
        </w:rPr>
        <w:t> </w:t>
      </w:r>
      <w:r>
        <w:rPr/>
        <w:t>为购入固定资产借入一笔以上的专门借款，资本化率为这些借款的加权平均利率。</w:t>
      </w:r>
    </w:p>
    <w:p>
      <w:pPr>
        <w:spacing w:line="240" w:lineRule="auto" w:before="10"/>
        <w:rPr>
          <w:rFonts w:ascii="宋体" w:hAnsi="宋体" w:cs="宋体" w:eastAsia="宋体" w:hint="default"/>
          <w:sz w:val="14"/>
          <w:szCs w:val="14"/>
        </w:rPr>
      </w:pPr>
    </w:p>
    <w:p>
      <w:pPr>
        <w:pStyle w:val="BodyText"/>
        <w:spacing w:line="240" w:lineRule="auto" w:before="0"/>
        <w:ind w:left="153" w:right="0"/>
        <w:jc w:val="left"/>
      </w:pPr>
      <w:r>
        <w:rPr/>
        <w:t>（</w:t>
      </w:r>
      <w:r>
        <w:rPr>
          <w:rFonts w:ascii="Times New Roman" w:hAnsi="Times New Roman" w:cs="Times New Roman" w:eastAsia="Times New Roman" w:hint="default"/>
        </w:rPr>
        <w:t>4</w:t>
      </w:r>
      <w:r>
        <w:rPr/>
        <w:t>）暂停资本化</w:t>
      </w:r>
    </w:p>
    <w:p>
      <w:pPr>
        <w:pStyle w:val="BodyText"/>
        <w:spacing w:line="398" w:lineRule="auto" w:before="177"/>
        <w:ind w:right="211" w:firstLine="480"/>
        <w:jc w:val="both"/>
      </w:pPr>
      <w:r>
        <w:rPr/>
        <w:t>若资产在购建或者生产过程中发生非正常中断、且中断时间连续超过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个月的，应当暂停借款费用 </w:t>
      </w:r>
      <w:r>
        <w:rPr>
          <w:spacing w:val="-1"/>
        </w:rPr>
        <w:t>的资本化。在中断期间发生的借款费用应当确认为费用，计入当期损益，直至资产的购建或者生产活动重</w:t>
      </w:r>
      <w:r>
        <w:rPr>
          <w:spacing w:val="-83"/>
        </w:rPr>
        <w:t> </w:t>
      </w:r>
      <w:r>
        <w:rPr>
          <w:spacing w:val="-83"/>
        </w:rPr>
      </w:r>
      <w:r>
        <w:rPr/>
        <w:t>新开始。</w:t>
      </w:r>
    </w:p>
    <w:p>
      <w:pPr>
        <w:pStyle w:val="BodyText"/>
        <w:spacing w:line="240" w:lineRule="auto" w:before="54"/>
        <w:ind w:right="0"/>
        <w:jc w:val="left"/>
      </w:pPr>
      <w:r>
        <w:rPr/>
        <w:t>（</w:t>
      </w:r>
      <w:r>
        <w:rPr>
          <w:rFonts w:ascii="Times New Roman" w:hAnsi="Times New Roman" w:cs="Times New Roman" w:eastAsia="Times New Roman" w:hint="default"/>
        </w:rPr>
        <w:t>5</w:t>
      </w:r>
      <w:r>
        <w:rPr/>
        <w:t>）停止资本化</w:t>
      </w:r>
    </w:p>
    <w:p>
      <w:pPr>
        <w:pStyle w:val="BodyText"/>
        <w:spacing w:line="408" w:lineRule="auto" w:before="177"/>
        <w:ind w:right="0" w:firstLine="480"/>
        <w:jc w:val="left"/>
      </w:pPr>
      <w:r>
        <w:rPr/>
        <w:t>购建或者生产符合资本化条件的资产达到预定可使用或者可销售状态时，借款费用应当停止资本化。 在符合资本化条件的资产达到预定可使用或者可销售状态之后所发生的借款费用，应当在发生时根据其发 生额确认为费用，计入当期损益。</w:t>
      </w:r>
    </w:p>
    <w:p>
      <w:pPr>
        <w:pStyle w:val="BodyText"/>
        <w:spacing w:line="408" w:lineRule="auto"/>
        <w:ind w:right="198" w:firstLine="480"/>
        <w:jc w:val="left"/>
      </w:pPr>
      <w:r>
        <w:rPr>
          <w:spacing w:val="-2"/>
        </w:rPr>
        <w:t>购建或者生产的资产的各部分分别完工，但必须等到整体完工后才可使用或者可对外销售的，应当在</w:t>
      </w:r>
      <w:r>
        <w:rPr/>
        <w:t> 该资产整体完工时停止借款费用的资本化。</w:t>
      </w:r>
    </w:p>
    <w:p>
      <w:pPr>
        <w:spacing w:line="240" w:lineRule="auto" w:before="6"/>
        <w:rPr>
          <w:rFonts w:ascii="宋体" w:hAnsi="宋体" w:cs="宋体" w:eastAsia="宋体" w:hint="default"/>
          <w:sz w:val="26"/>
          <w:szCs w:val="26"/>
        </w:rPr>
      </w:pPr>
    </w:p>
    <w:p>
      <w:pPr>
        <w:spacing w:line="652" w:lineRule="auto" w:before="0"/>
        <w:ind w:left="153" w:right="41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长期待摊费用按实际发生额核算，在项目受益期内平均摊销。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Heading3"/>
        <w:spacing w:line="240" w:lineRule="auto" w:before="77"/>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3" w:right="0" w:firstLine="420"/>
        <w:jc w:val="left"/>
      </w:pPr>
      <w:r>
        <w:rPr/>
        <w:t>短期薪酬主要包括工资、奖金、津贴和补贴、职工福利费、医疗保险费、生育保险费、工伤保险费、</w:t>
      </w:r>
      <w:r>
        <w:rPr>
          <w:spacing w:val="2"/>
        </w:rPr>
        <w:t> </w:t>
      </w:r>
      <w:r>
        <w:rPr/>
        <w:t>住房公积金、工会经费和职工教育经费、非货币性福利等。本公司在职工为本公司提供服务的会计期间将</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0"/>
        <w:jc w:val="left"/>
      </w:pP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pStyle w:val="BodyText"/>
        <w:tabs>
          <w:tab w:pos="993" w:val="left" w:leader="none"/>
        </w:tabs>
        <w:spacing w:line="408" w:lineRule="auto" w:before="189"/>
        <w:ind w:left="574" w:right="210"/>
        <w:jc w:val="left"/>
      </w:pPr>
      <w:r>
        <w:rPr/>
        <w:t>①</w:t>
        <w:tab/>
        <w:t>设定提存计划 </w:t>
      </w:r>
      <w:r>
        <w:rPr>
          <w:spacing w:val="-1"/>
        </w:rPr>
        <w:t>本公司按当地政府的相关规定为职工缴纳基本养老保险和失业保险，在职工为本公司提供服务的会计</w:t>
      </w:r>
    </w:p>
    <w:p>
      <w:pPr>
        <w:pStyle w:val="BodyText"/>
        <w:spacing w:line="240" w:lineRule="auto"/>
        <w:ind w:right="0"/>
        <w:jc w:val="left"/>
      </w:pPr>
      <w:r>
        <w:rPr/>
        <w:t>期间，按以当地规定的缴纳基数和比例计算应缴纳金额，确认为负债，并计入当期损益或相关资产成本。</w:t>
      </w:r>
    </w:p>
    <w:p>
      <w:pPr>
        <w:spacing w:line="240" w:lineRule="auto" w:before="10"/>
        <w:rPr>
          <w:rFonts w:ascii="宋体" w:hAnsi="宋体" w:cs="宋体" w:eastAsia="宋体" w:hint="default"/>
          <w:sz w:val="14"/>
          <w:szCs w:val="14"/>
        </w:rPr>
      </w:pPr>
    </w:p>
    <w:p>
      <w:pPr>
        <w:pStyle w:val="BodyText"/>
        <w:tabs>
          <w:tab w:pos="993" w:val="left" w:leader="none"/>
        </w:tabs>
        <w:spacing w:line="408" w:lineRule="auto" w:before="0"/>
        <w:ind w:left="573" w:right="398"/>
        <w:jc w:val="left"/>
      </w:pPr>
      <w:r>
        <w:rPr/>
        <w:t>②</w:t>
        <w:tab/>
        <w:t>设定受益计划 本公司根据预期累计福利单位法确定的公式将设定受益计划产生的福利义务归属于职工提供服务的</w:t>
      </w:r>
    </w:p>
    <w:p>
      <w:pPr>
        <w:pStyle w:val="BodyText"/>
        <w:spacing w:line="408" w:lineRule="auto"/>
        <w:ind w:left="573" w:right="381" w:hanging="420"/>
        <w:jc w:val="left"/>
      </w:pPr>
      <w:r>
        <w:rPr/>
        <w:t>期间，并计入当期损益或相关资产成本。 设定受益计划义务现值减去设定受益计划资产公允价值所形成的赤字或盈余确认为一项设定受益计</w:t>
      </w:r>
    </w:p>
    <w:p>
      <w:pPr>
        <w:pStyle w:val="BodyText"/>
        <w:spacing w:line="408" w:lineRule="auto"/>
        <w:ind w:left="153"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408" w:lineRule="auto"/>
        <w:ind w:left="153" w:right="0" w:firstLine="420"/>
        <w:jc w:val="left"/>
      </w:pPr>
      <w:r>
        <w:rPr/>
        <w:t>所有设定受益计划义务，包括预期在职工提供服务的年度报告期间结束后的十二个月内支付的义务，</w:t>
      </w:r>
      <w:r>
        <w:rPr>
          <w:spacing w:val="2"/>
        </w:rPr>
        <w:t> </w:t>
      </w:r>
      <w:r>
        <w:rPr/>
        <w:t>根据资产负债表日与设定受益计划义务期限和币种相匹配的国债或活跃市场上的高质量公司债券的市场</w:t>
      </w:r>
      <w:r>
        <w:rPr/>
        <w:t> 收益率予以折现。</w:t>
      </w:r>
    </w:p>
    <w:p>
      <w:pPr>
        <w:pStyle w:val="BodyText"/>
        <w:spacing w:line="408" w:lineRule="auto"/>
        <w:ind w:left="153" w:right="0" w:firstLine="420"/>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408" w:lineRule="auto"/>
        <w:ind w:left="153" w:right="0" w:firstLine="420"/>
        <w:jc w:val="left"/>
      </w:pPr>
      <w:r>
        <w:rPr>
          <w:spacing w:val="-1"/>
        </w:rPr>
        <w:t>在设定受益计划结算时，按在结算日确定的设定受益计划义务现值和结算价格两者的差额，确认结算</w:t>
      </w:r>
      <w:r>
        <w:rPr/>
        <w:t> 利得或损失，设定提存计划。</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3" w:right="0"/>
        <w:jc w:val="left"/>
      </w:pPr>
      <w:r>
        <w:rPr>
          <w:spacing w:val="-1"/>
        </w:rPr>
        <w:t>职工内部退休计划采用上述辞退福利相同的原则处理。本公司将自职工停止提供服务日至正常退休日的期</w:t>
      </w:r>
      <w:r>
        <w:rPr>
          <w:spacing w:val="-81"/>
        </w:rPr>
        <w:t> </w:t>
      </w:r>
      <w:r>
        <w:rPr>
          <w:spacing w:val="-81"/>
        </w:rPr>
      </w:r>
      <w:r>
        <w:rPr/>
        <w:t>间拟支付的内退人员工资和缴纳的社会保险费等，在符合预计负债确认条件时，计入当期损益。</w:t>
      </w:r>
    </w:p>
    <w:p>
      <w:pPr>
        <w:spacing w:line="240" w:lineRule="auto" w:before="6"/>
        <w:rPr>
          <w:rFonts w:ascii="宋体" w:hAnsi="宋体" w:cs="宋体" w:eastAsia="宋体" w:hint="default"/>
          <w:sz w:val="26"/>
          <w:szCs w:val="26"/>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3" w:right="0" w:firstLine="420"/>
        <w:jc w:val="left"/>
      </w:pPr>
      <w:r>
        <w:rPr>
          <w:spacing w:val="-1"/>
        </w:rPr>
        <w:t>本公司向职工提供的其他长期职工福利，符合设定提存计划的，按照设定提存计划进行会计处理，除</w:t>
      </w:r>
      <w:r>
        <w:rPr/>
        <w:t> 此之外按照设定收益计划进行会计处理。</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0"/>
        <w:rPr>
          <w:rFonts w:ascii="宋体" w:hAnsi="宋体" w:cs="宋体" w:eastAsia="宋体" w:hint="default"/>
          <w:b/>
          <w:bCs/>
          <w:sz w:val="22"/>
          <w:szCs w:val="22"/>
        </w:rPr>
      </w:pPr>
    </w:p>
    <w:p>
      <w:pPr>
        <w:spacing w:line="386" w:lineRule="auto" w:before="189"/>
        <w:ind w:left="153" w:right="26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如果与或有事项相关的义务同时符合以下条件，本公司将其确认为预计负债：</w:t>
      </w:r>
    </w:p>
    <w:p>
      <w:pPr>
        <w:pStyle w:val="BodyText"/>
        <w:tabs>
          <w:tab w:pos="573" w:val="left" w:leader="none"/>
        </w:tabs>
        <w:spacing w:line="240" w:lineRule="auto" w:before="65"/>
        <w:ind w:left="153" w:right="0"/>
        <w:jc w:val="left"/>
      </w:pPr>
      <w:r>
        <w:rPr/>
        <w:t>①</w:t>
        <w:tab/>
        <w:t>该义务是本公司承担的现时义务；</w:t>
      </w:r>
    </w:p>
    <w:p>
      <w:pPr>
        <w:spacing w:line="240" w:lineRule="auto" w:before="10"/>
        <w:rPr>
          <w:rFonts w:ascii="宋体" w:hAnsi="宋体" w:cs="宋体" w:eastAsia="宋体" w:hint="default"/>
          <w:sz w:val="14"/>
          <w:szCs w:val="14"/>
        </w:rPr>
      </w:pPr>
    </w:p>
    <w:p>
      <w:pPr>
        <w:pStyle w:val="BodyText"/>
        <w:tabs>
          <w:tab w:pos="573" w:val="left" w:leader="none"/>
        </w:tabs>
        <w:spacing w:line="240" w:lineRule="auto" w:before="0"/>
        <w:ind w:left="153" w:right="0"/>
        <w:jc w:val="left"/>
      </w:pPr>
      <w:r>
        <w:rPr/>
        <w:t>②</w:t>
        <w:tab/>
        <w:t>该义务的履行很可能导致经济利益流出本公司；</w:t>
      </w:r>
    </w:p>
    <w:p>
      <w:pPr>
        <w:spacing w:line="240" w:lineRule="auto" w:before="10"/>
        <w:rPr>
          <w:rFonts w:ascii="宋体" w:hAnsi="宋体" w:cs="宋体" w:eastAsia="宋体" w:hint="default"/>
          <w:sz w:val="14"/>
          <w:szCs w:val="14"/>
        </w:rPr>
      </w:pPr>
    </w:p>
    <w:p>
      <w:pPr>
        <w:pStyle w:val="BodyText"/>
        <w:tabs>
          <w:tab w:pos="573" w:val="left" w:leader="none"/>
        </w:tabs>
        <w:spacing w:line="240" w:lineRule="auto" w:before="0"/>
        <w:ind w:left="153" w:right="0"/>
        <w:jc w:val="left"/>
      </w:pPr>
      <w:r>
        <w:rPr/>
        <w:t>③</w:t>
        <w:tab/>
        <w:t>该义务的金额能够可靠地计量。</w:t>
      </w:r>
    </w:p>
    <w:p>
      <w:pPr>
        <w:spacing w:line="240" w:lineRule="auto" w:before="10"/>
        <w:rPr>
          <w:rFonts w:ascii="宋体" w:hAnsi="宋体" w:cs="宋体" w:eastAsia="宋体" w:hint="default"/>
          <w:sz w:val="14"/>
          <w:szCs w:val="14"/>
        </w:rPr>
      </w:pPr>
    </w:p>
    <w:p>
      <w:pPr>
        <w:spacing w:line="386" w:lineRule="auto" w:before="0"/>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按照履行相关现时义务所需支出的最佳估计数进行初始计量，如所需支出存在一个连续范围，且该范</w:t>
      </w:r>
    </w:p>
    <w:p>
      <w:pPr>
        <w:pStyle w:val="BodyText"/>
        <w:spacing w:line="408" w:lineRule="auto" w:before="65"/>
        <w:ind w:right="0"/>
        <w:jc w:val="left"/>
      </w:pPr>
      <w:r>
        <w:rPr>
          <w:spacing w:val="-1"/>
        </w:rPr>
        <w:t>围内各种结果发生的可能性相同，最佳估计数按照该范围内的中间值确定；如涉及多个项目，按照各种可</w:t>
      </w:r>
      <w:r>
        <w:rPr>
          <w:spacing w:val="-83"/>
        </w:rPr>
        <w:t> </w:t>
      </w:r>
      <w:r>
        <w:rPr>
          <w:spacing w:val="-83"/>
        </w:rPr>
      </w:r>
      <w:r>
        <w:rPr/>
        <w:t>能结果及相关概率计算确定最佳估计数。</w:t>
      </w:r>
    </w:p>
    <w:p>
      <w:pPr>
        <w:pStyle w:val="BodyText"/>
        <w:spacing w:line="408" w:lineRule="auto" w:before="87"/>
        <w:ind w:right="210" w:firstLine="420"/>
        <w:jc w:val="both"/>
      </w:pPr>
      <w:r>
        <w:rPr>
          <w:spacing w:val="-1"/>
        </w:rPr>
        <w:t>资产负债表日应当对预计负债账面价值进行复核，有确凿证据表明该账面价值不能真实反映当前最佳</w:t>
      </w:r>
      <w:r>
        <w:rPr/>
        <w:t> 估计数，应当按照当前最佳估计数对该账面价值进行调整。</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0"/>
        <w:rPr>
          <w:rFonts w:ascii="宋体" w:hAnsi="宋体" w:cs="宋体" w:eastAsia="宋体" w:hint="default"/>
          <w:b/>
          <w:bCs/>
          <w:sz w:val="22"/>
          <w:szCs w:val="22"/>
        </w:rPr>
      </w:pPr>
    </w:p>
    <w:p>
      <w:pPr>
        <w:spacing w:line="386" w:lineRule="auto" w:before="188"/>
        <w:ind w:left="633" w:right="3261"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
          <w:w w:val="99"/>
          <w:sz w:val="21"/>
          <w:szCs w:val="21"/>
        </w:rPr>
        <w:t> </w:t>
      </w:r>
      <w:r>
        <w:rPr>
          <w:rFonts w:ascii="宋体" w:hAnsi="宋体" w:cs="宋体" w:eastAsia="宋体" w:hint="default"/>
          <w:sz w:val="21"/>
          <w:szCs w:val="21"/>
        </w:rPr>
        <w:t>股份支付，分为以权益结算的股份支付和以现金结算的股份支付。</w:t>
      </w:r>
    </w:p>
    <w:p>
      <w:pPr>
        <w:spacing w:line="386" w:lineRule="auto" w:before="65"/>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以权益结算的股份支付，以授予职工权益工具的公允价值计量。以现金结算的股份支付，按照公司承</w:t>
      </w:r>
    </w:p>
    <w:p>
      <w:pPr>
        <w:pStyle w:val="BodyText"/>
        <w:spacing w:line="408" w:lineRule="auto" w:before="65"/>
        <w:ind w:left="633" w:right="0" w:hanging="480"/>
        <w:jc w:val="left"/>
      </w:pPr>
      <w:r>
        <w:rPr/>
        <w:t>担的以股份或其他权益工具为基础计算确定的负债的公允价值计量。 在权益工具交易活跃的市场，活跃市场中的报价确定为公允价值。权益工具交易不存在活跃市场的，</w:t>
      </w:r>
    </w:p>
    <w:p>
      <w:pPr>
        <w:pStyle w:val="BodyText"/>
        <w:spacing w:line="408" w:lineRule="auto"/>
        <w:ind w:right="0"/>
        <w:jc w:val="left"/>
      </w:pPr>
      <w:r>
        <w:rPr>
          <w:spacing w:val="-1"/>
        </w:rPr>
        <w:t>则采用估值技术确定公允价值，估值技术包括参考熟悉情况并自愿交易的各方最近进行的市场交易中使用</w:t>
      </w:r>
      <w:r>
        <w:rPr>
          <w:spacing w:val="-81"/>
        </w:rPr>
        <w:t> </w:t>
      </w:r>
      <w:r>
        <w:rPr>
          <w:spacing w:val="-81"/>
        </w:rPr>
      </w:r>
      <w:r>
        <w:rPr/>
        <w:t>的价格、参照实质上相同的其他金融工具的当前公允价值、现金流量折现法和期权定价模型等。</w:t>
      </w:r>
    </w:p>
    <w:p>
      <w:pPr>
        <w:spacing w:line="386" w:lineRule="auto" w:before="46"/>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等待期内每个资产负债表日，根据取得的可行权人数变动等后续信息作出最佳估计，修正预计可行权</w:t>
      </w:r>
    </w:p>
    <w:p>
      <w:pPr>
        <w:pStyle w:val="BodyText"/>
        <w:spacing w:line="240" w:lineRule="auto" w:before="65"/>
        <w:ind w:right="0"/>
        <w:jc w:val="left"/>
      </w:pPr>
      <w:r>
        <w:rPr/>
        <w:t>的权益工具数量。在可行权日，最终预计可行权权益工具的数量与实际可行权工具的数量一致。</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pStyle w:val="BodyText"/>
        <w:spacing w:line="408" w:lineRule="auto" w:before="177"/>
        <w:ind w:right="211" w:firstLine="480"/>
        <w:jc w:val="both"/>
      </w:pPr>
      <w:r>
        <w:rPr/>
        <w:t>①</w:t>
      </w:r>
      <w:r>
        <w:rPr>
          <w:spacing w:val="24"/>
        </w:rPr>
        <w:t> </w:t>
      </w:r>
      <w:r>
        <w:rPr/>
        <w:t>授予后立即可行权的以现金结算的股份支付，在授予日以本公司承担负债的公允价值计入相关成</w:t>
      </w:r>
      <w:r>
        <w:rPr/>
        <w:t> </w:t>
      </w:r>
      <w:r>
        <w:rPr>
          <w:spacing w:val="-1"/>
        </w:rPr>
        <w:t>本或费用，相应增加负债。并在结算前的每个资产负债表日和结算日对负债的公允价值重新计量，将其变</w:t>
      </w:r>
      <w:r>
        <w:rPr>
          <w:spacing w:val="-83"/>
        </w:rPr>
        <w:t> </w:t>
      </w:r>
      <w:r>
        <w:rPr>
          <w:spacing w:val="-83"/>
        </w:rPr>
      </w:r>
      <w:r>
        <w:rPr/>
        <w:t>动计入损益。</w:t>
      </w:r>
    </w:p>
    <w:p>
      <w:pPr>
        <w:spacing w:after="0" w:line="408" w:lineRule="auto"/>
        <w:jc w:val="both"/>
        <w:sectPr>
          <w:footerReference w:type="default" r:id="rId30"/>
          <w:pgSz w:w="11910" w:h="16840"/>
          <w:pgMar w:footer="982" w:header="877" w:top="1100" w:bottom="1180" w:left="980" w:right="920"/>
          <w:pgNumType w:start="138"/>
        </w:sectPr>
      </w:pPr>
    </w:p>
    <w:p>
      <w:pPr>
        <w:spacing w:line="240" w:lineRule="auto" w:before="8"/>
        <w:rPr>
          <w:rFonts w:ascii="宋体" w:hAnsi="宋体" w:cs="宋体" w:eastAsia="宋体" w:hint="default"/>
          <w:sz w:val="26"/>
          <w:szCs w:val="26"/>
        </w:rPr>
      </w:pPr>
    </w:p>
    <w:p>
      <w:pPr>
        <w:pStyle w:val="BodyText"/>
        <w:spacing w:line="408" w:lineRule="auto" w:before="35"/>
        <w:ind w:right="211" w:firstLine="480"/>
        <w:jc w:val="both"/>
      </w:pPr>
      <w:r>
        <w:rPr/>
        <w:t>②</w:t>
      </w:r>
      <w:r>
        <w:rPr>
          <w:spacing w:val="24"/>
        </w:rPr>
        <w:t> </w:t>
      </w:r>
      <w:r>
        <w:rPr/>
        <w:t>完成等待期内的服务或达到规定业绩条件以后才可行权的以现金结算的股份支付，在等待期内的</w:t>
      </w:r>
      <w:r>
        <w:rPr/>
        <w:t> </w:t>
      </w:r>
      <w:r>
        <w:rPr>
          <w:spacing w:val="-1"/>
        </w:rPr>
        <w:t>每个资产负债表日以对可行权情况的最佳估计为基础，按本公司承担负债的公允价值金额，将当期取得的</w:t>
      </w:r>
      <w:r>
        <w:rPr>
          <w:spacing w:val="-81"/>
        </w:rPr>
        <w:t> </w:t>
      </w:r>
      <w:r>
        <w:rPr>
          <w:spacing w:val="-81"/>
        </w:rPr>
      </w:r>
      <w:r>
        <w:rPr/>
        <w:t>服务计入成本或费用和相应的负债。</w:t>
      </w:r>
    </w:p>
    <w:p>
      <w:pPr>
        <w:pStyle w:val="BodyText"/>
        <w:spacing w:line="408" w:lineRule="auto"/>
        <w:ind w:right="191" w:firstLine="480"/>
        <w:jc w:val="left"/>
      </w:pPr>
      <w:r>
        <w:rPr/>
        <w:t>③</w:t>
      </w:r>
      <w:r>
        <w:rPr>
          <w:spacing w:val="24"/>
        </w:rPr>
        <w:t> </w:t>
      </w:r>
      <w:r>
        <w:rPr/>
        <w:t>授予后立即可行权的换取职工服务的以权益结算的股份支付，在授予日以权益工具的公允价值计</w:t>
      </w:r>
      <w:r>
        <w:rPr/>
        <w:t> 入相关成本或费用，相应增加资本公积。</w:t>
      </w:r>
    </w:p>
    <w:p>
      <w:pPr>
        <w:pStyle w:val="BodyText"/>
        <w:spacing w:line="408" w:lineRule="auto"/>
        <w:ind w:right="0" w:firstLine="480"/>
        <w:jc w:val="left"/>
      </w:pPr>
      <w:r>
        <w:rPr/>
        <w:t>④</w:t>
      </w:r>
      <w:r>
        <w:rPr>
          <w:spacing w:val="104"/>
        </w:rPr>
        <w:t> </w:t>
      </w:r>
      <w:r>
        <w:rPr/>
        <w:t>完成等待期内的服务或达到规定业绩条件以后才可行权换取职工服务的以权益结算的股份支付，</w:t>
      </w:r>
      <w:r>
        <w:rPr/>
        <w:t> 在等待期内的每个资产负债表日，以对可行权权益工具数量的最佳估计为基础，按权益工具授予日的公允 价值，将当期取得的服务计入成本或费用和资本公积。</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、收入</w:t>
      </w:r>
      <w:r>
        <w:rPr>
          <w:b w:val="0"/>
          <w:bCs w:val="0"/>
        </w:rPr>
      </w:r>
    </w:p>
    <w:p>
      <w:pPr>
        <w:spacing w:line="750" w:lineRule="atLeast" w:before="18"/>
        <w:ind w:left="544" w:right="200" w:hanging="39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公司的收入主要为旅游服务收入，主要包括出境旅游收入、商务会奖及商务会展收入等。收入的确认</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原则和计量依据如下：</w:t>
      </w:r>
    </w:p>
    <w:p>
      <w:pPr>
        <w:spacing w:line="240" w:lineRule="auto" w:before="12"/>
        <w:rPr>
          <w:rFonts w:ascii="宋体" w:hAnsi="宋体" w:cs="宋体" w:eastAsia="宋体" w:hint="default"/>
          <w:sz w:val="23"/>
          <w:szCs w:val="23"/>
        </w:rPr>
      </w:pPr>
    </w:p>
    <w:p>
      <w:pPr>
        <w:pStyle w:val="BodyText"/>
        <w:spacing w:line="240" w:lineRule="auto" w:before="0"/>
        <w:ind w:left="544" w:right="0"/>
        <w:jc w:val="left"/>
      </w:pPr>
      <w:r>
        <w:rPr/>
        <w:t>①</w:t>
      </w:r>
      <w:r>
        <w:rPr>
          <w:spacing w:val="63"/>
        </w:rPr>
        <w:t> </w:t>
      </w:r>
      <w:r>
        <w:rPr/>
        <w:t>确认原则</w:t>
      </w:r>
    </w:p>
    <w:p>
      <w:pPr>
        <w:spacing w:line="240" w:lineRule="auto" w:before="12"/>
        <w:rPr>
          <w:rFonts w:ascii="宋体" w:hAnsi="宋体" w:cs="宋体" w:eastAsia="宋体" w:hint="default"/>
          <w:sz w:val="23"/>
          <w:szCs w:val="23"/>
        </w:rPr>
      </w:pPr>
    </w:p>
    <w:p>
      <w:pPr>
        <w:pStyle w:val="BodyText"/>
        <w:tabs>
          <w:tab w:pos="900" w:val="left" w:leader="none"/>
        </w:tabs>
        <w:spacing w:line="240" w:lineRule="auto" w:before="0"/>
        <w:ind w:left="544" w:right="0"/>
        <w:jc w:val="left"/>
      </w:pPr>
      <w:r>
        <w:rPr>
          <w:rFonts w:ascii="Times New Roman" w:hAnsi="Times New Roman" w:cs="Times New Roman" w:eastAsia="Times New Roman" w:hint="default"/>
        </w:rPr>
        <w:t>a.</w:t>
        <w:tab/>
      </w:r>
      <w:r>
        <w:rPr/>
        <w:t>公司已将与旅游活动相关的主要风险和报酬转移给客户，其主要标志为旅游活动的结束；</w:t>
      </w:r>
    </w:p>
    <w:p>
      <w:pPr>
        <w:spacing w:line="240" w:lineRule="auto" w:before="9"/>
        <w:rPr>
          <w:rFonts w:ascii="宋体" w:hAnsi="宋体" w:cs="宋体" w:eastAsia="宋体" w:hint="default"/>
          <w:sz w:val="22"/>
          <w:szCs w:val="22"/>
        </w:rPr>
      </w:pPr>
    </w:p>
    <w:p>
      <w:pPr>
        <w:pStyle w:val="BodyText"/>
        <w:spacing w:line="240" w:lineRule="auto" w:before="0"/>
        <w:ind w:left="544"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0"/>
        </w:rPr>
        <w:t> </w:t>
      </w:r>
      <w:r>
        <w:rPr/>
        <w:t>收入的金额能够可靠地计量；</w:t>
      </w:r>
    </w:p>
    <w:p>
      <w:pPr>
        <w:spacing w:line="240" w:lineRule="auto" w:before="9"/>
        <w:rPr>
          <w:rFonts w:ascii="宋体" w:hAnsi="宋体" w:cs="宋体" w:eastAsia="宋体" w:hint="default"/>
          <w:sz w:val="22"/>
          <w:szCs w:val="22"/>
        </w:rPr>
      </w:pPr>
    </w:p>
    <w:p>
      <w:pPr>
        <w:pStyle w:val="BodyText"/>
        <w:spacing w:line="240" w:lineRule="auto" w:before="0"/>
        <w:ind w:left="544" w:right="0"/>
        <w:jc w:val="left"/>
      </w:pPr>
      <w:r>
        <w:rPr>
          <w:rFonts w:ascii="Times New Roman" w:hAnsi="Times New Roman" w:cs="Times New Roman" w:eastAsia="Times New Roman" w:hint="default"/>
        </w:rPr>
        <w:t>c.  </w:t>
      </w:r>
      <w:r>
        <w:rPr>
          <w:rFonts w:ascii="Times New Roman" w:hAnsi="Times New Roman" w:cs="Times New Roman" w:eastAsia="Times New Roman" w:hint="default"/>
          <w:spacing w:val="10"/>
        </w:rPr>
        <w:t> </w:t>
      </w:r>
      <w:r>
        <w:rPr/>
        <w:t>相关的经济利益很可能流入；</w:t>
      </w:r>
    </w:p>
    <w:p>
      <w:pPr>
        <w:spacing w:line="240" w:lineRule="auto" w:before="9"/>
        <w:rPr>
          <w:rFonts w:ascii="宋体" w:hAnsi="宋体" w:cs="宋体" w:eastAsia="宋体" w:hint="default"/>
          <w:sz w:val="22"/>
          <w:szCs w:val="22"/>
        </w:rPr>
      </w:pPr>
    </w:p>
    <w:p>
      <w:pPr>
        <w:pStyle w:val="BodyText"/>
        <w:spacing w:line="484" w:lineRule="auto" w:before="0"/>
        <w:ind w:left="544" w:right="20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10"/>
        </w:rPr>
        <w:t> </w:t>
      </w:r>
      <w:r>
        <w:rPr/>
        <w:t>相关的已发生或将发生的成本能够可靠地计量。 旅游活动的结束是指：公司组织国内旅游者到境外旅游或国内旅游，旅行团已经返回；商务会展及会</w:t>
      </w:r>
    </w:p>
    <w:p>
      <w:pPr>
        <w:pStyle w:val="BodyText"/>
        <w:spacing w:line="254" w:lineRule="exact" w:before="0"/>
        <w:ind w:right="0"/>
        <w:jc w:val="left"/>
      </w:pPr>
      <w:r>
        <w:rPr/>
        <w:t>奖业务，相关会展或会奖活动已经结束。</w:t>
      </w:r>
    </w:p>
    <w:p>
      <w:pPr>
        <w:spacing w:line="240" w:lineRule="auto" w:before="12"/>
        <w:rPr>
          <w:rFonts w:ascii="宋体" w:hAnsi="宋体" w:cs="宋体" w:eastAsia="宋体" w:hint="default"/>
          <w:sz w:val="23"/>
          <w:szCs w:val="23"/>
        </w:rPr>
      </w:pPr>
    </w:p>
    <w:p>
      <w:pPr>
        <w:pStyle w:val="BodyText"/>
        <w:spacing w:line="240" w:lineRule="auto" w:before="0"/>
        <w:ind w:left="544" w:right="0"/>
        <w:jc w:val="left"/>
      </w:pPr>
      <w:r>
        <w:rPr/>
        <w:t>②</w:t>
      </w:r>
      <w:r>
        <w:rPr>
          <w:spacing w:val="63"/>
        </w:rPr>
        <w:t> </w:t>
      </w:r>
      <w:r>
        <w:rPr/>
        <w:t>计量依据</w:t>
      </w:r>
    </w:p>
    <w:p>
      <w:pPr>
        <w:spacing w:line="240" w:lineRule="auto" w:before="12"/>
        <w:rPr>
          <w:rFonts w:ascii="宋体" w:hAnsi="宋体" w:cs="宋体" w:eastAsia="宋体" w:hint="default"/>
          <w:sz w:val="23"/>
          <w:szCs w:val="23"/>
        </w:rPr>
      </w:pPr>
    </w:p>
    <w:p>
      <w:pPr>
        <w:pStyle w:val="BodyText"/>
        <w:spacing w:line="386" w:lineRule="auto" w:before="0"/>
        <w:ind w:right="0" w:firstLine="39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8"/>
        </w:rPr>
        <w:t> </w:t>
      </w:r>
      <w:r>
        <w:rPr>
          <w:spacing w:val="-3"/>
        </w:rPr>
        <w:t>出境旅游收入：分为同业和直客业务，分别根据与代理商和散客约定的单价，按最终的决算单为依</w:t>
      </w:r>
      <w:r>
        <w:rPr/>
        <w:t> 据计量。</w:t>
      </w:r>
    </w:p>
    <w:p>
      <w:pPr>
        <w:spacing w:line="240" w:lineRule="auto" w:before="2"/>
        <w:rPr>
          <w:rFonts w:ascii="宋体" w:hAnsi="宋体" w:cs="宋体" w:eastAsia="宋体" w:hint="default"/>
          <w:sz w:val="14"/>
          <w:szCs w:val="14"/>
        </w:rPr>
      </w:pPr>
    </w:p>
    <w:p>
      <w:pPr>
        <w:pStyle w:val="BodyText"/>
        <w:spacing w:line="484" w:lineRule="auto" w:before="0"/>
        <w:ind w:left="544" w:right="200" w:hanging="1"/>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spacing w:val="-3"/>
        </w:rPr>
        <w:t>商务会展和会奖：根据与客户签订的相关服务合同所约定的金额，按照最终的决算单为依据计量。</w:t>
      </w:r>
      <w:r>
        <w:rPr/>
        <w:t> 公司收到酒店、餐馆、景点、商店为奖励企业超额销售或提供客源，支付的佣金或奖励，在确认获得</w:t>
      </w:r>
    </w:p>
    <w:p>
      <w:pPr>
        <w:pStyle w:val="BodyText"/>
        <w:spacing w:line="254" w:lineRule="exact" w:before="0"/>
        <w:ind w:right="0"/>
        <w:jc w:val="left"/>
      </w:pPr>
      <w:r>
        <w:rPr/>
        <w:t>收款权利时确认收入。</w:t>
      </w:r>
    </w:p>
    <w:p>
      <w:pPr>
        <w:spacing w:after="0" w:line="254" w:lineRule="exact"/>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left="544" w:right="148"/>
        <w:jc w:val="left"/>
      </w:pPr>
      <w:r>
        <w:rPr/>
        <w:t>公司对会员积分的会计处理方法：</w:t>
      </w:r>
    </w:p>
    <w:p>
      <w:pPr>
        <w:spacing w:line="240" w:lineRule="auto" w:before="12"/>
        <w:rPr>
          <w:rFonts w:ascii="宋体" w:hAnsi="宋体" w:cs="宋体" w:eastAsia="宋体" w:hint="default"/>
          <w:sz w:val="23"/>
          <w:szCs w:val="23"/>
        </w:rPr>
      </w:pPr>
    </w:p>
    <w:p>
      <w:pPr>
        <w:pStyle w:val="BodyText"/>
        <w:spacing w:line="398" w:lineRule="auto" w:before="0"/>
        <w:ind w:right="151" w:firstLine="39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41"/>
        </w:rPr>
        <w:t> </w:t>
      </w:r>
      <w:r>
        <w:rPr>
          <w:spacing w:val="-3"/>
        </w:rPr>
        <w:t>在销售产品或提供劳务的同时，公司将销售取得的货款或应收货款在本次商品销售或劳务提供产生</w:t>
      </w:r>
      <w:r>
        <w:rPr/>
        <w:t> </w:t>
      </w:r>
      <w:r>
        <w:rPr>
          <w:spacing w:val="-1"/>
        </w:rPr>
        <w:t>的收入与奖励积分的公允价值之间进行分配，将取得的货款或应收货款扣除奖励积分公允价值的部分确认</w:t>
      </w:r>
      <w:r>
        <w:rPr>
          <w:spacing w:val="-81"/>
        </w:rPr>
        <w:t> </w:t>
      </w:r>
      <w:r>
        <w:rPr>
          <w:spacing w:val="-81"/>
        </w:rPr>
      </w:r>
      <w:r>
        <w:rPr/>
        <w:t>为收入、奖励积分的公允价值确认为递延收益。</w:t>
      </w:r>
    </w:p>
    <w:p>
      <w:pPr>
        <w:pStyle w:val="BodyText"/>
        <w:spacing w:line="398" w:lineRule="auto" w:before="174"/>
        <w:ind w:right="148" w:firstLine="39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0"/>
        </w:rPr>
        <w:t> </w:t>
      </w:r>
      <w:r>
        <w:rPr/>
        <w:t>获得奖励积分的客户满足条件时有权利取得公司的商品或服务，在客户兑换奖励积分时，公司将 </w:t>
      </w:r>
      <w:r>
        <w:rPr>
          <w:spacing w:val="-1"/>
        </w:rPr>
        <w:t>原计入递延收益的与所兑换积分相关的部分确认为收入，确认为收入的金额以被兑换用于换取奖励的积分</w:t>
      </w:r>
      <w:r>
        <w:rPr>
          <w:spacing w:val="-81"/>
        </w:rPr>
        <w:t> </w:t>
      </w:r>
      <w:r>
        <w:rPr>
          <w:spacing w:val="-81"/>
        </w:rPr>
      </w:r>
      <w:r>
        <w:rPr/>
        <w:t>数额占预期将兑换用于换取奖励的积分总数的比例为基础计算确定。</w:t>
      </w:r>
    </w:p>
    <w:p>
      <w:pPr>
        <w:spacing w:line="240" w:lineRule="auto" w:before="1"/>
        <w:rPr>
          <w:rFonts w:ascii="宋体" w:hAnsi="宋体" w:cs="宋体" w:eastAsia="宋体" w:hint="default"/>
          <w:sz w:val="27"/>
          <w:szCs w:val="27"/>
        </w:rPr>
      </w:pPr>
    </w:p>
    <w:p>
      <w:pPr>
        <w:spacing w:line="633" w:lineRule="auto" w:before="0"/>
        <w:ind w:left="490" w:right="614"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与交易相关的经济利益能够流入企业，收入的金额能可靠地计量时确认为让渡资产使用权收入。</w:t>
      </w:r>
    </w:p>
    <w:p>
      <w:pPr>
        <w:pStyle w:val="Heading3"/>
        <w:spacing w:line="240" w:lineRule="auto" w:before="148"/>
        <w:ind w:right="148"/>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138" w:firstLine="480"/>
        <w:jc w:val="left"/>
      </w:pPr>
      <w:r>
        <w:rPr>
          <w:spacing w:val="-2"/>
        </w:rPr>
        <w:t>在下列条件均能满足时确认为提供劳务收入：收入的金额能够可靠地计量；相关的经济利益很可能流</w:t>
      </w:r>
      <w:r>
        <w:rPr/>
        <w:t> 入企业；交易的完工进度能够可靠地确定；交易中已发生和将发生的成本能够可靠地计量。</w:t>
      </w:r>
    </w:p>
    <w:p>
      <w:pPr>
        <w:spacing w:line="240" w:lineRule="auto" w:before="6"/>
        <w:rPr>
          <w:rFonts w:ascii="宋体" w:hAnsi="宋体" w:cs="宋体" w:eastAsia="宋体" w:hint="default"/>
          <w:sz w:val="26"/>
          <w:szCs w:val="26"/>
        </w:rPr>
      </w:pPr>
    </w:p>
    <w:p>
      <w:pPr>
        <w:pStyle w:val="Heading3"/>
        <w:spacing w:line="240" w:lineRule="auto"/>
        <w:ind w:right="148"/>
        <w:jc w:val="left"/>
        <w:rPr>
          <w:b w:val="0"/>
          <w:bCs w:val="0"/>
        </w:rPr>
      </w:pPr>
      <w:r>
        <w:rPr/>
        <w:t>（</w:t>
      </w:r>
      <w:r>
        <w:rPr>
          <w:rFonts w:ascii="Times New Roman" w:hAnsi="Times New Roman" w:cs="Times New Roman" w:eastAsia="Times New Roman" w:hint="default"/>
        </w:rPr>
        <w:t>4</w:t>
      </w:r>
      <w:r>
        <w:rPr/>
        <w:t>）货币兑换收入的依据</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634" w:right="148"/>
        <w:jc w:val="left"/>
      </w:pPr>
      <w:r>
        <w:rPr/>
        <w:t>①</w:t>
      </w:r>
      <w:r>
        <w:rPr>
          <w:spacing w:val="45"/>
        </w:rPr>
        <w:t> </w:t>
      </w:r>
      <w:r>
        <w:rPr/>
        <w:t>公司已将与货币兑换相关的主要风险和报酬转移给客户；</w:t>
      </w:r>
    </w:p>
    <w:p>
      <w:pPr>
        <w:spacing w:line="240" w:lineRule="auto" w:before="10"/>
        <w:rPr>
          <w:rFonts w:ascii="宋体" w:hAnsi="宋体" w:cs="宋体" w:eastAsia="宋体" w:hint="default"/>
          <w:sz w:val="14"/>
          <w:szCs w:val="14"/>
        </w:rPr>
      </w:pPr>
    </w:p>
    <w:p>
      <w:pPr>
        <w:pStyle w:val="BodyText"/>
        <w:spacing w:line="240" w:lineRule="auto" w:before="0"/>
        <w:ind w:left="634" w:right="148"/>
        <w:jc w:val="left"/>
      </w:pPr>
      <w:r>
        <w:rPr/>
        <w:t>②</w:t>
      </w:r>
      <w:r>
        <w:rPr>
          <w:spacing w:val="45"/>
        </w:rPr>
        <w:t> </w:t>
      </w:r>
      <w:r>
        <w:rPr/>
        <w:t>收入的金额能够可靠地计量；</w:t>
      </w:r>
    </w:p>
    <w:p>
      <w:pPr>
        <w:spacing w:line="240" w:lineRule="auto" w:before="10"/>
        <w:rPr>
          <w:rFonts w:ascii="宋体" w:hAnsi="宋体" w:cs="宋体" w:eastAsia="宋体" w:hint="default"/>
          <w:sz w:val="14"/>
          <w:szCs w:val="14"/>
        </w:rPr>
      </w:pPr>
    </w:p>
    <w:p>
      <w:pPr>
        <w:pStyle w:val="BodyText"/>
        <w:spacing w:line="240" w:lineRule="auto" w:before="0"/>
        <w:ind w:left="634" w:right="148"/>
        <w:jc w:val="left"/>
      </w:pPr>
      <w:r>
        <w:rPr/>
        <w:t>③</w:t>
      </w:r>
      <w:r>
        <w:rPr>
          <w:spacing w:val="45"/>
        </w:rPr>
        <w:t> </w:t>
      </w:r>
      <w:r>
        <w:rPr/>
        <w:t>相关的经济利益很可能流入；</w:t>
      </w:r>
    </w:p>
    <w:p>
      <w:pPr>
        <w:spacing w:line="240" w:lineRule="auto" w:before="10"/>
        <w:rPr>
          <w:rFonts w:ascii="宋体" w:hAnsi="宋体" w:cs="宋体" w:eastAsia="宋体" w:hint="default"/>
          <w:sz w:val="14"/>
          <w:szCs w:val="14"/>
        </w:rPr>
      </w:pPr>
    </w:p>
    <w:p>
      <w:pPr>
        <w:pStyle w:val="BodyText"/>
        <w:spacing w:line="240" w:lineRule="auto" w:before="0"/>
        <w:ind w:left="634" w:right="148"/>
        <w:jc w:val="left"/>
      </w:pPr>
      <w:r>
        <w:rPr/>
        <w:t>④</w:t>
      </w:r>
      <w:r>
        <w:rPr>
          <w:spacing w:val="45"/>
        </w:rPr>
        <w:t> </w:t>
      </w:r>
      <w:r>
        <w:rPr/>
        <w:t>相关的已发生或将发生的成本能够可靠地计量。</w:t>
      </w:r>
    </w:p>
    <w:p>
      <w:pPr>
        <w:spacing w:line="750" w:lineRule="atLeast" w:before="34"/>
        <w:ind w:left="454" w:right="148" w:hanging="30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）金融业务利息收入和支出</w:t>
      </w:r>
      <w:r>
        <w:rPr>
          <w:rFonts w:ascii="宋体" w:hAnsi="宋体" w:cs="宋体" w:eastAsia="宋体" w:hint="default"/>
          <w:b/>
          <w:bCs/>
          <w:spacing w:val="1"/>
          <w:w w:val="99"/>
          <w:sz w:val="21"/>
          <w:szCs w:val="21"/>
        </w:rPr>
        <w:t> </w:t>
      </w:r>
      <w:r>
        <w:rPr>
          <w:rFonts w:ascii="宋体" w:hAnsi="宋体" w:cs="宋体" w:eastAsia="宋体" w:hint="default"/>
          <w:sz w:val="21"/>
          <w:szCs w:val="21"/>
        </w:rPr>
        <w:t>利息收入和支出按照相关金融资产和金融负债的摊余成本采用实际利率法计算，并计入当期损益。金</w:t>
      </w:r>
    </w:p>
    <w:p>
      <w:pPr>
        <w:spacing w:line="240" w:lineRule="auto" w:before="10"/>
        <w:rPr>
          <w:rFonts w:ascii="宋体" w:hAnsi="宋体" w:cs="宋体" w:eastAsia="宋体" w:hint="default"/>
          <w:sz w:val="14"/>
          <w:szCs w:val="14"/>
        </w:rPr>
      </w:pPr>
    </w:p>
    <w:p>
      <w:pPr>
        <w:pStyle w:val="BodyText"/>
        <w:spacing w:line="240" w:lineRule="auto" w:before="0"/>
        <w:ind w:right="148"/>
        <w:jc w:val="left"/>
      </w:pPr>
      <w:r>
        <w:rPr/>
        <w:t>融资产确认减值损失后，确认利息收入所使用的利率为原始实际利率。</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left="153"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73" w:right="96"/>
        <w:jc w:val="left"/>
      </w:pPr>
      <w:r>
        <w:rPr/>
        <w:t>与资产相关的政府补助，是指本公司取得的、用于购建或以其他方式形成长期资产的政府补助。 </w:t>
      </w:r>
      <w:r>
        <w:rPr>
          <w:spacing w:val="-3"/>
        </w:rPr>
        <w:t>本公司收到的与资产相关的政府补助，在收到时确认为递延收益，并在相关资产使用寿命内平均分配，</w:t>
      </w:r>
    </w:p>
    <w:p>
      <w:pPr>
        <w:pStyle w:val="BodyText"/>
        <w:spacing w:line="240" w:lineRule="auto"/>
        <w:ind w:left="153" w:right="0"/>
        <w:jc w:val="left"/>
      </w:pPr>
      <w:r>
        <w:rPr/>
        <w:t>计入当期损益。但是，按照名义金额计量的政府补助，直接计入当期损益。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53" w:right="191" w:firstLine="20"/>
        <w:jc w:val="left"/>
      </w:pPr>
      <w:r>
        <w:rPr/>
        <w:t>与收益相关的政府补助，是指除与资产相关的政府补助之外的政府补助。 本公司收到的与收益相关的政府补助，如果用于补偿本公司以后期间的相关费用或损失，则确认为递</w:t>
      </w:r>
    </w:p>
    <w:p>
      <w:pPr>
        <w:pStyle w:val="BodyText"/>
        <w:spacing w:line="408" w:lineRule="auto"/>
        <w:ind w:right="0"/>
        <w:jc w:val="left"/>
      </w:pPr>
      <w:r>
        <w:rPr>
          <w:spacing w:val="-1"/>
        </w:rPr>
        <w:t>延收益，并在确认相关费用的期间，计入当期损益；如果用于补偿本公司已发生的相关费用或损失的，直</w:t>
      </w:r>
      <w:r>
        <w:rPr>
          <w:spacing w:val="-82"/>
        </w:rPr>
        <w:t> </w:t>
      </w:r>
      <w:r>
        <w:rPr>
          <w:spacing w:val="-82"/>
        </w:rPr>
      </w:r>
      <w:r>
        <w:rPr/>
        <w:t>接计入当期损益。</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pStyle w:val="BodyText"/>
        <w:spacing w:line="408" w:lineRule="auto" w:before="177"/>
        <w:ind w:right="211" w:firstLine="480"/>
        <w:jc w:val="both"/>
      </w:pPr>
      <w:r>
        <w:rPr/>
        <w:t>①</w:t>
      </w:r>
      <w:r>
        <w:rPr>
          <w:spacing w:val="9"/>
        </w:rPr>
        <w:t> </w:t>
      </w:r>
      <w:r>
        <w:rPr/>
        <w:t>资产、负债的账面价值与其计税基础存在可抵扣暂时性差异的，以很可能取得用来抵扣可抵扣暂</w:t>
      </w:r>
      <w:r>
        <w:rPr/>
        <w:t> </w:t>
      </w:r>
      <w:r>
        <w:rPr>
          <w:spacing w:val="-1"/>
        </w:rPr>
        <w:t>时性差异的应纳税所得额为限，确认由可抵扣暂时性差异产生的递延所得税资产。但是，同时具有下列特</w:t>
      </w:r>
      <w:r>
        <w:rPr>
          <w:spacing w:val="-83"/>
        </w:rPr>
        <w:t> </w:t>
      </w:r>
      <w:r>
        <w:rPr>
          <w:spacing w:val="-83"/>
        </w:rPr>
      </w:r>
      <w:r>
        <w:rPr/>
        <w:t>征的交易中因资产或负债的初始确认所产生的递延所得税资产不予确认：</w:t>
      </w:r>
    </w:p>
    <w:p>
      <w:pPr>
        <w:pStyle w:val="BodyText"/>
        <w:spacing w:line="240" w:lineRule="auto"/>
        <w:ind w:left="634"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10"/>
        </w:rPr>
        <w:t> </w:t>
      </w:r>
      <w:r>
        <w:rPr/>
        <w:t>该项交易不是企业合并；</w:t>
      </w:r>
    </w:p>
    <w:p>
      <w:pPr>
        <w:pStyle w:val="BodyText"/>
        <w:spacing w:line="240" w:lineRule="auto" w:before="177"/>
        <w:ind w:left="634"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0"/>
        </w:rPr>
        <w:t> </w:t>
      </w:r>
      <w:r>
        <w:rPr/>
        <w:t>交易发生时既不影响会计利润也不影响应纳税所得额（或可抵扣亏损）。</w:t>
      </w:r>
    </w:p>
    <w:p>
      <w:pPr>
        <w:pStyle w:val="BodyText"/>
        <w:spacing w:line="408" w:lineRule="auto" w:before="177"/>
        <w:ind w:right="210" w:firstLine="480"/>
        <w:jc w:val="both"/>
      </w:pPr>
      <w:r>
        <w:rPr/>
        <w:t>②</w:t>
      </w:r>
      <w:r>
        <w:rPr>
          <w:spacing w:val="23"/>
        </w:rPr>
        <w:t> </w:t>
      </w:r>
      <w:r>
        <w:rPr/>
        <w:t>对与子公司、联营企业及合营企业投资相关的可抵扣暂时性差异，同时满足下列条件的，确认相</w:t>
      </w:r>
      <w:r>
        <w:rPr/>
        <w:t> 应的递延所得税资产：</w:t>
      </w:r>
    </w:p>
    <w:p>
      <w:pPr>
        <w:pStyle w:val="BodyText"/>
        <w:spacing w:line="240" w:lineRule="auto"/>
        <w:ind w:left="634"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10"/>
        </w:rPr>
        <w:t> </w:t>
      </w:r>
      <w:r>
        <w:rPr/>
        <w:t>暂时性差异在可预见的未来很可能转回；</w:t>
      </w:r>
    </w:p>
    <w:p>
      <w:pPr>
        <w:pStyle w:val="BodyText"/>
        <w:spacing w:line="240" w:lineRule="auto" w:before="177"/>
        <w:ind w:left="634"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10"/>
        </w:rPr>
        <w:t> </w:t>
      </w:r>
      <w:r>
        <w:rPr/>
        <w:t>未来很可能获得用来抵扣可抵扣暂时性差异的应纳税所得额。</w:t>
      </w:r>
    </w:p>
    <w:p>
      <w:pPr>
        <w:pStyle w:val="BodyText"/>
        <w:spacing w:line="408" w:lineRule="auto" w:before="177"/>
        <w:ind w:right="211" w:firstLine="480"/>
        <w:jc w:val="both"/>
      </w:pPr>
      <w:r>
        <w:rPr/>
        <w:t>③</w:t>
      </w:r>
      <w:r>
        <w:rPr>
          <w:spacing w:val="23"/>
        </w:rPr>
        <w:t> </w:t>
      </w:r>
      <w:r>
        <w:rPr/>
        <w:t>对于能够结转以后年度的可抵扣亏损和税款抵减，以很可能获得用来抵扣可抵扣亏损和税款抵减</w:t>
      </w:r>
      <w:r>
        <w:rPr/>
        <w:t> 的未来应纳税所得额为限，确认相应的递延所得税资产。</w:t>
      </w:r>
    </w:p>
    <w:p>
      <w:pPr>
        <w:pStyle w:val="BodyText"/>
        <w:spacing w:line="408" w:lineRule="auto"/>
        <w:ind w:right="209" w:firstLine="480"/>
        <w:jc w:val="both"/>
      </w:pPr>
      <w:r>
        <w:rPr/>
        <w:t>④</w:t>
      </w:r>
      <w:r>
        <w:rPr>
          <w:spacing w:val="23"/>
        </w:rPr>
        <w:t> </w:t>
      </w:r>
      <w:r>
        <w:rPr/>
        <w:t>资产负债表日，对递延所得税资产的账面价值进行复核。如果未来期间很可能无法获得足够的应</w:t>
      </w:r>
      <w:r>
        <w:rPr/>
        <w:t> </w:t>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税所得额时，减记的金额转回。</w:t>
      </w:r>
    </w:p>
    <w:p>
      <w:pPr>
        <w:spacing w:after="0" w:line="40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line="386" w:lineRule="auto" w:before="35"/>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对与子公司及联营企业投资相关的应纳税暂时性差异，确认递延所得税负债，除非本公司能够控制暂</w:t>
      </w:r>
    </w:p>
    <w:p>
      <w:pPr>
        <w:pStyle w:val="BodyText"/>
        <w:spacing w:line="408" w:lineRule="auto" w:before="65"/>
        <w:ind w:right="210"/>
        <w:jc w:val="both"/>
      </w:pPr>
      <w:r>
        <w:rPr>
          <w:spacing w:val="-1"/>
        </w:rPr>
        <w:t>时性差异转回的时间且该暂时性差异在可预见的未来很可能不会转回。对与子公司及联营企业投资相关的</w:t>
      </w:r>
      <w:r>
        <w:rPr>
          <w:spacing w:val="-81"/>
        </w:rPr>
        <w:t> </w:t>
      </w:r>
      <w:r>
        <w:rPr>
          <w:spacing w:val="-81"/>
        </w:rPr>
      </w:r>
      <w:r>
        <w:rPr>
          <w:spacing w:val="-1"/>
        </w:rPr>
        <w:t>可抵扣暂时性差异，当该暂时性差异在可预见的未来很可能转回且未来很可能获得用来抵扣可抵扣暂时性</w:t>
      </w:r>
      <w:r>
        <w:rPr>
          <w:spacing w:val="-81"/>
        </w:rPr>
        <w:t> </w:t>
      </w:r>
      <w:r>
        <w:rPr>
          <w:spacing w:val="-81"/>
        </w:rPr>
      </w:r>
      <w:r>
        <w:rPr/>
        <w:t>差异的应纳税所得额时，确认递延所得税资产。</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、租赁</w:t>
      </w:r>
      <w:r>
        <w:rPr>
          <w:b w:val="0"/>
          <w:bCs w:val="0"/>
        </w:rPr>
      </w:r>
    </w:p>
    <w:p>
      <w:pPr>
        <w:spacing w:line="750" w:lineRule="atLeast" w:before="18"/>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对于经营租赁的租金，承租人应当在租赁期内各个期间按照直线法计入相关资产成本或当期损益；承</w:t>
      </w:r>
    </w:p>
    <w:p>
      <w:pPr>
        <w:spacing w:line="240" w:lineRule="auto" w:before="10"/>
        <w:rPr>
          <w:rFonts w:ascii="宋体" w:hAnsi="宋体" w:cs="宋体" w:eastAsia="宋体" w:hint="default"/>
          <w:sz w:val="14"/>
          <w:szCs w:val="14"/>
        </w:rPr>
      </w:pPr>
    </w:p>
    <w:p>
      <w:pPr>
        <w:pStyle w:val="BodyText"/>
        <w:spacing w:line="240" w:lineRule="auto" w:before="0"/>
        <w:ind w:left="153" w:right="0"/>
        <w:jc w:val="left"/>
      </w:pPr>
      <w:r>
        <w:rPr/>
        <w:t>租人发生的初始直接费用，计入当期损益。或有租金应在实际发生时计入当期损益。</w:t>
      </w:r>
    </w:p>
    <w:p>
      <w:pPr>
        <w:spacing w:line="750" w:lineRule="atLeast" w:before="34"/>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在租赁期开始日，承租人应当将租赁期开始日租赁资产公允价值与最低租赁付款额现值两者中较低者</w:t>
      </w:r>
    </w:p>
    <w:p>
      <w:pPr>
        <w:spacing w:line="240" w:lineRule="auto" w:before="10"/>
        <w:rPr>
          <w:rFonts w:ascii="宋体" w:hAnsi="宋体" w:cs="宋体" w:eastAsia="宋体" w:hint="default"/>
          <w:sz w:val="14"/>
          <w:szCs w:val="14"/>
        </w:rPr>
      </w:pPr>
    </w:p>
    <w:p>
      <w:pPr>
        <w:pStyle w:val="BodyText"/>
        <w:spacing w:line="240" w:lineRule="auto" w:before="0"/>
        <w:ind w:left="153" w:right="0"/>
        <w:jc w:val="left"/>
      </w:pPr>
      <w:r>
        <w:rPr/>
        <w:t>作为租赁资产的入账价值，将最低租赁付款额作为长期应付款的入账价值，其差额作为未确认融资费用。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89"/>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55"/>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按照《增值税暂行条例》及其相关规定 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2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按照《营业税暂行条例》及其相关规定 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按照应纳流转税额计缴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按照《企业所得税法实施条例》及其相 关规定计缴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6449"/>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6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按所得额的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上交利得税</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德国开元</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公司法人税及其附带的团结统一税，税率为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w:t>
            </w:r>
            <w:r>
              <w:rPr>
                <w:rFonts w:ascii="宋体" w:hAnsi="宋体" w:cs="宋体" w:eastAsia="宋体" w:hint="default"/>
                <w:sz w:val="18"/>
                <w:szCs w:val="18"/>
              </w:rPr>
              <w:t>；营业所得税税率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，所得 税及营业所得税都以公司盈利为计税基础，若公司未盈利，可免交</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148"/>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8,580,030.34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3,170,049.85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898,979,127.53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391,416,466.16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52,841,337.10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19,854,985.85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960,400,494.97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414,441,501.86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69,866,594.04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4,095.60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其他说明：其他货币资金期末余额中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1,726.01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万元为公司及子公司用于质押担保的银行定期存款，详见附注十三、</w:t>
      </w:r>
      <w:r>
        <w:rPr>
          <w:rFonts w:ascii="Times New Roman" w:hAnsi="Times New Roman" w:cs="Times New Roman" w:eastAsia="Times New Roman" w:hint="default"/>
          <w:sz w:val="18"/>
          <w:szCs w:val="18"/>
        </w:rPr>
        <w:t>2</w:t>
      </w:r>
      <w:r>
        <w:rPr>
          <w:rFonts w:ascii="宋体" w:hAnsi="宋体" w:cs="宋体" w:eastAsia="宋体" w:hint="default"/>
          <w:sz w:val="18"/>
          <w:szCs w:val="18"/>
        </w:rPr>
        <w:t>、或有</w:t>
      </w:r>
    </w:p>
    <w:p>
      <w:pPr>
        <w:spacing w:line="302" w:lineRule="auto" w:before="63"/>
        <w:ind w:left="153" w:right="128" w:firstLine="0"/>
        <w:jc w:val="left"/>
        <w:rPr>
          <w:rFonts w:ascii="宋体" w:hAnsi="宋体" w:cs="宋体" w:eastAsia="宋体" w:hint="default"/>
          <w:sz w:val="18"/>
          <w:szCs w:val="18"/>
        </w:rPr>
      </w:pPr>
      <w:r>
        <w:rPr>
          <w:rFonts w:ascii="宋体" w:hAnsi="宋体" w:cs="宋体" w:eastAsia="宋体" w:hint="default"/>
          <w:spacing w:val="-5"/>
          <w:sz w:val="18"/>
          <w:szCs w:val="18"/>
        </w:rPr>
        <w:t>事项；其余</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3,558.12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万元为公司在第三方支付机构账户的存款。存放在境外的款项为境外香港众信、德国开元等境外公司的 货币资金期末余额。</w:t>
      </w:r>
    </w:p>
    <w:p>
      <w:pPr>
        <w:spacing w:line="240" w:lineRule="auto" w:before="2"/>
        <w:rPr>
          <w:rFonts w:ascii="宋体" w:hAnsi="宋体" w:cs="宋体" w:eastAsia="宋体" w:hint="default"/>
          <w:sz w:val="23"/>
          <w:szCs w:val="23"/>
        </w:rPr>
      </w:pPr>
    </w:p>
    <w:p>
      <w:pPr>
        <w:pStyle w:val="Heading3"/>
        <w:spacing w:line="240" w:lineRule="auto"/>
        <w:ind w:right="148"/>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8"/>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896"/>
        <w:gridCol w:w="1351"/>
        <w:gridCol w:w="1349"/>
        <w:gridCol w:w="1349"/>
        <w:gridCol w:w="1351"/>
        <w:gridCol w:w="1398"/>
      </w:tblGrid>
      <w:tr>
        <w:trPr>
          <w:trHeight w:val="402" w:hRule="exact"/>
        </w:trPr>
        <w:tc>
          <w:tcPr>
            <w:tcW w:w="2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8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9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 的应收账款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463,506,501.55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12,325,648.50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451,180,853.05</w:t>
            </w:r>
          </w:p>
        </w:tc>
      </w:tr>
      <w:tr>
        <w:trPr>
          <w:trHeight w:val="714"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 备的应收账款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877,886.00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877,886.00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464,384,387.55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13,203,534.50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451,180,853.05</w:t>
            </w:r>
          </w:p>
        </w:tc>
      </w:tr>
    </w:tbl>
    <w:p>
      <w:pPr>
        <w:spacing w:line="240" w:lineRule="auto" w:before="12"/>
        <w:rPr>
          <w:rFonts w:ascii="宋体" w:hAnsi="宋体" w:cs="宋体" w:eastAsia="宋体"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2752"/>
        <w:gridCol w:w="1181"/>
        <w:gridCol w:w="1274"/>
        <w:gridCol w:w="1362"/>
        <w:gridCol w:w="1562"/>
        <w:gridCol w:w="1562"/>
      </w:tblGrid>
      <w:tr>
        <w:trPr>
          <w:trHeight w:val="402" w:hRule="exact"/>
        </w:trPr>
        <w:tc>
          <w:tcPr>
            <w:tcW w:w="27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9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7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7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备的应收账款</w:t>
            </w:r>
          </w:p>
        </w:tc>
        <w:tc>
          <w:tcPr>
            <w:tcW w:w="118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167,406,883.54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164,709,596.59</w:t>
            </w:r>
          </w:p>
        </w:tc>
      </w:tr>
      <w:tr>
        <w:trPr>
          <w:trHeight w:val="714" w:hRule="exact"/>
        </w:trPr>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准备的应收账款</w:t>
            </w:r>
          </w:p>
        </w:tc>
        <w:tc>
          <w:tcPr>
            <w:tcW w:w="1181" w:type="dxa"/>
            <w:tcBorders>
              <w:top w:val="single" w:sz="4" w:space="0" w:color="000000"/>
              <w:left w:val="single" w:sz="9" w:space="0" w:color="D3D3D3"/>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167,406,883.54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164,709,596.59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387,112,620.01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64,429,326.20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6,442,932.62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8,044,926.89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2,413,478.07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900,781.29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450,390.65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460,487,654.39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9,306,801.34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3,018,847.16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3,018,847.16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463,506,501.55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12,325,648.50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00" w:bottom="280" w:left="980" w:right="980"/>
        </w:sectPr>
      </w:pPr>
    </w:p>
    <w:p>
      <w:pPr>
        <w:spacing w:line="240" w:lineRule="auto" w:before="13"/>
        <w:rPr>
          <w:rFonts w:ascii="宋体" w:hAnsi="宋体" w:cs="宋体" w:eastAsia="宋体" w:hint="default"/>
          <w:sz w:val="21"/>
          <w:szCs w:val="21"/>
        </w:rPr>
      </w:pPr>
    </w:p>
    <w:p>
      <w:pPr>
        <w:spacing w:line="357" w:lineRule="auto" w:before="44"/>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9"/>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5,687,524.83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144"/>
        <w:gridCol w:w="1672"/>
        <w:gridCol w:w="2960"/>
        <w:gridCol w:w="1997"/>
        <w:gridCol w:w="1885"/>
      </w:tblGrid>
      <w:tr>
        <w:trPr>
          <w:trHeight w:val="342" w:hRule="exact"/>
        </w:trPr>
        <w:tc>
          <w:tcPr>
            <w:tcW w:w="11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851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2" w:hRule="exact"/>
        </w:trPr>
        <w:tc>
          <w:tcPr>
            <w:tcW w:w="1144" w:type="dxa"/>
            <w:vMerge/>
            <w:tcBorders>
              <w:left w:val="single" w:sz="4" w:space="0" w:color="000000"/>
              <w:bottom w:val="single" w:sz="4" w:space="0" w:color="000000"/>
              <w:right w:val="single" w:sz="4" w:space="0" w:color="000000"/>
            </w:tcBorders>
            <w:shd w:val="clear" w:color="auto" w:fill="D9D9D9"/>
          </w:tcPr>
          <w:p>
            <w:pPr/>
          </w:p>
        </w:tc>
        <w:tc>
          <w:tcPr>
            <w:tcW w:w="1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6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3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b/>
                <w:bCs/>
                <w:sz w:val="18"/>
                <w:szCs w:val="18"/>
              </w:rPr>
              <w:t>计提坏账准备金额</w:t>
            </w:r>
            <w:r>
              <w:rPr>
                <w:rFonts w:ascii="宋体" w:hAnsi="宋体" w:cs="宋体" w:eastAsia="宋体" w:hint="default"/>
                <w:sz w:val="18"/>
                <w:szCs w:val="18"/>
              </w:rPr>
            </w:r>
          </w:p>
        </w:tc>
        <w:tc>
          <w:tcPr>
            <w:tcW w:w="1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31,193,387.75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15,527,237.73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676,754.60</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4.36</w:t>
            </w:r>
          </w:p>
        </w:tc>
      </w:tr>
      <w:tr>
        <w:trPr>
          <w:trHeight w:val="34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14,210,949.53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614,837.93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4.33</w:t>
            </w:r>
          </w:p>
        </w:tc>
      </w:tr>
      <w:tr>
        <w:trPr>
          <w:trHeight w:val="34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12,374,639.41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104,398.79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0.84</w:t>
            </w:r>
          </w:p>
        </w:tc>
      </w:tr>
      <w:tr>
        <w:trPr>
          <w:trHeight w:val="34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10,395,421.66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592,303.89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5.70</w:t>
            </w:r>
          </w:p>
        </w:tc>
      </w:tr>
      <w:tr>
        <w:trPr>
          <w:trHeight w:val="34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83,701,636.08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18.02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1,988,295.21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476,567,083.96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219,386,036.02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2,465,348.00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78,264.00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479,032,431.96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219,464,300.02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505"/>
        <w:gridCol w:w="2480"/>
        <w:gridCol w:w="3895"/>
        <w:gridCol w:w="1777"/>
      </w:tblGrid>
      <w:tr>
        <w:trPr>
          <w:trHeight w:val="342" w:hRule="exact"/>
        </w:trPr>
        <w:tc>
          <w:tcPr>
            <w:tcW w:w="150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815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1" w:hRule="exact"/>
        </w:trPr>
        <w:tc>
          <w:tcPr>
            <w:tcW w:w="1505" w:type="dxa"/>
            <w:vMerge/>
            <w:tcBorders>
              <w:left w:val="single" w:sz="4" w:space="0" w:color="000000"/>
              <w:bottom w:val="single" w:sz="4" w:space="0" w:color="000000"/>
              <w:right w:val="single" w:sz="4" w:space="0" w:color="000000"/>
            </w:tcBorders>
            <w:shd w:val="clear" w:color="auto" w:fill="D9D9D9"/>
          </w:tcPr>
          <w:p>
            <w:pPr/>
          </w:p>
        </w:tc>
        <w:tc>
          <w:tcPr>
            <w:tcW w:w="2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3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9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款项内容</w:t>
            </w:r>
            <w:r>
              <w:rPr>
                <w:rFonts w:ascii="宋体" w:hAnsi="宋体" w:cs="宋体" w:eastAsia="宋体" w:hint="default"/>
                <w:sz w:val="18"/>
                <w:szCs w:val="18"/>
              </w:rPr>
            </w:r>
          </w:p>
        </w:tc>
      </w:tr>
      <w:tr>
        <w:trPr>
          <w:trHeight w:val="34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38,927,581.60</w:t>
            </w:r>
          </w:p>
        </w:tc>
        <w:tc>
          <w:tcPr>
            <w:tcW w:w="3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8.13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28,124,569.17</w:t>
            </w:r>
          </w:p>
        </w:tc>
        <w:tc>
          <w:tcPr>
            <w:tcW w:w="3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16,955,806.15</w:t>
            </w:r>
          </w:p>
        </w:tc>
        <w:tc>
          <w:tcPr>
            <w:tcW w:w="3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13,681,403.26</w:t>
            </w:r>
          </w:p>
        </w:tc>
        <w:tc>
          <w:tcPr>
            <w:tcW w:w="3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预付地接款</w:t>
            </w:r>
          </w:p>
        </w:tc>
      </w:tr>
      <w:tr>
        <w:trPr>
          <w:trHeight w:val="34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12,877,335.00</w:t>
            </w:r>
          </w:p>
        </w:tc>
        <w:tc>
          <w:tcPr>
            <w:tcW w:w="3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2.69</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预付机票款</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1505"/>
        <w:gridCol w:w="2480"/>
        <w:gridCol w:w="3895"/>
        <w:gridCol w:w="1777"/>
      </w:tblGrid>
      <w:tr>
        <w:trPr>
          <w:trHeight w:val="342"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40" w:right="0"/>
              <w:jc w:val="left"/>
              <w:rPr>
                <w:rFonts w:ascii="Times New Roman" w:hAnsi="Times New Roman" w:cs="Times New Roman" w:eastAsia="Times New Roman" w:hint="default"/>
                <w:sz w:val="18"/>
                <w:szCs w:val="18"/>
              </w:rPr>
            </w:pPr>
            <w:r>
              <w:rPr>
                <w:rFonts w:ascii="Times New Roman"/>
                <w:sz w:val="18"/>
              </w:rPr>
              <w:t>110,566,695.18</w:t>
            </w:r>
          </w:p>
        </w:tc>
        <w:tc>
          <w:tcPr>
            <w:tcW w:w="3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23.08</w:t>
            </w:r>
          </w:p>
        </w:tc>
        <w:tc>
          <w:tcPr>
            <w:tcW w:w="17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发放贷款和垫款利息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162,580.61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162,580.61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896"/>
        <w:gridCol w:w="1351"/>
        <w:gridCol w:w="1349"/>
        <w:gridCol w:w="1349"/>
        <w:gridCol w:w="1351"/>
        <w:gridCol w:w="1398"/>
      </w:tblGrid>
      <w:tr>
        <w:trPr>
          <w:trHeight w:val="402" w:hRule="exact"/>
        </w:trPr>
        <w:tc>
          <w:tcPr>
            <w:tcW w:w="2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9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 的其他应收款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38,643,156.00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800,368.68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37,842,787.32</w:t>
            </w:r>
          </w:p>
        </w:tc>
      </w:tr>
      <w:tr>
        <w:trPr>
          <w:trHeight w:val="714"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 备的其他应收款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211,965,182.82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5,385,375.62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206,579,807.20</w:t>
            </w:r>
          </w:p>
        </w:tc>
      </w:tr>
      <w:tr>
        <w:trPr>
          <w:trHeight w:val="402"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250,608,338.82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6,185,744.30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244,422,594.52</w:t>
            </w:r>
          </w:p>
        </w:tc>
      </w:tr>
    </w:tbl>
    <w:p>
      <w:pPr>
        <w:spacing w:line="240" w:lineRule="auto" w:before="13"/>
        <w:rPr>
          <w:rFonts w:ascii="宋体" w:hAnsi="宋体" w:cs="宋体" w:eastAsia="宋体"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2740"/>
        <w:gridCol w:w="1181"/>
        <w:gridCol w:w="1274"/>
        <w:gridCol w:w="1362"/>
        <w:gridCol w:w="1562"/>
        <w:gridCol w:w="1562"/>
      </w:tblGrid>
      <w:tr>
        <w:trPr>
          <w:trHeight w:val="402" w:hRule="exact"/>
        </w:trPr>
        <w:tc>
          <w:tcPr>
            <w:tcW w:w="2740" w:type="dxa"/>
            <w:tcBorders>
              <w:top w:val="single" w:sz="4" w:space="0" w:color="000000"/>
              <w:left w:val="single" w:sz="13" w:space="0" w:color="FFFFFF"/>
              <w:bottom w:val="nil" w:sz="6" w:space="0" w:color="auto"/>
              <w:right w:val="single" w:sz="4" w:space="0" w:color="000000"/>
            </w:tcBorders>
            <w:shd w:val="clear" w:color="auto" w:fill="D3D3D3"/>
          </w:tcPr>
          <w:p>
            <w:pPr/>
          </w:p>
        </w:tc>
        <w:tc>
          <w:tcPr>
            <w:tcW w:w="69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740" w:type="dxa"/>
            <w:tcBorders>
              <w:top w:val="nil" w:sz="6" w:space="0" w:color="auto"/>
              <w:left w:val="single" w:sz="13" w:space="0" w:color="FFFFFF"/>
              <w:bottom w:val="nil" w:sz="6" w:space="0" w:color="auto"/>
              <w:right w:val="single" w:sz="4" w:space="0" w:color="000000"/>
            </w:tcBorders>
            <w:shd w:val="clear" w:color="auto" w:fill="D3D3D3"/>
          </w:tcPr>
          <w:p>
            <w:pPr>
              <w:pStyle w:val="TableParagraph"/>
              <w:spacing w:line="240" w:lineRule="auto" w:before="56"/>
              <w:ind w:right="23"/>
              <w:jc w:val="center"/>
              <w:rPr>
                <w:rFonts w:ascii="宋体" w:hAnsi="宋体" w:cs="宋体" w:eastAsia="宋体" w:hint="default"/>
                <w:sz w:val="18"/>
                <w:szCs w:val="18"/>
              </w:rPr>
            </w:pPr>
            <w:r>
              <w:rPr>
                <w:rFonts w:ascii="宋体" w:hAnsi="宋体" w:cs="宋体" w:eastAsia="宋体" w:hint="default"/>
                <w:sz w:val="18"/>
                <w:szCs w:val="18"/>
              </w:rPr>
              <w:t>类别</w:t>
            </w: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740" w:type="dxa"/>
            <w:tcBorders>
              <w:top w:val="nil" w:sz="6" w:space="0" w:color="auto"/>
              <w:left w:val="single" w:sz="13" w:space="0" w:color="FFFFFF"/>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40" w:type="dxa"/>
            <w:tcBorders>
              <w:top w:val="single" w:sz="4" w:space="0" w:color="000000"/>
              <w:left w:val="single" w:sz="13" w:space="0" w:color="FFFFFF"/>
              <w:bottom w:val="single" w:sz="4" w:space="0" w:color="000000"/>
              <w:right w:val="single" w:sz="4" w:space="0" w:color="000000"/>
            </w:tcBorders>
            <w:shd w:val="clear" w:color="auto" w:fill="D3D3D3"/>
          </w:tcPr>
          <w:p>
            <w:pPr>
              <w:pStyle w:val="TableParagraph"/>
              <w:spacing w:line="316" w:lineRule="auto" w:before="51"/>
              <w:ind w:right="197"/>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备的其他应收款</w:t>
            </w:r>
          </w:p>
        </w:tc>
        <w:tc>
          <w:tcPr>
            <w:tcW w:w="118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23,844,132.00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477,876.75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23,366,255.25</w:t>
            </w:r>
          </w:p>
        </w:tc>
      </w:tr>
      <w:tr>
        <w:trPr>
          <w:trHeight w:val="714" w:hRule="exact"/>
        </w:trPr>
        <w:tc>
          <w:tcPr>
            <w:tcW w:w="2740" w:type="dxa"/>
            <w:tcBorders>
              <w:top w:val="single" w:sz="4" w:space="0" w:color="000000"/>
              <w:left w:val="single" w:sz="13" w:space="0" w:color="FFFFFF"/>
              <w:bottom w:val="single" w:sz="4" w:space="0" w:color="000000"/>
              <w:right w:val="single" w:sz="4" w:space="0" w:color="000000"/>
            </w:tcBorders>
            <w:shd w:val="clear" w:color="auto" w:fill="D3D3D3"/>
          </w:tcPr>
          <w:p>
            <w:pPr>
              <w:pStyle w:val="TableParagraph"/>
              <w:spacing w:line="316" w:lineRule="auto" w:before="51"/>
              <w:ind w:right="197"/>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准备的其他应收款</w:t>
            </w:r>
          </w:p>
        </w:tc>
        <w:tc>
          <w:tcPr>
            <w:tcW w:w="118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112,209,148.60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2,803,223.32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109,405,925.28</w:t>
            </w:r>
          </w:p>
        </w:tc>
      </w:tr>
      <w:tr>
        <w:trPr>
          <w:trHeight w:val="402" w:hRule="exact"/>
        </w:trPr>
        <w:tc>
          <w:tcPr>
            <w:tcW w:w="2740" w:type="dxa"/>
            <w:tcBorders>
              <w:top w:val="single" w:sz="4" w:space="0" w:color="000000"/>
              <w:left w:val="single" w:sz="13" w:space="0" w:color="FFFFFF"/>
              <w:bottom w:val="single" w:sz="4" w:space="0" w:color="000000"/>
              <w:right w:val="single" w:sz="4" w:space="0" w:color="000000"/>
            </w:tcBorders>
            <w:shd w:val="clear" w:color="auto" w:fill="D3D3D3"/>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136,053,280.60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3,281,100.07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132,772,180.53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中国国际航空股份有限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38,643,156.00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800,368.68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w:t>
            </w:r>
          </w:p>
        </w:tc>
      </w:tr>
    </w:tbl>
    <w:p>
      <w:pPr>
        <w:spacing w:after="0" w:line="240" w:lineRule="auto"/>
        <w:jc w:val="left"/>
        <w:rPr>
          <w:rFonts w:ascii="宋体" w:hAnsi="宋体" w:cs="宋体" w:eastAsia="宋体" w:hint="default"/>
          <w:sz w:val="18"/>
          <w:szCs w:val="18"/>
        </w:rPr>
        <w:sectPr>
          <w:type w:val="continuous"/>
          <w:pgSz w:w="11910" w:h="16840"/>
          <w:pgMar w:top="14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38,643,156.00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800,368.68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38" w:lineRule="auto" w:before="43"/>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662,448.82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226,088,375.71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124,650,480.75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7,076,282.80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1,535,360.25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17,443,680.31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9,867,439.60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250,608,338.82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136,053,280.60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38,643,156.00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800,368.68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355,992.00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380,620.00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6,493,600.00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129,872.00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73,101,356.00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1,666,852.68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370,282.61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370,282.61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432,960.45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370,282.61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370,282.61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432,960.45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432,960.45</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13,338,382.03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598,054.22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44,733,600.00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13,936,436.25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44,733,600.00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9</w:t>
      </w:r>
      <w:r>
        <w:rPr/>
        <w:t>、</w:t>
      </w:r>
      <w:r>
        <w:rPr>
          <w:spacing w:val="-1"/>
        </w:rPr>
        <w:t> </w:t>
      </w:r>
      <w:r>
        <w:rPr/>
        <w:t>发放贷款及垫款</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pStyle w:val="Heading3"/>
        <w:spacing w:line="240" w:lineRule="auto" w:before="35"/>
        <w:ind w:right="0"/>
        <w:jc w:val="left"/>
        <w:rPr>
          <w:b w:val="0"/>
          <w:bCs w:val="0"/>
        </w:rPr>
      </w:pPr>
      <w:r>
        <w:rPr>
          <w:w w:val="95"/>
        </w:rPr>
        <w:t>（</w:t>
      </w:r>
      <w:r>
        <w:rPr>
          <w:rFonts w:ascii="Times New Roman" w:hAnsi="Times New Roman" w:cs="Times New Roman" w:eastAsia="Times New Roman" w:hint="default"/>
          <w:w w:val="95"/>
        </w:rPr>
        <w:t>1</w:t>
      </w:r>
      <w:r>
        <w:rPr>
          <w:w w:val="95"/>
        </w:rPr>
        <w:t>）贷款和垫款按个人和企业分布情况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3842" w:space="4986"/>
            <w:col w:w="1122"/>
          </w:cols>
        </w:sectPr>
      </w:pP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217"/>
        <w:gridCol w:w="3221"/>
        <w:gridCol w:w="3220"/>
      </w:tblGrid>
      <w:tr>
        <w:trPr>
          <w:trHeight w:val="341" w:hRule="exact"/>
        </w:trPr>
        <w:tc>
          <w:tcPr>
            <w:tcW w:w="3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个人贷款和垫款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78,228,419.33</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企业贷款和垫款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10,071,580.67</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贷款和垫款总额</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88,300,000.00</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减：贷款损失准备</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1,324,500.00</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其中：个别方式评估</w:t>
            </w:r>
          </w:p>
        </w:tc>
        <w:tc>
          <w:tcPr>
            <w:tcW w:w="3221" w:type="dxa"/>
            <w:tcBorders>
              <w:top w:val="single" w:sz="4" w:space="0" w:color="000000"/>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27" w:right="0"/>
              <w:jc w:val="left"/>
              <w:rPr>
                <w:rFonts w:ascii="宋体" w:hAnsi="宋体" w:cs="宋体" w:eastAsia="宋体" w:hint="default"/>
                <w:sz w:val="18"/>
                <w:szCs w:val="18"/>
              </w:rPr>
            </w:pPr>
            <w:r>
              <w:rPr>
                <w:rFonts w:ascii="宋体" w:hAnsi="宋体" w:cs="宋体" w:eastAsia="宋体" w:hint="default"/>
                <w:sz w:val="18"/>
                <w:szCs w:val="18"/>
              </w:rPr>
              <w:t>组合方式评估</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1,324,500.00</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贷款和垫款账面价值</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86,975,500.00</w:t>
            </w:r>
          </w:p>
        </w:tc>
        <w:tc>
          <w:tcPr>
            <w:tcW w:w="32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400" w:bottom="280" w:left="980" w:right="980"/>
        </w:sectPr>
      </w:pPr>
    </w:p>
    <w:p>
      <w:pPr>
        <w:pStyle w:val="Heading3"/>
        <w:spacing w:line="240" w:lineRule="auto" w:before="35"/>
        <w:ind w:right="0"/>
        <w:jc w:val="left"/>
        <w:rPr>
          <w:b w:val="0"/>
          <w:bCs w:val="0"/>
        </w:rPr>
      </w:pPr>
      <w:r>
        <w:rPr>
          <w:w w:val="95"/>
        </w:rPr>
        <w:t>（</w:t>
      </w:r>
      <w:r>
        <w:rPr>
          <w:rFonts w:ascii="Times New Roman" w:hAnsi="Times New Roman" w:cs="Times New Roman" w:eastAsia="Times New Roman" w:hint="default"/>
          <w:w w:val="95"/>
        </w:rPr>
        <w:t>2</w:t>
      </w:r>
      <w:r>
        <w:rPr>
          <w:w w:val="95"/>
        </w:rPr>
        <w:t>）贷款和垫款总额按担保方式分布情况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054" w:space="4774"/>
            <w:col w:w="1122"/>
          </w:cols>
        </w:sectPr>
      </w:pP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3217"/>
        <w:gridCol w:w="3221"/>
        <w:gridCol w:w="3220"/>
      </w:tblGrid>
      <w:tr>
        <w:trPr>
          <w:trHeight w:val="341" w:hRule="exact"/>
        </w:trPr>
        <w:tc>
          <w:tcPr>
            <w:tcW w:w="3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信用贷款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5,800,000.00</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保证贷款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82,500,000.00</w:t>
            </w: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3221" w:type="dxa"/>
            <w:tcBorders>
              <w:top w:val="single" w:sz="4" w:space="0" w:color="000000"/>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质押贷款</w:t>
            </w:r>
          </w:p>
        </w:tc>
        <w:tc>
          <w:tcPr>
            <w:tcW w:w="3221" w:type="dxa"/>
            <w:tcBorders>
              <w:top w:val="single" w:sz="4" w:space="0" w:color="000000"/>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贷款和垫款总额</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88,300,000.00</w:t>
            </w:r>
          </w:p>
        </w:tc>
        <w:tc>
          <w:tcPr>
            <w:tcW w:w="32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4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241,141,400.00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241,141,400.00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241,141,400.00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241,141,400.00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241,141,400.00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241,141,400.00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784"/>
        <w:gridCol w:w="1001"/>
        <w:gridCol w:w="1181"/>
        <w:gridCol w:w="792"/>
        <w:gridCol w:w="1182"/>
        <w:gridCol w:w="792"/>
        <w:gridCol w:w="792"/>
        <w:gridCol w:w="793"/>
        <w:gridCol w:w="793"/>
        <w:gridCol w:w="793"/>
        <w:gridCol w:w="791"/>
      </w:tblGrid>
      <w:tr>
        <w:trPr>
          <w:trHeight w:val="402" w:hRule="exact"/>
        </w:trPr>
        <w:tc>
          <w:tcPr>
            <w:tcW w:w="7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6" w:right="2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41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7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0" w:right="29"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784" w:type="dxa"/>
            <w:vMerge/>
            <w:tcBorders>
              <w:left w:val="single" w:sz="4" w:space="0" w:color="000000"/>
              <w:bottom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93" w:type="dxa"/>
            <w:vMerge/>
            <w:tcBorders>
              <w:left w:val="single" w:sz="4" w:space="0" w:color="000000"/>
              <w:bottom w:val="single" w:sz="4" w:space="0" w:color="000000"/>
              <w:right w:val="single" w:sz="4" w:space="0" w:color="000000"/>
            </w:tcBorders>
            <w:shd w:val="clear" w:color="auto" w:fill="D3D3D3"/>
          </w:tcPr>
          <w:p>
            <w:pPr/>
          </w:p>
        </w:tc>
        <w:tc>
          <w:tcPr>
            <w:tcW w:w="79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布达米亚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年假旅行</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世界玖玖</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14,285,700.00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14,285,700.00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悠哉网络</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异乡好居</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晨晖盛景</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Club Med</w:t>
            </w:r>
          </w:p>
          <w:p>
            <w:pPr>
              <w:pStyle w:val="TableParagraph"/>
              <w:spacing w:line="319" w:lineRule="auto" w:before="64"/>
              <w:ind w:left="22" w:right="29"/>
              <w:jc w:val="both"/>
              <w:rPr>
                <w:rFonts w:ascii="宋体" w:hAnsi="宋体" w:cs="宋体" w:eastAsia="宋体" w:hint="default"/>
                <w:sz w:val="18"/>
                <w:szCs w:val="18"/>
              </w:rPr>
            </w:pPr>
            <w:r>
              <w:rPr>
                <w:rFonts w:ascii="宋体" w:hAnsi="宋体" w:cs="宋体" w:eastAsia="宋体" w:hint="default"/>
                <w:sz w:val="18"/>
                <w:szCs w:val="18"/>
              </w:rPr>
              <w:t>（香港众 信间接持 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86,552,400.00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86,552,400.00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北京创新 工场</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同程网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50,068,000.00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50,068,000.00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广州酷旅</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优投金鼎 智慧旅游</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10,735,300.00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10,735,300.00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优投金鼎 资产管理</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240,141,400.00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241,141,400.00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878"/>
        <w:gridCol w:w="622"/>
        <w:gridCol w:w="1092"/>
        <w:gridCol w:w="750"/>
        <w:gridCol w:w="750"/>
        <w:gridCol w:w="750"/>
        <w:gridCol w:w="751"/>
        <w:gridCol w:w="752"/>
        <w:gridCol w:w="752"/>
        <w:gridCol w:w="751"/>
        <w:gridCol w:w="1092"/>
        <w:gridCol w:w="752"/>
      </w:tblGrid>
      <w:tr>
        <w:trPr>
          <w:trHeight w:val="402" w:hRule="exact"/>
        </w:trPr>
        <w:tc>
          <w:tcPr>
            <w:tcW w:w="8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44" w:right="7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6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14" w:right="35"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4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5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102" w:right="9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14" w:hRule="exact"/>
        </w:trPr>
        <w:tc>
          <w:tcPr>
            <w:tcW w:w="878" w:type="dxa"/>
            <w:vMerge/>
            <w:tcBorders>
              <w:left w:val="single" w:sz="4" w:space="0" w:color="000000"/>
              <w:bottom w:val="single" w:sz="4" w:space="0" w:color="000000"/>
              <w:right w:val="single" w:sz="4" w:space="0" w:color="000000"/>
            </w:tcBorders>
            <w:shd w:val="clear" w:color="auto" w:fill="D3D3D3"/>
          </w:tcPr>
          <w:p>
            <w:pPr/>
          </w:p>
        </w:tc>
        <w:tc>
          <w:tcPr>
            <w:tcW w:w="622" w:type="dxa"/>
            <w:vMerge/>
            <w:tcBorders>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9" w:right="98"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9" w:right="98"/>
              <w:jc w:val="left"/>
              <w:rPr>
                <w:rFonts w:ascii="宋体" w:hAnsi="宋体" w:cs="宋体" w:eastAsia="宋体" w:hint="default"/>
                <w:sz w:val="18"/>
                <w:szCs w:val="18"/>
              </w:rPr>
            </w:pPr>
            <w:r>
              <w:rPr>
                <w:rFonts w:ascii="宋体" w:hAnsi="宋体" w:cs="宋体" w:eastAsia="宋体" w:hint="default"/>
                <w:sz w:val="18"/>
                <w:szCs w:val="18"/>
              </w:rPr>
              <w:t>权益法 下确认</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9" w:right="9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0" w:right="98"/>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02" w:right="98"/>
              <w:jc w:val="left"/>
              <w:rPr>
                <w:rFonts w:ascii="宋体" w:hAnsi="宋体" w:cs="宋体" w:eastAsia="宋体" w:hint="default"/>
                <w:sz w:val="18"/>
                <w:szCs w:val="18"/>
              </w:rPr>
            </w:pPr>
            <w:r>
              <w:rPr>
                <w:rFonts w:ascii="宋体" w:hAnsi="宋体" w:cs="宋体" w:eastAsia="宋体" w:hint="default"/>
                <w:sz w:val="18"/>
                <w:szCs w:val="18"/>
              </w:rPr>
              <w:t>宣告发 放现金</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0" w:right="10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single" w:sz="4" w:space="0" w:color="000000"/>
              <w:right w:val="single" w:sz="4" w:space="0" w:color="000000"/>
            </w:tcBorders>
            <w:shd w:val="clear" w:color="auto" w:fill="D3D3D3"/>
          </w:tcPr>
          <w:p>
            <w:pPr/>
          </w:p>
        </w:tc>
        <w:tc>
          <w:tcPr>
            <w:tcW w:w="75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78"/>
        <w:gridCol w:w="622"/>
        <w:gridCol w:w="1092"/>
        <w:gridCol w:w="750"/>
        <w:gridCol w:w="750"/>
        <w:gridCol w:w="750"/>
        <w:gridCol w:w="751"/>
        <w:gridCol w:w="752"/>
        <w:gridCol w:w="752"/>
        <w:gridCol w:w="751"/>
        <w:gridCol w:w="1092"/>
        <w:gridCol w:w="752"/>
      </w:tblGrid>
      <w:tr>
        <w:trPr>
          <w:trHeight w:val="674" w:hRule="exact"/>
        </w:trPr>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89" w:right="98" w:hanging="90"/>
              <w:jc w:val="left"/>
              <w:rPr>
                <w:rFonts w:ascii="宋体" w:hAnsi="宋体" w:cs="宋体" w:eastAsia="宋体" w:hint="default"/>
                <w:sz w:val="18"/>
                <w:szCs w:val="18"/>
              </w:rPr>
            </w:pPr>
            <w:r>
              <w:rPr>
                <w:rFonts w:ascii="宋体" w:hAnsi="宋体" w:cs="宋体" w:eastAsia="宋体" w:hint="default"/>
                <w:sz w:val="18"/>
                <w:szCs w:val="18"/>
              </w:rPr>
              <w:t>的投资 损益</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92" w:right="98" w:hanging="90"/>
              <w:jc w:val="left"/>
              <w:rPr>
                <w:rFonts w:ascii="宋体" w:hAnsi="宋体" w:cs="宋体" w:eastAsia="宋体" w:hint="default"/>
                <w:sz w:val="18"/>
                <w:szCs w:val="18"/>
              </w:rPr>
            </w:pPr>
            <w:r>
              <w:rPr>
                <w:rFonts w:ascii="宋体" w:hAnsi="宋体" w:cs="宋体" w:eastAsia="宋体" w:hint="default"/>
                <w:sz w:val="18"/>
                <w:szCs w:val="18"/>
              </w:rPr>
              <w:t>股利或 利润</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众信天益</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37,293,750.00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37,293,750.00</w:t>
            </w:r>
          </w:p>
        </w:tc>
        <w:tc>
          <w:tcPr>
            <w:tcW w:w="7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众信奇迹 来跑吧</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-1,760.12</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98,239.88</w:t>
            </w:r>
          </w:p>
        </w:tc>
        <w:tc>
          <w:tcPr>
            <w:tcW w:w="7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37,393,750.00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-1,760.12</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37,391,989.88</w:t>
            </w:r>
          </w:p>
        </w:tc>
        <w:tc>
          <w:tcPr>
            <w:tcW w:w="7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37,393,750.00</w:t>
            </w: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-1,760.12</w:t>
            </w:r>
          </w:p>
        </w:tc>
        <w:tc>
          <w:tcPr>
            <w:tcW w:w="7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37,391,989.88</w:t>
            </w:r>
          </w:p>
        </w:tc>
        <w:tc>
          <w:tcPr>
            <w:tcW w:w="7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8,863,346.13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1,146,271.57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1,899,094.54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11,908,712.24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5,771,008.42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4,366,626.38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1,433,731.00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11,571,365.80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2,252,759.45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588,512.00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2,841,271.45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3,518,248.97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4,366,626.38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845,219.00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8,730,094.35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833,708.45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22,015.80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855,724.25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833,708.45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22,015.80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855,724.25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13,800,646.10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5,512,897.95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3,310,809.74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22,624,353.79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4,939,121.51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196,525.12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616,147.11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5,751,793.74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4,419,314.71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1,688,659.50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767,333.58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6,875,307.79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2,725,256.86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449,779.86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559,986.95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3,735,023.67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1,694,057.85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1,238,879.64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207,346.63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3,140,284.12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592,307.40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596,490.24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592,307.40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596,490.24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8,766,128.82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1,885,184.62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1,379,297.85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12,030,611.29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5,034,517.28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3,627,713.33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1,931,511.89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10,593,742.50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3,924,224.62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949,746.45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1,282,947.43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6,156,918.50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32"/>
        <w:gridCol w:w="3232"/>
        <w:gridCol w:w="3230"/>
      </w:tblGrid>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办公软件</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9,733,302.03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9,733,302.03</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13,606,153.01</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13,606,153.01</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11,388,901.33</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11,388,901.33</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2,217,251.68</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2,217,251.68</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23,339,455.04</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23,339,455.04</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2,219,628.86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2,219,628.86</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3,337,194.36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3,337,194.36</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2,673,276.06</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2,673,276.06</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663,918.30</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663,918.30</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5,556,823.22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5,556,823.22</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32"/>
        <w:gridCol w:w="3232"/>
        <w:gridCol w:w="3230"/>
      </w:tblGrid>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232" w:type="dxa"/>
            <w:tcBorders>
              <w:top w:val="single" w:sz="4" w:space="0" w:color="000000"/>
              <w:left w:val="single" w:sz="4" w:space="0" w:color="000000"/>
              <w:bottom w:val="single" w:sz="4" w:space="0" w:color="000000"/>
              <w:right w:val="single" w:sz="4" w:space="0" w:color="000000"/>
            </w:tcBorders>
          </w:tcPr>
          <w:p>
            <w:pPr/>
          </w:p>
        </w:tc>
        <w:tc>
          <w:tcPr>
            <w:tcW w:w="3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17,782,631.82</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17,782,631.82</w:t>
            </w:r>
          </w:p>
        </w:tc>
      </w:tr>
      <w:tr>
        <w:trPr>
          <w:trHeight w:val="402" w:hRule="exact"/>
        </w:trPr>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7,513,673.17</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7,513,673.17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629" w:hRule="exact"/>
        </w:trPr>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8" w:hRule="exact"/>
        </w:trPr>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2,602,920.41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2,602,920.41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悠联货币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271,242.46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271,242.46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491,086,223.50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491,086,223.50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52,478,671.09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52,478,671.09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江苏众信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34,622.83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34,622.83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法国安赛尔</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973,635.45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973,635.45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2,874,162.87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544,573,152.87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547,447,315.74</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3,256,122.03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9,393,213.15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3,611,537.49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9,037,797.69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993,092.00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157,949.56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835,142.44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172,979.29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52,524.94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120,454.35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3,256,122.03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10,559,284.44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3,822,011.99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9,993,394.48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20,649,429.44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5,162,357.36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5,978,387.02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1,494,596.75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5,469,602.80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1,367,400.70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5,396,041.52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1,349,010.38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3,039,363.78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759,840.95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31,515,073.76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7,878,768.44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9,017,750.80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2,254,437.70</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0"/>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1675"/>
        <w:gridCol w:w="2130"/>
        <w:gridCol w:w="1979"/>
        <w:gridCol w:w="2130"/>
        <w:gridCol w:w="1975"/>
      </w:tblGrid>
      <w:tr>
        <w:trPr>
          <w:trHeight w:val="749" w:hRule="exact"/>
        </w:trPr>
        <w:tc>
          <w:tcPr>
            <w:tcW w:w="1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52"/>
              <w:ind w:left="520" w:right="157"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52"/>
              <w:ind w:left="175" w:right="173" w:firstLine="90"/>
              <w:jc w:val="left"/>
              <w:rPr>
                <w:rFonts w:ascii="宋体" w:hAnsi="宋体" w:cs="宋体" w:eastAsia="宋体" w:hint="default"/>
                <w:sz w:val="18"/>
                <w:szCs w:val="18"/>
              </w:rPr>
            </w:pPr>
            <w:r>
              <w:rPr>
                <w:rFonts w:ascii="宋体" w:hAnsi="宋体" w:cs="宋体" w:eastAsia="宋体" w:hint="default"/>
                <w:sz w:val="18"/>
                <w:szCs w:val="18"/>
              </w:rPr>
              <w:t>抵销后递延所得税 资产或负债期末余额</w:t>
            </w:r>
          </w:p>
        </w:tc>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52"/>
              <w:ind w:left="339" w:right="338"/>
              <w:jc w:val="left"/>
              <w:rPr>
                <w:rFonts w:ascii="宋体" w:hAnsi="宋体" w:cs="宋体" w:eastAsia="宋体" w:hint="default"/>
                <w:sz w:val="18"/>
                <w:szCs w:val="18"/>
              </w:rPr>
            </w:pPr>
            <w:r>
              <w:rPr>
                <w:rFonts w:ascii="宋体" w:hAnsi="宋体" w:cs="宋体" w:eastAsia="宋体" w:hint="default"/>
                <w:sz w:val="18"/>
                <w:szCs w:val="18"/>
              </w:rPr>
              <w:t>递延所得税资产和 负债期初互抵金额</w:t>
            </w:r>
          </w:p>
        </w:tc>
        <w:tc>
          <w:tcPr>
            <w:tcW w:w="1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52"/>
              <w:ind w:left="172" w:right="170" w:firstLine="90"/>
              <w:jc w:val="left"/>
              <w:rPr>
                <w:rFonts w:ascii="宋体" w:hAnsi="宋体" w:cs="宋体" w:eastAsia="宋体" w:hint="default"/>
                <w:sz w:val="18"/>
                <w:szCs w:val="18"/>
              </w:rPr>
            </w:pPr>
            <w:r>
              <w:rPr>
                <w:rFonts w:ascii="宋体" w:hAnsi="宋体" w:cs="宋体" w:eastAsia="宋体" w:hint="default"/>
                <w:sz w:val="18"/>
                <w:szCs w:val="18"/>
              </w:rPr>
              <w:t>抵销后递延所得税 资产或负债期初余额</w:t>
            </w:r>
          </w:p>
        </w:tc>
      </w:tr>
      <w:tr>
        <w:trPr>
          <w:trHeight w:val="469" w:hRule="exact"/>
        </w:trPr>
        <w:tc>
          <w:tcPr>
            <w:tcW w:w="16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213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01" w:right="0"/>
              <w:jc w:val="left"/>
              <w:rPr>
                <w:rFonts w:ascii="Times New Roman" w:hAnsi="Times New Roman" w:cs="Times New Roman" w:eastAsia="Times New Roman" w:hint="default"/>
                <w:sz w:val="18"/>
                <w:szCs w:val="18"/>
              </w:rPr>
            </w:pPr>
            <w:r>
              <w:rPr>
                <w:rFonts w:ascii="Times New Roman"/>
                <w:sz w:val="18"/>
              </w:rPr>
              <w:t>7,878,768.44</w:t>
            </w:r>
          </w:p>
        </w:tc>
        <w:tc>
          <w:tcPr>
            <w:tcW w:w="2130" w:type="dxa"/>
            <w:tcBorders>
              <w:top w:val="single" w:sz="4" w:space="0" w:color="000000"/>
              <w:left w:val="single" w:sz="4" w:space="0" w:color="000000"/>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98" w:right="0"/>
              <w:jc w:val="left"/>
              <w:rPr>
                <w:rFonts w:ascii="Times New Roman" w:hAnsi="Times New Roman" w:cs="Times New Roman" w:eastAsia="Times New Roman" w:hint="default"/>
                <w:sz w:val="18"/>
                <w:szCs w:val="18"/>
              </w:rPr>
            </w:pPr>
            <w:r>
              <w:rPr>
                <w:rFonts w:ascii="Times New Roman"/>
                <w:sz w:val="18"/>
              </w:rPr>
              <w:t>2,254,437.70</w:t>
            </w:r>
          </w:p>
        </w:tc>
      </w:tr>
    </w:tbl>
    <w:p>
      <w:pPr>
        <w:spacing w:line="240" w:lineRule="auto" w:before="2"/>
        <w:rPr>
          <w:rFonts w:ascii="宋体" w:hAnsi="宋体" w:cs="宋体" w:eastAsia="宋体" w:hint="default"/>
          <w:b/>
          <w:bCs/>
          <w:sz w:val="19"/>
          <w:szCs w:val="19"/>
        </w:rPr>
      </w:pPr>
    </w:p>
    <w:p>
      <w:pPr>
        <w:pStyle w:val="Heading3"/>
        <w:spacing w:line="240" w:lineRule="auto" w:before="35"/>
        <w:ind w:left="254" w:right="0"/>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旅行社质量保证金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25,871,441.54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9,942,439.15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航协保证金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保险兼业资质保证金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16,387,042.04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109,268,483.58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72,482,439.15</w:t>
            </w:r>
          </w:p>
        </w:tc>
      </w:tr>
    </w:tbl>
    <w:p>
      <w:pPr>
        <w:spacing w:before="88"/>
        <w:ind w:left="254" w:right="0" w:firstLine="0"/>
        <w:jc w:val="left"/>
        <w:rPr>
          <w:rFonts w:ascii="宋体" w:hAnsi="宋体" w:cs="宋体" w:eastAsia="宋体" w:hint="default"/>
          <w:sz w:val="18"/>
          <w:szCs w:val="18"/>
        </w:rPr>
      </w:pPr>
      <w:r>
        <w:rPr>
          <w:rFonts w:ascii="宋体" w:hAnsi="宋体" w:cs="宋体" w:eastAsia="宋体" w:hint="default"/>
          <w:sz w:val="18"/>
          <w:szCs w:val="18"/>
        </w:rPr>
        <w:t>其他说明：委托贷款系公司通过中国民生银行股份有限公司总行营业部提供给上海悠哉网络科技有限公司的借款。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254" w:right="0"/>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880" w:right="900"/>
        </w:sectPr>
      </w:pPr>
    </w:p>
    <w:p>
      <w:pPr>
        <w:spacing w:line="240" w:lineRule="auto" w:before="10"/>
        <w:rPr>
          <w:rFonts w:ascii="宋体" w:hAnsi="宋体" w:cs="宋体" w:eastAsia="宋体" w:hint="default"/>
          <w:sz w:val="20"/>
          <w:szCs w:val="20"/>
        </w:rPr>
      </w:pPr>
    </w:p>
    <w:p>
      <w:pPr>
        <w:pStyle w:val="Heading3"/>
        <w:spacing w:line="240" w:lineRule="auto" w:before="35"/>
        <w:ind w:right="148"/>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472,510,570.66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200,941,482.75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1,325,062.84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809,060.27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784,281.32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474,619,914.82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201,750,543.02</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325,129,304.43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219,175,503.46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325,129,304.43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219,175,503.46</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11,739,220.51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234,842,178.78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221,679,722.43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24,901,676.86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1,145,128.15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27,502,272.97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26,365,538.03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2,281,863.09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118,336.50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118,336.50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12,884,348.66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262,462,788.25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248,163,596.96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27,183,539.95</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10,218,847.40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200,491,398.45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189,141,779.21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21,568,466.64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1,555,523.82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1,544,770.41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10,753.41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703,542.81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16,667,380.90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15,995,117.46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1,375,806.25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629,182.87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14,969,355.62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14,373,799.08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1,224,739.41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543,727.37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519,444.44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46,316.15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52,326.72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1,154,297.91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1,101,873.94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104,750.69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12,168,796.71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11,810,692.94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895,153.77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279,780.30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2,872,963.16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2,101,246.67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1,051,496.79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1,086,115.74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1,086,115.74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11,739,220.51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234,842,178.78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221,679,722.43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24,901,676.86</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1,087,052.96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26,067,981.74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24,986,550.80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2,168,483.90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58,075.19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1,434,291.23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1,378,987.23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113,379.19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1,145,128.15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27,502,272.97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26,365,538.03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2,281,863.09</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792,629.10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287,892.39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3,440,552.24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1,729,346.78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5,982,060.90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6,641,925.65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159,443.00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74,391.99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333,353.98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166,967.46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151,273.93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73,358.96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100,849.26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47,089.81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12,170.49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6,152.63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副食品价格调节基金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53,401.95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29,399.45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11,025,734.85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9,056,525.12</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23</w:t>
      </w:r>
      <w:r>
        <w:rPr/>
        <w:t>、应付利息</w:t>
      </w:r>
      <w:r>
        <w:rPr>
          <w:b w:val="0"/>
          <w:bCs w:val="0"/>
        </w:rPr>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b/>
          <w:bCs/>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63,588.54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63,588.54</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24</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21,639,076.50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26,867,545.03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合作押金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13,206,268.44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5,920,044.00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5,574,566.00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34,442,400.00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4,296,233.88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2,063,868.01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79,158,544.82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38,151,457.04</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）期末无账龄超过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年以上的重要其他应付款。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26</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5,396,041.52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3,039,363.78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5,396,041.52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3,039,363.78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59,190,000.00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10,599,165.00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347,745,825.00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358,344,990.00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417,534,990.00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4"/>
          <w:szCs w:val="14"/>
        </w:rPr>
      </w:pPr>
    </w:p>
    <w:p>
      <w:pPr>
        <w:spacing w:before="0"/>
        <w:ind w:left="0" w:right="98" w:firstLine="0"/>
        <w:jc w:val="right"/>
        <w:rPr>
          <w:rFonts w:ascii="宋体" w:hAnsi="宋体" w:cs="宋体" w:eastAsia="宋体" w:hint="default"/>
          <w:sz w:val="18"/>
          <w:szCs w:val="18"/>
        </w:rPr>
      </w:pPr>
      <w:r>
        <w:rPr>
          <w:rFonts w:ascii="宋体" w:hAnsi="宋体" w:cs="宋体" w:eastAsia="宋体" w:hint="default"/>
          <w:sz w:val="18"/>
          <w:szCs w:val="18"/>
        </w:rPr>
        <w:t>①经中国证监会《关于核准北京众信国际旅行社股份有限公司向郭洪斌等发行股份购买资产并募集配套资金的批复》</w:t>
      </w:r>
    </w:p>
    <w:p>
      <w:pPr>
        <w:spacing w:line="240" w:lineRule="auto" w:before="10"/>
        <w:rPr>
          <w:rFonts w:ascii="宋体" w:hAnsi="宋体" w:cs="宋体" w:eastAsia="宋体" w:hint="default"/>
          <w:sz w:val="17"/>
          <w:szCs w:val="17"/>
        </w:rPr>
      </w:pPr>
    </w:p>
    <w:p>
      <w:pPr>
        <w:spacing w:line="451" w:lineRule="auto" w:before="0"/>
        <w:ind w:left="154" w:right="188" w:firstLine="0"/>
        <w:jc w:val="both"/>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[2015]354</w:t>
      </w:r>
      <w:r>
        <w:rPr>
          <w:rFonts w:ascii="宋体" w:hAnsi="宋体" w:cs="宋体" w:eastAsia="宋体" w:hint="default"/>
          <w:sz w:val="18"/>
          <w:szCs w:val="18"/>
        </w:rPr>
        <w:t>号），公司向郭洪斌等</w:t>
      </w:r>
      <w:r>
        <w:rPr>
          <w:rFonts w:ascii="Times New Roman" w:hAnsi="Times New Roman" w:cs="Times New Roman" w:eastAsia="Times New Roman" w:hint="default"/>
          <w:sz w:val="18"/>
          <w:szCs w:val="18"/>
        </w:rPr>
        <w:t>8</w:t>
      </w:r>
      <w:r>
        <w:rPr>
          <w:rFonts w:ascii="宋体" w:hAnsi="宋体" w:cs="宋体" w:eastAsia="宋体" w:hint="default"/>
          <w:sz w:val="18"/>
          <w:szCs w:val="18"/>
        </w:rPr>
        <w:t>名交易对手方发行股票</w:t>
      </w:r>
      <w:r>
        <w:rPr>
          <w:rFonts w:ascii="Times New Roman" w:hAnsi="Times New Roman" w:cs="Times New Roman" w:eastAsia="Times New Roman" w:hint="default"/>
          <w:sz w:val="18"/>
          <w:szCs w:val="18"/>
        </w:rPr>
        <w:t>7,724,374</w:t>
      </w:r>
      <w:r>
        <w:rPr>
          <w:rFonts w:ascii="宋体" w:hAnsi="宋体" w:cs="宋体" w:eastAsia="宋体" w:hint="default"/>
          <w:sz w:val="18"/>
          <w:szCs w:val="18"/>
        </w:rPr>
        <w:t>股购买竹园国际旅行社有限公司</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r>
        <w:rPr>
          <w:rFonts w:ascii="宋体" w:hAnsi="宋体" w:cs="宋体" w:eastAsia="宋体" w:hint="default"/>
          <w:spacing w:val="-85"/>
          <w:sz w:val="18"/>
          <w:szCs w:val="18"/>
        </w:rPr>
        <w:t> </w:t>
      </w:r>
      <w:r>
        <w:rPr>
          <w:rFonts w:ascii="宋体" w:hAnsi="宋体" w:cs="宋体" w:eastAsia="宋体" w:hint="default"/>
          <w:sz w:val="18"/>
          <w:szCs w:val="18"/>
        </w:rPr>
        <w:t>向九泰基金管理有限公司（九泰基金慧通定增</w:t>
      </w:r>
      <w:r>
        <w:rPr>
          <w:rFonts w:ascii="Times New Roman" w:hAnsi="Times New Roman" w:cs="Times New Roman" w:eastAsia="Times New Roman" w:hint="default"/>
          <w:sz w:val="18"/>
          <w:szCs w:val="18"/>
        </w:rPr>
        <w:t>1</w:t>
      </w:r>
      <w:r>
        <w:rPr>
          <w:rFonts w:ascii="宋体" w:hAnsi="宋体" w:cs="宋体" w:eastAsia="宋体" w:hint="default"/>
          <w:sz w:val="18"/>
          <w:szCs w:val="18"/>
        </w:rPr>
        <w:t>号资产管理计划）、深圳前海瑞联一号投资中心（有限合伙）、冯滨和白斌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非公开发行股票</w:t>
      </w:r>
      <w:r>
        <w:rPr>
          <w:rFonts w:ascii="Times New Roman" w:hAnsi="Times New Roman" w:cs="Times New Roman" w:eastAsia="Times New Roman" w:hint="default"/>
          <w:spacing w:val="-2"/>
          <w:sz w:val="18"/>
          <w:szCs w:val="18"/>
        </w:rPr>
        <w:t>2,574,791</w:t>
      </w:r>
      <w:r>
        <w:rPr>
          <w:rFonts w:ascii="宋体" w:hAnsi="宋体" w:cs="宋体" w:eastAsia="宋体" w:hint="default"/>
          <w:spacing w:val="-2"/>
          <w:sz w:val="18"/>
          <w:szCs w:val="18"/>
        </w:rPr>
        <w:t>股，共增加股本人民币</w:t>
      </w:r>
      <w:r>
        <w:rPr>
          <w:rFonts w:ascii="Times New Roman" w:hAnsi="Times New Roman" w:cs="Times New Roman" w:eastAsia="Times New Roman" w:hint="default"/>
          <w:spacing w:val="-2"/>
          <w:sz w:val="18"/>
          <w:szCs w:val="18"/>
        </w:rPr>
        <w:t>10,299,165</w:t>
      </w:r>
      <w:r>
        <w:rPr>
          <w:rFonts w:ascii="宋体" w:hAnsi="宋体" w:cs="宋体" w:eastAsia="宋体" w:hint="default"/>
          <w:spacing w:val="-2"/>
          <w:sz w:val="18"/>
          <w:szCs w:val="18"/>
        </w:rPr>
        <w:t>元，增加资本公积</w:t>
      </w:r>
      <w:r>
        <w:rPr>
          <w:rFonts w:ascii="Times New Roman" w:hAnsi="Times New Roman" w:cs="Times New Roman" w:eastAsia="Times New Roman" w:hint="default"/>
          <w:spacing w:val="-2"/>
          <w:sz w:val="18"/>
          <w:szCs w:val="18"/>
        </w:rPr>
        <w:t>822,193,540.34</w:t>
      </w:r>
      <w:r>
        <w:rPr>
          <w:rFonts w:ascii="宋体" w:hAnsi="宋体" w:cs="宋体" w:eastAsia="宋体" w:hint="default"/>
          <w:spacing w:val="-2"/>
          <w:sz w:val="18"/>
          <w:szCs w:val="18"/>
        </w:rPr>
        <w:t>元。变更后公司股本为</w:t>
      </w:r>
      <w:r>
        <w:rPr>
          <w:rFonts w:ascii="Times New Roman" w:hAnsi="Times New Roman" w:cs="Times New Roman" w:eastAsia="Times New Roman" w:hint="default"/>
          <w:spacing w:val="-2"/>
          <w:sz w:val="18"/>
          <w:szCs w:val="18"/>
        </w:rPr>
        <w:t>69,489,165</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股。</w:t>
      </w:r>
    </w:p>
    <w:p>
      <w:pPr>
        <w:spacing w:line="451" w:lineRule="auto" w:before="74"/>
        <w:ind w:left="154" w:right="191" w:firstLine="482"/>
        <w:jc w:val="both"/>
        <w:rPr>
          <w:rFonts w:ascii="宋体" w:hAnsi="宋体" w:cs="宋体" w:eastAsia="宋体" w:hint="default"/>
          <w:sz w:val="18"/>
          <w:szCs w:val="18"/>
        </w:rPr>
      </w:pPr>
      <w:r>
        <w:rPr>
          <w:rFonts w:ascii="宋体" w:hAnsi="宋体" w:cs="宋体" w:eastAsia="宋体" w:hint="default"/>
          <w:sz w:val="18"/>
          <w:szCs w:val="18"/>
        </w:rPr>
        <w:t>②根据公司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年度股东大会审议并通过的《关于公司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年度利润分配方案的议案》：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日公司发行股份购买资产并募集配套资金新股登记上市完成后总股本</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69,489,165</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 人民币</w:t>
      </w:r>
      <w:r>
        <w:rPr>
          <w:rFonts w:ascii="Times New Roman" w:hAnsi="Times New Roman" w:cs="Times New Roman" w:eastAsia="Times New Roman" w:hint="default"/>
          <w:sz w:val="18"/>
          <w:szCs w:val="18"/>
        </w:rPr>
        <w:t>2.00</w:t>
      </w:r>
      <w:r>
        <w:rPr>
          <w:rFonts w:ascii="宋体" w:hAnsi="宋体" w:cs="宋体" w:eastAsia="宋体" w:hint="default"/>
          <w:sz w:val="18"/>
          <w:szCs w:val="18"/>
        </w:rPr>
        <w:t>元（含税）；以总股本</w:t>
      </w:r>
      <w:r>
        <w:rPr>
          <w:rFonts w:ascii="Times New Roman" w:hAnsi="Times New Roman" w:cs="Times New Roman" w:eastAsia="Times New Roman" w:hint="default"/>
          <w:sz w:val="18"/>
          <w:szCs w:val="18"/>
        </w:rPr>
        <w:t>69,489,165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股为基数，以资本公积向全体股东每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20</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，公司增加股本人民 币</w:t>
      </w:r>
      <w:r>
        <w:rPr>
          <w:rFonts w:ascii="Times New Roman" w:hAnsi="Times New Roman" w:cs="Times New Roman" w:eastAsia="Times New Roman" w:hint="default"/>
          <w:sz w:val="18"/>
          <w:szCs w:val="18"/>
        </w:rPr>
        <w:t>138,978,330</w:t>
      </w:r>
      <w:r>
        <w:rPr>
          <w:rFonts w:ascii="宋体" w:hAnsi="宋体" w:cs="宋体" w:eastAsia="宋体" w:hint="default"/>
          <w:sz w:val="18"/>
          <w:szCs w:val="18"/>
        </w:rPr>
        <w:t>元，减少资本公积</w:t>
      </w:r>
      <w:r>
        <w:rPr>
          <w:rFonts w:ascii="Times New Roman" w:hAnsi="Times New Roman" w:cs="Times New Roman" w:eastAsia="Times New Roman" w:hint="default"/>
          <w:sz w:val="18"/>
          <w:szCs w:val="18"/>
        </w:rPr>
        <w:t>138,978,330</w:t>
      </w:r>
      <w:r>
        <w:rPr>
          <w:rFonts w:ascii="宋体" w:hAnsi="宋体" w:cs="宋体" w:eastAsia="宋体" w:hint="default"/>
          <w:sz w:val="18"/>
          <w:szCs w:val="18"/>
        </w:rPr>
        <w:t>元。变更后的注册资本为人民币</w:t>
      </w:r>
      <w:r>
        <w:rPr>
          <w:rFonts w:ascii="Times New Roman" w:hAnsi="Times New Roman" w:cs="Times New Roman" w:eastAsia="Times New Roman" w:hint="default"/>
          <w:sz w:val="18"/>
          <w:szCs w:val="18"/>
        </w:rPr>
        <w:t>208,467,495</w:t>
      </w:r>
      <w:r>
        <w:rPr>
          <w:rFonts w:ascii="宋体" w:hAnsi="宋体" w:cs="宋体" w:eastAsia="宋体" w:hint="default"/>
          <w:sz w:val="18"/>
          <w:szCs w:val="18"/>
        </w:rPr>
        <w:t>元。</w:t>
      </w:r>
    </w:p>
    <w:p>
      <w:pPr>
        <w:spacing w:line="451" w:lineRule="auto" w:before="43"/>
        <w:ind w:left="154" w:right="191" w:firstLine="420"/>
        <w:jc w:val="both"/>
        <w:rPr>
          <w:rFonts w:ascii="宋体" w:hAnsi="宋体" w:cs="宋体" w:eastAsia="宋体" w:hint="default"/>
          <w:sz w:val="18"/>
          <w:szCs w:val="18"/>
        </w:rPr>
      </w:pPr>
      <w:r>
        <w:rPr>
          <w:rFonts w:ascii="宋体" w:hAnsi="宋体" w:cs="宋体" w:eastAsia="宋体" w:hint="default"/>
          <w:spacing w:val="-1"/>
          <w:sz w:val="18"/>
          <w:szCs w:val="18"/>
        </w:rPr>
        <w:t>③根据公司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日召开第三届董事会第二十一次会议审议并通过的《关于向激励对象授予预留限制性股票相关</w:t>
      </w:r>
      <w:r>
        <w:rPr>
          <w:rFonts w:ascii="宋体" w:hAnsi="宋体" w:cs="宋体" w:eastAsia="宋体" w:hint="default"/>
          <w:sz w:val="18"/>
          <w:szCs w:val="18"/>
        </w:rPr>
        <w:t> </w:t>
      </w:r>
      <w:r>
        <w:rPr>
          <w:rFonts w:ascii="宋体" w:hAnsi="宋体" w:cs="宋体" w:eastAsia="宋体" w:hint="default"/>
          <w:spacing w:val="-5"/>
          <w:sz w:val="18"/>
          <w:szCs w:val="18"/>
        </w:rPr>
        <w:t>事项的议案》，确定预留限制性股票的授予日为</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22</w:t>
      </w:r>
      <w:r>
        <w:rPr>
          <w:rFonts w:ascii="宋体" w:hAnsi="宋体" w:cs="宋体" w:eastAsia="宋体" w:hint="default"/>
          <w:spacing w:val="-5"/>
          <w:sz w:val="18"/>
          <w:szCs w:val="18"/>
        </w:rPr>
        <w:t>日，本次激励计划的授予对象为</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名，对应授予股票数量为</w:t>
      </w:r>
      <w:r>
        <w:rPr>
          <w:rFonts w:ascii="Times New Roman" w:hAnsi="Times New Roman" w:cs="Times New Roman" w:eastAsia="Times New Roman" w:hint="default"/>
          <w:spacing w:val="-5"/>
          <w:sz w:val="18"/>
          <w:szCs w:val="18"/>
        </w:rPr>
        <w:t>300,000</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股，授予价格为</w:t>
      </w:r>
      <w:r>
        <w:rPr>
          <w:rFonts w:ascii="Times New Roman" w:hAnsi="Times New Roman" w:cs="Times New Roman" w:eastAsia="Times New Roman" w:hint="default"/>
          <w:spacing w:val="-2"/>
          <w:sz w:val="18"/>
          <w:szCs w:val="18"/>
        </w:rPr>
        <w:t>29.77</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股。公司向激励对象定向发行股票新增股份</w:t>
      </w:r>
      <w:r>
        <w:rPr>
          <w:rFonts w:ascii="Times New Roman" w:hAnsi="Times New Roman" w:cs="Times New Roman" w:eastAsia="Times New Roman" w:hint="default"/>
          <w:spacing w:val="-2"/>
          <w:sz w:val="18"/>
          <w:szCs w:val="18"/>
        </w:rPr>
        <w:t>300,000</w:t>
      </w:r>
      <w:r>
        <w:rPr>
          <w:rFonts w:ascii="宋体" w:hAnsi="宋体" w:cs="宋体" w:eastAsia="宋体" w:hint="default"/>
          <w:spacing w:val="-2"/>
          <w:sz w:val="18"/>
          <w:szCs w:val="18"/>
        </w:rPr>
        <w:t>股，募集资金人民币</w:t>
      </w:r>
      <w:r>
        <w:rPr>
          <w:rFonts w:ascii="Times New Roman" w:hAnsi="Times New Roman" w:cs="Times New Roman" w:eastAsia="Times New Roman" w:hint="default"/>
          <w:spacing w:val="-2"/>
          <w:sz w:val="18"/>
          <w:szCs w:val="18"/>
        </w:rPr>
        <w:t>8,931,000.00</w:t>
      </w:r>
      <w:r>
        <w:rPr>
          <w:rFonts w:ascii="宋体" w:hAnsi="宋体" w:cs="宋体" w:eastAsia="宋体" w:hint="default"/>
          <w:spacing w:val="-2"/>
          <w:sz w:val="18"/>
          <w:szCs w:val="18"/>
        </w:rPr>
        <w:t>元，其中增加股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本为人民币</w:t>
      </w:r>
      <w:r>
        <w:rPr>
          <w:rFonts w:ascii="Times New Roman" w:hAnsi="Times New Roman" w:cs="Times New Roman" w:eastAsia="Times New Roman" w:hint="default"/>
          <w:sz w:val="18"/>
          <w:szCs w:val="18"/>
        </w:rPr>
        <w:t>300,000.00</w:t>
      </w:r>
      <w:r>
        <w:rPr>
          <w:rFonts w:ascii="宋体" w:hAnsi="宋体" w:cs="宋体" w:eastAsia="宋体" w:hint="default"/>
          <w:sz w:val="18"/>
          <w:szCs w:val="18"/>
        </w:rPr>
        <w:t>元，增加资本公积为人民币</w:t>
      </w:r>
      <w:r>
        <w:rPr>
          <w:rFonts w:ascii="Times New Roman" w:hAnsi="Times New Roman" w:cs="Times New Roman" w:eastAsia="Times New Roman" w:hint="default"/>
          <w:sz w:val="18"/>
          <w:szCs w:val="18"/>
        </w:rPr>
        <w:t>8,631,000.00</w:t>
      </w:r>
      <w:r>
        <w:rPr>
          <w:rFonts w:ascii="宋体" w:hAnsi="宋体" w:cs="宋体" w:eastAsia="宋体" w:hint="default"/>
          <w:sz w:val="18"/>
          <w:szCs w:val="18"/>
        </w:rPr>
        <w:t>元。变更后的注册资本为人民币</w:t>
      </w:r>
      <w:r>
        <w:rPr>
          <w:rFonts w:ascii="Times New Roman" w:hAnsi="Times New Roman" w:cs="Times New Roman" w:eastAsia="Times New Roman" w:hint="default"/>
          <w:sz w:val="18"/>
          <w:szCs w:val="18"/>
        </w:rPr>
        <w:t>208,767,495</w:t>
      </w:r>
      <w:r>
        <w:rPr>
          <w:rFonts w:ascii="宋体" w:hAnsi="宋体" w:cs="宋体" w:eastAsia="宋体" w:hint="default"/>
          <w:sz w:val="18"/>
          <w:szCs w:val="18"/>
        </w:rPr>
        <w:t>元。</w:t>
      </w:r>
    </w:p>
    <w:p>
      <w:pPr>
        <w:spacing w:line="451" w:lineRule="auto" w:before="43"/>
        <w:ind w:left="154" w:right="190" w:firstLine="482"/>
        <w:jc w:val="both"/>
        <w:rPr>
          <w:rFonts w:ascii="宋体" w:hAnsi="宋体" w:cs="宋体" w:eastAsia="宋体" w:hint="default"/>
          <w:sz w:val="18"/>
          <w:szCs w:val="18"/>
        </w:rPr>
      </w:pPr>
      <w:r>
        <w:rPr>
          <w:rFonts w:ascii="宋体" w:hAnsi="宋体" w:cs="宋体" w:eastAsia="宋体" w:hint="default"/>
          <w:spacing w:val="-3"/>
          <w:sz w:val="18"/>
          <w:szCs w:val="18"/>
        </w:rPr>
        <w:t>④根据贵公司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日经第三届第二十八次董事会审议通过《关于公司资本公积转增股本预案的议案》并经</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年第四次临时股东大会通过，以截至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日公司总股本 </w:t>
      </w:r>
      <w:r>
        <w:rPr>
          <w:rFonts w:ascii="Times New Roman" w:hAnsi="Times New Roman" w:cs="Times New Roman" w:eastAsia="Times New Roman" w:hint="default"/>
          <w:sz w:val="18"/>
          <w:szCs w:val="18"/>
        </w:rPr>
        <w:t>208,767,495 </w:t>
      </w:r>
      <w:r>
        <w:rPr>
          <w:rFonts w:ascii="宋体" w:hAnsi="宋体" w:cs="宋体" w:eastAsia="宋体" w:hint="default"/>
          <w:sz w:val="18"/>
          <w:szCs w:val="18"/>
        </w:rPr>
        <w:t>股为基数，以资本公积向全体股东每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股，公司增加股本人民币</w:t>
      </w:r>
      <w:r>
        <w:rPr>
          <w:rFonts w:ascii="Times New Roman" w:hAnsi="Times New Roman" w:cs="Times New Roman" w:eastAsia="Times New Roman" w:hint="default"/>
          <w:sz w:val="18"/>
          <w:szCs w:val="18"/>
        </w:rPr>
        <w:t>208,767,495</w:t>
      </w:r>
      <w:r>
        <w:rPr>
          <w:rFonts w:ascii="宋体" w:hAnsi="宋体" w:cs="宋体" w:eastAsia="宋体" w:hint="default"/>
          <w:sz w:val="18"/>
          <w:szCs w:val="18"/>
        </w:rPr>
        <w:t>元，减少资本公积</w:t>
      </w:r>
      <w:r>
        <w:rPr>
          <w:rFonts w:ascii="Times New Roman" w:hAnsi="Times New Roman" w:cs="Times New Roman" w:eastAsia="Times New Roman" w:hint="default"/>
          <w:sz w:val="18"/>
          <w:szCs w:val="18"/>
        </w:rPr>
        <w:t>208,767,495</w:t>
      </w:r>
      <w:r>
        <w:rPr>
          <w:rFonts w:ascii="宋体" w:hAnsi="宋体" w:cs="宋体" w:eastAsia="宋体" w:hint="default"/>
          <w:sz w:val="18"/>
          <w:szCs w:val="18"/>
        </w:rPr>
        <w:t>元，变更后的注册资本为人民币</w:t>
      </w:r>
      <w:r>
        <w:rPr>
          <w:rFonts w:ascii="Times New Roman" w:hAnsi="Times New Roman" w:cs="Times New Roman" w:eastAsia="Times New Roman" w:hint="default"/>
          <w:sz w:val="18"/>
          <w:szCs w:val="18"/>
        </w:rPr>
        <w:t>417,534,990</w:t>
      </w:r>
      <w:r>
        <w:rPr>
          <w:rFonts w:ascii="宋体" w:hAnsi="宋体" w:cs="宋体" w:eastAsia="宋体" w:hint="default"/>
          <w:sz w:val="18"/>
          <w:szCs w:val="18"/>
        </w:rPr>
        <w:t>元。</w:t>
      </w:r>
    </w:p>
    <w:p>
      <w:pPr>
        <w:spacing w:line="240" w:lineRule="auto" w:before="6"/>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197,901,880.31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833,037,670.05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352,865,877.05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678,073,673.31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2,340,373.62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13,726,418.18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2,213,129.71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13,853,662.09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200,242,253.93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846,764,088.23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355,079,006.76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691,927,335.40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spacing w:line="451" w:lineRule="auto" w:before="0"/>
        <w:ind w:left="154" w:right="188" w:firstLine="482"/>
        <w:jc w:val="both"/>
        <w:rPr>
          <w:rFonts w:ascii="宋体" w:hAnsi="宋体" w:cs="宋体" w:eastAsia="宋体" w:hint="default"/>
          <w:sz w:val="18"/>
          <w:szCs w:val="18"/>
        </w:rPr>
      </w:pPr>
      <w:r>
        <w:rPr>
          <w:rFonts w:ascii="宋体" w:hAnsi="宋体" w:cs="宋体" w:eastAsia="宋体" w:hint="default"/>
          <w:sz w:val="18"/>
          <w:szCs w:val="18"/>
        </w:rPr>
        <w:t>①本期</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年度首次授予的限制性股票第一期解锁条件成就并行权，资本公积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股本溢价增加</w:t>
      </w:r>
      <w:r>
        <w:rPr>
          <w:rFonts w:ascii="Times New Roman" w:hAnsi="Times New Roman" w:cs="Times New Roman" w:eastAsia="Times New Roman" w:hint="default"/>
          <w:sz w:val="18"/>
          <w:szCs w:val="18"/>
        </w:rPr>
        <w:t>2,213,129.71</w:t>
      </w:r>
      <w:r>
        <w:rPr>
          <w:rFonts w:ascii="宋体" w:hAnsi="宋体" w:cs="宋体" w:eastAsia="宋体" w:hint="default"/>
          <w:sz w:val="18"/>
          <w:szCs w:val="18"/>
        </w:rPr>
        <w:t>元，资本公 </w:t>
      </w:r>
      <w:r>
        <w:rPr>
          <w:rFonts w:ascii="宋体" w:hAnsi="宋体" w:cs="宋体" w:eastAsia="宋体" w:hint="default"/>
          <w:spacing w:val="-2"/>
          <w:sz w:val="18"/>
          <w:szCs w:val="18"/>
        </w:rPr>
        <w:t>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其他资本公积减少</w:t>
      </w:r>
      <w:r>
        <w:rPr>
          <w:rFonts w:ascii="Times New Roman" w:hAnsi="Times New Roman" w:cs="Times New Roman" w:eastAsia="Times New Roman" w:hint="default"/>
          <w:spacing w:val="-2"/>
          <w:sz w:val="18"/>
          <w:szCs w:val="18"/>
        </w:rPr>
        <w:t>2,213,129.71</w:t>
      </w:r>
      <w:r>
        <w:rPr>
          <w:rFonts w:ascii="宋体" w:hAnsi="宋体" w:cs="宋体" w:eastAsia="宋体" w:hint="default"/>
          <w:spacing w:val="-2"/>
          <w:sz w:val="18"/>
          <w:szCs w:val="18"/>
        </w:rPr>
        <w:t>元；公司第二个考核年度（</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年）业绩指标达到行权条件，本期增加资本公积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其他资本</w:t>
      </w:r>
      <w:r>
        <w:rPr>
          <w:rFonts w:ascii="宋体" w:hAnsi="宋体" w:cs="宋体" w:eastAsia="宋体" w:hint="default"/>
          <w:spacing w:val="-32"/>
          <w:sz w:val="18"/>
          <w:szCs w:val="18"/>
        </w:rPr>
        <w:t> </w:t>
      </w:r>
      <w:r>
        <w:rPr>
          <w:rFonts w:ascii="宋体" w:hAnsi="宋体" w:cs="宋体" w:eastAsia="宋体" w:hint="default"/>
          <w:sz w:val="18"/>
          <w:szCs w:val="18"/>
        </w:rPr>
        <w:t>公积</w:t>
      </w:r>
      <w:r>
        <w:rPr>
          <w:rFonts w:ascii="Times New Roman" w:hAnsi="Times New Roman" w:cs="Times New Roman" w:eastAsia="Times New Roman" w:hint="default"/>
          <w:sz w:val="18"/>
          <w:szCs w:val="18"/>
        </w:rPr>
        <w:t>13,726,418.18</w:t>
      </w:r>
      <w:r>
        <w:rPr>
          <w:rFonts w:ascii="宋体" w:hAnsi="宋体" w:cs="宋体" w:eastAsia="宋体" w:hint="default"/>
          <w:sz w:val="18"/>
          <w:szCs w:val="18"/>
        </w:rPr>
        <w:t>元。详见附注十二、股份支付。</w:t>
      </w:r>
    </w:p>
    <w:p>
      <w:pPr>
        <w:spacing w:line="451" w:lineRule="auto" w:before="43"/>
        <w:ind w:left="154" w:right="190" w:firstLine="482"/>
        <w:jc w:val="both"/>
        <w:rPr>
          <w:rFonts w:ascii="宋体" w:hAnsi="宋体" w:cs="宋体" w:eastAsia="宋体" w:hint="default"/>
          <w:sz w:val="18"/>
          <w:szCs w:val="18"/>
        </w:rPr>
      </w:pPr>
      <w:r>
        <w:rPr>
          <w:rFonts w:ascii="宋体" w:hAnsi="宋体" w:cs="宋体" w:eastAsia="宋体" w:hint="default"/>
          <w:spacing w:val="-1"/>
          <w:sz w:val="18"/>
          <w:szCs w:val="18"/>
        </w:rPr>
        <w:t>②本期公司购买子公司上海巨龙国际旅行社有限公司</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的少数股权，投资比例由原来的</w:t>
      </w:r>
      <w:r>
        <w:rPr>
          <w:rFonts w:ascii="Times New Roman" w:hAnsi="Times New Roman" w:cs="Times New Roman" w:eastAsia="Times New Roman" w:hint="default"/>
          <w:spacing w:val="-1"/>
          <w:sz w:val="18"/>
          <w:szCs w:val="18"/>
        </w:rPr>
        <w:t>60%</w:t>
      </w:r>
      <w:r>
        <w:rPr>
          <w:rFonts w:ascii="宋体" w:hAnsi="宋体" w:cs="宋体" w:eastAsia="宋体" w:hint="default"/>
          <w:spacing w:val="-1"/>
          <w:sz w:val="18"/>
          <w:szCs w:val="18"/>
        </w:rPr>
        <w:t>上升至</w:t>
      </w:r>
      <w:r>
        <w:rPr>
          <w:rFonts w:ascii="Times New Roman" w:hAnsi="Times New Roman" w:cs="Times New Roman" w:eastAsia="Times New Roman" w:hint="default"/>
          <w:spacing w:val="-1"/>
          <w:sz w:val="18"/>
          <w:szCs w:val="18"/>
        </w:rPr>
        <w:t>67%</w:t>
      </w:r>
      <w:r>
        <w:rPr>
          <w:rFonts w:ascii="宋体" w:hAnsi="宋体" w:cs="宋体" w:eastAsia="宋体" w:hint="default"/>
          <w:spacing w:val="-1"/>
          <w:sz w:val="18"/>
          <w:szCs w:val="18"/>
        </w:rPr>
        <w:t>，在编制合并</w:t>
      </w:r>
      <w:r>
        <w:rPr>
          <w:rFonts w:ascii="宋体" w:hAnsi="宋体" w:cs="宋体" w:eastAsia="宋体" w:hint="default"/>
          <w:sz w:val="18"/>
          <w:szCs w:val="18"/>
        </w:rPr>
        <w:t> </w:t>
      </w:r>
      <w:r>
        <w:rPr>
          <w:rFonts w:ascii="宋体" w:hAnsi="宋体" w:cs="宋体" w:eastAsia="宋体" w:hint="default"/>
          <w:spacing w:val="5"/>
          <w:sz w:val="18"/>
          <w:szCs w:val="18"/>
        </w:rPr>
        <w:t>报表时，新取得的长期股权投资与按照新增持股比例计算应享有子公司自购买日开始持续计算的净资产份额之间的差额</w:t>
      </w:r>
    </w:p>
    <w:p>
      <w:pPr>
        <w:spacing w:after="0" w:line="451" w:lineRule="auto"/>
        <w:jc w:val="both"/>
        <w:rPr>
          <w:rFonts w:ascii="宋体" w:hAnsi="宋体" w:cs="宋体" w:eastAsia="宋体" w:hint="default"/>
          <w:sz w:val="18"/>
          <w:szCs w:val="18"/>
        </w:rPr>
        <w:sectPr>
          <w:pgSz w:w="11910" w:h="16840"/>
          <w:pgMar w:header="877" w:footer="982" w:top="1100" w:bottom="1180" w:left="980" w:right="940"/>
        </w:sectPr>
      </w:pPr>
    </w:p>
    <w:p>
      <w:pPr>
        <w:spacing w:line="240" w:lineRule="auto" w:before="11"/>
        <w:rPr>
          <w:rFonts w:ascii="宋体" w:hAnsi="宋体" w:cs="宋体" w:eastAsia="宋体" w:hint="default"/>
          <w:sz w:val="27"/>
          <w:szCs w:val="27"/>
        </w:rPr>
      </w:pPr>
    </w:p>
    <w:p>
      <w:pPr>
        <w:spacing w:before="44"/>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5,120,052.05</w:t>
      </w:r>
      <w:r>
        <w:rPr>
          <w:rFonts w:ascii="宋体" w:hAnsi="宋体" w:cs="宋体" w:eastAsia="宋体" w:hint="default"/>
          <w:sz w:val="18"/>
          <w:szCs w:val="18"/>
        </w:rPr>
        <w:t>元，冲减资本公积。</w:t>
      </w:r>
    </w:p>
    <w:p>
      <w:pPr>
        <w:spacing w:line="240" w:lineRule="auto" w:before="9"/>
        <w:rPr>
          <w:rFonts w:ascii="宋体" w:hAnsi="宋体" w:cs="宋体" w:eastAsia="宋体" w:hint="default"/>
          <w:sz w:val="16"/>
          <w:szCs w:val="16"/>
        </w:rPr>
      </w:pPr>
    </w:p>
    <w:p>
      <w:pPr>
        <w:spacing w:before="0"/>
        <w:ind w:left="580" w:right="148" w:firstLine="0"/>
        <w:jc w:val="left"/>
        <w:rPr>
          <w:rFonts w:ascii="宋体" w:hAnsi="宋体" w:cs="宋体" w:eastAsia="宋体" w:hint="default"/>
          <w:sz w:val="18"/>
          <w:szCs w:val="18"/>
        </w:rPr>
      </w:pPr>
      <w:r>
        <w:rPr>
          <w:rFonts w:ascii="宋体" w:hAnsi="宋体" w:cs="宋体" w:eastAsia="宋体" w:hint="default"/>
          <w:sz w:val="18"/>
          <w:szCs w:val="18"/>
        </w:rPr>
        <w:t>③资本公积本期其他变化详见附注七、</w:t>
      </w:r>
      <w:r>
        <w:rPr>
          <w:rFonts w:ascii="Times New Roman" w:hAnsi="Times New Roman" w:cs="Times New Roman" w:eastAsia="Times New Roman" w:hint="default"/>
          <w:sz w:val="18"/>
          <w:szCs w:val="18"/>
        </w:rPr>
        <w:t>27</w:t>
      </w:r>
      <w:r>
        <w:rPr>
          <w:rFonts w:ascii="宋体" w:hAnsi="宋体" w:cs="宋体" w:eastAsia="宋体" w:hint="default"/>
          <w:sz w:val="18"/>
          <w:szCs w:val="18"/>
        </w:rPr>
        <w:t>、股本。</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48"/>
        <w:jc w:val="left"/>
        <w:rPr>
          <w:b w:val="0"/>
          <w:bCs w:val="0"/>
        </w:rPr>
      </w:pPr>
      <w:r>
        <w:rPr>
          <w:rFonts w:ascii="Times New Roman" w:hAnsi="Times New Roman" w:cs="Times New Roman" w:eastAsia="Times New Roman" w:hint="default"/>
        </w:rPr>
        <w:t>29</w:t>
      </w:r>
      <w:r>
        <w:rPr/>
        <w:t>、库存股</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11,190,600.00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34,442,400.00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11,190,600.00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34,442,400.00</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其他说明：库存股系公司授予限制性股票就回购义务确认的库存股，详见附注十二、股份支付。</w:t>
      </w:r>
    </w:p>
    <w:p>
      <w:pPr>
        <w:spacing w:line="240" w:lineRule="auto" w:before="10"/>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3D3D3"/>
          </w:tcPr>
          <w:p>
            <w:pP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r>
      <w:tr>
        <w:trPr>
          <w:trHeight w:val="517"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13" w:space="0" w:color="D3D3D3"/>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25,828.38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13,172.93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12,655.45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13,172.93</w:t>
            </w: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25,828.38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13,172.93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12,655.45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13,172.93</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25,828.38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13,172.93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12,655.45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13,172.93</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36,029,203.16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10,219,642.94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46,248,846.10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36,029,203.16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10,219,642.94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46,248,846.10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280,550,166.37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194,442,724.87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280,550,166.37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194,442,724.87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186,704,704.40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108,742,724.89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10,219,642.94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10,977,283.39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13,897,833.00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443,137,394.83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280,550,166.37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8,366,288,121.09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7,603,758,074.36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4,217,003,082.71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3,847,151,762.77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3,782,558.61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8,370,070,679.70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7,603,758,074.36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4,217,003,082.71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3,847,151,762.77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34</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37,523,011.35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18,109,994.64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3,413,163.16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1,853,551.16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1,519,996.00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796,867.04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1,518,853.77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822,036.23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43,975,024.28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21,582,449.07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216,319,623.32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95,649,556.28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50,945,782.03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36,243,428.21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40,707,446.61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20,815,656.27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28,109,099.63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14,461,288.19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12,036,601.08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5,937,298.48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4,138,793.27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4,755,555.83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6,164,392.43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3,913,702.96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5,506,321.56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4,217,978.62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3,085,673.51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1,830,536.60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367,013,733.44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187,825,001.44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8"/>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38,180,474.50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18,804,532.27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8,950,332.57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4,008,164.72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6,062,462.18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2,143,510.65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8,048,551.19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1,673,724.88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中介及咨询机构费用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3,352,758.36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3,537,776.73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3,296,474.82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1,287,094.62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4,723,990.16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1,542,454.36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917,843.03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1,102,384.96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13,726,418.18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2,213,129.71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2,812,992.39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877,977.20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90,072,297.38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37,190,750.10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9,765,488.79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916,343.00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6,389,915.21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2,828,323.67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-11,854,028.31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-27,080,090.50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12,193,631.94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4,498,909.19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3,715,177.21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-24,493,161.98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6,349,973.65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3,425,917.09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二、贷款损失准备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7,674,473.65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3,425,917.09</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-1,760.12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-1,760.12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10,029.98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10,029.98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10,029.98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10,029.98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30,860.78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114,355.89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4,374,385.87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4,050,860.78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4,374,385.87</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8"/>
        <w:gridCol w:w="538"/>
        <w:gridCol w:w="539"/>
        <w:gridCol w:w="2650"/>
        <w:gridCol w:w="1141"/>
        <w:gridCol w:w="739"/>
        <w:gridCol w:w="1075"/>
        <w:gridCol w:w="1076"/>
        <w:gridCol w:w="1170"/>
      </w:tblGrid>
      <w:tr>
        <w:trPr>
          <w:trHeight w:val="714" w:hRule="exact"/>
        </w:trPr>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补助项 目</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4" w:right="83"/>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1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5" w:right="24" w:hanging="180"/>
              <w:jc w:val="left"/>
              <w:rPr>
                <w:rFonts w:ascii="宋体" w:hAnsi="宋体" w:cs="宋体" w:eastAsia="宋体" w:hint="default"/>
                <w:sz w:val="18"/>
                <w:szCs w:val="18"/>
              </w:rPr>
            </w:pPr>
            <w:r>
              <w:rPr>
                <w:rFonts w:ascii="宋体" w:hAnsi="宋体" w:cs="宋体" w:eastAsia="宋体" w:hint="default"/>
                <w:sz w:val="18"/>
                <w:szCs w:val="18"/>
              </w:rPr>
              <w:t>补贴是否影响 当年盈亏</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3" w:right="95"/>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2" w:right="80"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4" w:right="8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29" w:right="105"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财政扶 持资金</w:t>
            </w:r>
          </w:p>
        </w:tc>
        <w:tc>
          <w:tcPr>
            <w:tcW w:w="538"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补助</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 性扶持政策而获得的补助</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4,020,000.00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2"/>
              <w:jc w:val="right"/>
              <w:rPr>
                <w:rFonts w:ascii="Times New Roman" w:hAnsi="Times New Roman" w:cs="Times New Roman" w:eastAsia="Times New Roman" w:hint="default"/>
                <w:sz w:val="18"/>
                <w:szCs w:val="18"/>
              </w:rPr>
            </w:pPr>
            <w:r>
              <w:rPr>
                <w:rFonts w:ascii="Times New Roman"/>
                <w:sz w:val="18"/>
              </w:rPr>
              <w:t>--</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4,020,000.00</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82,005.63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82,005.63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131,770.54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783,776.17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777,449.14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8"/>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51,748,227.58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40,348,944.78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-3,795,149.06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-819,778.52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47,953,078.52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39,529,166.26</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257,613,329.57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64,403,332.39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172,359.21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-619,194.27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1,145,194.33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-2,047,036.25</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25,268.57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-15,126,845.46</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47,953,078.52</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其他说明：其他为公司限制性股票本期解锁可抵扣的企业所得税费用，详见附注十二、股份支付。</w:t>
      </w:r>
    </w:p>
    <w:p>
      <w:pPr>
        <w:spacing w:line="240" w:lineRule="auto" w:before="10"/>
        <w:rPr>
          <w:rFonts w:ascii="宋体" w:hAnsi="宋体" w:cs="宋体" w:eastAsia="宋体" w:hint="default"/>
          <w:sz w:val="26"/>
          <w:szCs w:val="26"/>
        </w:rPr>
      </w:pPr>
    </w:p>
    <w:p>
      <w:pPr>
        <w:spacing w:line="547" w:lineRule="auto" w:before="0"/>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4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78,175,347.92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40,934,908.72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6,389,915.21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3,591,437.58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10,332,055.71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2,271,659.37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99,147,318.84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50,818,005.67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153,941,113.26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94,467,018.55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49,698,012.21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38,414,957.75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签证暂借款及其他备用金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33,818,295.57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7,614,681.15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48,755,997.80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22,940,740.64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37,059,432.20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18,107,713.28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18,099,063.26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8,080,809.13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14,517,503.55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11,058,738.37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6,965,492.40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11,399,508.99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9,251,424.26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2,603,394.91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372,106,334.51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214,687,562.77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47,850,000.00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47,850,000.00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209,660,251.05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108,738,139.09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7,674,473.65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3,425,917.09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3,735,023.67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2,401,270.05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2,673,276.06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1,182,252.38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168.479996pt;width:185.55pt;height:19.650pt;mso-position-horizontal-relative:page;mso-position-vertical-relative:page;z-index:-9661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3,822,011.99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2,176,910.55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71,975.65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53,919.65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5,215,690.95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621,816.34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1,760.12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-3,799,634.40</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-819,778.52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74,190.35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-666,446,641.16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-146,935,671.57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436,098,661.57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98,610,857.34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13,726,418.18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12,507,457.68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69,455,632.40</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943,140,433.05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400,304,431.86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400,304,431.86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258,064,013.69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542,836,001.19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142,240,418.17</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79,072,633.44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4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74,876,300.00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江苏众信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838,491.33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法国安赛尔</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3,357,842.11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114,935,905.27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62,752,755.32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50,570,040.72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江苏众信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166.63</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法国安赛尔</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1,612,942.60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-35,863,271.83</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943,140,433.05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400,304,431.86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8,580,030.34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3,170,049.85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898,979,127.53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391,416,466.16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35,581,275.18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5,717,915.85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943,140,433.05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400,304,431.86</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46</w:t>
      </w:r>
      <w:r>
        <w:rPr/>
        <w:t>、所有者权益变动表项目注释</w:t>
      </w:r>
      <w:r>
        <w:rPr>
          <w:b w:val="0"/>
          <w:bCs w:val="0"/>
        </w:rPr>
      </w:r>
    </w:p>
    <w:p>
      <w:pPr>
        <w:spacing w:line="240" w:lineRule="auto" w:before="6"/>
        <w:rPr>
          <w:rFonts w:ascii="宋体" w:hAnsi="宋体" w:cs="宋体" w:eastAsia="宋体" w:hint="default"/>
          <w:b/>
          <w:bCs/>
          <w:sz w:val="32"/>
          <w:szCs w:val="32"/>
        </w:rPr>
      </w:pPr>
    </w:p>
    <w:p>
      <w:pPr>
        <w:spacing w:line="451" w:lineRule="auto" w:before="0"/>
        <w:ind w:left="154" w:right="148" w:firstLine="480"/>
        <w:jc w:val="both"/>
        <w:rPr>
          <w:rFonts w:ascii="宋体" w:hAnsi="宋体" w:cs="宋体" w:eastAsia="宋体" w:hint="default"/>
          <w:sz w:val="18"/>
          <w:szCs w:val="18"/>
        </w:rPr>
      </w:pPr>
      <w:r>
        <w:rPr>
          <w:rFonts w:ascii="宋体" w:hAnsi="宋体" w:cs="宋体" w:eastAsia="宋体" w:hint="default"/>
          <w:sz w:val="18"/>
          <w:szCs w:val="18"/>
        </w:rPr>
        <w:t>合并所有者权益变动表中</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三、本期增减变动金额、（六）其他</w:t>
      </w:r>
      <w:r>
        <w:rPr>
          <w:rFonts w:ascii="Times New Roman" w:hAnsi="Times New Roman" w:cs="Times New Roman" w:eastAsia="Times New Roman" w:hint="default"/>
          <w:sz w:val="18"/>
          <w:szCs w:val="18"/>
        </w:rPr>
        <w:t>-5,120,052.05</w:t>
      </w:r>
      <w:r>
        <w:rPr>
          <w:rFonts w:ascii="宋体" w:hAnsi="宋体" w:cs="宋体" w:eastAsia="宋体" w:hint="default"/>
          <w:sz w:val="18"/>
          <w:szCs w:val="18"/>
        </w:rPr>
        <w:t>元为新取得子公司上海巨龙</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股权的长期股权投资与按照新增持股比例计算应享有子公司自购买日开始持续计算的净资产份额之间的差额；</w:t>
      </w:r>
      <w:r>
        <w:rPr>
          <w:rFonts w:ascii="Times New Roman" w:hAnsi="Times New Roman" w:cs="Times New Roman" w:eastAsia="Times New Roman" w:hint="default"/>
          <w:sz w:val="18"/>
          <w:szCs w:val="18"/>
        </w:rPr>
        <w:t>“</w:t>
      </w:r>
      <w:r>
        <w:rPr>
          <w:rFonts w:ascii="宋体" w:hAnsi="宋体" w:cs="宋体" w:eastAsia="宋体" w:hint="default"/>
          <w:sz w:val="18"/>
          <w:szCs w:val="18"/>
        </w:rPr>
        <w:t>少数股东权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三、本期增减变动金额、（六）其他</w:t>
      </w:r>
      <w:r>
        <w:rPr>
          <w:rFonts w:ascii="Times New Roman" w:hAnsi="Times New Roman" w:cs="Times New Roman" w:eastAsia="Times New Roman" w:hint="default"/>
          <w:sz w:val="18"/>
          <w:szCs w:val="18"/>
        </w:rPr>
        <w:t>81,931,161.79</w:t>
      </w:r>
      <w:r>
        <w:rPr>
          <w:rFonts w:ascii="宋体" w:hAnsi="宋体" w:cs="宋体" w:eastAsia="宋体" w:hint="default"/>
          <w:sz w:val="18"/>
          <w:szCs w:val="18"/>
        </w:rPr>
        <w:t>元系本期合并竹园国旅、北京开元而增加的少数股东权益。</w:t>
      </w:r>
    </w:p>
    <w:p>
      <w:pPr>
        <w:spacing w:line="240" w:lineRule="auto" w:before="6"/>
        <w:rPr>
          <w:rFonts w:ascii="宋体" w:hAnsi="宋体" w:cs="宋体" w:eastAsia="宋体" w:hint="default"/>
          <w:sz w:val="18"/>
          <w:szCs w:val="18"/>
        </w:rPr>
      </w:pPr>
    </w:p>
    <w:p>
      <w:pPr>
        <w:pStyle w:val="Heading3"/>
        <w:spacing w:line="240" w:lineRule="auto"/>
        <w:ind w:right="148"/>
        <w:jc w:val="left"/>
        <w:rPr>
          <w:b w:val="0"/>
          <w:bCs w:val="0"/>
        </w:rPr>
      </w:pPr>
      <w:r>
        <w:rPr>
          <w:rFonts w:ascii="Times New Roman" w:hAnsi="Times New Roman" w:cs="Times New Roman" w:eastAsia="Times New Roman" w:hint="default"/>
        </w:rPr>
        <w:t>47</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17,260,061.92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17,260,061.92</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48</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107,578,362.75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9,777,297.26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63,489,857.49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5,865,685.64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41,618,212.75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249,274.10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208,841.84</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1,655,900.00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0.1799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297,896.41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11,262.68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108,300.80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205,459.31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1,315,350.50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7,222,908.00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0.05385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389,134.17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150,768.78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75,549,953.66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292,497.75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1,899,363.39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9,232,548.21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65,506,776.06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156,643.01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1,512,837.79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9,685,187.53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22,827,759.78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292,497.75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1,899,363.39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2,599,826.41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18,446,288.32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398,092.05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333,521.52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0.05385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4,741.00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346,286.97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1,538,414.49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123,342.19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565,832.30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20,148.80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19,023,242.69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7,337,768.00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1,625,238.72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11,531,393.77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19,231.80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0.05385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134,849.13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221,367,543.05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4,629,524.25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30,062,278.67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23,296,808.09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165,295,512.79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847,389.77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8,148,415.29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75,014,734.99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0.05385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4,041,418.85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797,842.99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3,771,882.52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432,711.80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2,770,220.94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862,806.13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4,039,140.62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718,969.90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3,194,095.68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瑞典克朗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36,567.72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28,222.97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7,124.04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55.69</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48"/>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48"/>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2"/>
        <w:gridCol w:w="935"/>
        <w:gridCol w:w="1181"/>
        <w:gridCol w:w="902"/>
        <w:gridCol w:w="652"/>
        <w:gridCol w:w="935"/>
        <w:gridCol w:w="818"/>
        <w:gridCol w:w="1814"/>
        <w:gridCol w:w="1777"/>
      </w:tblGrid>
      <w:tr>
        <w:trPr>
          <w:trHeight w:val="714" w:hRule="exact"/>
        </w:trPr>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被购买 方名称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1" w:right="101"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5" w:right="85"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 w:right="43"/>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42" w:right="90" w:hanging="450"/>
              <w:jc w:val="left"/>
              <w:rPr>
                <w:rFonts w:ascii="宋体" w:hAnsi="宋体" w:cs="宋体" w:eastAsia="宋体" w:hint="default"/>
                <w:sz w:val="18"/>
                <w:szCs w:val="18"/>
              </w:rPr>
            </w:pPr>
            <w:r>
              <w:rPr>
                <w:rFonts w:ascii="宋体" w:hAnsi="宋体" w:cs="宋体" w:eastAsia="宋体" w:hint="default"/>
                <w:sz w:val="18"/>
                <w:szCs w:val="18"/>
              </w:rPr>
              <w:t>购买日至期末被购买 方的收入</w:t>
            </w:r>
          </w:p>
        </w:tc>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3" w:right="72" w:hanging="360"/>
              <w:jc w:val="left"/>
              <w:rPr>
                <w:rFonts w:ascii="宋体" w:hAnsi="宋体" w:cs="宋体" w:eastAsia="宋体" w:hint="default"/>
                <w:sz w:val="18"/>
                <w:szCs w:val="18"/>
              </w:rPr>
            </w:pPr>
            <w:r>
              <w:rPr>
                <w:rFonts w:ascii="宋体" w:hAnsi="宋体" w:cs="宋体" w:eastAsia="宋体" w:hint="default"/>
                <w:sz w:val="18"/>
                <w:szCs w:val="18"/>
              </w:rPr>
              <w:t>购买日至期末被购买 方的净利润</w:t>
            </w:r>
          </w:p>
        </w:tc>
      </w:tr>
      <w:tr>
        <w:trPr>
          <w:trHeight w:val="71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竹园国 旅</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2,843,362,035.12</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68,376,068.43</w:t>
            </w:r>
          </w:p>
        </w:tc>
      </w:tr>
      <w:tr>
        <w:trPr>
          <w:trHeight w:val="71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北京开 元</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74,876,300.00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支付现 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101,712,665.81</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5,000,961.43</w:t>
            </w:r>
          </w:p>
        </w:tc>
      </w:tr>
      <w:tr>
        <w:trPr>
          <w:trHeight w:val="71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江苏众 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838,491.33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支付现 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814"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-5,101.87</w:t>
            </w:r>
          </w:p>
        </w:tc>
      </w:tr>
      <w:tr>
        <w:trPr>
          <w:trHeight w:val="71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法国安 赛尔</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3,357,842.11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支付现 金</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14,525,970.86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-101,074.28</w:t>
            </w:r>
          </w:p>
        </w:tc>
      </w:tr>
    </w:tbl>
    <w:p>
      <w:pPr>
        <w:spacing w:line="345" w:lineRule="auto" w:before="74"/>
        <w:ind w:left="153" w:right="141" w:firstLine="0"/>
        <w:jc w:val="left"/>
        <w:rPr>
          <w:rFonts w:ascii="宋体" w:hAnsi="宋体" w:cs="宋体" w:eastAsia="宋体" w:hint="default"/>
          <w:sz w:val="18"/>
          <w:szCs w:val="18"/>
        </w:rPr>
      </w:pPr>
      <w:r>
        <w:rPr>
          <w:rFonts w:ascii="宋体" w:hAnsi="宋体" w:cs="宋体" w:eastAsia="宋体" w:hint="default"/>
          <w:spacing w:val="-7"/>
          <w:sz w:val="18"/>
          <w:szCs w:val="18"/>
        </w:rPr>
        <w:t>其他说明：</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年发生的非同一控制下企业合并中：法国安赛尔由本公司之子公司北京开元境外子公司德国开元完成收购；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江苏众信由本公司之子公司上海众信完成收购。</w:t>
      </w:r>
    </w:p>
    <w:p>
      <w:pPr>
        <w:spacing w:line="240" w:lineRule="auto" w:before="7"/>
        <w:rPr>
          <w:rFonts w:ascii="宋体" w:hAnsi="宋体" w:cs="宋体" w:eastAsia="宋体" w:hint="default"/>
          <w:sz w:val="22"/>
          <w:szCs w:val="22"/>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江苏众信</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法国安赛尔</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74,876,300.00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838,491.33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3,357,842.11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 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74,876,300.00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838,491.33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3,357,842.11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减：取得的可辨认净资 产公允价值份额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138,913,776.50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22,397,628.91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803,868.50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2,384,206.66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491,086,223.50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52,478,671.09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973,635.45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67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的可辨认净资产公允价 值份额的金额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386" w:lineRule="auto"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w:t>
      </w:r>
      <w:r>
        <w:rPr>
          <w:rFonts w:ascii="宋体" w:hAnsi="宋体" w:cs="宋体" w:eastAsia="宋体" w:hint="default"/>
          <w:spacing w:val="-2"/>
          <w:sz w:val="18"/>
          <w:szCs w:val="18"/>
        </w:rPr>
        <w:t>竹园国旅、北京开元可辨认资产、负债公允价值利用外部专家（评估师）的专业判断确定；江苏众信、法国安赛尔因被购买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方在收购日账面除货币资金及少量往来款之外无其他资产、负债，故可辨认资产、负债公允价值按账面价值确定。</w:t>
      </w:r>
    </w:p>
    <w:p>
      <w:pPr>
        <w:spacing w:line="405" w:lineRule="auto" w:before="54"/>
        <w:ind w:left="153" w:right="5811"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报告期内，并购竹园国旅和北京开元形成的商誉。</w:t>
      </w:r>
    </w:p>
    <w:p>
      <w:pPr>
        <w:spacing w:line="240" w:lineRule="auto" w:before="2"/>
        <w:rPr>
          <w:rFonts w:ascii="宋体" w:hAnsi="宋体" w:cs="宋体" w:eastAsia="宋体" w:hint="default"/>
          <w:sz w:val="19"/>
          <w:szCs w:val="19"/>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1220"/>
        <w:gridCol w:w="1219"/>
        <w:gridCol w:w="1158"/>
        <w:gridCol w:w="1157"/>
        <w:gridCol w:w="997"/>
        <w:gridCol w:w="996"/>
        <w:gridCol w:w="1093"/>
        <w:gridCol w:w="1093"/>
      </w:tblGrid>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竹园国旅</w:t>
            </w:r>
          </w:p>
        </w:tc>
        <w:tc>
          <w:tcPr>
            <w:tcW w:w="231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北京开元</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江苏众信</w:t>
            </w:r>
          </w:p>
        </w:tc>
        <w:tc>
          <w:tcPr>
            <w:tcW w:w="218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法国安赛尔</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4" w:right="65" w:hanging="450"/>
              <w:jc w:val="left"/>
              <w:rPr>
                <w:rFonts w:ascii="宋体" w:hAnsi="宋体" w:cs="宋体" w:eastAsia="宋体" w:hint="default"/>
                <w:sz w:val="18"/>
                <w:szCs w:val="18"/>
              </w:rPr>
            </w:pPr>
            <w:r>
              <w:rPr>
                <w:rFonts w:ascii="宋体" w:hAnsi="宋体" w:cs="宋体" w:eastAsia="宋体" w:hint="default"/>
                <w:sz w:val="18"/>
                <w:szCs w:val="18"/>
              </w:rPr>
              <w:t>购买日公允价 值</w:t>
            </w: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4" w:right="62"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1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84" w:right="31" w:hanging="450"/>
              <w:jc w:val="left"/>
              <w:rPr>
                <w:rFonts w:ascii="宋体" w:hAnsi="宋体" w:cs="宋体" w:eastAsia="宋体" w:hint="default"/>
                <w:sz w:val="18"/>
                <w:szCs w:val="18"/>
              </w:rPr>
            </w:pPr>
            <w:r>
              <w:rPr>
                <w:rFonts w:ascii="宋体" w:hAnsi="宋体" w:cs="宋体" w:eastAsia="宋体" w:hint="default"/>
                <w:sz w:val="18"/>
                <w:szCs w:val="18"/>
              </w:rPr>
              <w:t>购买日公允价 值</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83" w:right="31" w:hanging="450"/>
              <w:jc w:val="left"/>
              <w:rPr>
                <w:rFonts w:ascii="宋体" w:hAnsi="宋体" w:cs="宋体" w:eastAsia="宋体" w:hint="default"/>
                <w:sz w:val="18"/>
                <w:szCs w:val="18"/>
              </w:rPr>
            </w:pPr>
            <w:r>
              <w:rPr>
                <w:rFonts w:ascii="宋体" w:hAnsi="宋体" w:cs="宋体" w:eastAsia="宋体" w:hint="default"/>
                <w:sz w:val="18"/>
                <w:szCs w:val="18"/>
              </w:rPr>
              <w:t>购买日账面价 值</w:t>
            </w:r>
          </w:p>
        </w:tc>
        <w:tc>
          <w:tcPr>
            <w:tcW w:w="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3" w:right="42"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3" w:right="41" w:hanging="270"/>
              <w:jc w:val="left"/>
              <w:rPr>
                <w:rFonts w:ascii="宋体" w:hAnsi="宋体" w:cs="宋体" w:eastAsia="宋体" w:hint="default"/>
                <w:sz w:val="18"/>
                <w:szCs w:val="18"/>
              </w:rPr>
            </w:pPr>
            <w:r>
              <w:rPr>
                <w:rFonts w:ascii="宋体" w:hAnsi="宋体" w:cs="宋体" w:eastAsia="宋体" w:hint="default"/>
                <w:sz w:val="18"/>
                <w:szCs w:val="18"/>
              </w:rPr>
              <w:t>购买日账面 价值</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2" w:right="89" w:hanging="270"/>
              <w:jc w:val="left"/>
              <w:rPr>
                <w:rFonts w:ascii="宋体" w:hAnsi="宋体" w:cs="宋体" w:eastAsia="宋体" w:hint="default"/>
                <w:sz w:val="18"/>
                <w:szCs w:val="18"/>
              </w:rPr>
            </w:pPr>
            <w:r>
              <w:rPr>
                <w:rFonts w:ascii="宋体" w:hAnsi="宋体" w:cs="宋体" w:eastAsia="宋体" w:hint="default"/>
                <w:sz w:val="18"/>
                <w:szCs w:val="18"/>
              </w:rPr>
              <w:t>购买日公允 价值</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1" w:right="90" w:hanging="270"/>
              <w:jc w:val="left"/>
              <w:rPr>
                <w:rFonts w:ascii="宋体" w:hAnsi="宋体" w:cs="宋体" w:eastAsia="宋体" w:hint="default"/>
                <w:sz w:val="18"/>
                <w:szCs w:val="18"/>
              </w:rPr>
            </w:pPr>
            <w:r>
              <w:rPr>
                <w:rFonts w:ascii="宋体" w:hAnsi="宋体" w:cs="宋体" w:eastAsia="宋体" w:hint="default"/>
                <w:sz w:val="18"/>
                <w:szCs w:val="18"/>
              </w:rPr>
              <w:t>购买日账面 价值</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62,752,755.32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62,752,755.32</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50,570,040.72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50,570,040.72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166.63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1,612,942.60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1,612,942.60</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应收款 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128,204,833.90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128,204,833.90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6,026,253.63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6,026,253.63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518,184.08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518,184.08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3,143,872.34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3,143,872.34</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11,512.51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11,512.51</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4,430,132.42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4,430,132.42</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918,350.76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918,350.76</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300,291.36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300,291.36</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无形资 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1,553,333.38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1,553,333.38</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预付款 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177,657,561.38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177,657,561.38</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7,645,360.91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7,645,360.91</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65,875.47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65,875.47</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其他应 收款</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94,720,777.69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94,720,777.69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11,761,373.24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11,761,373.24</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738,541.73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738,541.73</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长期待 摊费用</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5,081,585.39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5,081,585.39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310,573.80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310,573.80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递延所 得税资 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1,759,319.17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1,759,319.17</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65,377.17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65,377.17</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其他非 流动资 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4,262,746.56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4,262,746.56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220,140.62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220,140.62</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应付款 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137,354,814.36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137,354,814.36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849,273.53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849,273.53</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890,451.23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890,451.23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2"/>
        <w:gridCol w:w="1220"/>
        <w:gridCol w:w="1219"/>
        <w:gridCol w:w="1158"/>
        <w:gridCol w:w="1157"/>
        <w:gridCol w:w="997"/>
        <w:gridCol w:w="996"/>
        <w:gridCol w:w="1093"/>
        <w:gridCol w:w="1093"/>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预收款 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80,475,249.73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80,475,249.73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23,521,497.58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23,521,497.58</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1,210,081.29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1,210,081.29</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应付职 工薪酬</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7,590,242.96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7,590,242.96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292,516.12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292,516.12</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165,647.03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165,647.03</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应交税 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3,853,336.79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3,853,336.79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1,020,868.06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1,020,868.06</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-100,094.44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-100,094.44</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应付利 息</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84,831.06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84,831.06</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其他应 付款</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20,464,986.89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20,464,986.89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11,895,151.15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11,895,151.15</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289,428.88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289,428.88</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198,448,349.37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198,448,349.37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43,915,393.18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43,915,393.18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803,868.50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803,868.50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3,406,009.51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3,406,009.51</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减：少数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股东权 益</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59,534,572.87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59,534,572.87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21,517,764.27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21,517,764.27</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1,021,802.85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1,021,802.85</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138,913,776.50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138,913,776.50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22,397,628.91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22,397,628.91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803,868.50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803,868.50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2,384,206.66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2,384,206.66</w:t>
            </w:r>
          </w:p>
        </w:tc>
      </w:tr>
    </w:tbl>
    <w:p>
      <w:pPr>
        <w:spacing w:line="381" w:lineRule="auto" w:before="51"/>
        <w:ind w:left="634" w:right="148" w:hanging="48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w:t>
      </w:r>
      <w:r>
        <w:rPr>
          <w:rFonts w:ascii="宋体" w:hAnsi="宋体" w:cs="宋体" w:eastAsia="宋体" w:hint="default"/>
          <w:spacing w:val="-1"/>
          <w:sz w:val="18"/>
          <w:szCs w:val="18"/>
        </w:rPr>
        <w:t>竹园国旅、北京开元可辨认资产、负债公允价值利用外部专家（评估师）的专业判断确定；江苏众信、法国安赛尔因</w:t>
      </w:r>
    </w:p>
    <w:p>
      <w:pPr>
        <w:spacing w:before="17"/>
        <w:ind w:left="154" w:right="148" w:firstLine="0"/>
        <w:jc w:val="left"/>
        <w:rPr>
          <w:rFonts w:ascii="宋体" w:hAnsi="宋体" w:cs="宋体" w:eastAsia="宋体" w:hint="default"/>
          <w:sz w:val="18"/>
          <w:szCs w:val="18"/>
        </w:rPr>
      </w:pPr>
      <w:r>
        <w:rPr>
          <w:rFonts w:ascii="宋体" w:hAnsi="宋体" w:cs="宋体" w:eastAsia="宋体" w:hint="default"/>
          <w:sz w:val="18"/>
          <w:szCs w:val="18"/>
        </w:rPr>
        <w:t>被购买方在收购日账面除货币资金及少量往来款之外无其他资产、负债，故可辨认资产、负债公允价值按账面价值确定。</w:t>
      </w:r>
    </w:p>
    <w:p>
      <w:pPr>
        <w:spacing w:line="240" w:lineRule="auto" w:before="0"/>
        <w:rPr>
          <w:rFonts w:ascii="宋体" w:hAnsi="宋体" w:cs="宋体" w:eastAsia="宋体" w:hint="default"/>
          <w:sz w:val="18"/>
          <w:szCs w:val="18"/>
        </w:rPr>
      </w:pPr>
    </w:p>
    <w:p>
      <w:pPr>
        <w:pStyle w:val="Heading3"/>
        <w:spacing w:line="240" w:lineRule="auto" w:before="140"/>
        <w:ind w:right="148"/>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2751" w:firstLine="0"/>
        <w:jc w:val="left"/>
        <w:rPr>
          <w:rFonts w:ascii="宋体" w:hAnsi="宋体" w:cs="宋体" w:eastAsia="宋体" w:hint="default"/>
          <w:sz w:val="18"/>
          <w:szCs w:val="18"/>
        </w:rPr>
      </w:pPr>
      <w:r>
        <w:rPr/>
        <w:pict>
          <v:shape style="position:absolute;margin-left:55.98pt;margin-top:32.862019pt;width:483.6pt;height:221.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9"/>
                    <w:gridCol w:w="3096"/>
                    <w:gridCol w:w="2550"/>
                    <w:gridCol w:w="2222"/>
                  </w:tblGrid>
                  <w:tr>
                    <w:trPr>
                      <w:trHeight w:val="649" w:hRule="exact"/>
                    </w:trPr>
                    <w:tc>
                      <w:tcPr>
                        <w:tcW w:w="1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6"/>
                          <w:ind w:left="1273" w:right="911" w:hanging="360"/>
                          <w:jc w:val="left"/>
                          <w:rPr>
                            <w:rFonts w:ascii="宋体" w:hAnsi="宋体" w:cs="宋体" w:eastAsia="宋体" w:hint="default"/>
                            <w:sz w:val="18"/>
                            <w:szCs w:val="18"/>
                          </w:rPr>
                        </w:pPr>
                        <w:r>
                          <w:rPr>
                            <w:rFonts w:ascii="宋体" w:hAnsi="宋体" w:cs="宋体" w:eastAsia="宋体" w:hint="default"/>
                            <w:sz w:val="18"/>
                            <w:szCs w:val="18"/>
                          </w:rPr>
                          <w:t>新纳入合并范围 的时间</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819"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2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656"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10,024,430.41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24,430.41</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太原众信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208,751.19</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-1,248.81</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300,104.86</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104.86</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云南众信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510,297.87</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297.87</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-576.27</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-576.27</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众信嘉业</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-3,142.60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-3,142.60</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辽宁众信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北京优达</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广州优贷</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99,037,696.82</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-962,303.18</w:t>
                        </w:r>
                      </w:p>
                    </w:tc>
                  </w:tr>
                  <w:tr>
                    <w:trPr>
                      <w:trHeight w:val="342"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广州优盛</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-600.00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-600.00</w:t>
                        </w:r>
                      </w:p>
                    </w:tc>
                  </w:tr>
                  <w:tr>
                    <w:trPr>
                      <w:trHeight w:val="343" w:hRule="exact"/>
                    </w:trPr>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陕西众信</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550" w:type="dxa"/>
                        <w:tcBorders>
                          <w:top w:val="single" w:sz="4" w:space="0" w:color="000000"/>
                          <w:left w:val="single" w:sz="4" w:space="0" w:color="000000"/>
                          <w:bottom w:val="single" w:sz="4" w:space="0" w:color="000000"/>
                          <w:right w:val="single" w:sz="4" w:space="0" w:color="000000"/>
                        </w:tcBorders>
                      </w:tcPr>
                      <w:p>
                        <w:pPr/>
                      </w:p>
                    </w:tc>
                    <w:tc>
                      <w:tcPr>
                        <w:tcW w:w="222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说明其他原因导致的合并范围变动（如，新设子公司、清算子公司等）及其相关情况： 公司报告期新设天津众信、云南众信、太原众信以及重庆众信等</w:t>
      </w:r>
      <w:r>
        <w:rPr>
          <w:rFonts w:ascii="Times New Roman" w:hAnsi="Times New Roman" w:cs="Times New Roman" w:eastAsia="Times New Roman" w:hint="default"/>
          <w:sz w:val="18"/>
          <w:szCs w:val="18"/>
        </w:rPr>
        <w:t>11</w:t>
      </w:r>
      <w:r>
        <w:rPr>
          <w:rFonts w:ascii="宋体" w:hAnsi="宋体" w:cs="宋体" w:eastAsia="宋体" w:hint="default"/>
          <w:sz w:val="18"/>
          <w:szCs w:val="18"/>
        </w:rPr>
        <w:t>家子公司，情况如下：</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8"/>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03"/>
        <w:gridCol w:w="803"/>
        <w:gridCol w:w="4068"/>
        <w:gridCol w:w="1405"/>
        <w:gridCol w:w="701"/>
        <w:gridCol w:w="378"/>
        <w:gridCol w:w="1508"/>
      </w:tblGrid>
      <w:tr>
        <w:trPr>
          <w:trHeight w:val="401" w:hRule="exact"/>
        </w:trPr>
        <w:tc>
          <w:tcPr>
            <w:tcW w:w="8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305" w:right="3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8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305" w:right="35"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40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4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714" w:hRule="exact"/>
        </w:trPr>
        <w:tc>
          <w:tcPr>
            <w:tcW w:w="803" w:type="dxa"/>
            <w:vMerge/>
            <w:tcBorders>
              <w:left w:val="single" w:sz="4" w:space="0" w:color="000000"/>
              <w:bottom w:val="single" w:sz="4" w:space="0" w:color="000000"/>
              <w:right w:val="single" w:sz="4" w:space="0" w:color="000000"/>
            </w:tcBorders>
            <w:shd w:val="clear" w:color="auto" w:fill="D3D3D3"/>
          </w:tcPr>
          <w:p>
            <w:pPr/>
          </w:p>
        </w:tc>
        <w:tc>
          <w:tcPr>
            <w:tcW w:w="803" w:type="dxa"/>
            <w:vMerge/>
            <w:tcBorders>
              <w:left w:val="single" w:sz="4" w:space="0" w:color="000000"/>
              <w:bottom w:val="single" w:sz="4" w:space="0" w:color="000000"/>
              <w:right w:val="single" w:sz="4" w:space="0" w:color="000000"/>
            </w:tcBorders>
            <w:shd w:val="clear" w:color="auto" w:fill="D3D3D3"/>
          </w:tcPr>
          <w:p>
            <w:pPr/>
          </w:p>
        </w:tc>
        <w:tc>
          <w:tcPr>
            <w:tcW w:w="4068" w:type="dxa"/>
            <w:vMerge/>
            <w:tcBorders>
              <w:left w:val="single" w:sz="4" w:space="0" w:color="000000"/>
              <w:bottom w:val="single" w:sz="4" w:space="0" w:color="000000"/>
              <w:right w:val="single" w:sz="4" w:space="0" w:color="000000"/>
            </w:tcBorders>
            <w:shd w:val="clear" w:color="auto" w:fill="D3D3D3"/>
          </w:tcPr>
          <w:p>
            <w:pPr/>
          </w:p>
        </w:tc>
        <w:tc>
          <w:tcPr>
            <w:tcW w:w="1405" w:type="dxa"/>
            <w:vMerge/>
            <w:tcBorders>
              <w:left w:val="single" w:sz="4" w:space="0" w:color="000000"/>
              <w:bottom w:val="single" w:sz="4" w:space="0" w:color="000000"/>
              <w:right w:val="single" w:sz="4" w:space="0" w:color="000000"/>
            </w:tcBorders>
            <w:shd w:val="clear" w:color="auto" w:fill="D3D3D3"/>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4" w:right="91"/>
              <w:jc w:val="left"/>
              <w:rPr>
                <w:rFonts w:ascii="宋体" w:hAnsi="宋体" w:cs="宋体" w:eastAsia="宋体" w:hint="default"/>
                <w:sz w:val="18"/>
                <w:szCs w:val="18"/>
              </w:rPr>
            </w:pPr>
            <w:r>
              <w:rPr>
                <w:rFonts w:ascii="宋体" w:hAnsi="宋体" w:cs="宋体" w:eastAsia="宋体" w:hint="default"/>
                <w:sz w:val="18"/>
                <w:szCs w:val="18"/>
              </w:rPr>
              <w:t>间 接</w:t>
            </w:r>
          </w:p>
        </w:tc>
        <w:tc>
          <w:tcPr>
            <w:tcW w:w="150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上海众信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上海市普陀区真光路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四川众信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成都市锦江区东大街芷泉段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优拓航服</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机票销售代理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优逸文公 关</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北京市顺义区空港街道三山新新家园四区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咨询；企业策划</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九州联合</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北京市顺义区空港街道三山新新家园四区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众信奇迹</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92.00%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浙江众信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杭州市拱墅区莫干山路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841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幢二层</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悠联货币</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货币兑换</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51.00%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上海巨龙</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上海市普陀区真光路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香港众信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香港湾仔皇后大道东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号东美中心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上海优葵</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中国（上海）自由贸易试验区奥纳路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六层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2"/>
                <w:sz w:val="18"/>
                <w:szCs w:val="18"/>
              </w:rPr>
              <w:t>投资管理、资产管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天津众信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天津华苑产业区海泰西路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工业孵化</w:t>
            </w:r>
            <w:r>
              <w:rPr>
                <w:rFonts w:ascii="Times New Roman" w:hAnsi="Times New Roman" w:cs="Times New Roman" w:eastAsia="Times New Roman" w:hint="default"/>
                <w:sz w:val="18"/>
                <w:szCs w:val="18"/>
              </w:rPr>
              <w:t>-5</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竹园国旅</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70.00%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太原众信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太原市迎泽区迎泽南街鼎元时代中心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重庆众信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重庆市江北区建新北路一支路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云南众信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云南省昆明市官渡区环城南路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号云路中心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北京开元</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北京市朝阳区朝阳门外大街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51.00%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非同一控制下企业 合并</w:t>
            </w:r>
          </w:p>
        </w:tc>
      </w:tr>
    </w:tbl>
    <w:p>
      <w:pPr>
        <w:spacing w:after="0" w:line="319"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03"/>
        <w:gridCol w:w="803"/>
        <w:gridCol w:w="4068"/>
        <w:gridCol w:w="1405"/>
        <w:gridCol w:w="701"/>
        <w:gridCol w:w="378"/>
        <w:gridCol w:w="1508"/>
      </w:tblGrid>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深圳众信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深圳市福田区华强北街道华强北路群星广场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3338</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陕西众信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西安市碑林区雁截路北段</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号中铁第壹国际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辽宁众信</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沈阳市沈河区惠工街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众信嘉业</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文化艺术交流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广州优盛</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广州市越秀区解放南路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1703 </w:t>
            </w:r>
            <w:r>
              <w:rPr>
                <w:rFonts w:ascii="宋体" w:hAnsi="宋体" w:cs="宋体" w:eastAsia="宋体" w:hint="default"/>
                <w:sz w:val="18"/>
                <w:szCs w:val="18"/>
              </w:rPr>
              <w:t>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互联网金融信息 服务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广州优贷</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广州市越秀区解放南路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1703 </w:t>
            </w:r>
            <w:r>
              <w:rPr>
                <w:rFonts w:ascii="宋体" w:hAnsi="宋体" w:cs="宋体" w:eastAsia="宋体" w:hint="default"/>
                <w:sz w:val="18"/>
                <w:szCs w:val="18"/>
              </w:rPr>
              <w:t>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货币金融服务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北京优达</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北京市朝阳区和平街东土城路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出入境服务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37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20,512,941.19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80,047,416.85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2,466,134.37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23,996,554.08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87"/>
        <w:gridCol w:w="1386"/>
        <w:gridCol w:w="1386"/>
        <w:gridCol w:w="1386"/>
        <w:gridCol w:w="1386"/>
        <w:gridCol w:w="1385"/>
        <w:gridCol w:w="1378"/>
      </w:tblGrid>
      <w:tr>
        <w:trPr>
          <w:trHeight w:val="402" w:hRule="exact"/>
        </w:trPr>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0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87" w:type="dxa"/>
            <w:vMerge/>
            <w:tcBorders>
              <w:left w:val="single" w:sz="4" w:space="0" w:color="000000"/>
              <w:bottom w:val="single" w:sz="4" w:space="0" w:color="000000"/>
              <w:right w:val="single" w:sz="4" w:space="0" w:color="000000"/>
            </w:tcBorders>
            <w:shd w:val="clear" w:color="auto" w:fill="D3D3D3"/>
          </w:tcPr>
          <w:p>
            <w:pP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486,928,936.74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16,292,603.94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503,221,540.68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236,397,122.88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236,397,122.88</w:t>
            </w:r>
          </w:p>
        </w:tc>
      </w:tr>
      <w:tr>
        <w:trPr>
          <w:trHeight w:val="40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70,104,958.03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9,015,543.78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79,120,501.81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29,154,100.40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29,154,100.40</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33"/>
        <w:gridCol w:w="1936"/>
        <w:gridCol w:w="1937"/>
        <w:gridCol w:w="1943"/>
        <w:gridCol w:w="1945"/>
      </w:tblGrid>
      <w:tr>
        <w:trPr>
          <w:trHeight w:val="402" w:hRule="exact"/>
        </w:trPr>
        <w:tc>
          <w:tcPr>
            <w:tcW w:w="19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1933" w:type="dxa"/>
            <w:vMerge/>
            <w:tcBorders>
              <w:left w:val="single" w:sz="4" w:space="0" w:color="000000"/>
              <w:bottom w:val="single" w:sz="4" w:space="0" w:color="000000"/>
              <w:right w:val="single" w:sz="4" w:space="0" w:color="000000"/>
            </w:tcBorders>
            <w:shd w:val="clear" w:color="auto" w:fill="D3D3D3"/>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2,843,362,035.12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68,376,068.43</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68,376,068.43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9,623,379.58</w:t>
            </w:r>
          </w:p>
        </w:tc>
      </w:tr>
      <w:tr>
        <w:trPr>
          <w:trHeight w:val="402"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101,712,665.81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5,003,377.00</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5,226,925.21</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-20,105,568.76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8"/>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宋体" w:hAnsi="宋体" w:cs="宋体" w:eastAsia="宋体" w:hint="default"/>
          <w:b/>
          <w:bCs/>
          <w:sz w:val="32"/>
          <w:szCs w:val="32"/>
        </w:rPr>
      </w:pPr>
    </w:p>
    <w:p>
      <w:pPr>
        <w:spacing w:line="463" w:lineRule="auto" w:before="0"/>
        <w:ind w:left="154" w:right="138" w:firstLine="482"/>
        <w:jc w:val="both"/>
        <w:rPr>
          <w:rFonts w:ascii="宋体" w:hAnsi="宋体" w:cs="宋体" w:eastAsia="宋体" w:hint="default"/>
          <w:sz w:val="18"/>
          <w:szCs w:val="18"/>
        </w:rPr>
      </w:pPr>
      <w:r>
        <w:rPr>
          <w:rFonts w:ascii="宋体" w:hAnsi="宋体" w:cs="宋体" w:eastAsia="宋体" w:hint="default"/>
          <w:spacing w:val="-1"/>
          <w:sz w:val="18"/>
          <w:szCs w:val="18"/>
        </w:rPr>
        <w:t>本期公司购买子公司上海巨龙国际旅行社有限公司</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的少数股权，投资比例由原来的</w:t>
      </w:r>
      <w:r>
        <w:rPr>
          <w:rFonts w:ascii="Times New Roman" w:hAnsi="Times New Roman" w:cs="Times New Roman" w:eastAsia="Times New Roman" w:hint="default"/>
          <w:spacing w:val="-1"/>
          <w:sz w:val="18"/>
          <w:szCs w:val="18"/>
        </w:rPr>
        <w:t>60%</w:t>
      </w:r>
      <w:r>
        <w:rPr>
          <w:rFonts w:ascii="宋体" w:hAnsi="宋体" w:cs="宋体" w:eastAsia="宋体" w:hint="default"/>
          <w:spacing w:val="-1"/>
          <w:sz w:val="18"/>
          <w:szCs w:val="18"/>
        </w:rPr>
        <w:t>上升至</w:t>
      </w:r>
      <w:r>
        <w:rPr>
          <w:rFonts w:ascii="Times New Roman" w:hAnsi="Times New Roman" w:cs="Times New Roman" w:eastAsia="Times New Roman" w:hint="default"/>
          <w:spacing w:val="-1"/>
          <w:sz w:val="18"/>
          <w:szCs w:val="18"/>
        </w:rPr>
        <w:t>67%</w:t>
      </w:r>
      <w:r>
        <w:rPr>
          <w:rFonts w:ascii="宋体" w:hAnsi="宋体" w:cs="宋体" w:eastAsia="宋体" w:hint="default"/>
          <w:spacing w:val="-1"/>
          <w:sz w:val="18"/>
          <w:szCs w:val="18"/>
        </w:rPr>
        <w:t>，在编制合并报</w:t>
      </w:r>
      <w:r>
        <w:rPr>
          <w:rFonts w:ascii="宋体" w:hAnsi="宋体" w:cs="宋体" w:eastAsia="宋体" w:hint="default"/>
          <w:sz w:val="18"/>
          <w:szCs w:val="18"/>
        </w:rPr>
        <w:t> </w:t>
      </w:r>
      <w:r>
        <w:rPr>
          <w:rFonts w:ascii="宋体" w:hAnsi="宋体" w:cs="宋体" w:eastAsia="宋体" w:hint="default"/>
          <w:spacing w:val="8"/>
          <w:sz w:val="18"/>
          <w:szCs w:val="18"/>
        </w:rPr>
        <w:t>表时，新取得的长期股权投资与按照新增持股比例计算应享有子公司自购买日开始持续计算的净资产份额之间的差额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5,120,052.05</w:t>
      </w:r>
      <w:r>
        <w:rPr>
          <w:rFonts w:ascii="宋体" w:hAnsi="宋体" w:cs="宋体" w:eastAsia="宋体" w:hint="default"/>
          <w:sz w:val="18"/>
          <w:szCs w:val="18"/>
        </w:rPr>
        <w:t>元，冲减资本公积。</w:t>
      </w:r>
    </w:p>
    <w:p>
      <w:pPr>
        <w:spacing w:line="240" w:lineRule="auto" w:before="9"/>
        <w:rPr>
          <w:rFonts w:ascii="宋体" w:hAnsi="宋体" w:cs="宋体" w:eastAsia="宋体" w:hint="default"/>
          <w:sz w:val="17"/>
          <w:szCs w:val="17"/>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上海巨龙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5,263,030.25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5,263,030.25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142,978.20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5,120,052.05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5,120,052.05</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37,391,989.88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-1,760.12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48"/>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8" w:firstLine="420"/>
        <w:jc w:val="left"/>
      </w:pPr>
      <w:r>
        <w:rPr>
          <w:spacing w:val="-1"/>
        </w:rPr>
        <w:t>本公司的主要金融工具，除衍生工具外，包括货币资金、应收账款、发放贷款及垫款、可供出售金融</w:t>
      </w:r>
      <w:r>
        <w:rPr/>
        <w:t> 资产、借款、应付账款等，本公司在经营过程中面临各种金融风险：信用风险、市场风险和流动风险。</w:t>
      </w:r>
    </w:p>
    <w:p>
      <w:pPr>
        <w:pStyle w:val="BodyText"/>
        <w:spacing w:line="386" w:lineRule="auto"/>
        <w:ind w:left="638" w:right="1726" w:hanging="5"/>
        <w:jc w:val="left"/>
      </w:pPr>
      <w:r>
        <w:rPr>
          <w:rFonts w:ascii="Times New Roman" w:hAnsi="Times New Roman" w:cs="Times New Roman" w:eastAsia="Times New Roman" w:hint="default"/>
        </w:rPr>
        <w:t>1</w:t>
      </w:r>
      <w:r>
        <w:rPr/>
        <w:t>、</w:t>
      </w:r>
      <w:r>
        <w:rPr>
          <w:spacing w:val="-21"/>
        </w:rPr>
        <w:t> </w:t>
      </w:r>
      <w:r>
        <w:rPr/>
        <w:t>信用风险</w:t>
      </w:r>
      <w:r>
        <w:rPr/>
        <w:t> 信用风险，是指金融工具的一方不能履行义务，造成另一方发生财务损失的风险。</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left="153" w:right="309" w:firstLine="484"/>
        <w:jc w:val="both"/>
      </w:pPr>
      <w:r>
        <w:rPr>
          <w:spacing w:val="-2"/>
        </w:rPr>
        <w:t>本公司仅与经认可的、信誉良好的第三方进行交易。按照本公司的政策，需对所有要求采用信用方式</w:t>
      </w:r>
      <w:r>
        <w:rPr/>
        <w:t> </w:t>
      </w:r>
      <w:r>
        <w:rPr>
          <w:spacing w:val="-1"/>
        </w:rPr>
        <w:t>进行交易的客户进行信用审核。另外，本公司对应收账款余额进行持续监控，以确保公司不致面临重大坏</w:t>
      </w:r>
      <w:r>
        <w:rPr>
          <w:spacing w:val="-83"/>
        </w:rPr>
        <w:t> </w:t>
      </w:r>
      <w:r>
        <w:rPr>
          <w:spacing w:val="-83"/>
        </w:rPr>
      </w:r>
      <w:r>
        <w:rPr/>
        <w:t>账风险。</w:t>
      </w:r>
    </w:p>
    <w:p>
      <w:pPr>
        <w:pStyle w:val="BodyText"/>
        <w:spacing w:line="408" w:lineRule="auto"/>
        <w:ind w:left="153" w:right="311" w:firstLine="484"/>
        <w:jc w:val="both"/>
      </w:pPr>
      <w:r>
        <w:rPr>
          <w:spacing w:val="-2"/>
        </w:rPr>
        <w:t>本公司其他金融资产包括货币资金、可供出售的金融资产、以公允价值计量且其变动计入当期损益的</w:t>
      </w:r>
      <w:r>
        <w:rPr/>
        <w:t> </w:t>
      </w:r>
      <w:r>
        <w:rPr>
          <w:spacing w:val="-1"/>
        </w:rPr>
        <w:t>金融资产及其他应收款等，这些金融资产的信用风险源自交易对手违约，最大风险敞口等于这些工具的账</w:t>
      </w:r>
      <w:r>
        <w:rPr>
          <w:spacing w:val="-81"/>
        </w:rPr>
        <w:t> </w:t>
      </w:r>
      <w:r>
        <w:rPr>
          <w:spacing w:val="-81"/>
        </w:rPr>
      </w:r>
      <w:r>
        <w:rPr/>
        <w:t>面金额。</w:t>
      </w:r>
    </w:p>
    <w:p>
      <w:pPr>
        <w:pStyle w:val="BodyText"/>
        <w:spacing w:line="398" w:lineRule="auto"/>
        <w:ind w:left="153" w:right="307" w:firstLine="484"/>
        <w:jc w:val="both"/>
      </w:pPr>
      <w:r>
        <w:rPr>
          <w:spacing w:val="-2"/>
        </w:rPr>
        <w:t>本公司与客户的交易因业务性质和客户的信誉不同，存在一定的信用交易，一般要求新客户和零售客</w:t>
      </w:r>
      <w:r>
        <w:rPr/>
        <w:t> 户以预付款项的方式进行交易，存在信用期的交易，信用期通常不超过</w:t>
      </w:r>
      <w:r>
        <w:rPr>
          <w:rFonts w:ascii="Times New Roman" w:hAnsi="Times New Roman" w:cs="Times New Roman" w:eastAsia="Times New Roman" w:hint="default"/>
        </w:rPr>
        <w:t>3</w:t>
      </w:r>
      <w:r>
        <w:rPr/>
        <w:t>个月，交易记录良好的客户可获</w:t>
      </w:r>
      <w:r>
        <w:rPr>
          <w:spacing w:val="-35"/>
        </w:rPr>
        <w:t> </w:t>
      </w:r>
      <w:r>
        <w:rPr>
          <w:spacing w:val="-35"/>
        </w:rPr>
      </w:r>
      <w:r>
        <w:rPr/>
        <w:t>得比较长的信用期。</w:t>
      </w:r>
    </w:p>
    <w:p>
      <w:pPr>
        <w:pStyle w:val="BodyText"/>
        <w:spacing w:line="403" w:lineRule="auto" w:before="54"/>
        <w:ind w:left="153" w:right="311" w:firstLine="484"/>
        <w:jc w:val="both"/>
      </w:pPr>
      <w:r>
        <w:rPr>
          <w:spacing w:val="-2"/>
        </w:rPr>
        <w:t>信用风险集中按照客户、地理区域和行业进行管理。由于本公司的应收账款客户群主要集中在出境游</w:t>
      </w:r>
      <w:r>
        <w:rPr/>
        <w:t> </w:t>
      </w:r>
      <w:r>
        <w:rPr>
          <w:spacing w:val="-1"/>
        </w:rPr>
        <w:t>业务商务会奖旅游业务，虽行业相对集中，但客户相对分散，且应收账款余额占公司销售收入的比例非常</w:t>
      </w:r>
      <w:r>
        <w:rPr>
          <w:spacing w:val="-83"/>
        </w:rPr>
        <w:t> </w:t>
      </w:r>
      <w:r>
        <w:rPr>
          <w:spacing w:val="-83"/>
        </w:rPr>
      </w:r>
      <w:r>
        <w:rPr>
          <w:spacing w:val="-1"/>
        </w:rPr>
        <w:t>小，因此在本公司内部不存在重大信用风险集中。合并资产负债表中应收账款的账面价值是本公司可能面</w:t>
      </w:r>
      <w:r>
        <w:rPr>
          <w:spacing w:val="-81"/>
        </w:rPr>
        <w:t> </w:t>
      </w:r>
      <w:r>
        <w:rPr>
          <w:spacing w:val="-81"/>
        </w:rPr>
      </w:r>
      <w:r>
        <w:rPr>
          <w:spacing w:val="-1"/>
        </w:rPr>
        <w:t>临的最大信用风险。截至报告期末，本公司的应收账款中应收账款前五名客户的款项占</w:t>
      </w:r>
      <w:r>
        <w:rPr>
          <w:rFonts w:ascii="Times New Roman" w:hAnsi="Times New Roman" w:cs="Times New Roman" w:eastAsia="Times New Roman" w:hint="default"/>
          <w:spacing w:val="-1"/>
        </w:rPr>
        <w:t>18.02%</w:t>
      </w:r>
      <w:r>
        <w:rPr>
          <w:spacing w:val="-1"/>
        </w:rPr>
        <w:t>，本公司并</w:t>
      </w:r>
      <w:r>
        <w:rPr>
          <w:spacing w:val="-100"/>
        </w:rPr>
        <w:t> </w:t>
      </w:r>
      <w:r>
        <w:rPr>
          <w:spacing w:val="-100"/>
        </w:rPr>
      </w:r>
      <w:r>
        <w:rPr/>
        <w:t>未面临重大信用集中风险。</w:t>
      </w:r>
    </w:p>
    <w:p>
      <w:pPr>
        <w:pStyle w:val="BodyText"/>
        <w:spacing w:line="386" w:lineRule="auto" w:before="50"/>
        <w:ind w:left="638" w:right="294" w:hanging="1"/>
        <w:jc w:val="left"/>
      </w:pPr>
      <w:r>
        <w:rPr>
          <w:rFonts w:ascii="Times New Roman" w:hAnsi="Times New Roman" w:cs="Times New Roman" w:eastAsia="Times New Roman" w:hint="default"/>
        </w:rPr>
        <w:t>2</w:t>
      </w:r>
      <w:r>
        <w:rPr/>
        <w:t>、市场风险 </w:t>
      </w:r>
      <w:r>
        <w:rPr>
          <w:spacing w:val="-2"/>
        </w:rPr>
        <w:t>市场风险，是指金融工具的公允价值或未来现金流量因市场价格变动而发生波动的风险，包括汇率风</w:t>
      </w:r>
    </w:p>
    <w:p>
      <w:pPr>
        <w:pStyle w:val="BodyText"/>
        <w:spacing w:line="240" w:lineRule="auto" w:before="65"/>
        <w:ind w:right="298"/>
        <w:jc w:val="left"/>
      </w:pPr>
      <w:r>
        <w:rPr/>
        <w:t>险、利率风险和其他价格风险。</w:t>
      </w:r>
    </w:p>
    <w:p>
      <w:pPr>
        <w:spacing w:line="240" w:lineRule="auto" w:before="10"/>
        <w:rPr>
          <w:rFonts w:ascii="宋体" w:hAnsi="宋体" w:cs="宋体" w:eastAsia="宋体" w:hint="default"/>
          <w:sz w:val="14"/>
          <w:szCs w:val="14"/>
        </w:rPr>
      </w:pPr>
    </w:p>
    <w:p>
      <w:pPr>
        <w:pStyle w:val="BodyText"/>
        <w:spacing w:line="386" w:lineRule="auto" w:before="0"/>
        <w:ind w:left="638" w:right="297" w:hanging="1"/>
        <w:jc w:val="left"/>
      </w:pPr>
      <w:r>
        <w:rPr/>
        <w:t>（</w:t>
      </w:r>
      <w:r>
        <w:rPr>
          <w:rFonts w:ascii="Times New Roman" w:hAnsi="Times New Roman" w:cs="Times New Roman" w:eastAsia="Times New Roman" w:hint="default"/>
        </w:rPr>
        <w:t>1</w:t>
      </w:r>
      <w:r>
        <w:rPr/>
        <w:t>）汇率风险 汇率风险，是指金融工具的公允价值或未来现金流量因外汇汇率变动而发生波动的风险。</w:t>
      </w:r>
      <w:r>
        <w:rPr>
          <w:spacing w:val="14"/>
        </w:rPr>
        <w:t> </w:t>
      </w:r>
      <w:r>
        <w:rPr/>
        <w:t>汇率风险</w:t>
      </w:r>
    </w:p>
    <w:p>
      <w:pPr>
        <w:pStyle w:val="BodyText"/>
        <w:spacing w:line="408" w:lineRule="auto" w:before="65"/>
        <w:ind w:right="298"/>
        <w:jc w:val="left"/>
      </w:pPr>
      <w:r>
        <w:rPr>
          <w:spacing w:val="-1"/>
        </w:rPr>
        <w:t>的敏感性分析反映了在其他变量不变的假设下，外币汇率发生合理、可能的变动时，由于货币性资产和货</w:t>
      </w:r>
      <w:r>
        <w:rPr>
          <w:spacing w:val="-83"/>
        </w:rPr>
        <w:t> </w:t>
      </w:r>
      <w:r>
        <w:rPr>
          <w:spacing w:val="-83"/>
        </w:rPr>
      </w:r>
      <w:r>
        <w:rPr/>
        <w:t>币性负债的公允价值变化将对净利润和股东权益产生的影响。</w:t>
      </w:r>
    </w:p>
    <w:p>
      <w:pPr>
        <w:pStyle w:val="BodyText"/>
        <w:spacing w:line="240" w:lineRule="auto"/>
        <w:ind w:left="638" w:right="9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日，对于本公司外币货币性金融资产和货币性金融负债。如果人民币对外币升值或贬值</w:t>
      </w:r>
    </w:p>
    <w:p>
      <w:pPr>
        <w:pStyle w:val="BodyText"/>
        <w:spacing w:line="386" w:lineRule="auto" w:before="177"/>
        <w:ind w:right="304"/>
        <w:jc w:val="left"/>
      </w:pPr>
      <w:r>
        <w:rPr>
          <w:rFonts w:ascii="Times New Roman" w:hAnsi="Times New Roman" w:cs="Times New Roman" w:eastAsia="Times New Roman" w:hint="default"/>
          <w:spacing w:val="-2"/>
        </w:rPr>
        <w:t>1%</w:t>
      </w:r>
      <w:r>
        <w:rPr>
          <w:spacing w:val="-2"/>
        </w:rPr>
        <w:t>，而其他因素保持不变，则本公司净利润将增加或减少约</w:t>
      </w:r>
      <w:r>
        <w:rPr>
          <w:rFonts w:ascii="Times New Roman" w:hAnsi="Times New Roman" w:cs="Times New Roman" w:eastAsia="Times New Roman" w:hint="default"/>
          <w:spacing w:val="-2"/>
        </w:rPr>
        <w:t>32,963.81</w:t>
      </w:r>
      <w:r>
        <w:rPr>
          <w:spacing w:val="-2"/>
        </w:rPr>
        <w:t>元，不包括留存收益的股东权益将增</w:t>
      </w:r>
      <w:r>
        <w:rPr>
          <w:spacing w:val="-101"/>
        </w:rPr>
        <w:t> </w:t>
      </w:r>
      <w:r>
        <w:rPr>
          <w:spacing w:val="-101"/>
        </w:rPr>
      </w:r>
      <w:r>
        <w:rPr/>
        <w:t>加或减少约</w:t>
      </w:r>
      <w:r>
        <w:rPr>
          <w:rFonts w:ascii="Times New Roman" w:hAnsi="Times New Roman" w:cs="Times New Roman" w:eastAsia="Times New Roman" w:hint="default"/>
        </w:rPr>
        <w:t>32,963.81</w:t>
      </w:r>
      <w:r>
        <w:rPr/>
        <w:t>元。</w:t>
      </w:r>
    </w:p>
    <w:p>
      <w:pPr>
        <w:pStyle w:val="BodyText"/>
        <w:spacing w:line="398" w:lineRule="auto" w:before="35"/>
        <w:ind w:left="638" w:right="86" w:hanging="1"/>
        <w:jc w:val="left"/>
      </w:pPr>
      <w:r>
        <w:rPr/>
        <w:t>（</w:t>
      </w:r>
      <w:r>
        <w:rPr>
          <w:rFonts w:ascii="Times New Roman" w:hAnsi="Times New Roman" w:cs="Times New Roman" w:eastAsia="Times New Roman" w:hint="default"/>
        </w:rPr>
        <w:t>2</w:t>
      </w:r>
      <w:r>
        <w:rPr/>
        <w:t>）利率风险 利率风险，是指金融工具的公允价值或未来现金流量因市场利率变动而发生波动的风险。 </w:t>
      </w:r>
      <w:r>
        <w:rPr>
          <w:spacing w:val="-2"/>
        </w:rPr>
        <w:t>本公司的利率风险产生于银行借款等带息债务。浮动利率的金融负债使本公司面临现金流量利率风险，</w:t>
      </w:r>
    </w:p>
    <w:p>
      <w:pPr>
        <w:pStyle w:val="BodyText"/>
        <w:spacing w:line="408" w:lineRule="auto" w:before="54"/>
        <w:ind w:right="298"/>
        <w:jc w:val="left"/>
      </w:pPr>
      <w:r>
        <w:rPr>
          <w:spacing w:val="-1"/>
        </w:rPr>
        <w:t>固定利率的金融负债使本公司面临公允价值利率风险。本公司根据当时的市场环境来决定固定利率及浮动</w:t>
      </w:r>
      <w:r>
        <w:rPr>
          <w:spacing w:val="-81"/>
        </w:rPr>
        <w:t> </w:t>
      </w:r>
      <w:r>
        <w:rPr>
          <w:spacing w:val="-81"/>
        </w:rPr>
      </w:r>
      <w:r>
        <w:rPr/>
        <w:t>利率合同的相对比例。</w:t>
      </w:r>
    </w:p>
    <w:p>
      <w:pPr>
        <w:pStyle w:val="BodyText"/>
        <w:spacing w:line="240" w:lineRule="auto"/>
        <w:ind w:left="638" w:right="29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日，本公司的带息债务主要为固定利率借款合同。目前不存在利率风险。</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386" w:lineRule="auto" w:before="35"/>
        <w:ind w:left="638" w:right="134" w:hanging="1"/>
        <w:jc w:val="left"/>
      </w:pPr>
      <w:r>
        <w:rPr>
          <w:rFonts w:ascii="Times New Roman" w:hAnsi="Times New Roman" w:cs="Times New Roman" w:eastAsia="Times New Roman" w:hint="default"/>
        </w:rPr>
        <w:t>3</w:t>
      </w:r>
      <w:r>
        <w:rPr/>
        <w:t>、流动风险 </w:t>
      </w:r>
      <w:r>
        <w:rPr>
          <w:spacing w:val="-2"/>
        </w:rPr>
        <w:t>流动风险，是指企业在履行以交付现金或其他金融资产的方式结算的义务时发生资金短缺的风险。本</w:t>
      </w:r>
    </w:p>
    <w:p>
      <w:pPr>
        <w:pStyle w:val="BodyText"/>
        <w:spacing w:line="408" w:lineRule="auto" w:before="65"/>
        <w:ind w:right="149"/>
        <w:jc w:val="both"/>
      </w:pPr>
      <w:r>
        <w:rPr>
          <w:spacing w:val="-1"/>
        </w:rPr>
        <w:t>公司内各子公司负责监控自身的现金流量预测，总部财务部门在汇总各子公司现金流量预测的基础上，在</w:t>
      </w:r>
      <w:r>
        <w:rPr>
          <w:spacing w:val="-81"/>
        </w:rPr>
        <w:t> </w:t>
      </w:r>
      <w:r>
        <w:rPr>
          <w:spacing w:val="-81"/>
        </w:rPr>
      </w:r>
      <w:r>
        <w:rPr>
          <w:spacing w:val="-1"/>
        </w:rPr>
        <w:t>集团层面持续监控短期和长期的资金需求，以确保维持充裕的现金储备；同时持续监控是否符合借款协议</w:t>
      </w:r>
      <w:r>
        <w:rPr>
          <w:spacing w:val="-81"/>
        </w:rPr>
        <w:t> </w:t>
      </w:r>
      <w:r>
        <w:rPr>
          <w:spacing w:val="-81"/>
        </w:rPr>
      </w:r>
      <w:r>
        <w:rPr/>
        <w:t>的规定，从主要金融机构获得提供足够备用资金的承诺，以满足短期和长期的资金需求。</w:t>
      </w:r>
    </w:p>
    <w:p>
      <w:pPr>
        <w:spacing w:line="240" w:lineRule="auto" w:before="11"/>
        <w:rPr>
          <w:rFonts w:ascii="宋体" w:hAnsi="宋体" w:cs="宋体" w:eastAsia="宋体" w:hint="default"/>
          <w:sz w:val="18"/>
          <w:szCs w:val="18"/>
        </w:rPr>
      </w:pPr>
    </w:p>
    <w:p>
      <w:pPr>
        <w:pStyle w:val="Heading2"/>
        <w:spacing w:line="240" w:lineRule="auto"/>
        <w:ind w:right="148"/>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38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本公司最终控制方是冯滨，公司董事长兼总经理，持有公司</w:t>
      </w:r>
      <w:r>
        <w:rPr>
          <w:rFonts w:ascii="Times New Roman" w:hAnsi="Times New Roman" w:cs="Times New Roman" w:eastAsia="Times New Roman" w:hint="default"/>
          <w:sz w:val="18"/>
          <w:szCs w:val="18"/>
        </w:rPr>
        <w:t>31.79%</w:t>
      </w:r>
      <w:r>
        <w:rPr>
          <w:rFonts w:ascii="宋体" w:hAnsi="宋体" w:cs="宋体" w:eastAsia="宋体" w:hint="default"/>
          <w:sz w:val="18"/>
          <w:szCs w:val="18"/>
        </w:rPr>
        <w:t>的股份。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before="50"/>
        <w:ind w:left="154" w:right="148"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11"/>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p>
    <w:p>
      <w:pPr>
        <w:spacing w:line="240" w:lineRule="auto" w:before="11"/>
        <w:rPr>
          <w:rFonts w:ascii="宋体" w:hAnsi="宋体" w:cs="宋体" w:eastAsia="宋体" w:hint="default"/>
          <w:sz w:val="26"/>
          <w:szCs w:val="26"/>
        </w:rPr>
      </w:pPr>
    </w:p>
    <w:p>
      <w:pPr>
        <w:pStyle w:val="Heading3"/>
        <w:spacing w:line="240" w:lineRule="auto"/>
        <w:ind w:right="148"/>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46"/>
              <w:jc w:val="left"/>
              <w:rPr>
                <w:rFonts w:ascii="宋体" w:hAnsi="宋体" w:cs="宋体" w:eastAsia="宋体" w:hint="default"/>
                <w:sz w:val="18"/>
                <w:szCs w:val="18"/>
              </w:rPr>
            </w:pPr>
            <w:r>
              <w:rPr>
                <w:rFonts w:ascii="宋体" w:hAnsi="宋体" w:cs="宋体" w:eastAsia="宋体" w:hint="default"/>
                <w:sz w:val="18"/>
                <w:szCs w:val="18"/>
              </w:rPr>
              <w:t>为原本公司持股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以上股东嘉俪九鼎执行事务合伙人北京 惠通九鼎投资管理有限公司的出资人</w:t>
            </w:r>
          </w:p>
        </w:tc>
      </w:tr>
    </w:tbl>
    <w:p>
      <w:pPr>
        <w:spacing w:line="240" w:lineRule="auto" w:before="2"/>
        <w:rPr>
          <w:rFonts w:ascii="宋体" w:hAnsi="宋体" w:cs="宋体" w:eastAsia="宋体" w:hint="default"/>
          <w:b/>
          <w:bCs/>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2,850,935.90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1,204,602.00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4,121,782.00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3,948,560.70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6"/>
        <w:rPr>
          <w:rFonts w:ascii="宋体" w:hAnsi="宋体" w:cs="宋体" w:eastAsia="宋体" w:hint="default"/>
          <w:b/>
          <w:bCs/>
          <w:sz w:val="32"/>
          <w:szCs w:val="32"/>
        </w:rPr>
      </w:pPr>
    </w:p>
    <w:p>
      <w:pPr>
        <w:spacing w:line="451" w:lineRule="auto" w:before="0"/>
        <w:ind w:left="154" w:right="0"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日，公司第三届董事会第二十五次会议审议并通过了《关于投资北京创新工场创业投资中心（有限合伙）</w:t>
      </w:r>
      <w:r>
        <w:rPr>
          <w:rFonts w:ascii="宋体" w:hAnsi="宋体" w:cs="宋体" w:eastAsia="宋体" w:hint="default"/>
          <w:spacing w:val="1"/>
          <w:sz w:val="18"/>
          <w:szCs w:val="18"/>
        </w:rPr>
        <w:t> </w:t>
      </w:r>
      <w:r>
        <w:rPr>
          <w:rFonts w:ascii="宋体" w:hAnsi="宋体" w:cs="宋体" w:eastAsia="宋体" w:hint="default"/>
          <w:sz w:val="18"/>
          <w:szCs w:val="18"/>
        </w:rPr>
        <w:t>暨关联交易的议案》，公司以自有资金人民币</w:t>
      </w:r>
      <w:r>
        <w:rPr>
          <w:rFonts w:ascii="Times New Roman" w:hAnsi="Times New Roman" w:cs="Times New Roman" w:eastAsia="Times New Roman" w:hint="default"/>
          <w:sz w:val="18"/>
          <w:szCs w:val="18"/>
        </w:rPr>
        <w:t>2,500</w:t>
      </w:r>
      <w:r>
        <w:rPr>
          <w:rFonts w:ascii="宋体" w:hAnsi="宋体" w:cs="宋体" w:eastAsia="宋体" w:hint="default"/>
          <w:sz w:val="18"/>
          <w:szCs w:val="18"/>
        </w:rPr>
        <w:t>万元投资北京创新工场创业投资中心（有限合伙）（以下简称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创新工场 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），公司实际控制人冯滨先生个人拟出资</w:t>
      </w:r>
      <w:r>
        <w:rPr>
          <w:rFonts w:ascii="Times New Roman" w:hAnsi="Times New Roman" w:cs="Times New Roman" w:eastAsia="Times New Roman" w:hint="default"/>
          <w:sz w:val="18"/>
          <w:szCs w:val="18"/>
        </w:rPr>
        <w:t>2,500</w:t>
      </w:r>
      <w:r>
        <w:rPr>
          <w:rFonts w:ascii="宋体" w:hAnsi="宋体" w:cs="宋体" w:eastAsia="宋体" w:hint="default"/>
          <w:sz w:val="18"/>
          <w:szCs w:val="18"/>
        </w:rPr>
        <w:t>万元参与此次对创新工场基金的认购。</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）应付项目</w:t>
      </w:r>
      <w:r>
        <w:rPr>
          <w:b w:val="0"/>
          <w:bCs w:val="0"/>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昆吾九鼎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230,843.00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297,697.00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十二、股份支付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9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9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期权定价模型</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9"/>
              <w:jc w:val="both"/>
              <w:rPr>
                <w:rFonts w:ascii="宋体" w:hAnsi="宋体" w:cs="宋体" w:eastAsia="宋体" w:hint="default"/>
                <w:sz w:val="18"/>
                <w:szCs w:val="18"/>
              </w:rPr>
            </w:pPr>
            <w:r>
              <w:rPr>
                <w:rFonts w:ascii="宋体" w:hAnsi="宋体" w:cs="宋体" w:eastAsia="宋体" w:hint="default"/>
                <w:sz w:val="18"/>
                <w:szCs w:val="18"/>
              </w:rPr>
              <w:t>按各考核期业绩条件估计，并根据最新取得的可行权职工 人数变动等后续信息作出最佳估计，修正预计可行权的权 益工具数量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15,939,547.89</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13,726,418.18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153" w:right="0" w:firstLine="424"/>
        <w:jc w:val="left"/>
      </w:pP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日公司第三届董事会第六次会议及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2014</w:t>
      </w:r>
      <w:r>
        <w:rPr/>
        <w:t>年第五次临时股东大会审</w:t>
      </w:r>
      <w:r>
        <w:rPr>
          <w:spacing w:val="2"/>
        </w:rPr>
        <w:t> </w:t>
      </w:r>
      <w:r>
        <w:rPr/>
        <w:t>议并通过了《关于公司</w:t>
      </w:r>
      <w:r>
        <w:rPr>
          <w:rFonts w:ascii="Times New Roman" w:hAnsi="Times New Roman" w:cs="Times New Roman" w:eastAsia="Times New Roman" w:hint="default"/>
        </w:rPr>
        <w:t>&lt;</w:t>
      </w:r>
      <w:r>
        <w:rPr/>
        <w:t>限制性股票激励计划（草案）</w:t>
      </w:r>
      <w:r>
        <w:rPr>
          <w:rFonts w:ascii="Times New Roman" w:hAnsi="Times New Roman" w:cs="Times New Roman" w:eastAsia="Times New Roman" w:hint="default"/>
        </w:rPr>
        <w:t>&gt;</w:t>
      </w:r>
      <w:r>
        <w:rPr/>
        <w:t>及其摘要的议案》（以下简称</w:t>
      </w:r>
      <w:r>
        <w:rPr>
          <w:rFonts w:ascii="Times New Roman" w:hAnsi="Times New Roman" w:cs="Times New Roman" w:eastAsia="Times New Roman" w:hint="default"/>
        </w:rPr>
        <w:t>“</w:t>
      </w:r>
      <w:r>
        <w:rPr/>
        <w:t>股票激励计划</w:t>
      </w:r>
      <w:r>
        <w:rPr>
          <w:rFonts w:ascii="Times New Roman" w:hAnsi="Times New Roman" w:cs="Times New Roman" w:eastAsia="Times New Roman" w:hint="default"/>
        </w:rPr>
        <w:t>”</w:t>
      </w:r>
      <w:r>
        <w:rPr/>
        <w:t>），</w:t>
      </w:r>
      <w:r>
        <w:rPr>
          <w:spacing w:val="-42"/>
        </w:rPr>
        <w:t> </w:t>
      </w:r>
      <w:r>
        <w:rPr/>
        <w:t>该股票激励计划的规定限制性股票授予数量为</w:t>
      </w:r>
      <w:r>
        <w:rPr>
          <w:spacing w:val="-18"/>
        </w:rPr>
        <w:t> </w:t>
      </w:r>
      <w:r>
        <w:rPr>
          <w:rFonts w:ascii="Times New Roman" w:hAnsi="Times New Roman" w:cs="Times New Roman" w:eastAsia="Times New Roman" w:hint="default"/>
        </w:rPr>
        <w:t>100</w:t>
      </w:r>
      <w:r>
        <w:rPr>
          <w:rFonts w:ascii="Times New Roman" w:hAnsi="Times New Roman" w:cs="Times New Roman" w:eastAsia="Times New Roman" w:hint="default"/>
          <w:spacing w:val="34"/>
        </w:rPr>
        <w:t> </w:t>
      </w:r>
      <w:r>
        <w:rPr>
          <w:spacing w:val="-4"/>
        </w:rPr>
        <w:t>万股，其中预留股份</w:t>
      </w:r>
      <w:r>
        <w:rPr>
          <w:rFonts w:ascii="Times New Roman" w:hAnsi="Times New Roman" w:cs="Times New Roman" w:eastAsia="Times New Roman" w:hint="default"/>
          <w:spacing w:val="-4"/>
        </w:rPr>
        <w:t>10</w:t>
      </w:r>
      <w:r>
        <w:rPr>
          <w:spacing w:val="-4"/>
        </w:rPr>
        <w:t>万股。激励计划的具体发行、股</w:t>
      </w:r>
      <w:r>
        <w:rPr>
          <w:spacing w:val="-101"/>
        </w:rPr>
        <w:t> </w:t>
      </w:r>
      <w:r>
        <w:rPr>
          <w:spacing w:val="-101"/>
        </w:rPr>
      </w:r>
      <w:r>
        <w:rPr/>
        <w:t>份支付费用的确认情况说明如下：</w:t>
      </w:r>
    </w:p>
    <w:p>
      <w:pPr>
        <w:pStyle w:val="BodyText"/>
        <w:spacing w:line="386" w:lineRule="auto" w:before="65"/>
        <w:ind w:left="153" w:right="0" w:firstLine="424"/>
        <w:jc w:val="left"/>
      </w:pPr>
      <w:r>
        <w:rPr/>
        <w:t>（</w:t>
      </w:r>
      <w:r>
        <w:rPr>
          <w:rFonts w:ascii="Times New Roman" w:hAnsi="Times New Roman" w:cs="Times New Roman" w:eastAsia="Times New Roman" w:hint="default"/>
        </w:rPr>
        <w:t>1</w:t>
      </w:r>
      <w:r>
        <w:rPr/>
        <w:t>）公司首次股票期权的授予日为</w:t>
      </w:r>
      <w:r>
        <w:rPr>
          <w:spacing w:val="-31"/>
        </w:rPr>
        <w:t> </w:t>
      </w:r>
      <w:r>
        <w:rPr>
          <w:rFonts w:ascii="Times New Roman" w:hAnsi="Times New Roman" w:cs="Times New Roman" w:eastAsia="Times New Roman" w:hint="default"/>
        </w:rPr>
        <w:t>2014</w:t>
      </w:r>
      <w:r>
        <w:rPr/>
        <w:t>年</w:t>
      </w:r>
      <w:r>
        <w:rPr>
          <w:spacing w:val="-31"/>
        </w:rPr>
        <w:t> </w:t>
      </w:r>
      <w:r>
        <w:rPr>
          <w:rFonts w:ascii="Times New Roman" w:hAnsi="Times New Roman" w:cs="Times New Roman" w:eastAsia="Times New Roman" w:hint="default"/>
        </w:rPr>
        <w:t>11</w:t>
      </w:r>
      <w:r>
        <w:rPr/>
        <w:t>月</w:t>
      </w:r>
      <w:r>
        <w:rPr>
          <w:spacing w:val="-33"/>
        </w:rPr>
        <w:t> </w:t>
      </w:r>
      <w:r>
        <w:rPr>
          <w:rFonts w:ascii="Times New Roman" w:hAnsi="Times New Roman" w:cs="Times New Roman" w:eastAsia="Times New Roman" w:hint="default"/>
        </w:rPr>
        <w:t>17</w:t>
      </w:r>
      <w:r>
        <w:rPr>
          <w:rFonts w:ascii="Times New Roman" w:hAnsi="Times New Roman" w:cs="Times New Roman" w:eastAsia="Times New Roman" w:hint="default"/>
          <w:spacing w:val="21"/>
        </w:rPr>
        <w:t> </w:t>
      </w:r>
      <w:r>
        <w:rPr/>
        <w:t>日，首次股票激励计划的激励对象为</w:t>
      </w:r>
      <w:r>
        <w:rPr>
          <w:rFonts w:ascii="Times New Roman" w:hAnsi="Times New Roman" w:cs="Times New Roman" w:eastAsia="Times New Roman" w:hint="default"/>
        </w:rPr>
        <w:t>91</w:t>
      </w:r>
      <w:r>
        <w:rPr/>
        <w:t>名，对应 的股票数量为</w:t>
      </w:r>
      <w:r>
        <w:rPr>
          <w:rFonts w:ascii="Times New Roman" w:hAnsi="Times New Roman" w:cs="Times New Roman" w:eastAsia="Times New Roman" w:hint="default"/>
        </w:rPr>
        <w:t>90</w:t>
      </w:r>
      <w:r>
        <w:rPr/>
        <w:t>万股，股票来源为公司向激励对象定向发行新股，每股面值</w:t>
      </w:r>
      <w:r>
        <w:rPr>
          <w:rFonts w:ascii="Times New Roman" w:hAnsi="Times New Roman" w:cs="Times New Roman" w:eastAsia="Times New Roman" w:hint="default"/>
        </w:rPr>
        <w:t>1</w:t>
      </w:r>
      <w:r>
        <w:rPr/>
        <w:t>元，授予价格为</w:t>
      </w:r>
      <w:r>
        <w:rPr>
          <w:rFonts w:ascii="Times New Roman" w:hAnsi="Times New Roman" w:cs="Times New Roman" w:eastAsia="Times New Roman" w:hint="default"/>
        </w:rPr>
        <w:t>40.78</w:t>
      </w:r>
      <w:r>
        <w:rPr/>
        <w:t>元</w:t>
      </w:r>
      <w:r>
        <w:rPr>
          <w:rFonts w:ascii="Times New Roman" w:hAnsi="Times New Roman" w:cs="Times New Roman" w:eastAsia="Times New Roman" w:hint="default"/>
        </w:rPr>
        <w:t>/</w:t>
      </w:r>
      <w:r>
        <w:rPr/>
        <w:t>股；</w:t>
      </w:r>
      <w:r>
        <w:rPr>
          <w:spacing w:val="-44"/>
        </w:rPr>
        <w:t> </w:t>
      </w:r>
      <w:r>
        <w:rPr/>
        <w:t>首次授予的限制性股票自授予日起 </w:t>
      </w:r>
      <w:r>
        <w:rPr>
          <w:rFonts w:ascii="Times New Roman" w:hAnsi="Times New Roman" w:cs="Times New Roman" w:eastAsia="Times New Roman" w:hint="default"/>
        </w:rPr>
        <w:t>12 </w:t>
      </w:r>
      <w:r>
        <w:rPr>
          <w:spacing w:val="-9"/>
        </w:rPr>
        <w:t>个月后，满足解锁条件的，激励对象可以在解锁期内按</w:t>
      </w:r>
      <w:r>
        <w:rPr/>
        <w:t> </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spacing w:val="-91"/>
        </w:rPr>
        <w:t> </w:t>
      </w:r>
      <w:r>
        <w:rPr>
          <w:rFonts w:ascii="Times New Roman" w:hAnsi="Times New Roman" w:cs="Times New Roman" w:eastAsia="Times New Roman" w:hint="default"/>
        </w:rPr>
        <w:t>40%</w:t>
      </w:r>
      <w:r>
        <w:rPr/>
        <w:t>的解锁比例分三期申请解锁；激励计划首次授予的限制性股票解锁考核年度为 </w:t>
      </w:r>
      <w:r>
        <w:rPr>
          <w:rFonts w:ascii="Times New Roman" w:hAnsi="Times New Roman" w:cs="Times New Roman" w:eastAsia="Times New Roman" w:hint="default"/>
        </w:rPr>
        <w:t>2014-2016</w:t>
      </w:r>
      <w:r>
        <w:rPr>
          <w:rFonts w:ascii="Times New Roman" w:hAnsi="Times New Roman" w:cs="Times New Roman" w:eastAsia="Times New Roman" w:hint="default"/>
          <w:spacing w:val="-13"/>
        </w:rPr>
        <w:t> </w:t>
      </w:r>
      <w:r>
        <w:rPr/>
        <w:t>年三个会计</w:t>
      </w:r>
    </w:p>
    <w:p>
      <w:pPr>
        <w:pStyle w:val="BodyText"/>
        <w:spacing w:line="386" w:lineRule="auto" w:before="35"/>
        <w:ind w:left="153" w:right="103"/>
        <w:jc w:val="left"/>
      </w:pPr>
      <w:r>
        <w:rPr>
          <w:spacing w:val="-3"/>
        </w:rPr>
        <w:t>年度，每个会计年度考核一次，首次授予的限制性股票分三期解锁，达到以下业绩考核指标时，即以</w:t>
      </w:r>
      <w:r>
        <w:rPr>
          <w:spacing w:val="-1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年为基准年，考核年度内（</w:t>
      </w:r>
      <w:r>
        <w:rPr>
          <w:rFonts w:ascii="Times New Roman" w:hAnsi="Times New Roman" w:cs="Times New Roman" w:eastAsia="Times New Roman" w:hint="default"/>
        </w:rPr>
        <w:t>2014-2016</w:t>
      </w:r>
      <w:r>
        <w:rPr/>
        <w:t>年）当年营业收入增长率分别不低于</w:t>
      </w:r>
      <w:r>
        <w:rPr>
          <w:rFonts w:ascii="Times New Roman" w:hAnsi="Times New Roman" w:cs="Times New Roman" w:eastAsia="Times New Roman" w:hint="default"/>
        </w:rPr>
        <w:t>2013</w:t>
      </w:r>
      <w:r>
        <w:rPr/>
        <w:t>年度的</w:t>
      </w:r>
      <w:r>
        <w:rPr>
          <w:spacing w:val="-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60%</w:t>
      </w:r>
      <w:r>
        <w:rPr/>
        <w:t>、</w:t>
      </w:r>
      <w:r>
        <w:rPr>
          <w:rFonts w:ascii="Times New Roman" w:hAnsi="Times New Roman" w:cs="Times New Roman" w:eastAsia="Times New Roman" w:hint="default"/>
        </w:rPr>
        <w:t>90%</w:t>
      </w:r>
      <w:r>
        <w:rPr/>
        <w:t>，</w:t>
      </w:r>
      <w:r>
        <w:rPr>
          <w:spacing w:val="-101"/>
        </w:rPr>
        <w:t> </w:t>
      </w:r>
      <w:r>
        <w:rPr/>
        <w:t>当年净利润（扣除非经常性损益后净利润）增长率分别不低于</w:t>
      </w:r>
      <w:r>
        <w:rPr>
          <w:rFonts w:ascii="Times New Roman" w:hAnsi="Times New Roman" w:cs="Times New Roman" w:eastAsia="Times New Roman" w:hint="default"/>
        </w:rPr>
        <w:t>2013</w:t>
      </w:r>
      <w:r>
        <w:rPr/>
        <w:t>年度的</w:t>
      </w:r>
      <w:r>
        <w:rPr>
          <w:rFonts w:ascii="Times New Roman" w:hAnsi="Times New Roman" w:cs="Times New Roman" w:eastAsia="Times New Roman" w:hint="default"/>
        </w:rPr>
        <w:t>16%</w:t>
      </w:r>
      <w:r>
        <w:rPr/>
        <w:t>、</w:t>
      </w:r>
      <w:r>
        <w:rPr>
          <w:rFonts w:ascii="Times New Roman" w:hAnsi="Times New Roman" w:cs="Times New Roman" w:eastAsia="Times New Roman" w:hint="default"/>
        </w:rPr>
        <w:t>35%</w:t>
      </w:r>
      <w:r>
        <w:rPr/>
        <w:t>、</w:t>
      </w:r>
      <w:r>
        <w:rPr>
          <w:rFonts w:ascii="Times New Roman" w:hAnsi="Times New Roman" w:cs="Times New Roman" w:eastAsia="Times New Roman" w:hint="default"/>
        </w:rPr>
        <w:t>60%</w:t>
      </w:r>
      <w:r>
        <w:rPr/>
        <w:t>，首次授予的</w:t>
      </w:r>
      <w:r>
        <w:rPr>
          <w:spacing w:val="-41"/>
        </w:rPr>
        <w:t> </w:t>
      </w:r>
      <w:r>
        <w:rPr>
          <w:spacing w:val="-41"/>
        </w:rPr>
      </w:r>
      <w:r>
        <w:rPr/>
        <w:t>限制性股票方可解锁。</w:t>
      </w:r>
    </w:p>
    <w:p>
      <w:pPr>
        <w:pStyle w:val="BodyText"/>
        <w:spacing w:line="386" w:lineRule="auto" w:before="65"/>
        <w:ind w:left="153" w:right="211" w:firstLine="424"/>
        <w:jc w:val="both"/>
      </w:pPr>
      <w:r>
        <w:rPr/>
        <w:t>（</w:t>
      </w:r>
      <w:r>
        <w:rPr>
          <w:rFonts w:ascii="Times New Roman" w:hAnsi="Times New Roman" w:cs="Times New Roman" w:eastAsia="Times New Roman" w:hint="default"/>
        </w:rPr>
        <w:t>2</w:t>
      </w:r>
      <w:r>
        <w:rPr/>
        <w:t>）公司首个考核年度（</w:t>
      </w:r>
      <w:r>
        <w:rPr>
          <w:rFonts w:ascii="Times New Roman" w:hAnsi="Times New Roman" w:cs="Times New Roman" w:eastAsia="Times New Roman" w:hint="default"/>
        </w:rPr>
        <w:t>2014</w:t>
      </w:r>
      <w:r>
        <w:rPr/>
        <w:t>年）业绩指标达到行权条件。公司采用国际通行的</w:t>
      </w:r>
      <w:r>
        <w:rPr>
          <w:spacing w:val="-45"/>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7"/>
        </w:rPr>
        <w:t> </w:t>
      </w:r>
      <w:r>
        <w:rPr/>
        <w:t>期权 定价模型估计公司股票期权的公允价值，</w:t>
      </w:r>
      <w:r>
        <w:rPr>
          <w:rFonts w:ascii="Times New Roman" w:hAnsi="Times New Roman" w:cs="Times New Roman" w:eastAsia="Times New Roman" w:hint="default"/>
        </w:rPr>
        <w:t>2014</w:t>
      </w:r>
      <w:r>
        <w:rPr/>
        <w:t>年度确认股份支付费用</w:t>
      </w:r>
      <w:r>
        <w:rPr>
          <w:rFonts w:ascii="Times New Roman" w:hAnsi="Times New Roman" w:cs="Times New Roman" w:eastAsia="Times New Roman" w:hint="default"/>
        </w:rPr>
        <w:t>221.31</w:t>
      </w:r>
      <w:r>
        <w:rPr>
          <w:rFonts w:ascii="Times New Roman" w:hAnsi="Times New Roman" w:cs="Times New Roman" w:eastAsia="Times New Roman" w:hint="default"/>
          <w:spacing w:val="13"/>
        </w:rPr>
        <w:t> </w:t>
      </w:r>
      <w:r>
        <w:rPr>
          <w:spacing w:val="-3"/>
        </w:rPr>
        <w:t>万元，计入管理费用，同时增</w:t>
      </w:r>
      <w:r>
        <w:rPr/>
        <w:t> 加资本公积。</w:t>
      </w:r>
    </w:p>
    <w:p>
      <w:pPr>
        <w:pStyle w:val="BodyText"/>
        <w:spacing w:line="386" w:lineRule="auto" w:before="65"/>
        <w:ind w:right="0" w:firstLine="425"/>
        <w:jc w:val="left"/>
      </w:pPr>
      <w:r>
        <w:rPr>
          <w:spacing w:val="-3"/>
        </w:rPr>
        <w:t>（</w:t>
      </w:r>
      <w:r>
        <w:rPr>
          <w:rFonts w:ascii="Times New Roman" w:hAnsi="Times New Roman" w:cs="Times New Roman" w:eastAsia="Times New Roman" w:hint="default"/>
          <w:spacing w:val="-3"/>
        </w:rPr>
        <w:t>3</w:t>
      </w:r>
      <w:r>
        <w:rPr>
          <w:spacing w:val="-3"/>
        </w:rPr>
        <w:t>）公司预留限制性股票授予日为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22</w:t>
      </w:r>
      <w:r>
        <w:rPr>
          <w:spacing w:val="-3"/>
        </w:rPr>
        <w:t>日，激励对象为</w:t>
      </w:r>
      <w:r>
        <w:rPr>
          <w:rFonts w:ascii="Times New Roman" w:hAnsi="Times New Roman" w:cs="Times New Roman" w:eastAsia="Times New Roman" w:hint="default"/>
          <w:spacing w:val="-3"/>
        </w:rPr>
        <w:t>5</w:t>
      </w:r>
      <w:r>
        <w:rPr>
          <w:spacing w:val="-3"/>
        </w:rPr>
        <w:t>名，预留限制性股票数量为</w:t>
      </w:r>
      <w:r>
        <w:rPr>
          <w:rFonts w:ascii="Times New Roman" w:hAnsi="Times New Roman" w:cs="Times New Roman" w:eastAsia="Times New Roman" w:hint="default"/>
          <w:spacing w:val="-3"/>
        </w:rPr>
        <w:t>10</w:t>
      </w:r>
      <w:r>
        <w:rPr>
          <w:spacing w:val="-3"/>
        </w:rPr>
        <w:t>万股，</w:t>
      </w:r>
      <w:r>
        <w:rPr/>
        <w:t> 由于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2014</w:t>
      </w:r>
      <w:r>
        <w:rPr/>
        <w:t>年度股东大会审议并通过了《关于公司</w:t>
      </w:r>
      <w:r>
        <w:rPr>
          <w:rFonts w:ascii="Times New Roman" w:hAnsi="Times New Roman" w:cs="Times New Roman" w:eastAsia="Times New Roman" w:hint="default"/>
        </w:rPr>
        <w:t>2014</w:t>
      </w:r>
      <w:r>
        <w:rPr/>
        <w:t>年度利润分配方案的议案》：</w:t>
      </w:r>
      <w:r>
        <w:rPr>
          <w:rFonts w:ascii="Times New Roman" w:hAnsi="Times New Roman" w:cs="Times New Roman" w:eastAsia="Times New Roman" w:hint="default"/>
        </w:rPr>
        <w:t>“</w:t>
      </w:r>
      <w:r>
        <w:rPr/>
        <w:t>以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日公司发行股份购买资产并募集配套资金新股登记上市完成后总股本</w:t>
      </w:r>
      <w:r>
        <w:rPr>
          <w:rFonts w:ascii="Times New Roman" w:hAnsi="Times New Roman" w:cs="Times New Roman" w:eastAsia="Times New Roman" w:hint="default"/>
        </w:rPr>
        <w:t>69,489,165</w:t>
      </w:r>
      <w:r>
        <w:rPr/>
        <w:t>股为基数，向 </w:t>
      </w:r>
      <w:r>
        <w:rPr>
          <w:spacing w:val="-2"/>
        </w:rPr>
        <w:t>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2.00</w:t>
      </w:r>
      <w:r>
        <w:rPr>
          <w:spacing w:val="-2"/>
        </w:rPr>
        <w:t>元（含税）；以总股本</w:t>
      </w:r>
      <w:r>
        <w:rPr>
          <w:rFonts w:ascii="Times New Roman" w:hAnsi="Times New Roman" w:cs="Times New Roman" w:eastAsia="Times New Roman" w:hint="default"/>
          <w:spacing w:val="-2"/>
        </w:rPr>
        <w:t>69,489,165</w:t>
      </w:r>
      <w:r>
        <w:rPr>
          <w:spacing w:val="-2"/>
        </w:rPr>
        <w:t>股为基数，以资本公积向全体股</w:t>
      </w:r>
      <w:r>
        <w:rPr>
          <w:spacing w:val="-85"/>
        </w:rPr>
        <w:t> </w:t>
      </w:r>
      <w:r>
        <w:rPr>
          <w:spacing w:val="-85"/>
        </w:rPr>
      </w:r>
      <w:r>
        <w:rPr>
          <w:spacing w:val="-1"/>
        </w:rPr>
        <w:t>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20</w:t>
      </w:r>
      <w:r>
        <w:rPr>
          <w:spacing w:val="-1"/>
        </w:rPr>
        <w:t>股</w:t>
      </w:r>
      <w:r>
        <w:rPr>
          <w:rFonts w:ascii="Times New Roman" w:hAnsi="Times New Roman" w:cs="Times New Roman" w:eastAsia="Times New Roman" w:hint="default"/>
          <w:spacing w:val="-1"/>
        </w:rPr>
        <w:t>”</w:t>
      </w:r>
      <w:r>
        <w:rPr>
          <w:spacing w:val="-1"/>
        </w:rPr>
        <w:t>，根据股票激励计划中限制性股票数量调整方法，最终向</w:t>
      </w:r>
      <w:r>
        <w:rPr>
          <w:rFonts w:ascii="Times New Roman" w:hAnsi="Times New Roman" w:cs="Times New Roman" w:eastAsia="Times New Roman" w:hint="default"/>
          <w:spacing w:val="-1"/>
        </w:rPr>
        <w:t>5</w:t>
      </w:r>
      <w:r>
        <w:rPr>
          <w:spacing w:val="-1"/>
        </w:rPr>
        <w:t>名激励对象授予限制性股票</w:t>
      </w:r>
      <w:r>
        <w:rPr>
          <w:spacing w:val="-73"/>
        </w:rPr>
        <w:t> </w:t>
      </w:r>
      <w:r>
        <w:rPr>
          <w:spacing w:val="-73"/>
        </w:rPr>
      </w:r>
      <w:r>
        <w:rPr>
          <w:rFonts w:ascii="Times New Roman" w:hAnsi="Times New Roman" w:cs="Times New Roman" w:eastAsia="Times New Roman" w:hint="default"/>
        </w:rPr>
        <w:t>30</w:t>
      </w:r>
      <w:r>
        <w:rPr/>
        <w:t>万股，每股面值</w:t>
      </w:r>
      <w:r>
        <w:rPr>
          <w:rFonts w:ascii="Times New Roman" w:hAnsi="Times New Roman" w:cs="Times New Roman" w:eastAsia="Times New Roman" w:hint="default"/>
        </w:rPr>
        <w:t>1</w:t>
      </w:r>
      <w:r>
        <w:rPr/>
        <w:t>元，授予价格为</w:t>
      </w:r>
      <w:r>
        <w:rPr>
          <w:rFonts w:ascii="Times New Roman" w:hAnsi="Times New Roman" w:cs="Times New Roman" w:eastAsia="Times New Roman" w:hint="default"/>
        </w:rPr>
        <w:t>29.77</w:t>
      </w:r>
      <w:r>
        <w:rPr/>
        <w:t>元</w:t>
      </w:r>
      <w:r>
        <w:rPr>
          <w:rFonts w:ascii="Times New Roman" w:hAnsi="Times New Roman" w:cs="Times New Roman" w:eastAsia="Times New Roman" w:hint="default"/>
        </w:rPr>
        <w:t>/</w:t>
      </w:r>
      <w:r>
        <w:rPr/>
        <w:t>股。</w:t>
      </w:r>
    </w:p>
    <w:p>
      <w:pPr>
        <w:pStyle w:val="BodyText"/>
        <w:spacing w:line="386" w:lineRule="auto" w:before="35"/>
        <w:ind w:right="0" w:firstLine="426"/>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日，公司召开第三届董事会第三十二次会议，审议通过了《关于首次授予的限制 </w:t>
      </w:r>
      <w:r>
        <w:rPr>
          <w:spacing w:val="-1"/>
        </w:rPr>
        <w:t>性股票第一期解锁条件成就的议案》，确定本次解锁的限制性股票上市流通日为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日，解锁数</w:t>
      </w:r>
      <w:r>
        <w:rPr>
          <w:spacing w:val="-84"/>
        </w:rPr>
        <w:t> </w:t>
      </w:r>
      <w:r>
        <w:rPr>
          <w:spacing w:val="-84"/>
        </w:rPr>
      </w:r>
      <w:r>
        <w:rPr/>
        <w:t>量为</w:t>
      </w:r>
      <w:r>
        <w:rPr>
          <w:rFonts w:ascii="Times New Roman" w:hAnsi="Times New Roman" w:cs="Times New Roman" w:eastAsia="Times New Roman" w:hint="default"/>
        </w:rPr>
        <w:t>162</w:t>
      </w:r>
      <w:r>
        <w:rPr/>
        <w:t>万股，申请解锁的激励对象人数为</w:t>
      </w:r>
      <w:r>
        <w:rPr>
          <w:rFonts w:ascii="Times New Roman" w:hAnsi="Times New Roman" w:cs="Times New Roman" w:eastAsia="Times New Roman" w:hint="default"/>
        </w:rPr>
        <w:t>91</w:t>
      </w:r>
      <w:r>
        <w:rPr/>
        <w:t>人。</w:t>
      </w:r>
    </w:p>
    <w:p>
      <w:pPr>
        <w:pStyle w:val="BodyText"/>
        <w:spacing w:line="386" w:lineRule="auto" w:before="35"/>
        <w:ind w:right="209" w:firstLine="424"/>
        <w:jc w:val="both"/>
      </w:pPr>
      <w:r>
        <w:rPr/>
        <w:t>（</w:t>
      </w:r>
      <w:r>
        <w:rPr>
          <w:rFonts w:ascii="Times New Roman" w:hAnsi="Times New Roman" w:cs="Times New Roman" w:eastAsia="Times New Roman" w:hint="default"/>
        </w:rPr>
        <w:t>5</w:t>
      </w:r>
      <w:r>
        <w:rPr/>
        <w:t>）公司第二个考核年度（</w:t>
      </w:r>
      <w:r>
        <w:rPr>
          <w:rFonts w:ascii="Times New Roman" w:hAnsi="Times New Roman" w:cs="Times New Roman" w:eastAsia="Times New Roman" w:hint="default"/>
        </w:rPr>
        <w:t>2015</w:t>
      </w:r>
      <w:r>
        <w:rPr/>
        <w:t>年）业绩指标达到行权条件，公司采用国际通行的</w:t>
      </w:r>
      <w:r>
        <w:rPr>
          <w:spacing w:val="-45"/>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8"/>
        </w:rPr>
        <w:t> </w:t>
      </w:r>
      <w:r>
        <w:rPr/>
        <w:t>期 权定价模型估计公司股票期权的公允价值，</w:t>
      </w:r>
      <w:r>
        <w:rPr>
          <w:rFonts w:ascii="Times New Roman" w:hAnsi="Times New Roman" w:cs="Times New Roman" w:eastAsia="Times New Roman" w:hint="default"/>
        </w:rPr>
        <w:t>2015</w:t>
      </w:r>
      <w:r>
        <w:rPr/>
        <w:t>年度确认股份支付费用</w:t>
      </w:r>
      <w:r>
        <w:rPr>
          <w:rFonts w:ascii="Times New Roman" w:hAnsi="Times New Roman" w:cs="Times New Roman" w:eastAsia="Times New Roman" w:hint="default"/>
        </w:rPr>
        <w:t>1,372,64</w:t>
      </w:r>
      <w:r>
        <w:rPr/>
        <w:t>万元，计入管理费用，同</w:t>
      </w:r>
      <w:r>
        <w:rPr>
          <w:spacing w:val="-41"/>
        </w:rPr>
        <w:t> </w:t>
      </w:r>
      <w:r>
        <w:rPr>
          <w:spacing w:val="-41"/>
        </w:rPr>
      </w:r>
      <w:r>
        <w:rPr/>
        <w:t>时增加资本公积。</w:t>
      </w:r>
    </w:p>
    <w:p>
      <w:pPr>
        <w:spacing w:after="0" w:line="386" w:lineRule="auto"/>
        <w:jc w:val="both"/>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634" w:right="0"/>
        <w:jc w:val="left"/>
      </w:pPr>
      <w:r>
        <w:rPr/>
        <w:t>公司不存在需要披露的重要承诺事项。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spacing w:line="391" w:lineRule="auto" w:before="0"/>
        <w:ind w:left="153" w:right="0" w:firstLine="420"/>
        <w:jc w:val="left"/>
      </w:pPr>
      <w:r>
        <w:rPr/>
        <w:t>（</w:t>
      </w:r>
      <w:r>
        <w:rPr>
          <w:rFonts w:ascii="Times New Roman" w:hAnsi="Times New Roman" w:cs="Times New Roman" w:eastAsia="Times New Roman" w:hint="default"/>
        </w:rPr>
        <w:t>1</w:t>
      </w:r>
      <w:r>
        <w:rPr/>
        <w:t>）按照国际航协规定，公司为取得并保持国际航协在中国实施代理人计划中的民用航空运输销售 代理人资格，于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日与中航鑫港担保有限公司签订了《担保与反担保协议》（该公司为国际航 空运输协会认可的担保单位）。根据协议约定，中航鑫港担保有限公司向公司提供</w:t>
      </w:r>
      <w:r>
        <w:rPr>
          <w:rFonts w:ascii="Times New Roman" w:hAnsi="Times New Roman" w:cs="Times New Roman" w:eastAsia="Times New Roman" w:hint="default"/>
        </w:rPr>
        <w:t>1500</w:t>
      </w:r>
      <w:r>
        <w:rPr/>
        <w:t>万元担保，并出具 了《不可撤销的担保函》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KGJ204570</w:t>
      </w:r>
      <w:r>
        <w:rPr/>
        <w:t>号</w:t>
      </w:r>
      <w:r>
        <w:rPr>
          <w:rFonts w:ascii="Times New Roman" w:hAnsi="Times New Roman" w:cs="Times New Roman" w:eastAsia="Times New Roman" w:hint="default"/>
        </w:rPr>
        <w:t>]</w:t>
      </w:r>
      <w:r>
        <w:rPr/>
        <w:t>，担保期限自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43"/>
        </w:rPr>
        <w:t> </w:t>
      </w:r>
      <w:r>
        <w:rPr/>
        <w:t>以后各年，若公司前一担保期间内未发生违约情况且《反担保函》中反担保人没有变化并符合该协议的规</w:t>
      </w:r>
      <w:r>
        <w:rPr/>
        <w:t> 定，中航鑫港担保有限公司为公司继续提供担保并出具一年期的该年度担保函；公司向中航鑫港担保有限 公司存交保证金</w:t>
      </w:r>
      <w:r>
        <w:rPr>
          <w:rFonts w:ascii="Times New Roman" w:hAnsi="Times New Roman" w:cs="Times New Roman" w:eastAsia="Times New Roman" w:hint="default"/>
        </w:rPr>
        <w:t>270</w:t>
      </w:r>
      <w:r>
        <w:rPr/>
        <w:t>万元，并在中航鑫港担保有限公司指定的中国民生银行北京空港支行开户（账号： </w:t>
      </w:r>
      <w:r>
        <w:rPr>
          <w:rFonts w:ascii="Times New Roman" w:hAnsi="Times New Roman" w:cs="Times New Roman" w:eastAsia="Times New Roman" w:hint="default"/>
        </w:rPr>
        <w:t>700424891</w:t>
      </w:r>
      <w:r>
        <w:rPr/>
        <w:t>、</w:t>
      </w:r>
      <w:r>
        <w:rPr>
          <w:rFonts w:ascii="Times New Roman" w:hAnsi="Times New Roman" w:cs="Times New Roman" w:eastAsia="Times New Roman" w:hint="default"/>
        </w:rPr>
        <w:t>700682892</w:t>
      </w:r>
      <w:r>
        <w:rPr/>
        <w:t>、</w:t>
      </w:r>
      <w:r>
        <w:rPr>
          <w:rFonts w:ascii="Times New Roman" w:hAnsi="Times New Roman" w:cs="Times New Roman" w:eastAsia="Times New Roman" w:hint="default"/>
        </w:rPr>
        <w:t>701514633</w:t>
      </w:r>
      <w:r>
        <w:rPr/>
        <w:t>、</w:t>
      </w:r>
      <w:r>
        <w:rPr>
          <w:rFonts w:ascii="Times New Roman" w:hAnsi="Times New Roman" w:cs="Times New Roman" w:eastAsia="Times New Roman" w:hint="default"/>
        </w:rPr>
        <w:t>702437218</w:t>
      </w:r>
      <w:r>
        <w:rPr/>
        <w:t>）存入合计</w:t>
      </w:r>
      <w:r>
        <w:rPr>
          <w:rFonts w:ascii="Times New Roman" w:hAnsi="Times New Roman" w:cs="Times New Roman" w:eastAsia="Times New Roman" w:hint="default"/>
        </w:rPr>
        <w:t>1230</w:t>
      </w:r>
      <w:r>
        <w:rPr/>
        <w:t>万元定期存款作为质押反担保，并与中航 鑫港担保有限公司签订了《开户证实书质押合同》。</w:t>
      </w:r>
    </w:p>
    <w:p>
      <w:pPr>
        <w:pStyle w:val="BodyText"/>
        <w:spacing w:line="393" w:lineRule="auto" w:before="61"/>
        <w:ind w:right="0" w:firstLine="420"/>
        <w:jc w:val="left"/>
      </w:pPr>
      <w:r>
        <w:rPr>
          <w:spacing w:val="-3"/>
        </w:rPr>
        <w:t>（</w:t>
      </w:r>
      <w:r>
        <w:rPr>
          <w:rFonts w:ascii="Times New Roman" w:hAnsi="Times New Roman" w:cs="Times New Roman" w:eastAsia="Times New Roman" w:hint="default"/>
          <w:spacing w:val="-3"/>
        </w:rPr>
        <w:t>2</w:t>
      </w:r>
      <w:r>
        <w:rPr>
          <w:spacing w:val="-3"/>
        </w:rPr>
        <w:t>）公司子公司上海众信国际旅行社有限公司（以下简称</w:t>
      </w:r>
      <w:r>
        <w:rPr>
          <w:rFonts w:ascii="Times New Roman" w:hAnsi="Times New Roman" w:cs="Times New Roman" w:eastAsia="Times New Roman" w:hint="default"/>
          <w:spacing w:val="-3"/>
        </w:rPr>
        <w:t>“</w:t>
      </w:r>
      <w:r>
        <w:rPr>
          <w:spacing w:val="-3"/>
        </w:rPr>
        <w:t>上海众信</w:t>
      </w:r>
      <w:r>
        <w:rPr>
          <w:rFonts w:ascii="Times New Roman" w:hAnsi="Times New Roman" w:cs="Times New Roman" w:eastAsia="Times New Roman" w:hint="default"/>
          <w:spacing w:val="-3"/>
        </w:rPr>
        <w:t>”</w:t>
      </w:r>
      <w:r>
        <w:rPr>
          <w:spacing w:val="-3"/>
        </w:rPr>
        <w:t>）为取得并保持国际航协在中国</w:t>
      </w:r>
      <w:r>
        <w:rPr/>
        <w:t> </w:t>
      </w:r>
      <w:r>
        <w:rPr>
          <w:spacing w:val="-3"/>
        </w:rPr>
        <w:t>实施代理人计划中的民用航空运输销售代理人资格，于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26</w:t>
      </w:r>
      <w:r>
        <w:rPr>
          <w:spacing w:val="-3"/>
        </w:rPr>
        <w:t>日与中航鑫港担保有限公司签订了《担</w:t>
      </w:r>
      <w:r>
        <w:rPr>
          <w:spacing w:val="-88"/>
        </w:rPr>
        <w:t> </w:t>
      </w:r>
      <w:r>
        <w:rPr>
          <w:spacing w:val="-88"/>
        </w:rPr>
      </w:r>
      <w:r>
        <w:rPr>
          <w:spacing w:val="-1"/>
        </w:rPr>
        <w:t>保与反担保协议》（该公司为国际航空运输协会认可的担保单位）。根据协议约定，中航鑫港担保有限公</w:t>
      </w:r>
      <w:r>
        <w:rPr>
          <w:spacing w:val="-82"/>
        </w:rPr>
        <w:t> </w:t>
      </w:r>
      <w:r>
        <w:rPr>
          <w:spacing w:val="-82"/>
        </w:rPr>
      </w:r>
      <w:r>
        <w:rPr/>
        <w:t>司向上海众信提供</w:t>
      </w:r>
      <w:r>
        <w:rPr>
          <w:rFonts w:ascii="Times New Roman" w:hAnsi="Times New Roman" w:cs="Times New Roman" w:eastAsia="Times New Roman" w:hint="default"/>
        </w:rPr>
        <w:t>1000</w:t>
      </w:r>
      <w:r>
        <w:rPr/>
        <w:t>万元担保，并出具了《不可撤销的担保函》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KGJ204778</w:t>
      </w:r>
      <w:r>
        <w:rPr/>
        <w:t>号</w:t>
      </w:r>
      <w:r>
        <w:rPr>
          <w:rFonts w:ascii="Times New Roman" w:hAnsi="Times New Roman" w:cs="Times New Roman" w:eastAsia="Times New Roman" w:hint="default"/>
        </w:rPr>
        <w:t>]</w:t>
      </w:r>
      <w:r>
        <w:rPr/>
        <w:t>，担保 </w:t>
      </w:r>
      <w:r>
        <w:rPr>
          <w:spacing w:val="-1"/>
        </w:rPr>
        <w:t>期限自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日，以后各年，若上海众信前一担保期间内未发生违约情况且《反担</w:t>
      </w:r>
      <w:r>
        <w:rPr>
          <w:spacing w:val="-85"/>
        </w:rPr>
        <w:t> </w:t>
      </w:r>
      <w:r>
        <w:rPr>
          <w:spacing w:val="-85"/>
        </w:rPr>
      </w:r>
      <w:r>
        <w:rPr>
          <w:spacing w:val="-1"/>
        </w:rPr>
        <w:t>保函》中反担保人没有变化并符合该协议的规定，中航鑫港担保有限公司为上海众信继续提供担保并出具</w:t>
      </w:r>
      <w:r>
        <w:rPr>
          <w:spacing w:val="-81"/>
        </w:rPr>
        <w:t> </w:t>
      </w:r>
      <w:r>
        <w:rPr>
          <w:spacing w:val="-81"/>
        </w:rPr>
      </w:r>
      <w:r>
        <w:rPr/>
        <w:t>一年期的该年度担保函；公司就此向中航新港担保有限公司出具《反担保函》为上海众信提供</w:t>
      </w:r>
      <w:r>
        <w:rPr>
          <w:rFonts w:ascii="Times New Roman" w:hAnsi="Times New Roman" w:cs="Times New Roman" w:eastAsia="Times New Roman" w:hint="default"/>
        </w:rPr>
        <w:t>820</w:t>
      </w:r>
      <w:r>
        <w:rPr/>
        <w:t>万元的 保证担保，上海众信在中航鑫港担保有限公司存交保证金</w:t>
      </w:r>
      <w:r>
        <w:rPr>
          <w:rFonts w:ascii="Times New Roman" w:hAnsi="Times New Roman" w:cs="Times New Roman" w:eastAsia="Times New Roman" w:hint="default"/>
        </w:rPr>
        <w:t>180</w:t>
      </w:r>
      <w:r>
        <w:rPr/>
        <w:t>万元。</w:t>
      </w:r>
    </w:p>
    <w:p>
      <w:pPr>
        <w:pStyle w:val="BodyText"/>
        <w:spacing w:line="391" w:lineRule="auto" w:before="28"/>
        <w:ind w:right="0" w:firstLine="420"/>
        <w:jc w:val="left"/>
      </w:pPr>
      <w:r>
        <w:rPr>
          <w:spacing w:val="-3"/>
        </w:rPr>
        <w:t>（</w:t>
      </w:r>
      <w:r>
        <w:rPr>
          <w:rFonts w:ascii="Times New Roman" w:hAnsi="Times New Roman" w:cs="Times New Roman" w:eastAsia="Times New Roman" w:hint="default"/>
          <w:spacing w:val="-3"/>
        </w:rPr>
        <w:t>3</w:t>
      </w:r>
      <w:r>
        <w:rPr>
          <w:spacing w:val="-3"/>
        </w:rPr>
        <w:t>）公司子公司北京优拓航空服务有限公司（以下简称</w:t>
      </w:r>
      <w:r>
        <w:rPr>
          <w:rFonts w:ascii="Times New Roman" w:hAnsi="Times New Roman" w:cs="Times New Roman" w:eastAsia="Times New Roman" w:hint="default"/>
          <w:spacing w:val="-3"/>
        </w:rPr>
        <w:t>“</w:t>
      </w:r>
      <w:r>
        <w:rPr>
          <w:spacing w:val="-3"/>
        </w:rPr>
        <w:t>优拓航服</w:t>
      </w:r>
      <w:r>
        <w:rPr>
          <w:rFonts w:ascii="Times New Roman" w:hAnsi="Times New Roman" w:cs="Times New Roman" w:eastAsia="Times New Roman" w:hint="default"/>
          <w:spacing w:val="-3"/>
        </w:rPr>
        <w:t>”</w:t>
      </w:r>
      <w:r>
        <w:rPr>
          <w:spacing w:val="-3"/>
        </w:rPr>
        <w:t>）为取得并保持国际航协在中国实</w:t>
      </w:r>
      <w:r>
        <w:rPr/>
        <w:t> 施代理人计划中的民用航空运输销售代理人资格，于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日与中航鑫港担保有限公司签订了《担 </w:t>
      </w:r>
      <w:r>
        <w:rPr>
          <w:spacing w:val="-1"/>
        </w:rPr>
        <w:t>保与反担保协议》（该公司为国际航空运输协会认可的担保单位）。根据协议约定，中航鑫港担保有限公</w:t>
      </w:r>
      <w:r>
        <w:rPr>
          <w:spacing w:val="-82"/>
        </w:rPr>
        <w:t> </w:t>
      </w:r>
      <w:r>
        <w:rPr>
          <w:spacing w:val="-82"/>
        </w:rPr>
      </w:r>
      <w:r>
        <w:rPr>
          <w:spacing w:val="-1"/>
        </w:rPr>
        <w:t>司向优拓航服提供</w:t>
      </w:r>
      <w:r>
        <w:rPr>
          <w:rFonts w:ascii="Times New Roman" w:hAnsi="Times New Roman" w:cs="Times New Roman" w:eastAsia="Times New Roman" w:hint="default"/>
          <w:spacing w:val="-1"/>
        </w:rPr>
        <w:t>550</w:t>
      </w:r>
      <w:r>
        <w:rPr>
          <w:spacing w:val="-1"/>
        </w:rPr>
        <w:t>万元担保，并出具了《不可撤销的担保函》</w:t>
      </w:r>
      <w:r>
        <w:rPr>
          <w:rFonts w:ascii="Times New Roman" w:hAnsi="Times New Roman" w:cs="Times New Roman" w:eastAsia="Times New Roman" w:hint="default"/>
          <w:spacing w:val="-1"/>
        </w:rPr>
        <w:t>[</w:t>
      </w:r>
      <w:r>
        <w:rPr>
          <w:spacing w:val="-1"/>
        </w:rPr>
        <w:t>（国际客）字第</w:t>
      </w:r>
      <w:r>
        <w:rPr>
          <w:rFonts w:ascii="Times New Roman" w:hAnsi="Times New Roman" w:cs="Times New Roman" w:eastAsia="Times New Roman" w:hint="default"/>
          <w:spacing w:val="-1"/>
        </w:rPr>
        <w:t>KGJ204797</w:t>
      </w:r>
      <w:r>
        <w:rPr>
          <w:spacing w:val="-1"/>
        </w:rPr>
        <w:t>号</w:t>
      </w:r>
      <w:r>
        <w:rPr>
          <w:rFonts w:ascii="Times New Roman" w:hAnsi="Times New Roman" w:cs="Times New Roman" w:eastAsia="Times New Roman" w:hint="default"/>
          <w:spacing w:val="-1"/>
        </w:rPr>
        <w:t>]</w:t>
      </w:r>
      <w:r>
        <w:rPr>
          <w:spacing w:val="-1"/>
        </w:rPr>
        <w:t>，担保期</w:t>
      </w:r>
      <w:r>
        <w:rPr>
          <w:spacing w:val="-87"/>
        </w:rPr>
        <w:t> </w:t>
      </w:r>
      <w:r>
        <w:rPr>
          <w:spacing w:val="-87"/>
        </w:rPr>
      </w:r>
      <w:r>
        <w:rPr/>
        <w:t>限自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日，以后各年，若优拓航服前一担保期间内未发生违约情况且《反担 </w:t>
      </w:r>
      <w:r>
        <w:rPr>
          <w:spacing w:val="-1"/>
        </w:rPr>
        <w:t>保函》中反担保人没有变化并符合该协议的规定，中航鑫港担保有限公司为优拓航服继续提供担保并出具</w:t>
      </w:r>
    </w:p>
    <w:p>
      <w:pPr>
        <w:spacing w:after="0" w:line="391"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148"/>
        <w:jc w:val="left"/>
      </w:pPr>
      <w:r>
        <w:rPr>
          <w:spacing w:val="-1"/>
        </w:rPr>
        <w:t>一年期的该年度担保函；优拓航服向中航鑫港担保有限公司存交保证金</w:t>
      </w:r>
      <w:r>
        <w:rPr>
          <w:rFonts w:ascii="Times New Roman" w:hAnsi="Times New Roman" w:cs="Times New Roman" w:eastAsia="Times New Roman" w:hint="default"/>
          <w:spacing w:val="-1"/>
        </w:rPr>
        <w:t>99</w:t>
      </w:r>
      <w:r>
        <w:rPr>
          <w:spacing w:val="-1"/>
        </w:rPr>
        <w:t>万元，并在中航鑫港担保有限公</w:t>
      </w:r>
      <w:r>
        <w:rPr>
          <w:spacing w:val="-81"/>
        </w:rPr>
        <w:t> </w:t>
      </w:r>
      <w:r>
        <w:rPr>
          <w:spacing w:val="-81"/>
        </w:rPr>
      </w:r>
      <w:r>
        <w:rPr/>
        <w:t>司指定的中国民生银行北京顺义支行开户（账号：</w:t>
      </w:r>
      <w:r>
        <w:rPr>
          <w:rFonts w:ascii="Times New Roman" w:hAnsi="Times New Roman" w:cs="Times New Roman" w:eastAsia="Times New Roman" w:hint="default"/>
        </w:rPr>
        <w:t>701275867</w:t>
      </w:r>
      <w:r>
        <w:rPr/>
        <w:t>、</w:t>
      </w:r>
      <w:r>
        <w:rPr>
          <w:rFonts w:ascii="Times New Roman" w:hAnsi="Times New Roman" w:cs="Times New Roman" w:eastAsia="Times New Roman" w:hint="default"/>
        </w:rPr>
        <w:t>702862040</w:t>
      </w:r>
      <w:r>
        <w:rPr/>
        <w:t>）存入</w:t>
      </w:r>
      <w:r>
        <w:rPr>
          <w:rFonts w:ascii="Times New Roman" w:hAnsi="Times New Roman" w:cs="Times New Roman" w:eastAsia="Times New Roman" w:hint="default"/>
        </w:rPr>
        <w:t>451</w:t>
      </w:r>
      <w:r>
        <w:rPr/>
        <w:t>万元定期存款作为质 押反担保，并与中航鑫港担保有限公司签订了《开户证实书质押合同》。</w:t>
      </w:r>
    </w:p>
    <w:p>
      <w:pPr>
        <w:pStyle w:val="BodyText"/>
        <w:spacing w:line="240" w:lineRule="auto" w:before="65"/>
        <w:ind w:left="0" w:right="151"/>
        <w:jc w:val="righ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日，根据公司与宁波银行股份有限公司北京分行（以下简称</w:t>
      </w:r>
      <w:r>
        <w:rPr>
          <w:rFonts w:ascii="Times New Roman" w:hAnsi="Times New Roman" w:cs="Times New Roman" w:eastAsia="Times New Roman" w:hint="default"/>
        </w:rPr>
        <w:t>“</w:t>
      </w:r>
      <w:r>
        <w:rPr/>
        <w:t>宁波银行</w:t>
      </w:r>
      <w:r>
        <w:rPr>
          <w:rFonts w:ascii="Times New Roman" w:hAnsi="Times New Roman" w:cs="Times New Roman" w:eastAsia="Times New Roman" w:hint="default"/>
        </w:rPr>
        <w:t>”</w:t>
      </w:r>
      <w:r>
        <w:rPr/>
        <w:t>）签订的</w:t>
      </w:r>
    </w:p>
    <w:p>
      <w:pPr>
        <w:pStyle w:val="BodyText"/>
        <w:spacing w:line="240" w:lineRule="auto" w:before="177"/>
        <w:ind w:left="153" w:right="148"/>
        <w:jc w:val="left"/>
      </w:pPr>
      <w:r>
        <w:rPr>
          <w:spacing w:val="3"/>
        </w:rPr>
        <w:t>《开立保函协议》，宁波银行开立以北京趣拿软件科技有限公司为收益人的履约保函（履约保函编号：</w:t>
      </w:r>
      <w:r>
        <w:rPr/>
      </w:r>
    </w:p>
    <w:p>
      <w:pPr>
        <w:spacing w:line="240" w:lineRule="auto" w:before="10"/>
        <w:rPr>
          <w:rFonts w:ascii="宋体" w:hAnsi="宋体" w:cs="宋体" w:eastAsia="宋体" w:hint="default"/>
          <w:sz w:val="14"/>
          <w:szCs w:val="14"/>
        </w:rPr>
      </w:pPr>
    </w:p>
    <w:p>
      <w:pPr>
        <w:pStyle w:val="BodyText"/>
        <w:spacing w:line="240" w:lineRule="auto" w:before="0"/>
        <w:ind w:left="153" w:right="0"/>
        <w:jc w:val="left"/>
      </w:pPr>
      <w:r>
        <w:rPr>
          <w:rFonts w:ascii="Times New Roman" w:hAnsi="Times New Roman" w:cs="Times New Roman" w:eastAsia="Times New Roman" w:hint="default"/>
        </w:rPr>
        <w:t>07701BH20158108</w:t>
      </w:r>
      <w:r>
        <w:rPr/>
        <w:t>号），履约保函最高担保额为人民币</w:t>
      </w:r>
      <w:r>
        <w:rPr>
          <w:rFonts w:ascii="Times New Roman" w:hAnsi="Times New Roman" w:cs="Times New Roman" w:eastAsia="Times New Roman" w:hint="default"/>
        </w:rPr>
        <w:t>2000</w:t>
      </w:r>
      <w:r>
        <w:rPr/>
        <w:t>万元，履约保函有效期为自开立之日至</w:t>
      </w:r>
      <w:r>
        <w:rPr>
          <w:rFonts w:ascii="Times New Roman" w:hAnsi="Times New Roman" w:cs="Times New Roman" w:eastAsia="Times New Roman" w:hint="default"/>
        </w:rPr>
        <w:t>2016</w:t>
      </w:r>
      <w:r>
        <w:rPr/>
        <w:t>年</w:t>
      </w:r>
    </w:p>
    <w:p>
      <w:pPr>
        <w:pStyle w:val="BodyText"/>
        <w:spacing w:line="386" w:lineRule="auto" w:before="177"/>
        <w:ind w:left="153" w:right="148"/>
        <w:jc w:val="left"/>
      </w:pP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日。该保函为公司在去哪儿网开展机票销售业务，为了使去哪儿网在</w:t>
      </w:r>
      <w:r>
        <w:rPr>
          <w:rFonts w:ascii="Times New Roman" w:hAnsi="Times New Roman" w:cs="Times New Roman" w:eastAsia="Times New Roman" w:hint="default"/>
        </w:rPr>
        <w:t>T+0</w:t>
      </w:r>
      <w:r>
        <w:rPr/>
        <w:t>日向公司支付收到的预订</w:t>
      </w:r>
      <w:r>
        <w:rPr>
          <w:spacing w:val="-72"/>
        </w:rPr>
        <w:t> </w:t>
      </w:r>
      <w:r>
        <w:rPr>
          <w:spacing w:val="-72"/>
        </w:rPr>
      </w:r>
      <w:r>
        <w:rPr/>
        <w:t>款项，经双方协商向去哪儿网出具的银行保函。该项担保为公司对自身业务进行的自我担保。</w:t>
      </w:r>
    </w:p>
    <w:p>
      <w:pPr>
        <w:spacing w:line="240" w:lineRule="auto" w:before="3"/>
        <w:rPr>
          <w:rFonts w:ascii="宋体" w:hAnsi="宋体" w:cs="宋体" w:eastAsia="宋体" w:hint="default"/>
          <w:sz w:val="20"/>
          <w:szCs w:val="20"/>
        </w:rPr>
      </w:pPr>
    </w:p>
    <w:p>
      <w:pPr>
        <w:pStyle w:val="Heading2"/>
        <w:spacing w:line="240" w:lineRule="auto"/>
        <w:ind w:right="148"/>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162"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vMerge/>
            <w:tcBorders>
              <w:left w:val="single" w:sz="4" w:space="0" w:color="000000"/>
              <w:right w:val="single" w:sz="4" w:space="0" w:color="000000"/>
            </w:tcBorders>
            <w:shd w:val="clear" w:color="auto" w:fill="D3D3D3"/>
          </w:tcPr>
          <w:p>
            <w:pPr/>
          </w:p>
        </w:tc>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2"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回购注销已离职股权激励对 象限制性股票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3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89"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4"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62"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20,874,229.50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20,874,229.50</w:t>
            </w:r>
          </w:p>
        </w:tc>
      </w:tr>
    </w:tbl>
    <w:p>
      <w:pPr>
        <w:spacing w:line="240" w:lineRule="auto" w:before="2"/>
        <w:rPr>
          <w:rFonts w:ascii="宋体" w:hAnsi="宋体" w:cs="宋体" w:eastAsia="宋体" w:hint="default"/>
          <w:sz w:val="18"/>
          <w:szCs w:val="18"/>
        </w:rPr>
      </w:pPr>
    </w:p>
    <w:p>
      <w:pPr>
        <w:pStyle w:val="Heading2"/>
        <w:spacing w:line="240" w:lineRule="auto" w:before="26"/>
        <w:ind w:right="148"/>
        <w:jc w:val="left"/>
        <w:rPr>
          <w:b w:val="0"/>
          <w:bCs w:val="0"/>
        </w:rPr>
      </w:pPr>
      <w:r>
        <w:rPr/>
        <w:t>十五、其他重要事项</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153" w:right="137" w:firstLine="422"/>
        <w:jc w:val="both"/>
      </w:pPr>
      <w:r>
        <w:rPr>
          <w:rFonts w:ascii="Times New Roman" w:hAnsi="Times New Roman" w:cs="Times New Roman" w:eastAsia="Times New Roman" w:hint="default"/>
        </w:rPr>
        <w:t>1</w:t>
      </w:r>
      <w:r>
        <w:rPr/>
        <w:t>、根据公司于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日与上海悠哉网络科技有限公司（以下简称</w:t>
      </w:r>
      <w:r>
        <w:rPr>
          <w:rFonts w:ascii="Times New Roman" w:hAnsi="Times New Roman" w:cs="Times New Roman" w:eastAsia="Times New Roman" w:hint="default"/>
        </w:rPr>
        <w:t>“</w:t>
      </w:r>
      <w:r>
        <w:rPr/>
        <w:t>悠哉网络</w:t>
      </w:r>
      <w:r>
        <w:rPr>
          <w:rFonts w:ascii="Times New Roman" w:hAnsi="Times New Roman" w:cs="Times New Roman" w:eastAsia="Times New Roman" w:hint="default"/>
        </w:rPr>
        <w:t>”</w:t>
      </w:r>
      <w:r>
        <w:rPr/>
        <w:t>）、中国民生银</w:t>
      </w:r>
      <w:r>
        <w:rPr>
          <w:spacing w:val="2"/>
        </w:rPr>
        <w:t> </w:t>
      </w:r>
      <w:r>
        <w:rPr>
          <w:spacing w:val="14"/>
        </w:rPr>
        <w:t>行股份有限公司总行营业部（以下简称</w:t>
      </w:r>
      <w:r>
        <w:rPr>
          <w:rFonts w:ascii="Times New Roman" w:hAnsi="Times New Roman" w:cs="Times New Roman" w:eastAsia="Times New Roman" w:hint="default"/>
          <w:spacing w:val="14"/>
        </w:rPr>
        <w:t>“</w:t>
      </w:r>
      <w:r>
        <w:rPr>
          <w:spacing w:val="14"/>
        </w:rPr>
        <w:t>民生银行</w:t>
      </w:r>
      <w:r>
        <w:rPr>
          <w:rFonts w:ascii="Times New Roman" w:hAnsi="Times New Roman" w:cs="Times New Roman" w:eastAsia="Times New Roman" w:hint="default"/>
          <w:spacing w:val="14"/>
        </w:rPr>
        <w:t>”</w:t>
      </w:r>
      <w:r>
        <w:rPr>
          <w:spacing w:val="14"/>
        </w:rPr>
        <w:t>）签订的委托贷款合同（合同编号：公委贷字第</w:t>
      </w:r>
      <w:r>
        <w:rPr>
          <w:spacing w:val="-98"/>
        </w:rPr>
        <w:t> </w:t>
      </w:r>
      <w:r>
        <w:rPr>
          <w:spacing w:val="-98"/>
        </w:rPr>
      </w:r>
      <w:r>
        <w:rPr>
          <w:rFonts w:ascii="Times New Roman" w:hAnsi="Times New Roman" w:cs="Times New Roman" w:eastAsia="Times New Roman" w:hint="default"/>
          <w:spacing w:val="-1"/>
        </w:rPr>
        <w:t>1400000221370</w:t>
      </w:r>
      <w:r>
        <w:rPr>
          <w:spacing w:val="-1"/>
        </w:rPr>
        <w:t>号），公司使用自有资金委托民生银行向悠哉网络贷款人民币</w:t>
      </w:r>
      <w:r>
        <w:rPr>
          <w:rFonts w:ascii="Times New Roman" w:hAnsi="Times New Roman" w:cs="Times New Roman" w:eastAsia="Times New Roman" w:hint="default"/>
          <w:spacing w:val="-1"/>
        </w:rPr>
        <w:t>6000</w:t>
      </w:r>
      <w:r>
        <w:rPr>
          <w:spacing w:val="-1"/>
        </w:rPr>
        <w:t>万元，贷款期限</w:t>
      </w:r>
      <w:r>
        <w:rPr>
          <w:rFonts w:ascii="Times New Roman" w:hAnsi="Times New Roman" w:cs="Times New Roman" w:eastAsia="Times New Roman" w:hint="default"/>
          <w:spacing w:val="-1"/>
        </w:rPr>
        <w:t>4</w:t>
      </w:r>
      <w:r>
        <w:rPr>
          <w:spacing w:val="-1"/>
        </w:rPr>
        <w:t>年，贷</w:t>
      </w:r>
      <w:r>
        <w:rPr>
          <w:spacing w:val="-82"/>
        </w:rPr>
        <w:t> </w:t>
      </w:r>
      <w:r>
        <w:rPr>
          <w:spacing w:val="-82"/>
        </w:rPr>
      </w:r>
      <w:r>
        <w:rPr/>
        <w:t>款利率</w:t>
      </w:r>
      <w:r>
        <w:rPr>
          <w:rFonts w:ascii="Times New Roman" w:hAnsi="Times New Roman" w:cs="Times New Roman" w:eastAsia="Times New Roman" w:hint="default"/>
        </w:rPr>
        <w:t>6.2%</w:t>
      </w:r>
      <w:r>
        <w:rPr/>
        <w:t>，悠哉网络股东李代山以其持有的悠哉网络</w:t>
      </w:r>
      <w:r>
        <w:rPr>
          <w:rFonts w:ascii="Times New Roman" w:hAnsi="Times New Roman" w:cs="Times New Roman" w:eastAsia="Times New Roman" w:hint="default"/>
        </w:rPr>
        <w:t>85%</w:t>
      </w:r>
      <w:r>
        <w:rPr/>
        <w:t>的股份作为质押担保。此次对外提供委托贷款 事项已经公司第三届董事会第十次会议、公司</w:t>
      </w:r>
      <w:r>
        <w:rPr>
          <w:rFonts w:ascii="Times New Roman" w:hAnsi="Times New Roman" w:cs="Times New Roman" w:eastAsia="Times New Roman" w:hint="default"/>
        </w:rPr>
        <w:t>2014</w:t>
      </w:r>
      <w:r>
        <w:rPr/>
        <w:t>年第六次临时股东大会审议通过。</w:t>
      </w:r>
    </w:p>
    <w:p>
      <w:pPr>
        <w:pStyle w:val="BodyText"/>
        <w:spacing w:line="386" w:lineRule="auto" w:before="35"/>
        <w:ind w:left="153" w:right="147"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日公司第三届董事会第三十五次会议审议通过了《关于投资北京穷游天下科技发展有 限公司的议案》，同意公司子公司香港众信国际旅行社有限公司通过增资</w:t>
      </w:r>
      <w:r>
        <w:rPr>
          <w:rFonts w:ascii="Times New Roman" w:hAnsi="Times New Roman" w:cs="Times New Roman" w:eastAsia="Times New Roman" w:hint="default"/>
        </w:rPr>
        <w:t>+</w:t>
      </w:r>
      <w:r>
        <w:rPr/>
        <w:t>股权转让的方式以</w:t>
      </w:r>
      <w:r>
        <w:rPr>
          <w:rFonts w:ascii="Times New Roman" w:hAnsi="Times New Roman" w:cs="Times New Roman" w:eastAsia="Times New Roman" w:hint="default"/>
        </w:rPr>
        <w:t>2,500</w:t>
      </w:r>
      <w:r>
        <w:rPr/>
        <w:t>万美元</w:t>
      </w:r>
    </w:p>
    <w:p>
      <w:pPr>
        <w:pStyle w:val="BodyText"/>
        <w:spacing w:line="240" w:lineRule="auto" w:before="35"/>
        <w:ind w:left="153" w:right="0"/>
        <w:jc w:val="left"/>
      </w:pPr>
      <w:r>
        <w:rPr/>
        <w:t>（按照美元兑人民币汇率为</w:t>
      </w:r>
      <w:r>
        <w:rPr>
          <w:rFonts w:ascii="Times New Roman" w:hAnsi="Times New Roman" w:cs="Times New Roman" w:eastAsia="Times New Roman" w:hint="default"/>
        </w:rPr>
        <w:t>1:6.48</w:t>
      </w:r>
      <w:r>
        <w:rPr/>
        <w:t>计算，折合人民币约为</w:t>
      </w:r>
      <w:r>
        <w:rPr>
          <w:rFonts w:ascii="Times New Roman" w:hAnsi="Times New Roman" w:cs="Times New Roman" w:eastAsia="Times New Roman" w:hint="default"/>
        </w:rPr>
        <w:t>1.62</w:t>
      </w:r>
      <w:r>
        <w:rPr/>
        <w:t>亿元）收购</w:t>
      </w:r>
      <w:r>
        <w:rPr>
          <w:rFonts w:ascii="Times New Roman" w:hAnsi="Times New Roman" w:cs="Times New Roman" w:eastAsia="Times New Roman" w:hint="default"/>
        </w:rPr>
        <w:t>QYER</w:t>
      </w:r>
      <w:r>
        <w:rPr>
          <w:rFonts w:ascii="Times New Roman" w:hAnsi="Times New Roman" w:cs="Times New Roman" w:eastAsia="Times New Roman" w:hint="default"/>
          <w:spacing w:val="-23"/>
        </w:rPr>
        <w:t> </w:t>
      </w:r>
      <w:r>
        <w:rPr>
          <w:rFonts w:ascii="Times New Roman" w:hAnsi="Times New Roman" w:cs="Times New Roman" w:eastAsia="Times New Roman" w:hint="default"/>
        </w:rPr>
        <w:t>Inc.</w:t>
      </w:r>
      <w:r>
        <w:rPr>
          <w:rFonts w:ascii="Times New Roman" w:hAnsi="Times New Roman" w:cs="Times New Roman" w:eastAsia="Times New Roman" w:hint="default"/>
          <w:spacing w:val="-23"/>
        </w:rPr>
        <w:t> </w:t>
      </w:r>
      <w:r>
        <w:rPr>
          <w:rFonts w:ascii="Times New Roman" w:hAnsi="Times New Roman" w:cs="Times New Roman" w:eastAsia="Times New Roman" w:hint="default"/>
        </w:rPr>
        <w:t>107,068,112</w:t>
      </w:r>
      <w:r>
        <w:rPr/>
        <w:t>股股权，本</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48"/>
        <w:jc w:val="left"/>
      </w:pPr>
      <w:r>
        <w:rPr/>
        <w:t>次交易完成后，香港众信将持有标的公司</w:t>
      </w:r>
      <w:r>
        <w:rPr>
          <w:rFonts w:ascii="Times New Roman" w:hAnsi="Times New Roman" w:cs="Times New Roman" w:eastAsia="Times New Roman" w:hint="default"/>
        </w:rPr>
        <w:t>5.499%</w:t>
      </w:r>
      <w:r>
        <w:rPr/>
        <w:t>股权，从而间接投资北京穷游天下科技发展有限公司。</w:t>
      </w:r>
    </w:p>
    <w:p>
      <w:pPr>
        <w:pStyle w:val="BodyText"/>
        <w:spacing w:line="393" w:lineRule="auto" w:before="177"/>
        <w:ind w:right="149" w:firstLine="479"/>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日公司第三届董事会第三十六次会议审议并通过了《关于公司对外投资暨参与认购天</w:t>
      </w:r>
      <w:r>
        <w:rPr/>
        <w:t> </w:t>
      </w:r>
      <w:r>
        <w:rPr>
          <w:spacing w:val="-1"/>
        </w:rPr>
        <w:t>津新动金鼎万众体育资产管理中心（有限合伙）基金份额的议案》，同意公司参与认购天津新动金鼎万众</w:t>
      </w:r>
      <w:r>
        <w:rPr>
          <w:spacing w:val="-82"/>
        </w:rPr>
        <w:t> </w:t>
      </w:r>
      <w:r>
        <w:rPr>
          <w:spacing w:val="-82"/>
        </w:rPr>
      </w:r>
      <w:r>
        <w:rPr>
          <w:spacing w:val="-3"/>
        </w:rPr>
        <w:t>体育资产管理中心（有限合伙）（以下简称为</w:t>
      </w:r>
      <w:r>
        <w:rPr>
          <w:rFonts w:ascii="Times New Roman" w:hAnsi="Times New Roman" w:cs="Times New Roman" w:eastAsia="Times New Roman" w:hint="default"/>
          <w:spacing w:val="-3"/>
        </w:rPr>
        <w:t>“</w:t>
      </w:r>
      <w:r>
        <w:rPr>
          <w:spacing w:val="-3"/>
        </w:rPr>
        <w:t>体育基金</w:t>
      </w:r>
      <w:r>
        <w:rPr>
          <w:rFonts w:ascii="Times New Roman" w:hAnsi="Times New Roman" w:cs="Times New Roman" w:eastAsia="Times New Roman" w:hint="default"/>
          <w:spacing w:val="-3"/>
        </w:rPr>
        <w:t>”</w:t>
      </w:r>
      <w:r>
        <w:rPr>
          <w:spacing w:val="-3"/>
        </w:rPr>
        <w:t>）出资份额，体育基金规模为人民币</w:t>
      </w:r>
      <w:r>
        <w:rPr>
          <w:rFonts w:ascii="Times New Roman" w:hAnsi="Times New Roman" w:cs="Times New Roman" w:eastAsia="Times New Roman" w:hint="default"/>
          <w:spacing w:val="-3"/>
        </w:rPr>
        <w:t>1</w:t>
      </w:r>
      <w:r>
        <w:rPr>
          <w:spacing w:val="-3"/>
        </w:rPr>
        <w:t>亿元，其中</w:t>
      </w:r>
      <w:r>
        <w:rPr>
          <w:spacing w:val="-69"/>
        </w:rPr>
        <w:t> </w:t>
      </w:r>
      <w:r>
        <w:rPr>
          <w:spacing w:val="-69"/>
        </w:rPr>
      </w:r>
      <w:r>
        <w:rPr/>
        <w:t>众信旅游出资人民币</w:t>
      </w:r>
      <w:r>
        <w:rPr>
          <w:rFonts w:ascii="Times New Roman" w:hAnsi="Times New Roman" w:cs="Times New Roman" w:eastAsia="Times New Roman" w:hint="default"/>
        </w:rPr>
        <w:t>2,500</w:t>
      </w:r>
      <w:r>
        <w:rPr/>
        <w:t>万元作为体育基金的有限合伙人。</w:t>
      </w:r>
    </w:p>
    <w:p>
      <w:pPr>
        <w:pStyle w:val="BodyText"/>
        <w:spacing w:line="396" w:lineRule="auto" w:before="28"/>
        <w:ind w:right="149" w:firstLine="422"/>
        <w:jc w:val="both"/>
      </w:pPr>
      <w:r>
        <w:rPr>
          <w:rFonts w:ascii="Times New Roman" w:hAnsi="Times New Roman" w:cs="Times New Roman" w:eastAsia="Times New Roman" w:hint="default"/>
          <w:spacing w:val="-1"/>
        </w:rPr>
        <w:t>4</w:t>
      </w:r>
      <w:r>
        <w:rPr>
          <w:spacing w:val="-1"/>
        </w:rPr>
        <w:t>、根据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26</w:t>
      </w:r>
      <w:r>
        <w:rPr>
          <w:spacing w:val="-1"/>
        </w:rPr>
        <w:t>日公司第三届董事会第三十八次会议审议通过了《关于本次发行股份及支付现金</w:t>
      </w:r>
      <w:r>
        <w:rPr/>
        <w:t> </w:t>
      </w:r>
      <w:r>
        <w:rPr>
          <w:spacing w:val="-1"/>
        </w:rPr>
        <w:t>购买资产并募集配套资金暨关联交易的方案的议案》，公司通过发行股份及支付现金的方式购买北京市华</w:t>
      </w:r>
      <w:r>
        <w:rPr>
          <w:spacing w:val="-81"/>
        </w:rPr>
        <w:t> </w:t>
      </w:r>
      <w:r>
        <w:rPr>
          <w:spacing w:val="-81"/>
        </w:rPr>
      </w:r>
      <w:r>
        <w:rPr>
          <w:spacing w:val="-2"/>
        </w:rPr>
        <w:t>远国际旅游有限公司（以下简称</w:t>
      </w:r>
      <w:r>
        <w:rPr>
          <w:rFonts w:ascii="Times New Roman" w:hAnsi="Times New Roman" w:cs="Times New Roman" w:eastAsia="Times New Roman" w:hint="default"/>
          <w:spacing w:val="-2"/>
        </w:rPr>
        <w:t>“</w:t>
      </w:r>
      <w:r>
        <w:rPr>
          <w:spacing w:val="-2"/>
        </w:rPr>
        <w:t>华远国旅</w:t>
      </w:r>
      <w:r>
        <w:rPr>
          <w:rFonts w:ascii="Times New Roman" w:hAnsi="Times New Roman" w:cs="Times New Roman" w:eastAsia="Times New Roman" w:hint="default"/>
          <w:spacing w:val="-2"/>
        </w:rPr>
        <w:t>”</w:t>
      </w:r>
      <w:r>
        <w:rPr>
          <w:spacing w:val="-2"/>
        </w:rPr>
        <w:t>）现有全体股东合计持有的华远国旅</w:t>
      </w:r>
      <w:r>
        <w:rPr>
          <w:rFonts w:ascii="Times New Roman" w:hAnsi="Times New Roman" w:cs="Times New Roman" w:eastAsia="Times New Roman" w:hint="default"/>
          <w:spacing w:val="-2"/>
        </w:rPr>
        <w:t>100%</w:t>
      </w:r>
      <w:r>
        <w:rPr>
          <w:spacing w:val="-2"/>
        </w:rPr>
        <w:t>的股权。其中以发行</w:t>
      </w:r>
      <w:r>
        <w:rPr>
          <w:spacing w:val="-78"/>
        </w:rPr>
        <w:t> </w:t>
      </w:r>
      <w:r>
        <w:rPr>
          <w:spacing w:val="-78"/>
        </w:rPr>
      </w:r>
      <w:r>
        <w:rPr>
          <w:spacing w:val="-1"/>
        </w:rPr>
        <w:t>股份的方式购买郭东杰、何勇、谭志斌、曾勤、周长洪、陈自富、上海携程国际旅行社有限公司、中信夹</w:t>
      </w:r>
      <w:r>
        <w:rPr>
          <w:spacing w:val="-85"/>
        </w:rPr>
        <w:t> </w:t>
      </w:r>
      <w:r>
        <w:rPr>
          <w:spacing w:val="-85"/>
        </w:rPr>
      </w:r>
      <w:r>
        <w:rPr>
          <w:spacing w:val="-6"/>
        </w:rPr>
        <w:t>层（上海）投资中心（有限合伙）、天津湘华资产管理中心（有限合伙）、天津翔龙一号资产管理中心（有</w:t>
      </w:r>
      <w:r>
        <w:rPr>
          <w:spacing w:val="-65"/>
        </w:rPr>
        <w:t> </w:t>
      </w:r>
      <w:r>
        <w:rPr>
          <w:spacing w:val="-65"/>
        </w:rPr>
      </w:r>
      <w:r>
        <w:rPr>
          <w:spacing w:val="-2"/>
        </w:rPr>
        <w:t>限合伙）、天津翔龙二号资产管理中心（有限合伙）合计所持华远国旅</w:t>
      </w:r>
      <w:r>
        <w:rPr>
          <w:rFonts w:ascii="Times New Roman" w:hAnsi="Times New Roman" w:cs="Times New Roman" w:eastAsia="Times New Roman" w:hint="default"/>
          <w:spacing w:val="-2"/>
        </w:rPr>
        <w:t>90.3846%</w:t>
      </w:r>
      <w:r>
        <w:rPr>
          <w:spacing w:val="-2"/>
        </w:rPr>
        <w:t>股权，发行价格为：</w:t>
      </w:r>
      <w:r>
        <w:rPr>
          <w:rFonts w:ascii="Times New Roman" w:hAnsi="Times New Roman" w:cs="Times New Roman" w:eastAsia="Times New Roman" w:hint="default"/>
          <w:spacing w:val="-2"/>
        </w:rPr>
        <w:t>35.82</w:t>
      </w:r>
      <w:r>
        <w:rPr>
          <w:rFonts w:ascii="Times New Roman" w:hAnsi="Times New Roman" w:cs="Times New Roman" w:eastAsia="Times New Roman" w:hint="default"/>
          <w:spacing w:val="-47"/>
        </w:rPr>
        <w:t> </w:t>
      </w:r>
      <w:r>
        <w:rPr>
          <w:spacing w:val="-2"/>
        </w:rPr>
        <w:t>元</w:t>
      </w:r>
      <w:r>
        <w:rPr>
          <w:rFonts w:ascii="Times New Roman" w:hAnsi="Times New Roman" w:cs="Times New Roman" w:eastAsia="Times New Roman" w:hint="default"/>
          <w:spacing w:val="-2"/>
        </w:rPr>
        <w:t>/</w:t>
      </w:r>
      <w:r>
        <w:rPr>
          <w:spacing w:val="-2"/>
        </w:rPr>
        <w:t>股，股份对价为</w:t>
      </w:r>
      <w:r>
        <w:rPr>
          <w:rFonts w:ascii="Times New Roman" w:hAnsi="Times New Roman" w:cs="Times New Roman" w:eastAsia="Times New Roman" w:hint="default"/>
          <w:spacing w:val="-2"/>
        </w:rPr>
        <w:t>65,605,802</w:t>
      </w:r>
      <w:r>
        <w:rPr>
          <w:spacing w:val="-2"/>
        </w:rPr>
        <w:t>股；以支付现金方式的收购中信夹层持有的华远国旅</w:t>
      </w:r>
      <w:r>
        <w:rPr>
          <w:rFonts w:ascii="Times New Roman" w:hAnsi="Times New Roman" w:cs="Times New Roman" w:eastAsia="Times New Roman" w:hint="default"/>
          <w:spacing w:val="-2"/>
        </w:rPr>
        <w:t>9.6154%</w:t>
      </w:r>
      <w:r>
        <w:rPr>
          <w:spacing w:val="-2"/>
        </w:rPr>
        <w:t>的股权，现金对</w:t>
      </w:r>
      <w:r>
        <w:rPr>
          <w:spacing w:val="-103"/>
        </w:rPr>
        <w:t> </w:t>
      </w:r>
      <w:r>
        <w:rPr>
          <w:spacing w:val="-103"/>
        </w:rPr>
      </w:r>
      <w:r>
        <w:rPr/>
        <w:t>价为</w:t>
      </w:r>
      <w:r>
        <w:rPr>
          <w:rFonts w:ascii="Times New Roman" w:hAnsi="Times New Roman" w:cs="Times New Roman" w:eastAsia="Times New Roman" w:hint="default"/>
        </w:rPr>
        <w:t>25,000</w:t>
      </w:r>
      <w:r>
        <w:rPr/>
        <w:t>万元。</w:t>
      </w:r>
    </w:p>
    <w:p>
      <w:pPr>
        <w:pStyle w:val="BodyText"/>
        <w:spacing w:line="386" w:lineRule="auto" w:before="26"/>
        <w:ind w:right="149" w:firstLine="480"/>
        <w:jc w:val="both"/>
      </w:pPr>
      <w:r>
        <w:rPr>
          <w:spacing w:val="-3"/>
        </w:rPr>
        <w:t>公司在本次收购同时，拟向不超过</w:t>
      </w:r>
      <w:r>
        <w:rPr>
          <w:rFonts w:ascii="Times New Roman" w:hAnsi="Times New Roman" w:cs="Times New Roman" w:eastAsia="Times New Roman" w:hint="default"/>
          <w:spacing w:val="-3"/>
        </w:rPr>
        <w:t>10</w:t>
      </w:r>
      <w:r>
        <w:rPr>
          <w:spacing w:val="-3"/>
        </w:rPr>
        <w:t>名特定对象非公开发行股份募集配套资金人民币</w:t>
      </w:r>
      <w:r>
        <w:rPr>
          <w:rFonts w:ascii="Times New Roman" w:hAnsi="Times New Roman" w:cs="Times New Roman" w:eastAsia="Times New Roman" w:hint="default"/>
          <w:spacing w:val="-3"/>
        </w:rPr>
        <w:t>260,000</w:t>
      </w:r>
      <w:r>
        <w:rPr>
          <w:spacing w:val="-3"/>
        </w:rPr>
        <w:t>万元（不</w:t>
      </w:r>
      <w:r>
        <w:rPr/>
        <w:t> 超过本次交易拟购买标的股权交易价格的</w:t>
      </w:r>
      <w:r>
        <w:rPr>
          <w:rFonts w:ascii="Times New Roman" w:hAnsi="Times New Roman" w:cs="Times New Roman" w:eastAsia="Times New Roman" w:hint="default"/>
        </w:rPr>
        <w:t>100%</w:t>
      </w:r>
      <w:r>
        <w:rPr/>
        <w:t>）。发行价格为：不低于</w:t>
      </w:r>
      <w:r>
        <w:rPr>
          <w:rFonts w:ascii="Times New Roman" w:hAnsi="Times New Roman" w:cs="Times New Roman" w:eastAsia="Times New Roman" w:hint="default"/>
        </w:rPr>
        <w:t>42.01</w:t>
      </w:r>
      <w:r>
        <w:rPr/>
        <w:t>元</w:t>
      </w:r>
      <w:r>
        <w:rPr>
          <w:rFonts w:ascii="Times New Roman" w:hAnsi="Times New Roman" w:cs="Times New Roman" w:eastAsia="Times New Roman" w:hint="default"/>
        </w:rPr>
        <w:t>/</w:t>
      </w:r>
      <w:r>
        <w:rPr/>
        <w:t>股。本次收购的实施不以 本次配套融资的实施为前提。</w:t>
      </w:r>
    </w:p>
    <w:p>
      <w:pPr>
        <w:pStyle w:val="BodyText"/>
        <w:spacing w:line="386" w:lineRule="auto" w:before="65"/>
        <w:ind w:left="153" w:right="151" w:firstLine="422"/>
        <w:jc w:val="both"/>
      </w:pPr>
      <w:r>
        <w:rPr>
          <w:spacing w:val="-2"/>
        </w:rPr>
        <w:t>根据中联资产评估集团有限公司出具的中联评报字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139</w:t>
      </w:r>
      <w:r>
        <w:rPr>
          <w:spacing w:val="-2"/>
        </w:rPr>
        <w:t>号《北京众信国际旅行社股份有限公司</w:t>
      </w:r>
      <w:r>
        <w:rPr/>
        <w:t> </w:t>
      </w:r>
      <w:r>
        <w:rPr>
          <w:spacing w:val="-1"/>
        </w:rPr>
        <w:t>拟购买北京市华远国际旅游有限公司股权项目资产评估报告》，截至评估基准日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日，华远国</w:t>
      </w:r>
      <w:r>
        <w:rPr>
          <w:spacing w:val="-84"/>
        </w:rPr>
        <w:t> </w:t>
      </w:r>
      <w:r>
        <w:rPr>
          <w:spacing w:val="-84"/>
        </w:rPr>
      </w:r>
      <w:r>
        <w:rPr/>
        <w:t>旅的评估价值为</w:t>
      </w:r>
      <w:r>
        <w:rPr>
          <w:rFonts w:ascii="Times New Roman" w:hAnsi="Times New Roman" w:cs="Times New Roman" w:eastAsia="Times New Roman" w:hint="default"/>
        </w:rPr>
        <w:t>225,210.47</w:t>
      </w:r>
      <w:r>
        <w:rPr/>
        <w:t>万元。参考上述资产评估结果并经公司与交易对方充分协商，各方一致同意华</w:t>
      </w:r>
      <w:r>
        <w:rPr>
          <w:spacing w:val="-41"/>
        </w:rPr>
        <w:t> </w:t>
      </w:r>
      <w:r>
        <w:rPr>
          <w:spacing w:val="-41"/>
        </w:rPr>
      </w:r>
      <w:r>
        <w:rPr/>
        <w:t>远国旅</w:t>
      </w:r>
      <w:r>
        <w:rPr>
          <w:rFonts w:ascii="Times New Roman" w:hAnsi="Times New Roman" w:cs="Times New Roman" w:eastAsia="Times New Roman" w:hint="default"/>
        </w:rPr>
        <w:t>100%</w:t>
      </w:r>
      <w:r>
        <w:rPr/>
        <w:t>股权的交易价格确定为</w:t>
      </w:r>
      <w:r>
        <w:rPr>
          <w:rFonts w:ascii="Times New Roman" w:hAnsi="Times New Roman" w:cs="Times New Roman" w:eastAsia="Times New Roman" w:hint="default"/>
        </w:rPr>
        <w:t>260,000</w:t>
      </w:r>
      <w:r>
        <w:rPr/>
        <w:t>万元。</w:t>
      </w:r>
    </w:p>
    <w:p>
      <w:pPr>
        <w:pStyle w:val="BodyText"/>
        <w:spacing w:line="386" w:lineRule="auto" w:before="35"/>
        <w:ind w:left="153" w:right="148" w:firstLine="48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日公司第三届董事会第三十九次会议审议通过了《关于公司</w:t>
      </w:r>
      <w:r>
        <w:rPr>
          <w:rFonts w:ascii="Times New Roman" w:hAnsi="Times New Roman" w:cs="Times New Roman" w:eastAsia="Times New Roman" w:hint="default"/>
        </w:rPr>
        <w:t>&lt;2016</w:t>
      </w:r>
      <w:r>
        <w:rPr/>
        <w:t>年限制性股票激励 计划（草案）</w:t>
      </w:r>
      <w:r>
        <w:rPr>
          <w:rFonts w:ascii="Times New Roman" w:hAnsi="Times New Roman" w:cs="Times New Roman" w:eastAsia="Times New Roman" w:hint="default"/>
        </w:rPr>
        <w:t>&gt;</w:t>
      </w:r>
      <w:r>
        <w:rPr/>
        <w:t>及其摘要的议案》，决议向激励对象授予</w:t>
      </w:r>
      <w:r>
        <w:rPr>
          <w:rFonts w:ascii="Times New Roman" w:hAnsi="Times New Roman" w:cs="Times New Roman" w:eastAsia="Times New Roman" w:hint="default"/>
        </w:rPr>
        <w:t>500</w:t>
      </w:r>
      <w:r>
        <w:rPr/>
        <w:t>万股限制性股票，授予价格为</w:t>
      </w:r>
      <w:r>
        <w:rPr>
          <w:rFonts w:ascii="Times New Roman" w:hAnsi="Times New Roman" w:cs="Times New Roman" w:eastAsia="Times New Roman" w:hint="default"/>
        </w:rPr>
        <w:t>23.34</w:t>
      </w:r>
      <w:r>
        <w:rPr/>
        <w:t>元</w:t>
      </w:r>
      <w:r>
        <w:rPr>
          <w:rFonts w:ascii="Times New Roman" w:hAnsi="Times New Roman" w:cs="Times New Roman" w:eastAsia="Times New Roman" w:hint="default"/>
        </w:rPr>
        <w:t>/</w:t>
      </w:r>
      <w:r>
        <w:rPr/>
        <w:t>股，其</w:t>
      </w:r>
      <w:r>
        <w:rPr>
          <w:spacing w:val="-56"/>
        </w:rPr>
        <w:t> </w:t>
      </w:r>
      <w:r>
        <w:rPr/>
        <w:t>中首次授予</w:t>
      </w:r>
      <w:r>
        <w:rPr>
          <w:rFonts w:ascii="Times New Roman" w:hAnsi="Times New Roman" w:cs="Times New Roman" w:eastAsia="Times New Roman" w:hint="default"/>
        </w:rPr>
        <w:t>450</w:t>
      </w:r>
      <w:r>
        <w:rPr/>
        <w:t>万股，预留</w:t>
      </w:r>
      <w:r>
        <w:rPr>
          <w:rFonts w:ascii="Times New Roman" w:hAnsi="Times New Roman" w:cs="Times New Roman" w:eastAsia="Times New Roman" w:hint="default"/>
        </w:rPr>
        <w:t>50</w:t>
      </w:r>
      <w:r>
        <w:rPr/>
        <w:t>万股。</w:t>
      </w:r>
    </w:p>
    <w:p>
      <w:pPr>
        <w:spacing w:line="240" w:lineRule="auto" w:before="0"/>
        <w:rPr>
          <w:rFonts w:ascii="宋体" w:hAnsi="宋体" w:cs="宋体" w:eastAsia="宋体" w:hint="default"/>
          <w:sz w:val="18"/>
          <w:szCs w:val="18"/>
        </w:rPr>
      </w:pPr>
    </w:p>
    <w:p>
      <w:pPr>
        <w:pStyle w:val="Heading2"/>
        <w:spacing w:line="240" w:lineRule="auto"/>
        <w:ind w:right="148"/>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5.65pt;height:21.15pt;mso-position-horizontal-relative:char;mso-position-vertical-relative:line" coordorigin="0,0" coordsize="9713,423">
            <v:group style="position:absolute;left:2878;top:16;width:23;height:392" coordorigin="2878,16" coordsize="23,392">
              <v:shape style="position:absolute;left:2878;top:16;width:23;height:392" coordorigin="2878,16" coordsize="23,392" path="m2878,407l2900,407,2900,16,2878,16,2878,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2841;height:392" coordorigin="37,16" coordsize="2841,392">
              <v:shape style="position:absolute;left:37;top:16;width:2841;height:392" coordorigin="37,16" coordsize="2841,392" path="m37,407l2878,407,2878,16,37,16,37,407xe" filled="true" fillcolor="#d3d3d3" stroked="false">
                <v:path arrowok="t"/>
                <v:fill type="solid"/>
              </v:shape>
            </v:group>
            <v:group style="position:absolute;left:2910;top:16;width:23;height:392" coordorigin="2910,16" coordsize="23,392">
              <v:shape style="position:absolute;left:2910;top:16;width:23;height:392" coordorigin="2910,16" coordsize="23,392" path="m2910,407l2933,407,2933,16,2910,16,2910,407xe" filled="true" fillcolor="#d3d3d3" stroked="false">
                <v:path arrowok="t"/>
                <v:fill type="solid"/>
              </v:shape>
            </v:group>
            <v:group style="position:absolute;left:9676;top:16;width:23;height:392" coordorigin="9676,16" coordsize="23,392">
              <v:shape style="position:absolute;left:9676;top:16;width:23;height:392" coordorigin="9676,16" coordsize="23,392" path="m9676,407l9698,407,9698,16,9676,16,9676,407xe" filled="true" fillcolor="#d3d3d3" stroked="false">
                <v:path arrowok="t"/>
                <v:fill type="solid"/>
              </v:shape>
            </v:group>
            <v:group style="position:absolute;left:2933;top:16;width:6743;height:392" coordorigin="2933,16" coordsize="6743,392">
              <v:shape style="position:absolute;left:2933;top:16;width:6743;height:392" coordorigin="2933,16" coordsize="6743,392" path="m2933,407l9676,407,9676,16,2933,16,2933,407xe" filled="true" fillcolor="#d3d3d3" stroked="false">
                <v:path arrowok="t"/>
                <v:fill type="solid"/>
              </v:shape>
            </v:group>
            <v:group style="position:absolute;left:5;top:10;width:9704;height:2" coordorigin="5,10" coordsize="9704,2">
              <v:shape style="position:absolute;left:5;top:10;width:9704;height:2" coordorigin="5,10" coordsize="9704,0" path="m5,10l9708,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pt" strokecolor="#000000">
                <v:path arrowok="t"/>
              </v:shape>
            </v:group>
            <v:group style="position:absolute;left:5;top:413;width:2896;height:2" coordorigin="5,413" coordsize="2896,2">
              <v:shape style="position:absolute;left:5;top:413;width:2896;height:2" coordorigin="5,413" coordsize="2896,0" path="m5,413l2900,413e" filled="false" stroked="true" strokeweight=".48001pt" strokecolor="#000000">
                <v:path arrowok="t"/>
              </v:shape>
            </v:group>
            <v:group style="position:absolute;left:2905;top:14;width:2;height:404" coordorigin="2905,14" coordsize="2,404">
              <v:shape style="position:absolute;left:2905;top:14;width:2;height:404" coordorigin="2905,14" coordsize="0,404" path="m2905,14l2905,418e" filled="false" stroked="true" strokeweight=".48001pt" strokecolor="#000000">
                <v:path arrowok="t"/>
              </v:shape>
            </v:group>
            <v:group style="position:absolute;left:2910;top:413;width:6789;height:2" coordorigin="2910,413" coordsize="6789,2">
              <v:shape style="position:absolute;left:2910;top:413;width:6789;height:2" coordorigin="2910,413" coordsize="6789,0" path="m2910,413l9698,413e" filled="false" stroked="true" strokeweight=".48001pt" strokecolor="#000000">
                <v:path arrowok="t"/>
              </v:shape>
            </v:group>
            <v:group style="position:absolute;left:9703;top:5;width:2;height:413" coordorigin="9703,5" coordsize="2,413">
              <v:shape style="position:absolute;left:9703;top:5;width:2;height:413" coordorigin="9703,5" coordsize="0,413" path="m9703,5l9703,418e" filled="false" stroked="true" strokeweight=".48004pt" strokecolor="#000000">
                <v:path arrowok="t"/>
              </v:shape>
              <v:shape style="position:absolute;left:10;top:10;width:2896;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类别</w:t>
                      </w:r>
                    </w:p>
                  </w:txbxContent>
                </v:textbox>
                <w10:wrap type="none"/>
              </v:shape>
              <v:shape style="position:absolute;left:5944;top:12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896"/>
        <w:gridCol w:w="1351"/>
        <w:gridCol w:w="1349"/>
        <w:gridCol w:w="1349"/>
        <w:gridCol w:w="1351"/>
        <w:gridCol w:w="1398"/>
      </w:tblGrid>
      <w:tr>
        <w:trPr>
          <w:trHeight w:val="402" w:hRule="exact"/>
        </w:trPr>
        <w:tc>
          <w:tcPr>
            <w:tcW w:w="2896" w:type="dxa"/>
            <w:vMerge w:val="restart"/>
            <w:tcBorders>
              <w:top w:val="single" w:sz="4" w:space="0" w:color="000000"/>
              <w:left w:val="single" w:sz="4" w:space="0" w:color="000000"/>
              <w:right w:val="single" w:sz="4" w:space="0" w:color="000000"/>
            </w:tcBorders>
            <w:shd w:val="clear" w:color="auto" w:fill="D3D3D3"/>
          </w:tcPr>
          <w:p>
            <w:pP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896" w:type="dxa"/>
            <w:vMerge/>
            <w:tcBorders>
              <w:left w:val="single" w:sz="4" w:space="0" w:color="000000"/>
              <w:bottom w:val="single" w:sz="4" w:space="0" w:color="000000"/>
              <w:right w:val="single" w:sz="4" w:space="0" w:color="000000"/>
            </w:tcBorders>
            <w:shd w:val="clear" w:color="auto" w:fill="D3D3D3"/>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9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 的应收账款</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171,655,267.61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7,001,673.89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164,653,593.72</w:t>
            </w:r>
          </w:p>
        </w:tc>
      </w:tr>
      <w:tr>
        <w:trPr>
          <w:trHeight w:val="402" w:hRule="exact"/>
        </w:trPr>
        <w:tc>
          <w:tcPr>
            <w:tcW w:w="2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171,655,267.61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7,001,673.89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164,653,593.72</w:t>
            </w:r>
          </w:p>
        </w:tc>
      </w:tr>
    </w:tbl>
    <w:p>
      <w:pPr>
        <w:spacing w:line="240" w:lineRule="auto" w:before="13"/>
        <w:rPr>
          <w:rFonts w:ascii="宋体" w:hAnsi="宋体" w:cs="宋体" w:eastAsia="宋体"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2752"/>
        <w:gridCol w:w="1181"/>
        <w:gridCol w:w="1274"/>
        <w:gridCol w:w="1362"/>
        <w:gridCol w:w="1562"/>
        <w:gridCol w:w="1562"/>
      </w:tblGrid>
      <w:tr>
        <w:trPr>
          <w:trHeight w:val="402" w:hRule="exact"/>
        </w:trPr>
        <w:tc>
          <w:tcPr>
            <w:tcW w:w="27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9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7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7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备的应收账款</w:t>
            </w:r>
          </w:p>
        </w:tc>
        <w:tc>
          <w:tcPr>
            <w:tcW w:w="118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161,817,397.71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159,120,110.76</w:t>
            </w:r>
          </w:p>
        </w:tc>
      </w:tr>
      <w:tr>
        <w:trPr>
          <w:trHeight w:val="402" w:hRule="exact"/>
        </w:trPr>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161,817,397.71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2,697,286.95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159,120,110.76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145,344,824.22</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15,086,858.05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1,508,685.81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7,656,630.89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2,296,989.27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741,911.29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370,955.65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168,830,224.45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4,176,630.73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2,825,043.16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2,825,043.16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171,655,267.61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7,001,673.89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4.08%</w:t>
            </w:r>
          </w:p>
        </w:tc>
      </w:tr>
    </w:tbl>
    <w:p>
      <w:pPr>
        <w:spacing w:line="357"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9"/>
        <w:ind w:left="153"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4,304,386.94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400" w:bottom="2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1055"/>
        <w:gridCol w:w="1505"/>
        <w:gridCol w:w="3235"/>
        <w:gridCol w:w="2080"/>
        <w:gridCol w:w="1783"/>
      </w:tblGrid>
      <w:tr>
        <w:trPr>
          <w:trHeight w:val="342" w:hRule="exact"/>
        </w:trPr>
        <w:tc>
          <w:tcPr>
            <w:tcW w:w="105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60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1055" w:type="dxa"/>
            <w:vMerge/>
            <w:tcBorders>
              <w:left w:val="single" w:sz="4" w:space="0" w:color="000000"/>
              <w:bottom w:val="single" w:sz="4" w:space="0" w:color="000000"/>
              <w:right w:val="single" w:sz="4" w:space="0" w:color="000000"/>
            </w:tcBorders>
            <w:shd w:val="clear" w:color="auto" w:fill="D9D9D9"/>
          </w:tcPr>
          <w:p>
            <w:pPr/>
          </w:p>
        </w:tc>
        <w:tc>
          <w:tcPr>
            <w:tcW w:w="1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8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sz w:val="18"/>
                <w:szCs w:val="18"/>
              </w:rPr>
              <w:t>计提坏账准备金额</w:t>
            </w:r>
          </w:p>
        </w:tc>
        <w:tc>
          <w:tcPr>
            <w:tcW w:w="1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12,305,224.36</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7.17</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614,837.93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9,091,723.66</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5.30</w:t>
            </w:r>
          </w:p>
        </w:tc>
        <w:tc>
          <w:tcPr>
            <w:tcW w:w="2080"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8,039,659.60</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4.68</w:t>
            </w:r>
          </w:p>
        </w:tc>
        <w:tc>
          <w:tcPr>
            <w:tcW w:w="2080"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6,985,888.78</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4.07</w:t>
            </w:r>
          </w:p>
        </w:tc>
        <w:tc>
          <w:tcPr>
            <w:tcW w:w="2080"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6,401,800.00</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3.73</w:t>
            </w:r>
          </w:p>
        </w:tc>
        <w:tc>
          <w:tcPr>
            <w:tcW w:w="2080"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055"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42,824,296.40</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24.95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614,837.93</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4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396"/>
        <w:gridCol w:w="1294"/>
        <w:gridCol w:w="768"/>
        <w:gridCol w:w="1094"/>
        <w:gridCol w:w="850"/>
        <w:gridCol w:w="1292"/>
      </w:tblGrid>
      <w:tr>
        <w:trPr>
          <w:trHeight w:val="407" w:hRule="exact"/>
        </w:trPr>
        <w:tc>
          <w:tcPr>
            <w:tcW w:w="43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29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2" w:hRule="exact"/>
        </w:trPr>
        <w:tc>
          <w:tcPr>
            <w:tcW w:w="43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43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2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297,716,552.45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3,332,814.12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294,383,738.33</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297,716,552.45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3,332,814.12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294,383,738.33</w:t>
            </w:r>
          </w:p>
        </w:tc>
      </w:tr>
    </w:tbl>
    <w:p>
      <w:pPr>
        <w:spacing w:line="240" w:lineRule="auto" w:before="13"/>
        <w:rPr>
          <w:rFonts w:ascii="宋体" w:hAnsi="宋体" w:cs="宋体" w:eastAsia="宋体" w:hint="default"/>
          <w:sz w:val="29"/>
          <w:szCs w:val="29"/>
        </w:rPr>
      </w:pPr>
    </w:p>
    <w:tbl>
      <w:tblPr>
        <w:tblW w:w="0" w:type="auto"/>
        <w:jc w:val="left"/>
        <w:tblInd w:w="121" w:type="dxa"/>
        <w:tblLayout w:type="fixed"/>
        <w:tblCellMar>
          <w:top w:w="0" w:type="dxa"/>
          <w:left w:w="0" w:type="dxa"/>
          <w:bottom w:w="0" w:type="dxa"/>
          <w:right w:w="0" w:type="dxa"/>
        </w:tblCellMar>
        <w:tblLook w:val="01E0"/>
      </w:tblPr>
      <w:tblGrid>
        <w:gridCol w:w="4396"/>
        <w:gridCol w:w="1294"/>
        <w:gridCol w:w="768"/>
        <w:gridCol w:w="1094"/>
        <w:gridCol w:w="850"/>
        <w:gridCol w:w="1292"/>
      </w:tblGrid>
      <w:tr>
        <w:trPr>
          <w:trHeight w:val="407" w:hRule="exact"/>
        </w:trPr>
        <w:tc>
          <w:tcPr>
            <w:tcW w:w="43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29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2" w:hRule="exact"/>
        </w:trPr>
        <w:tc>
          <w:tcPr>
            <w:tcW w:w="43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43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2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单项金额不重大但单独计提坏账准备的其他应收款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183,082,986.51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3,281,100.07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179,801,886.44</w:t>
            </w:r>
          </w:p>
        </w:tc>
      </w:tr>
      <w:tr>
        <w:trPr>
          <w:trHeight w:val="402" w:hRule="exact"/>
        </w:trPr>
        <w:tc>
          <w:tcPr>
            <w:tcW w:w="4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183,082,986.51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3,281,100.07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179,801,886.44</w:t>
            </w:r>
          </w:p>
        </w:tc>
      </w:tr>
    </w:tbl>
    <w:p>
      <w:pPr>
        <w:spacing w:before="51"/>
        <w:ind w:left="154" w:right="148"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line="338" w:lineRule="auto" w:before="43"/>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42"/>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51,714.05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137,046,743.86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114,300,424.75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1,555,335.55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1,235,360.25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151,034,027.73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58,625,300.24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8,080,445.31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8,921,901.27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297,716,552.45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183,082,986.51</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131,691,909.62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20,920,100.00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418,402.00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9,999,600.00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351,992.00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9,904,164.58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182,515,774.20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770,394.00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1,166,387,210.25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1,166,387,210.25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85,100,080.00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85,100,080.00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1,166,387,210.25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1,166,387,210.25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85,100,080.00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85,100,080.00</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优拓航服</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优逸文公关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众信商务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九州联合</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众信奇迹</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悠联货币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5,204,080.00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5,204,080.00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5,263,030.25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8,863,030.25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天津众信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74,876,300.00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74,876,300.00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太原众信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重庆众信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云南众信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广州优贷</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168,127,800.00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199,127,800.00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85,100,080.00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1,101,287,130.25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1,166,387,210.25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3,823,539,092.31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3,428,743,136.19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4,183,741,098.41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3,827,326,245.58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3,827,259,092.31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3,428,743,136.19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4,183,741,098.41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3,827,326,245.58</w:t>
            </w:r>
          </w:p>
        </w:tc>
      </w:tr>
    </w:tbl>
    <w:p>
      <w:pPr>
        <w:spacing w:line="240" w:lineRule="auto" w:before="2"/>
        <w:rPr>
          <w:rFonts w:ascii="宋体" w:hAnsi="宋体" w:cs="宋体" w:eastAsia="宋体" w:hint="default"/>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2,229,099.37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247,677.71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2,476,777.08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48"/>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35"/>
        <w:gridCol w:w="1972"/>
        <w:gridCol w:w="4987"/>
      </w:tblGrid>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-71,975.65</w:t>
            </w:r>
          </w:p>
        </w:tc>
        <w:tc>
          <w:tcPr>
            <w:tcW w:w="498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4" w:right="0"/>
              <w:jc w:val="left"/>
              <w:rPr>
                <w:rFonts w:ascii="Times New Roman" w:hAnsi="Times New Roman" w:cs="Times New Roman" w:eastAsia="Times New Roman" w:hint="default"/>
                <w:sz w:val="18"/>
                <w:szCs w:val="18"/>
              </w:rPr>
            </w:pPr>
            <w:r>
              <w:rPr>
                <w:rFonts w:ascii="Times New Roman"/>
                <w:sz w:val="18"/>
              </w:rPr>
              <w:t>4,250,000.00</w:t>
            </w:r>
          </w:p>
        </w:tc>
        <w:tc>
          <w:tcPr>
            <w:tcW w:w="498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公司上海分社于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月收到上海市黄浦区财政局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万元</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区财政扶持资金；上海众信于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月收到上海市黄浦区财</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万元区财政扶持资金；竹园国旅上海分社于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月收到上海市黄浦区财政局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万财政扶持资金。</w:t>
            </w:r>
          </w:p>
        </w:tc>
      </w:tr>
      <w:tr>
        <w:trPr>
          <w:trHeight w:val="1016" w:hRule="exact"/>
        </w:trPr>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 业务密切相关，按照国家统一标准 定额或定量享受的政府补助除外）</w:t>
            </w:r>
          </w:p>
        </w:tc>
        <w:tc>
          <w:tcPr>
            <w:tcW w:w="1972" w:type="dxa"/>
            <w:vMerge/>
            <w:tcBorders>
              <w:left w:val="single" w:sz="4" w:space="0" w:color="000000"/>
              <w:right w:val="single" w:sz="4" w:space="0" w:color="000000"/>
            </w:tcBorders>
          </w:tcPr>
          <w:p>
            <w:pPr/>
          </w:p>
        </w:tc>
        <w:tc>
          <w:tcPr>
            <w:tcW w:w="4987" w:type="dxa"/>
            <w:vMerge/>
            <w:tcBorders>
              <w:left w:val="single" w:sz="4" w:space="0" w:color="000000"/>
              <w:right w:val="single" w:sz="4" w:space="0" w:color="000000"/>
            </w:tcBorders>
          </w:tcPr>
          <w:p>
            <w:pPr/>
          </w:p>
        </w:tc>
      </w:tr>
      <w:tr>
        <w:trPr>
          <w:trHeight w:val="161" w:hRule="exact"/>
        </w:trPr>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72" w:type="dxa"/>
            <w:vMerge/>
            <w:tcBorders>
              <w:left w:val="single" w:sz="4" w:space="0" w:color="000000"/>
              <w:bottom w:val="single" w:sz="4" w:space="0" w:color="000000"/>
              <w:right w:val="single" w:sz="4" w:space="0" w:color="000000"/>
            </w:tcBorders>
          </w:tcPr>
          <w:p>
            <w:pPr/>
          </w:p>
        </w:tc>
        <w:tc>
          <w:tcPr>
            <w:tcW w:w="4987" w:type="dxa"/>
            <w:vMerge/>
            <w:tcBorders>
              <w:left w:val="single" w:sz="4" w:space="0" w:color="000000"/>
              <w:bottom w:val="single" w:sz="4" w:space="0" w:color="000000"/>
              <w:right w:val="single" w:sz="4" w:space="0" w:color="000000"/>
            </w:tcBorders>
          </w:tcPr>
          <w:p>
            <w:pP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3,720,000.00</w:t>
            </w:r>
          </w:p>
        </w:tc>
        <w:tc>
          <w:tcPr>
            <w:tcW w:w="49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9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-587,414.65</w:t>
            </w:r>
          </w:p>
        </w:tc>
        <w:tc>
          <w:tcPr>
            <w:tcW w:w="49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1,821,568.95</w:t>
            </w:r>
          </w:p>
        </w:tc>
        <w:tc>
          <w:tcPr>
            <w:tcW w:w="49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289,464.72</w:t>
            </w:r>
          </w:p>
        </w:tc>
        <w:tc>
          <w:tcPr>
            <w:tcW w:w="49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5,199,576.03</w:t>
            </w:r>
          </w:p>
        </w:tc>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48"/>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0.452</w:t>
            </w:r>
          </w:p>
        </w:tc>
      </w:tr>
    </w:tbl>
    <w:p>
      <w:pPr>
        <w:spacing w:line="240" w:lineRule="auto" w:before="2"/>
        <w:rPr>
          <w:rFonts w:ascii="宋体" w:hAnsi="宋体" w:cs="宋体" w:eastAsia="宋体" w:hint="default"/>
          <w:b/>
          <w:bCs/>
          <w:sz w:val="19"/>
          <w:szCs w:val="19"/>
        </w:rPr>
      </w:pPr>
    </w:p>
    <w:p>
      <w:pPr>
        <w:pStyle w:val="Heading3"/>
        <w:spacing w:line="240" w:lineRule="auto" w:before="35"/>
        <w:ind w:right="148"/>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8"/>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148"/>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38" w:right="148"/>
        <w:jc w:val="left"/>
        <w:rPr>
          <w:b w:val="0"/>
          <w:bCs w:val="0"/>
        </w:rPr>
      </w:pPr>
      <w:bookmarkStart w:name="_TOC_250000" w:id="12"/>
      <w:r>
        <w:rPr/>
        <w:t>第十一节</w:t>
      </w:r>
      <w:r>
        <w:rPr>
          <w:spacing w:val="-9"/>
        </w:rPr>
        <w:t> </w:t>
      </w:r>
      <w:r>
        <w:rPr/>
        <w:t>备查文件目录</w:t>
      </w:r>
      <w:bookmarkEnd w:id="12"/>
      <w:r>
        <w:rPr>
          <w:b w:val="0"/>
          <w:bCs w:val="0"/>
        </w:rPr>
      </w:r>
    </w:p>
    <w:p>
      <w:pPr>
        <w:spacing w:line="240" w:lineRule="auto" w:before="7"/>
        <w:rPr>
          <w:rFonts w:ascii="宋体" w:hAnsi="宋体" w:cs="宋体" w:eastAsia="宋体" w:hint="default"/>
          <w:b/>
          <w:bCs/>
          <w:sz w:val="46"/>
          <w:szCs w:val="46"/>
        </w:rPr>
      </w:pPr>
    </w:p>
    <w:p>
      <w:pPr>
        <w:pStyle w:val="BodyText"/>
        <w:spacing w:line="403" w:lineRule="auto" w:before="0"/>
        <w:ind w:left="153" w:right="1581"/>
        <w:jc w:val="left"/>
      </w:pPr>
      <w:r>
        <w:rPr/>
        <w:t>一、载有法定代表人、主管会计工作负责人、会计机构负责人签名并盖章的财务报表。 二、载有会计师事务所盖章、注册会计师签名并盖章的审计报告原件。 三、报告期内在中国证监会指定报纸上公开披露过的所有公司文件的正本及公告的原稿。 四、载有法定代表人签名的公司</w:t>
      </w:r>
      <w:r>
        <w:rPr>
          <w:rFonts w:ascii="Times New Roman" w:hAnsi="Times New Roman" w:cs="Times New Roman" w:eastAsia="Times New Roman" w:hint="default"/>
        </w:rPr>
        <w:t>2015</w:t>
      </w:r>
      <w:r>
        <w:rPr/>
        <w:t>年年度报告文本。 五、以上备查文件的备置地点：公司证券事务部。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0"/>
        <w:ind w:left="4920" w:right="148"/>
        <w:jc w:val="left"/>
      </w:pPr>
      <w:r>
        <w:rPr/>
        <w:t>北京众信国际旅行社股份有限公司（盖章）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8699" w:val="left" w:leader="none"/>
        </w:tabs>
        <w:spacing w:line="240" w:lineRule="auto" w:before="137"/>
        <w:ind w:left="5445" w:right="148"/>
        <w:jc w:val="left"/>
        <w:rPr>
          <w:rFonts w:ascii="Times New Roman" w:hAnsi="Times New Roman" w:cs="Times New Roman" w:eastAsia="Times New Roman" w:hint="default"/>
        </w:rPr>
      </w:pPr>
      <w:r>
        <w:rPr/>
        <w:t>法定代表人（签字）：</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8"/>
        <w:rPr>
          <w:rFonts w:ascii="Times New Roman" w:hAnsi="Times New Roman" w:cs="Times New Roman" w:eastAsia="Times New Roman" w:hint="default"/>
          <w:sz w:val="13"/>
          <w:szCs w:val="13"/>
        </w:rPr>
      </w:pPr>
    </w:p>
    <w:p>
      <w:pPr>
        <w:pStyle w:val="BodyText"/>
        <w:spacing w:line="240" w:lineRule="auto" w:before="35"/>
        <w:ind w:left="7964" w:right="148"/>
        <w:jc w:val="left"/>
      </w:pPr>
      <w:r>
        <w:rPr/>
        <w:t>冯滨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819"/>
        <w:jc w:val="righ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6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6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6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6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6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6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6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6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66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6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770508pt;margin-top:535.297913pt;width:17.150pt;height:11pt;mso-position-horizontal-relative:page;mso-position-vertical-relative:page;z-index:-96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6692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19995pt;margin-top:42.865326pt;width:213.5pt;height:11.5pt;mso-position-horizontal-relative:page;mso-position-vertical-relative:page;z-index:-966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966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6676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966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96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6656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966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北京众信国际旅行社股份有限公司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4"/>
    </w:pPr>
    <w:rPr>
      <w:rFonts w:ascii="宋体" w:hAnsi="宋体" w:eastAsia="宋体"/>
      <w:b/>
      <w:bCs/>
      <w:sz w:val="21"/>
      <w:szCs w:val="21"/>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375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utourworld.com/" TargetMode="External"/><Relationship Id="rId9" Type="http://schemas.openxmlformats.org/officeDocument/2006/relationships/hyperlink" Target="mailto:stock@utourworld.com" TargetMode="Externa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4.xml"/><Relationship Id="rId26" Type="http://schemas.openxmlformats.org/officeDocument/2006/relationships/footer" Target="footer9.xml"/><Relationship Id="rId27" Type="http://schemas.openxmlformats.org/officeDocument/2006/relationships/header" Target="header5.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huping</dc:creator>
  <dc:title>&lt;4D6963726F736F667420576F7264202D2032332032303135C4EAC4EAB6C8B1A8B8E6C8ABCEC4&gt;</dc:title>
  <dcterms:created xsi:type="dcterms:W3CDTF">2020-05-04T14:36:07Z</dcterms:created>
  <dcterms:modified xsi:type="dcterms:W3CDTF">2020-05-04T14:36:07Z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2016-03-15T00:00:00Z</vt:filetime>
  </property>
  <property fmtid="{D5CDD505-2E9C-101B-9397-08002B2CF9AE}" pid="3" name="Creator">
    <vt:lpwstr>PScript5.dll Version 5.2.2</vt:lpwstr>
  </property>
  <property fmtid="{D5CDD505-2E9C-101B-9397-08002B2CF9AE}" pid="4" name="LastSaved">
    <vt:filetime>2020-05-04T00:00:00Z</vt:filetime>
  </property>
</Properties>
</file>