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tabs>
          <w:tab w:pos="3968" w:val="left" w:leader="none"/>
          <w:tab w:pos="7460" w:val="left" w:leader="none"/>
        </w:tabs>
        <w:spacing w:line="338" w:lineRule="auto" w:before="1"/>
        <w:ind w:left="114" w:right="98" w:hanging="1"/>
        <w:jc w:val="left"/>
        <w:rPr>
          <w:rFonts w:ascii="Times New Roman" w:hAnsi="Times New Roman" w:cs="Times New Roman" w:eastAsia="Times New Roman" w:hint="default"/>
          <w:b w:val="0"/>
          <w:bCs w:val="0"/>
        </w:rPr>
      </w:pPr>
      <w:r>
        <w:rPr>
          <w:w w:val="95"/>
        </w:rPr>
        <w:t>股票简称：众信旅游</w:t>
        <w:tab/>
        <w:t>股票代码：</w:t>
      </w:r>
      <w:r>
        <w:rPr>
          <w:rFonts w:ascii="Times New Roman" w:hAnsi="Times New Roman" w:cs="Times New Roman" w:eastAsia="Times New Roman" w:hint="default"/>
          <w:w w:val="95"/>
        </w:rPr>
        <w:t>002707</w:t>
        <w:tab/>
      </w:r>
      <w:r>
        <w:rPr/>
        <w:t>公告编号：</w:t>
      </w:r>
      <w:r>
        <w:rPr>
          <w:rFonts w:ascii="Times New Roman" w:hAnsi="Times New Roman" w:cs="Times New Roman" w:eastAsia="Times New Roman" w:hint="default"/>
        </w:rPr>
        <w:t>2018-022</w:t>
      </w:r>
      <w:r>
        <w:rPr>
          <w:rFonts w:ascii="Times New Roman" w:hAnsi="Times New Roman" w:cs="Times New Roman" w:eastAsia="Times New Roman" w:hint="default"/>
          <w:spacing w:val="-1"/>
          <w:w w:val="99"/>
        </w:rPr>
        <w:t> </w:t>
      </w:r>
      <w:r>
        <w:rPr>
          <w:w w:val="95"/>
        </w:rPr>
        <w:t>债券简称：众信转债</w:t>
        <w:tab/>
      </w:r>
      <w:r>
        <w:rPr/>
        <w:t>债券代码：</w:t>
      </w:r>
      <w:r>
        <w:rPr>
          <w:rFonts w:ascii="Times New Roman" w:hAnsi="Times New Roman" w:cs="Times New Roman" w:eastAsia="Times New Roman" w:hint="default"/>
        </w:rPr>
        <w:t>128022</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6"/>
        <w:rPr>
          <w:rFonts w:ascii="Times New Roman" w:hAnsi="Times New Roman" w:cs="Times New Roman" w:eastAsia="Times New Roman" w:hint="default"/>
          <w:b/>
          <w:bCs/>
          <w:sz w:val="17"/>
          <w:szCs w:val="17"/>
        </w:rPr>
      </w:pPr>
    </w:p>
    <w:p>
      <w:pPr>
        <w:spacing w:line="892" w:lineRule="exact"/>
        <w:ind w:left="36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587398" cy="5669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87398" cy="566927"/>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before="177"/>
        <w:ind w:left="2020" w:right="1840" w:firstLine="0"/>
        <w:jc w:val="center"/>
        <w:rPr>
          <w:rFonts w:ascii="宋体" w:hAnsi="宋体" w:cs="宋体" w:eastAsia="宋体" w:hint="default"/>
          <w:sz w:val="48"/>
          <w:szCs w:val="48"/>
        </w:rPr>
      </w:pPr>
      <w:r>
        <w:rPr>
          <w:rFonts w:ascii="宋体" w:hAnsi="宋体" w:cs="宋体" w:eastAsia="宋体" w:hint="default"/>
          <w:b/>
          <w:bCs/>
          <w:sz w:val="48"/>
          <w:szCs w:val="48"/>
        </w:rPr>
        <w:t>众信旅游集团股份有限公司</w:t>
      </w:r>
      <w:r>
        <w:rPr>
          <w:rFonts w:ascii="宋体" w:hAnsi="宋体" w:cs="宋体" w:eastAsia="宋体" w:hint="default"/>
          <w:sz w:val="48"/>
          <w:szCs w:val="48"/>
        </w:rPr>
      </w:r>
    </w:p>
    <w:p>
      <w:pPr>
        <w:spacing w:before="306"/>
        <w:ind w:left="2020" w:right="1840"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2017</w:t>
      </w:r>
      <w:r>
        <w:rPr>
          <w:rFonts w:ascii="Times New Roman" w:hAnsi="Times New Roman" w:cs="Times New Roman" w:eastAsia="Times New Roman" w:hint="default"/>
          <w:b/>
          <w:bCs/>
          <w:spacing w:val="-5"/>
          <w:sz w:val="48"/>
          <w:szCs w:val="48"/>
        </w:rPr>
        <w:t> </w:t>
      </w:r>
      <w:r>
        <w:rPr>
          <w:rFonts w:ascii="宋体" w:hAnsi="宋体" w:cs="宋体" w:eastAsia="宋体" w:hint="default"/>
          <w:b/>
          <w:bCs/>
          <w:sz w:val="48"/>
          <w:szCs w:val="48"/>
        </w:rPr>
        <w:t>年度报告</w:t>
      </w:r>
      <w:r>
        <w:rPr>
          <w:rFonts w:ascii="宋体" w:hAnsi="宋体" w:cs="宋体" w:eastAsia="宋体" w:hint="default"/>
          <w:sz w:val="48"/>
          <w:szCs w:val="48"/>
        </w:rPr>
      </w: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1"/>
        <w:rPr>
          <w:rFonts w:ascii="宋体" w:hAnsi="宋体" w:cs="宋体" w:eastAsia="宋体" w:hint="default"/>
          <w:b/>
          <w:bCs/>
          <w:sz w:val="44"/>
          <w:szCs w:val="44"/>
        </w:rPr>
      </w:pPr>
    </w:p>
    <w:p>
      <w:pPr>
        <w:spacing w:before="0"/>
        <w:ind w:left="2019" w:right="18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16</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400" w:bottom="280" w:left="1020" w:right="1200"/>
        </w:sectPr>
      </w:pPr>
    </w:p>
    <w:p>
      <w:pPr>
        <w:spacing w:line="240" w:lineRule="auto" w:before="0"/>
        <w:rPr>
          <w:rFonts w:ascii="宋体" w:hAnsi="宋体" w:cs="宋体" w:eastAsia="宋体" w:hint="default"/>
          <w:b/>
          <w:bCs/>
          <w:sz w:val="20"/>
          <w:szCs w:val="20"/>
        </w:rPr>
      </w:pPr>
    </w:p>
    <w:p>
      <w:pPr>
        <w:spacing w:before="151"/>
        <w:ind w:left="4472" w:right="4548" w:firstLine="0"/>
        <w:jc w:val="center"/>
        <w:rPr>
          <w:rFonts w:ascii="黑体" w:hAnsi="黑体" w:cs="黑体" w:eastAsia="黑体" w:hint="default"/>
          <w:sz w:val="32"/>
          <w:szCs w:val="32"/>
        </w:rPr>
      </w:pPr>
      <w:r>
        <w:rPr>
          <w:rFonts w:ascii="黑体" w:hAnsi="黑体" w:cs="黑体" w:eastAsia="黑体" w:hint="default"/>
          <w:b/>
          <w:bCs/>
          <w:sz w:val="32"/>
          <w:szCs w:val="32"/>
        </w:rPr>
        <w:t>致股东</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pStyle w:val="Heading3"/>
        <w:spacing w:line="352" w:lineRule="auto" w:before="282"/>
        <w:ind w:right="228"/>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年，众信旅游迎来了上市三周年。上市以来，众信旅游收入规模稳步跨过</w:t>
      </w:r>
      <w:r>
        <w:rPr>
          <w:spacing w:val="-68"/>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亿台 阶，实现了收入、利润各项业务指标的成倍增长。期间，众信人也经历了与竹园国旅的成功</w:t>
      </w:r>
      <w:r>
        <w:rPr>
          <w:spacing w:val="-83"/>
        </w:rPr>
        <w:t> </w:t>
      </w:r>
      <w:r>
        <w:rPr>
          <w:spacing w:val="-83"/>
        </w:rPr>
      </w:r>
      <w:r>
        <w:rPr>
          <w:spacing w:val="-5"/>
        </w:rPr>
        <w:t>整合，与华远国旅重组的中途终止，种种情况带来的行业变化，以及国内资本市场大调整等，</w:t>
      </w:r>
      <w:r>
        <w:rPr/>
        <w:t> 我们一直主动应对，积极调整。三年笛里关山月，此间的众信旅游，此间的众信人，砥砺奋</w:t>
      </w:r>
      <w:r>
        <w:rPr>
          <w:spacing w:val="-83"/>
        </w:rPr>
        <w:t> </w:t>
      </w:r>
      <w:r>
        <w:rPr>
          <w:spacing w:val="-83"/>
        </w:rPr>
      </w:r>
      <w:r>
        <w:rPr/>
        <w:t>进，不敢懈怠。</w:t>
      </w:r>
    </w:p>
    <w:p>
      <w:pPr>
        <w:pStyle w:val="Heading2"/>
        <w:spacing w:line="240" w:lineRule="auto" w:before="197"/>
        <w:ind w:left="633" w:right="93"/>
        <w:jc w:val="left"/>
        <w:rPr>
          <w:rFonts w:ascii="楷体" w:hAnsi="楷体" w:cs="楷体" w:eastAsia="楷体" w:hint="default"/>
          <w:b w:val="0"/>
          <w:bCs w:val="0"/>
        </w:rPr>
      </w:pPr>
      <w:r>
        <w:rPr>
          <w:rFonts w:ascii="楷体" w:hAnsi="楷体" w:cs="楷体" w:eastAsia="楷体" w:hint="default"/>
        </w:rPr>
        <w:t>我们做对了什么</w:t>
      </w:r>
      <w:r>
        <w:rPr>
          <w:rFonts w:ascii="楷体" w:hAnsi="楷体" w:cs="楷体" w:eastAsia="楷体" w:hint="default"/>
          <w:b w:val="0"/>
          <w:bCs w:val="0"/>
        </w:rPr>
      </w:r>
    </w:p>
    <w:p>
      <w:pPr>
        <w:spacing w:line="240" w:lineRule="auto" w:before="9"/>
        <w:rPr>
          <w:rFonts w:ascii="楷体" w:hAnsi="楷体" w:cs="楷体" w:eastAsia="楷体" w:hint="default"/>
          <w:b/>
          <w:bCs/>
          <w:sz w:val="23"/>
          <w:szCs w:val="23"/>
        </w:rPr>
      </w:pPr>
    </w:p>
    <w:p>
      <w:pPr>
        <w:pStyle w:val="Heading3"/>
        <w:spacing w:line="357" w:lineRule="auto" w:before="0"/>
        <w:ind w:right="93"/>
        <w:jc w:val="left"/>
      </w:pPr>
      <w:r>
        <w:rPr/>
        <w:t>有激情，能专注，一切从实际出发，才是成功的秘诀。从众信品牌诞生并开始在业内运</w:t>
      </w:r>
      <w:r>
        <w:rPr>
          <w:spacing w:val="1"/>
        </w:rPr>
        <w:t> </w:t>
      </w:r>
      <w:r>
        <w:rPr/>
        <w:t>营的二十多年以来，我们一直坚持在出境游行业深耕，围绕出境游行业不断加强队伍建设，</w:t>
      </w:r>
      <w:r>
        <w:rPr>
          <w:spacing w:val="-83"/>
        </w:rPr>
        <w:t> </w:t>
      </w:r>
      <w:r>
        <w:rPr>
          <w:spacing w:val="-83"/>
        </w:rPr>
      </w:r>
      <w:r>
        <w:rPr/>
        <w:t>不断优化产品和服务，进行渠道建设，不断提升管理水平，优化流程和提高效率，不断实施</w:t>
      </w:r>
      <w:r>
        <w:rPr>
          <w:spacing w:val="-83"/>
        </w:rPr>
        <w:t> </w:t>
      </w:r>
      <w:r>
        <w:rPr>
          <w:spacing w:val="-83"/>
        </w:rPr>
      </w:r>
      <w:r>
        <w:rPr/>
        <w:t>目的地均衡的策略和产品本地化落地。正是得益于在出境游行业的坚持和专注，我们才得以</w:t>
      </w:r>
      <w:r>
        <w:rPr>
          <w:spacing w:val="-83"/>
        </w:rPr>
        <w:t> </w:t>
      </w:r>
      <w:r>
        <w:rPr>
          <w:spacing w:val="-83"/>
        </w:rPr>
      </w:r>
      <w:r>
        <w:rPr>
          <w:spacing w:val="-2"/>
        </w:rPr>
        <w:t>巩固和加强在出境游行业中的地位和品牌影响力，才得以在消费升级的浪潮中抓住行业机遇，</w:t>
      </w:r>
      <w:r>
        <w:rPr/>
        <w:t> 在行业调整的过程中仍然实现业务的快速增长，才得以围绕出境游主业做了一些出境服务的</w:t>
      </w:r>
      <w:r>
        <w:rPr>
          <w:spacing w:val="-83"/>
        </w:rPr>
        <w:t> </w:t>
      </w:r>
      <w:r>
        <w:rPr>
          <w:spacing w:val="-83"/>
        </w:rPr>
      </w:r>
      <w:r>
        <w:rPr>
          <w:spacing w:val="-5"/>
        </w:rPr>
        <w:t>有效布局，实现了零售与批发品牌的相互独立发展，实现了从公司到集团整体的平台化运作。</w:t>
      </w:r>
    </w:p>
    <w:p>
      <w:pPr>
        <w:pStyle w:val="Heading3"/>
        <w:spacing w:line="355" w:lineRule="auto"/>
        <w:ind w:left="154" w:right="228"/>
        <w:jc w:val="both"/>
      </w:pPr>
      <w:r>
        <w:rPr/>
        <w:t>作为出境游行业首家上市的民营旅行社，在行业快速发展的同时，我们充分发挥资本平</w:t>
      </w:r>
      <w:r>
        <w:rPr>
          <w:spacing w:val="1"/>
        </w:rPr>
        <w:t> </w:t>
      </w:r>
      <w:r>
        <w:rPr/>
        <w:t>台的作用。上市以来，立即启动了与竹园的整合，三年以来的发展证明，这次整合真正发挥</w:t>
      </w:r>
      <w:r>
        <w:rPr>
          <w:spacing w:val="-83"/>
        </w:rPr>
        <w:t> </w:t>
      </w:r>
      <w:r>
        <w:rPr>
          <w:spacing w:val="-83"/>
        </w:rPr>
      </w:r>
      <w:r>
        <w:rPr/>
        <w:t>了协同作用，提高了规模优势，加强了企业的核心竞争力。同时，我们也围绕产业链上中下</w:t>
      </w:r>
      <w:r>
        <w:rPr>
          <w:spacing w:val="-83"/>
        </w:rPr>
        <w:t> </w:t>
      </w:r>
      <w:r>
        <w:rPr>
          <w:spacing w:val="-83"/>
        </w:rPr>
      </w:r>
      <w:r>
        <w:rPr>
          <w:spacing w:val="-3"/>
        </w:rPr>
        <w:t>游，做了一些布局和尝试。我们成功经受了</w:t>
      </w:r>
      <w:r>
        <w:rPr>
          <w:spacing w:val="-7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年刚上市时资本狂热带来的考验，学会了在 投资决策时考虑产业链上由近到远，资产类型上由轻到重，标的规模上由小到大，学会了平</w:t>
      </w:r>
      <w:r>
        <w:rPr>
          <w:spacing w:val="-83"/>
        </w:rPr>
        <w:t> </w:t>
      </w:r>
      <w:r>
        <w:rPr>
          <w:spacing w:val="-83"/>
        </w:rPr>
      </w:r>
      <w:r>
        <w:rPr/>
        <w:t>衡当前业绩与未来长远的需要，我们的投资也进入了良性循环。我们会更加审慎地考量我们</w:t>
      </w:r>
      <w:r>
        <w:rPr>
          <w:spacing w:val="-83"/>
        </w:rPr>
        <w:t> </w:t>
      </w:r>
      <w:r>
        <w:rPr>
          <w:spacing w:val="-83"/>
        </w:rPr>
      </w:r>
      <w:r>
        <w:rPr/>
        <w:t>的资本运作，为未来发展打下更好的基础。</w:t>
      </w:r>
    </w:p>
    <w:p>
      <w:pPr>
        <w:pStyle w:val="Heading3"/>
        <w:spacing w:line="348" w:lineRule="auto" w:before="194"/>
        <w:ind w:left="154" w:right="228"/>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年，我们成功发行了</w:t>
      </w:r>
      <w:r>
        <w:rPr>
          <w:spacing w:val="-68"/>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亿可转债，为下一步发展做好了一定的资金储备。同时，我 们着眼长远，承担了对当期业绩增速影响的压力，主动对内部管理、业务运作进行了一些积</w:t>
      </w:r>
      <w:r>
        <w:rPr>
          <w:spacing w:val="-83"/>
        </w:rPr>
        <w:t> </w:t>
      </w:r>
      <w:r>
        <w:rPr>
          <w:spacing w:val="-83"/>
        </w:rPr>
      </w:r>
      <w:r>
        <w:rPr/>
        <w:t>极调整。微云淡河汉，疏雨滴梧桐，我们对明天充满信心。</w:t>
      </w:r>
    </w:p>
    <w:p>
      <w:pPr>
        <w:pStyle w:val="Heading3"/>
        <w:spacing w:line="477" w:lineRule="auto" w:before="202"/>
        <w:ind w:left="634" w:right="93" w:firstLine="2"/>
        <w:jc w:val="left"/>
      </w:pPr>
      <w:r>
        <w:rPr>
          <w:rFonts w:ascii="楷体" w:hAnsi="楷体" w:cs="楷体" w:eastAsia="楷体" w:hint="default"/>
          <w:b/>
          <w:bCs/>
        </w:rPr>
        <w:t>机遇、挑战与对策</w:t>
      </w:r>
      <w:r>
        <w:rPr>
          <w:rFonts w:ascii="楷体" w:hAnsi="楷体" w:cs="楷体" w:eastAsia="楷体" w:hint="default"/>
          <w:b/>
          <w:bCs/>
          <w:spacing w:val="1"/>
          <w:w w:val="99"/>
        </w:rPr>
        <w:t> </w:t>
      </w:r>
      <w:r>
        <w:rPr/>
        <w:t>变是生命永恒的主题。中国正处在大变革的时代，经济快速发展，技术大爆炸，人口增</w:t>
      </w:r>
    </w:p>
    <w:p>
      <w:pPr>
        <w:spacing w:after="0" w:line="477" w:lineRule="auto"/>
        <w:jc w:val="left"/>
        <w:sectPr>
          <w:headerReference w:type="default" r:id="rId6"/>
          <w:footerReference w:type="default" r:id="rId7"/>
          <w:pgSz w:w="11910" w:h="16840"/>
          <w:pgMar w:header="877" w:footer="982" w:top="1100" w:bottom="1180" w:left="980" w:right="900"/>
          <w:pgNumType w:start="2"/>
        </w:sectPr>
      </w:pPr>
    </w:p>
    <w:p>
      <w:pPr>
        <w:spacing w:line="240" w:lineRule="auto" w:before="7"/>
        <w:rPr>
          <w:rFonts w:ascii="楷体" w:hAnsi="楷体" w:cs="楷体" w:eastAsia="楷体" w:hint="default"/>
          <w:sz w:val="25"/>
          <w:szCs w:val="25"/>
        </w:rPr>
      </w:pPr>
    </w:p>
    <w:p>
      <w:pPr>
        <w:pStyle w:val="Heading3"/>
        <w:spacing w:line="357" w:lineRule="auto" w:before="26"/>
        <w:ind w:right="148" w:firstLine="0"/>
        <w:jc w:val="both"/>
      </w:pPr>
      <w:r>
        <w:rPr/>
        <w:t>长与老龄化加快，消费升级，以及传统旅行社和线上旅游企业不同的发展过程，很多因素都</w:t>
      </w:r>
      <w:r>
        <w:rPr>
          <w:spacing w:val="-83"/>
        </w:rPr>
        <w:t> </w:t>
      </w:r>
      <w:r>
        <w:rPr>
          <w:spacing w:val="-83"/>
        </w:rPr>
      </w:r>
      <w:r>
        <w:rPr/>
        <w:t>会导致中国出境游行业可能更快走完国外出境游行业从诞生至今超过百年的旅程，并将呈现</w:t>
      </w:r>
      <w:r>
        <w:rPr>
          <w:spacing w:val="-83"/>
        </w:rPr>
        <w:t> </w:t>
      </w:r>
      <w:r>
        <w:rPr>
          <w:spacing w:val="-83"/>
        </w:rPr>
      </w:r>
      <w:r>
        <w:rPr/>
        <w:t>出独有的特征。比如出游习惯的变化，在传统跟团游快速发展的同时，定制游、自由行的发</w:t>
      </w:r>
      <w:r>
        <w:rPr>
          <w:spacing w:val="-83"/>
        </w:rPr>
        <w:t> </w:t>
      </w:r>
      <w:r>
        <w:rPr>
          <w:spacing w:val="-83"/>
        </w:rPr>
      </w:r>
      <w:r>
        <w:rPr/>
        <w:t>展更加迅速，大数据、人工智能、区块链等技术突破对旅游企业商业模式的影响，线上平台</w:t>
      </w:r>
      <w:r>
        <w:rPr>
          <w:spacing w:val="-83"/>
        </w:rPr>
        <w:t> </w:t>
      </w:r>
      <w:r>
        <w:rPr>
          <w:spacing w:val="-83"/>
        </w:rPr>
      </w:r>
      <w:r>
        <w:rPr/>
        <w:t>在发展线上业务的同时大举进军线下，这些都将构成行业对我们的挑战。与此同时，我们还</w:t>
      </w:r>
      <w:r>
        <w:rPr>
          <w:spacing w:val="-83"/>
        </w:rPr>
        <w:t> </w:t>
      </w:r>
      <w:r>
        <w:rPr>
          <w:spacing w:val="-83"/>
        </w:rPr>
      </w:r>
      <w:r>
        <w:rPr/>
        <w:t>将面临自身的挑战，比如如何继续做大批发，如何扩展零售渠道，如何在企业规模扩张的同</w:t>
      </w:r>
      <w:r>
        <w:rPr>
          <w:spacing w:val="-83"/>
        </w:rPr>
        <w:t> </w:t>
      </w:r>
      <w:r>
        <w:rPr>
          <w:spacing w:val="-83"/>
        </w:rPr>
      </w:r>
      <w:r>
        <w:rPr/>
        <w:t>时持续保持团队的活力和战斗力。上述种种，都是我们不容忽视的问题。</w:t>
      </w:r>
    </w:p>
    <w:p>
      <w:pPr>
        <w:pStyle w:val="Heading3"/>
        <w:spacing w:line="357" w:lineRule="auto"/>
        <w:ind w:right="148"/>
        <w:jc w:val="both"/>
      </w:pPr>
      <w:r>
        <w:rPr/>
        <w:t>坐观垂钓者，徒有羡鱼情。在面对挑战的时候，我们需要审慎地看待所处的大环境，检</w:t>
      </w:r>
      <w:r>
        <w:rPr>
          <w:spacing w:val="1"/>
        </w:rPr>
        <w:t> </w:t>
      </w:r>
      <w:r>
        <w:rPr/>
        <w:t>视自身，坚持已经做对的事情，补上尚有欠缺的短板，不断发掘企业的价值来源，把握未来</w:t>
      </w:r>
      <w:r>
        <w:rPr>
          <w:spacing w:val="-83"/>
        </w:rPr>
        <w:t> </w:t>
      </w:r>
      <w:r>
        <w:rPr>
          <w:spacing w:val="-83"/>
        </w:rPr>
      </w:r>
      <w:r>
        <w:rPr/>
        <w:t>的核心方向。</w:t>
      </w:r>
    </w:p>
    <w:p>
      <w:pPr>
        <w:pStyle w:val="Heading3"/>
        <w:spacing w:line="357" w:lineRule="auto"/>
        <w:ind w:right="148"/>
        <w:jc w:val="both"/>
      </w:pPr>
      <w:r>
        <w:rPr/>
        <w:t>幸运的是，我们不需要像房地产或其他周期性行业去分析出境游目前是钻石、黄金还是</w:t>
      </w:r>
      <w:r>
        <w:rPr>
          <w:spacing w:val="1"/>
        </w:rPr>
        <w:t> </w:t>
      </w:r>
      <w:r>
        <w:rPr/>
        <w:t>白银时代。中国巨大的人口基数，偏低的出境游渗透率，消费升级不可阻挡的趋势，为出境</w:t>
      </w:r>
      <w:r>
        <w:rPr>
          <w:spacing w:val="-83"/>
        </w:rPr>
        <w:t> </w:t>
      </w:r>
      <w:r>
        <w:rPr>
          <w:spacing w:val="-83"/>
        </w:rPr>
      </w:r>
      <w:r>
        <w:rPr>
          <w:spacing w:val="-5"/>
        </w:rPr>
        <w:t>游发展提供了扎实的基础。而出境游行业仍然分散，产业链各环节均在整合，集中正在发生。</w:t>
      </w:r>
      <w:r>
        <w:rPr/>
        <w:t> 这些，都为我们发展提供了很好的环境。</w:t>
      </w:r>
    </w:p>
    <w:p>
      <w:pPr>
        <w:pStyle w:val="Heading3"/>
        <w:spacing w:line="352" w:lineRule="auto"/>
        <w:ind w:left="154" w:right="148"/>
        <w:jc w:val="both"/>
      </w:pPr>
      <w:r>
        <w:rPr>
          <w:spacing w:val="-5"/>
        </w:rPr>
        <w:t>我们将在不断优化传统跟团游产品的同时，继续做大做强定制游，发展</w:t>
      </w:r>
      <w:r>
        <w:rPr>
          <w:rFonts w:ascii="Times New Roman" w:hAnsi="Times New Roman" w:cs="Times New Roman" w:eastAsia="Times New Roman" w:hint="default"/>
          <w:spacing w:val="-5"/>
        </w:rPr>
        <w:t>“</w:t>
      </w:r>
      <w:r>
        <w:rPr>
          <w:spacing w:val="-5"/>
        </w:rPr>
        <w:t>一家一团</w:t>
      </w:r>
      <w:r>
        <w:rPr>
          <w:rFonts w:ascii="Times New Roman" w:hAnsi="Times New Roman" w:cs="Times New Roman" w:eastAsia="Times New Roman" w:hint="default"/>
          <w:spacing w:val="-5"/>
        </w:rPr>
        <w:t>”</w:t>
      </w:r>
      <w:r>
        <w:rPr>
          <w:spacing w:val="-5"/>
        </w:rPr>
        <w:t>产品，</w:t>
      </w:r>
      <w:r>
        <w:rPr/>
        <w:t> 利用技术手段提高服务质量和操作效率，降低运营成本，真正做到以客户驱动来开发产品和</w:t>
      </w:r>
      <w:r>
        <w:rPr>
          <w:spacing w:val="-83"/>
        </w:rPr>
        <w:t> </w:t>
      </w:r>
      <w:r>
        <w:rPr>
          <w:spacing w:val="-83"/>
        </w:rPr>
      </w:r>
      <w:r>
        <w:rPr/>
        <w:t>提供服务，更精准地满足客户多样化需求。我们将坚持已经开始的零售渠道拓展的尝试，平</w:t>
      </w:r>
      <w:r>
        <w:rPr>
          <w:spacing w:val="-83"/>
        </w:rPr>
        <w:t> </w:t>
      </w:r>
      <w:r>
        <w:rPr>
          <w:spacing w:val="-83"/>
        </w:rPr>
      </w:r>
      <w:r>
        <w:rPr>
          <w:spacing w:val="-5"/>
        </w:rPr>
        <w:t>衡好批发与零售的关系。渠道归渠道，产品归产品。我们将坚持系统地进行上游资源的布局，</w:t>
      </w:r>
      <w:r>
        <w:rPr/>
        <w:t> 提升服务质量，降低成本，获取更多收益。我们也将秉承开放共赢的心态，与业内外可能的</w:t>
      </w:r>
      <w:r>
        <w:rPr>
          <w:spacing w:val="-83"/>
        </w:rPr>
        <w:t> </w:t>
      </w:r>
      <w:r>
        <w:rPr>
          <w:spacing w:val="-83"/>
        </w:rPr>
      </w:r>
      <w:r>
        <w:rPr/>
        <w:t>伙伴进行各种有益的合作尝试。</w:t>
      </w:r>
    </w:p>
    <w:p>
      <w:pPr>
        <w:pStyle w:val="Heading3"/>
        <w:spacing w:line="357" w:lineRule="auto" w:before="197"/>
        <w:ind w:left="154" w:right="188"/>
        <w:jc w:val="both"/>
      </w:pPr>
      <w:r>
        <w:rPr/>
        <w:t>每一根线都有生命，经年生长，日渐成熟，最终布料才能呈现它曾深藏不露的美丽。企 业发展其实也很简单，在对的阶段做对的事情，坚持下去，就会有好的未来。不断做大做强 出境游主业并从旅游服务到旅行生活是我们的发展路径，将业务拓展至全国，成为世界领先 的旅游企业是我们的愿景。未来，众信人将不断摸索出境游发展的底层逻辑和发展规律，平 衡好短期与长期，冒进与保守的关系，以更加坚定的信念，更加开放的胸怀，更加努力的工 作，向着既定的目标前行！</w:t>
      </w:r>
    </w:p>
    <w:p>
      <w:pPr>
        <w:spacing w:after="0" w:line="357" w:lineRule="auto"/>
        <w:jc w:val="both"/>
        <w:sectPr>
          <w:pgSz w:w="11910" w:h="16840"/>
          <w:pgMar w:header="877" w:footer="982" w:top="1100" w:bottom="1180" w:left="980" w:right="980"/>
        </w:sectPr>
      </w:pPr>
    </w:p>
    <w:p>
      <w:pPr>
        <w:spacing w:line="240" w:lineRule="auto" w:before="0"/>
        <w:rPr>
          <w:rFonts w:ascii="楷体" w:hAnsi="楷体" w:cs="楷体" w:eastAsia="楷体" w:hint="default"/>
          <w:sz w:val="20"/>
          <w:szCs w:val="20"/>
        </w:rPr>
      </w:pPr>
    </w:p>
    <w:p>
      <w:pPr>
        <w:pStyle w:val="Heading1"/>
        <w:spacing w:line="240" w:lineRule="auto" w:before="175"/>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6" w:firstLine="560"/>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61"/>
        <w:ind w:left="153" w:right="246" w:firstLine="560"/>
        <w:jc w:val="both"/>
        <w:rPr>
          <w:rFonts w:ascii="宋体" w:hAnsi="宋体" w:cs="宋体" w:eastAsia="宋体" w:hint="default"/>
          <w:sz w:val="28"/>
          <w:szCs w:val="28"/>
        </w:rPr>
      </w:pPr>
      <w:r>
        <w:rPr>
          <w:rFonts w:ascii="宋体" w:hAnsi="宋体" w:cs="宋体" w:eastAsia="宋体" w:hint="default"/>
          <w:b/>
          <w:bCs/>
          <w:spacing w:val="4"/>
          <w:w w:val="95"/>
          <w:sz w:val="28"/>
          <w:szCs w:val="28"/>
        </w:rPr>
        <w:t>公司负责人曹建、主管会计工作负责人贺武及会计机构负责人（会计主管</w:t>
      </w:r>
      <w:r>
        <w:rPr>
          <w:rFonts w:ascii="宋体" w:hAnsi="宋体" w:cs="宋体" w:eastAsia="宋体" w:hint="default"/>
          <w:b/>
          <w:bCs/>
          <w:spacing w:val="4"/>
          <w:w w:val="99"/>
          <w:sz w:val="28"/>
          <w:szCs w:val="28"/>
        </w:rPr>
        <w:t> </w:t>
      </w:r>
      <w:r>
        <w:rPr>
          <w:rFonts w:ascii="宋体" w:hAnsi="宋体" w:cs="宋体" w:eastAsia="宋体" w:hint="default"/>
          <w:b/>
          <w:bCs/>
          <w:sz w:val="28"/>
          <w:szCs w:val="28"/>
        </w:rPr>
        <w:t>人员）李海涛声明：保证年度报告中财务报告的真实、准确、完整。</w:t>
      </w:r>
      <w:r>
        <w:rPr>
          <w:rFonts w:ascii="宋体" w:hAnsi="宋体" w:cs="宋体" w:eastAsia="宋体" w:hint="default"/>
          <w:sz w:val="28"/>
          <w:szCs w:val="28"/>
        </w:rPr>
      </w:r>
    </w:p>
    <w:p>
      <w:pPr>
        <w:spacing w:line="408" w:lineRule="auto" w:before="61"/>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本报告中如有涉及未来计划、业绩预测等方面的内容，均不构成本公司对</w:t>
      </w:r>
      <w:r>
        <w:rPr>
          <w:rFonts w:ascii="宋体" w:hAnsi="宋体" w:cs="宋体" w:eastAsia="宋体" w:hint="default"/>
          <w:sz w:val="28"/>
          <w:szCs w:val="28"/>
        </w:rPr>
      </w:r>
    </w:p>
    <w:p>
      <w:pPr>
        <w:spacing w:line="400" w:lineRule="auto" w:before="61"/>
        <w:ind w:left="714" w:right="0" w:hanging="561"/>
        <w:jc w:val="left"/>
        <w:rPr>
          <w:rFonts w:ascii="宋体" w:hAnsi="宋体" w:cs="宋体" w:eastAsia="宋体" w:hint="default"/>
          <w:sz w:val="28"/>
          <w:szCs w:val="28"/>
        </w:rPr>
      </w:pPr>
      <w:r>
        <w:rPr>
          <w:rFonts w:ascii="宋体" w:hAnsi="宋体" w:cs="宋体" w:eastAsia="宋体" w:hint="default"/>
          <w:b/>
          <w:bCs/>
          <w:sz w:val="28"/>
          <w:szCs w:val="28"/>
        </w:rPr>
        <w:t>投资者的实质承诺，敬请广大投资者注意投资风险。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spacing w:val="1"/>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、市场竞争加剧风险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近年来，我国旅游业快速发展，产业规模不断扩大，产业体系日趋完善，</w:t>
      </w:r>
      <w:r>
        <w:rPr>
          <w:rFonts w:ascii="宋体" w:hAnsi="宋体" w:cs="宋体" w:eastAsia="宋体" w:hint="default"/>
          <w:sz w:val="28"/>
          <w:szCs w:val="28"/>
        </w:rPr>
      </w:r>
    </w:p>
    <w:p>
      <w:pPr>
        <w:spacing w:line="403" w:lineRule="auto" w:before="70"/>
        <w:ind w:left="153" w:right="0" w:firstLine="0"/>
        <w:jc w:val="left"/>
        <w:rPr>
          <w:rFonts w:ascii="宋体" w:hAnsi="宋体" w:cs="宋体" w:eastAsia="宋体" w:hint="default"/>
          <w:sz w:val="28"/>
          <w:szCs w:val="28"/>
        </w:rPr>
      </w:pPr>
      <w:r>
        <w:rPr>
          <w:rFonts w:ascii="宋体" w:hAnsi="宋体" w:cs="宋体" w:eastAsia="宋体" w:hint="default"/>
          <w:b/>
          <w:bCs/>
          <w:spacing w:val="-1"/>
          <w:w w:val="95"/>
          <w:sz w:val="28"/>
          <w:szCs w:val="28"/>
        </w:rPr>
        <w:t>已成为我国第三产业中的重要支柱产业。我国出境旅游人次在近年来快速增长，</w:t>
      </w:r>
      <w:r>
        <w:rPr>
          <w:rFonts w:ascii="宋体" w:hAnsi="宋体" w:cs="宋体" w:eastAsia="宋体" w:hint="default"/>
          <w:b/>
          <w:bCs/>
          <w:spacing w:val="45"/>
          <w:w w:val="95"/>
          <w:sz w:val="28"/>
          <w:szCs w:val="28"/>
        </w:rPr>
        <w:t> </w:t>
      </w:r>
      <w:r>
        <w:rPr>
          <w:rFonts w:ascii="宋体" w:hAnsi="宋体" w:cs="宋体" w:eastAsia="宋体" w:hint="default"/>
          <w:b/>
          <w:bCs/>
          <w:spacing w:val="45"/>
          <w:w w:val="95"/>
          <w:sz w:val="28"/>
          <w:szCs w:val="28"/>
        </w:rPr>
      </w:r>
      <w:r>
        <w:rPr>
          <w:rFonts w:ascii="宋体" w:hAnsi="宋体" w:cs="宋体" w:eastAsia="宋体" w:hint="default"/>
          <w:b/>
          <w:bCs/>
          <w:sz w:val="28"/>
          <w:szCs w:val="28"/>
        </w:rPr>
        <w:t>出境消费逐年递增，</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年中国内地公民出境旅游达</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1.31</w:t>
      </w:r>
      <w:r>
        <w:rPr>
          <w:rFonts w:ascii="Times New Roman" w:hAnsi="Times New Roman" w:cs="Times New Roman" w:eastAsia="Times New Roman" w:hint="default"/>
          <w:b/>
          <w:bCs/>
          <w:spacing w:val="-8"/>
          <w:sz w:val="28"/>
          <w:szCs w:val="28"/>
        </w:rPr>
        <w:t> </w:t>
      </w:r>
      <w:r>
        <w:rPr>
          <w:rFonts w:ascii="宋体" w:hAnsi="宋体" w:cs="宋体" w:eastAsia="宋体" w:hint="default"/>
          <w:b/>
          <w:bCs/>
          <w:spacing w:val="-3"/>
          <w:sz w:val="28"/>
          <w:szCs w:val="28"/>
        </w:rPr>
        <w:t>亿人次。行业关注度</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提高，使得旅游行业，特别是出境旅游行业成为产业投资的热点，促进旅游行</w:t>
      </w:r>
      <w:r>
        <w:rPr>
          <w:rFonts w:ascii="宋体" w:hAnsi="宋体" w:cs="宋体" w:eastAsia="宋体" w:hint="default"/>
          <w:b/>
          <w:bCs/>
          <w:spacing w:val="3"/>
          <w:w w:val="99"/>
          <w:sz w:val="28"/>
          <w:szCs w:val="28"/>
        </w:rPr>
        <w:t> </w:t>
      </w:r>
      <w:r>
        <w:rPr>
          <w:rFonts w:ascii="宋体" w:hAnsi="宋体" w:cs="宋体" w:eastAsia="宋体" w:hint="default"/>
          <w:b/>
          <w:bCs/>
          <w:spacing w:val="3"/>
          <w:sz w:val="28"/>
          <w:szCs w:val="28"/>
        </w:rPr>
        <w:t>业不断提升线上线下的应用功能和服务水平，行业的整合和演变加速，市场竞</w:t>
      </w:r>
      <w:r>
        <w:rPr>
          <w:rFonts w:ascii="宋体" w:hAnsi="宋体" w:cs="宋体" w:eastAsia="宋体" w:hint="default"/>
          <w:b/>
          <w:bCs/>
          <w:spacing w:val="3"/>
          <w:w w:val="99"/>
          <w:sz w:val="28"/>
          <w:szCs w:val="28"/>
        </w:rPr>
        <w:t> </w:t>
      </w:r>
      <w:r>
        <w:rPr>
          <w:rFonts w:ascii="宋体" w:hAnsi="宋体" w:cs="宋体" w:eastAsia="宋体" w:hint="default"/>
          <w:b/>
          <w:bCs/>
          <w:sz w:val="28"/>
          <w:szCs w:val="28"/>
        </w:rPr>
        <w:t>争日趋激烈。</w:t>
      </w:r>
      <w:r>
        <w:rPr>
          <w:rFonts w:ascii="宋体" w:hAnsi="宋体" w:cs="宋体" w:eastAsia="宋体" w:hint="default"/>
          <w:sz w:val="28"/>
          <w:szCs w:val="28"/>
        </w:rPr>
      </w:r>
    </w:p>
    <w:p>
      <w:pPr>
        <w:spacing w:line="386" w:lineRule="auto" w:before="67"/>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、服务质量控制风险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旅游业直接面向游客，服务具有极为重要的地位。公司作为业内领先的出</w:t>
      </w:r>
      <w:r>
        <w:rPr>
          <w:rFonts w:ascii="宋体" w:hAnsi="宋体" w:cs="宋体" w:eastAsia="宋体" w:hint="default"/>
          <w:sz w:val="28"/>
          <w:szCs w:val="28"/>
        </w:rPr>
      </w:r>
    </w:p>
    <w:p>
      <w:pPr>
        <w:spacing w:line="408" w:lineRule="auto" w:before="87"/>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境旅游运营商，在服务体系方面，通过制定严格的服务质量控制标准、建立完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善的质量监督机制和反馈渠道，不断提升服务质量，提高顾客满意度，取得了</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877" w:footer="982" w:top="1100" w:bottom="1180" w:left="980" w:right="880"/>
        </w:sectPr>
      </w:pPr>
    </w:p>
    <w:p>
      <w:pPr>
        <w:spacing w:line="240" w:lineRule="auto" w:before="12"/>
        <w:rPr>
          <w:rFonts w:ascii="宋体" w:hAnsi="宋体" w:cs="宋体" w:eastAsia="宋体" w:hint="default"/>
          <w:b/>
          <w:bCs/>
          <w:sz w:val="29"/>
          <w:szCs w:val="29"/>
        </w:rPr>
      </w:pPr>
    </w:p>
    <w:p>
      <w:pPr>
        <w:spacing w:line="408" w:lineRule="auto" w:before="13"/>
        <w:ind w:left="153" w:right="1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良好效果。但由于客观环境的多变性、游客偏好的多样性、极端天气变化的偶</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发性以及不同领队素质和能力的差异性等多种因素的影响，将有可能发生游客</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与本公司之间的服务纠纷。如果本公司不能有效地保证服务质量、不断优化产</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5"/>
          <w:w w:val="95"/>
          <w:sz w:val="28"/>
          <w:szCs w:val="28"/>
        </w:rPr>
        <w:t>品和服务、不能快速有效地解决纠纷，则会对公司的品牌和业务产生不利影响。</w:t>
      </w:r>
      <w:r>
        <w:rPr>
          <w:rFonts w:ascii="宋体" w:hAnsi="宋体" w:cs="宋体" w:eastAsia="宋体" w:hint="default"/>
          <w:sz w:val="28"/>
          <w:szCs w:val="28"/>
        </w:rPr>
      </w:r>
    </w:p>
    <w:p>
      <w:pPr>
        <w:spacing w:line="386" w:lineRule="auto" w:before="61"/>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、不可抗力风险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旅游行业受自然、政治、经济等因素的影响较大。本公司主要经营出境游</w:t>
      </w:r>
      <w:r>
        <w:rPr>
          <w:rFonts w:ascii="宋体" w:hAnsi="宋体" w:cs="宋体" w:eastAsia="宋体" w:hint="default"/>
          <w:sz w:val="28"/>
          <w:szCs w:val="28"/>
        </w:rPr>
      </w:r>
    </w:p>
    <w:p>
      <w:pPr>
        <w:spacing w:line="408" w:lineRule="auto" w:before="87"/>
        <w:ind w:left="153" w:right="1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业务，自然灾害、各国签证政策、目的地政治局势不稳定、暴恐、罢工、流行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性疾病等凡是影响到游客人身财产安全的事件，都将会影响游客的外出旅游选</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择，甚至直接导致该目的地不适合旅游，从而影响公司业绩。</w:t>
      </w:r>
      <w:r>
        <w:rPr>
          <w:rFonts w:ascii="宋体" w:hAnsi="宋体" w:cs="宋体" w:eastAsia="宋体" w:hint="default"/>
          <w:sz w:val="28"/>
          <w:szCs w:val="28"/>
        </w:rPr>
      </w:r>
    </w:p>
    <w:p>
      <w:pPr>
        <w:spacing w:line="386" w:lineRule="auto" w:before="61"/>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、汇率变动风险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本公司主要经营出境旅游业务，公司的旅游服务活动大都发生在境外，主</w:t>
      </w:r>
      <w:r>
        <w:rPr>
          <w:rFonts w:ascii="宋体" w:hAnsi="宋体" w:cs="宋体" w:eastAsia="宋体" w:hint="default"/>
          <w:sz w:val="28"/>
          <w:szCs w:val="28"/>
        </w:rPr>
      </w:r>
    </w:p>
    <w:p>
      <w:pPr>
        <w:spacing w:line="408" w:lineRule="auto" w:before="87"/>
        <w:ind w:left="153" w:right="1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要以人民币对客户进行报价收费，以美元、欧元等外汇向境外合作伙伴进行资</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源采购，可能因人民币汇率变动导致公司采购成本出现变化。另汇率波动会影</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响公司产品价格与游客的出行意愿，将对那些对价格敏感性较高的客户造成一</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定的影响。因而汇率的波动将会对公司的收入、利润构成影响。</w:t>
      </w:r>
      <w:r>
        <w:rPr>
          <w:rFonts w:ascii="宋体" w:hAnsi="宋体" w:cs="宋体" w:eastAsia="宋体" w:hint="default"/>
          <w:sz w:val="28"/>
          <w:szCs w:val="28"/>
        </w:rPr>
      </w:r>
    </w:p>
    <w:p>
      <w:pPr>
        <w:spacing w:line="386" w:lineRule="auto" w:before="61"/>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、收购整合风险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为实现公司的战略目标，公司存在一些跨国并购及跨地区并购。各并购对</w:t>
      </w:r>
      <w:r>
        <w:rPr>
          <w:rFonts w:ascii="宋体" w:hAnsi="宋体" w:cs="宋体" w:eastAsia="宋体" w:hint="default"/>
          <w:sz w:val="28"/>
          <w:szCs w:val="28"/>
        </w:rPr>
      </w:r>
    </w:p>
    <w:p>
      <w:pPr>
        <w:spacing w:line="408" w:lineRule="auto" w:before="87"/>
        <w:ind w:left="153" w:right="1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象在保持独立运营的基础上发挥各自的业务优势与公司进行业务对接、人员融</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合，共同做大做强；从公司整体角度看，各并购对象和公司需在资源上进行对</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接协作，在企业文化、管理模式等方面进行融合，能否顺利实现整合具有不确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定性，整合过程中若公司未能及时建立起与之相适应的文化体制、组织模式和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管理制度，可能不能达到并购的预期收益甚至会对各并购对象的经营造成负面</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877" w:footer="982" w:top="1100" w:bottom="1180" w:left="980" w:right="980"/>
        </w:sectPr>
      </w:pPr>
    </w:p>
    <w:p>
      <w:pPr>
        <w:spacing w:line="240" w:lineRule="auto" w:before="12"/>
        <w:rPr>
          <w:rFonts w:ascii="宋体" w:hAnsi="宋体" w:cs="宋体" w:eastAsia="宋体" w:hint="default"/>
          <w:b/>
          <w:bCs/>
          <w:sz w:val="29"/>
          <w:szCs w:val="29"/>
        </w:rPr>
      </w:pPr>
    </w:p>
    <w:p>
      <w:pPr>
        <w:spacing w:before="13"/>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影响，从而给公司带来收购整合风险。</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386" w:lineRule="auto" w:before="0"/>
        <w:ind w:left="71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、商誉减值风险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公司通过一系列的并购实现处延扩展，形成非同一控制下企业合并，在合</w:t>
      </w:r>
      <w:r>
        <w:rPr>
          <w:rFonts w:ascii="宋体" w:hAnsi="宋体" w:cs="宋体" w:eastAsia="宋体" w:hint="default"/>
          <w:sz w:val="28"/>
          <w:szCs w:val="28"/>
        </w:rPr>
      </w:r>
    </w:p>
    <w:p>
      <w:pPr>
        <w:spacing w:line="408" w:lineRule="auto" w:before="87"/>
        <w:ind w:left="153" w:right="25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并资产负债表将形成大额商誉。根据《企业会计准则》规定，交易形成的商誉</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不作摊销处理，但需在未来每年年度终了时做减值测试。如果未来境外旅游整</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体萎靡、各并购对象并购后的协同效应未及预期或其他原因导致相关公司未来</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经营状况未达预期，则公司存在商誉减值风险，从而对上市公司当期损益造成</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不利影响，提请投资者注意风险。</w:t>
      </w:r>
      <w:r>
        <w:rPr>
          <w:rFonts w:ascii="宋体" w:hAnsi="宋体" w:cs="宋体" w:eastAsia="宋体" w:hint="default"/>
          <w:sz w:val="28"/>
          <w:szCs w:val="28"/>
        </w:rPr>
      </w:r>
    </w:p>
    <w:p>
      <w:pPr>
        <w:spacing w:before="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公司经本次董事会审计通过的利润分配预案为：以 </w:t>
      </w:r>
      <w:r>
        <w:rPr>
          <w:rFonts w:ascii="Times New Roman" w:hAnsi="Times New Roman" w:cs="Times New Roman" w:eastAsia="Times New Roman" w:hint="default"/>
          <w:b/>
          <w:bCs/>
          <w:sz w:val="28"/>
          <w:szCs w:val="28"/>
        </w:rPr>
        <w:t>849,642,820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3" w:right="253" w:hanging="1"/>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0.28</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877" w:footer="982" w:top="110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426" w:right="342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82"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r>
            <w:r>
              <w:rPr>
                <w:spacing w:val="-21"/>
              </w:rPr>
              <w:t> </w:t>
            </w:r>
            <w:r>
              <w:rPr/>
              <w:t>重要提示、目录和释义</w:t>
            </w:r>
            <w:r>
              <w:rPr>
                <w:rFonts w:ascii="Times New Roman" w:hAnsi="Times New Roman" w:cs="Times New Roman" w:eastAsia="Times New Roman" w:hint="default"/>
              </w:rPr>
              <w:tab/>
              <w:t>9</w:t>
            </w:r>
          </w:hyperlink>
        </w:p>
        <w:p>
          <w:pPr>
            <w:pStyle w:val="TOC1"/>
            <w:tabs>
              <w:tab w:pos="9781" w:val="right" w:leader="dot"/>
            </w:tabs>
            <w:spacing w:line="240" w:lineRule="auto"/>
            <w:ind w:left="154" w:right="0"/>
            <w:jc w:val="left"/>
            <w:rPr>
              <w:rFonts w:ascii="Times New Roman" w:hAnsi="Times New Roman" w:cs="Times New Roman" w:eastAsia="Times New Roman" w:hint="default"/>
            </w:rPr>
          </w:pPr>
          <w:hyperlink w:history="true" w:anchor="_TOC_250010">
            <w:r>
              <w:rPr/>
              <w:t>第二节</w:t>
            </w:r>
            <w:r>
              <w:rPr>
                <w:spacing w:val="-21"/>
              </w:rPr>
              <w:t> </w:t>
            </w:r>
            <w:r>
              <w:rPr/>
              <w:t>公司简介和主要财务指标</w:t>
            </w:r>
            <w:r>
              <w:rPr>
                <w:rFonts w:ascii="Times New Roman" w:hAnsi="Times New Roman" w:cs="Times New Roman" w:eastAsia="Times New Roman" w:hint="default"/>
              </w:rPr>
              <w:tab/>
              <w:t>13</w:t>
            </w:r>
          </w:hyperlink>
        </w:p>
        <w:p>
          <w:pPr>
            <w:pStyle w:val="TOC1"/>
            <w:tabs>
              <w:tab w:pos="9781" w:val="right" w:leader="dot"/>
            </w:tabs>
            <w:spacing w:line="240" w:lineRule="auto"/>
            <w:ind w:left="154" w:right="0"/>
            <w:jc w:val="left"/>
            <w:rPr>
              <w:rFonts w:ascii="Times New Roman" w:hAnsi="Times New Roman" w:cs="Times New Roman" w:eastAsia="Times New Roman" w:hint="default"/>
            </w:rPr>
          </w:pPr>
          <w:hyperlink w:history="true" w:anchor="_TOC_250009">
            <w:r>
              <w:rPr/>
              <w:t>第三节</w:t>
            </w:r>
            <w:r>
              <w:rPr>
                <w:spacing w:val="-21"/>
              </w:rPr>
              <w:t> </w:t>
            </w:r>
            <w:r>
              <w:rPr/>
              <w:t>公司业务概要</w:t>
            </w:r>
            <w:r>
              <w:rPr>
                <w:rFonts w:ascii="Times New Roman" w:hAnsi="Times New Roman" w:cs="Times New Roman" w:eastAsia="Times New Roman" w:hint="default"/>
              </w:rPr>
              <w:tab/>
              <w:t>16</w:t>
            </w:r>
          </w:hyperlink>
        </w:p>
        <w:p>
          <w:pPr>
            <w:pStyle w:val="TOC1"/>
            <w:tabs>
              <w:tab w:pos="9781" w:val="right" w:leader="dot"/>
            </w:tabs>
            <w:spacing w:line="240" w:lineRule="auto"/>
            <w:ind w:left="154" w:right="0"/>
            <w:jc w:val="left"/>
            <w:rPr>
              <w:rFonts w:ascii="Times New Roman" w:hAnsi="Times New Roman" w:cs="Times New Roman" w:eastAsia="Times New Roman" w:hint="default"/>
            </w:rPr>
          </w:pPr>
          <w:hyperlink w:history="true" w:anchor="_TOC_250008">
            <w:r>
              <w:rPr/>
              <w:t>第四节</w:t>
            </w:r>
            <w:r>
              <w:rPr>
                <w:spacing w:val="-21"/>
              </w:rPr>
              <w:t> </w:t>
            </w:r>
            <w:r>
              <w:rPr/>
              <w:t>经营情况讨论与分析</w:t>
            </w:r>
            <w:r>
              <w:rPr>
                <w:rFonts w:ascii="Times New Roman" w:hAnsi="Times New Roman" w:cs="Times New Roman" w:eastAsia="Times New Roman" w:hint="default"/>
              </w:rPr>
              <w:tab/>
              <w:t>33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7">
            <w:r>
              <w:rPr/>
              <w:t>第五节</w:t>
            </w:r>
            <w:r>
              <w:rPr>
                <w:spacing w:val="-21"/>
              </w:rPr>
              <w:t> </w:t>
            </w:r>
            <w:r>
              <w:rPr/>
              <w:t>重要事项</w:t>
            </w:r>
            <w:r>
              <w:rPr>
                <w:rFonts w:ascii="Times New Roman" w:hAnsi="Times New Roman" w:cs="Times New Roman" w:eastAsia="Times New Roman" w:hint="default"/>
              </w:rPr>
              <w:tab/>
              <w:t>63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第六节</w:t>
            </w:r>
            <w:r>
              <w:rPr>
                <w:spacing w:val="-21"/>
              </w:rPr>
              <w:t> </w:t>
            </w:r>
            <w:r>
              <w:rPr/>
              <w:t>股份变动及股东情况</w:t>
            </w:r>
            <w:r>
              <w:rPr>
                <w:rFonts w:ascii="Times New Roman" w:hAnsi="Times New Roman" w:cs="Times New Roman" w:eastAsia="Times New Roman" w:hint="default"/>
              </w:rPr>
              <w:tab/>
              <w:t>75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21"/>
              </w:rPr>
              <w:t> </w:t>
            </w:r>
            <w:r>
              <w:rPr/>
              <w:t>优先股相关情况</w:t>
            </w:r>
            <w:r>
              <w:rPr>
                <w:rFonts w:ascii="Times New Roman" w:hAnsi="Times New Roman" w:cs="Times New Roman" w:eastAsia="Times New Roman" w:hint="default"/>
              </w:rPr>
              <w:tab/>
              <w:t>75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第八节</w:t>
            </w:r>
            <w:r>
              <w:rPr>
                <w:spacing w:val="-21"/>
              </w:rPr>
              <w:t> </w:t>
            </w:r>
            <w:r>
              <w:rPr/>
              <w:t>董事、监事、高级管理人员和员工情况</w:t>
            </w:r>
            <w:r>
              <w:rPr>
                <w:rFonts w:ascii="Times New Roman" w:hAnsi="Times New Roman" w:cs="Times New Roman" w:eastAsia="Times New Roman" w:hint="default"/>
              </w:rPr>
              <w:tab/>
              <w:t>76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3">
            <w:r>
              <w:rPr/>
              <w:t>第九节</w:t>
            </w:r>
            <w:r>
              <w:rPr>
                <w:spacing w:val="-21"/>
              </w:rPr>
              <w:t> </w:t>
            </w:r>
            <w:r>
              <w:rPr/>
              <w:t>公司治理</w:t>
            </w:r>
            <w:r>
              <w:rPr>
                <w:rFonts w:ascii="Times New Roman" w:hAnsi="Times New Roman" w:cs="Times New Roman" w:eastAsia="Times New Roman" w:hint="default"/>
              </w:rPr>
              <w:tab/>
              <w:t>83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21"/>
              </w:rPr>
              <w:t> </w:t>
            </w:r>
            <w:r>
              <w:rPr/>
              <w:t>公司债券相关情况</w:t>
            </w:r>
            <w:r>
              <w:rPr>
                <w:rFonts w:ascii="Times New Roman" w:hAnsi="Times New Roman" w:cs="Times New Roman" w:eastAsia="Times New Roman" w:hint="default"/>
              </w:rPr>
              <w:tab/>
              <w:t>94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1">
            <w:r>
              <w:rPr/>
              <w:t>第十一节</w:t>
            </w:r>
            <w:r>
              <w:rPr>
                <w:spacing w:val="-21"/>
              </w:rPr>
              <w:t> </w:t>
            </w:r>
            <w:r>
              <w:rPr/>
              <w:t>财务报告</w:t>
            </w:r>
            <w:r>
              <w:rPr>
                <w:rFonts w:ascii="Times New Roman" w:hAnsi="Times New Roman" w:cs="Times New Roman" w:eastAsia="Times New Roman" w:hint="default"/>
              </w:rPr>
              <w:tab/>
              <w:t>98</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第十二节</w:t>
            </w:r>
            <w:r>
              <w:rPr>
                <w:spacing w:val="-21"/>
              </w:rPr>
              <w:t> </w:t>
            </w:r>
            <w:r>
              <w:rPr/>
              <w:t>备查文件目录</w:t>
            </w:r>
            <w:r>
              <w:rPr>
                <w:rFonts w:ascii="Times New Roman" w:hAnsi="Times New Roman" w:cs="Times New Roman" w:eastAsia="Times New Roman" w:hint="default"/>
              </w:rPr>
              <w:tab/>
              <w:t>200</w:t>
            </w:r>
          </w:hyperlink>
        </w:p>
        <w:p>
          <w:pPr/>
          <w:r>
            <w:fldChar w:fldCharType="end"/>
          </w:r>
        </w:p>
      </w:sdtContent>
    </w:sdt>
    <w:p>
      <w:pPr>
        <w:spacing w:after="0"/>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4"/>
        <w:rPr>
          <w:rFonts w:ascii="Times New Roman" w:hAnsi="Times New Roman" w:cs="Times New Roman" w:eastAsia="Times New Roman" w:hint="default"/>
          <w:sz w:val="29"/>
          <w:szCs w:val="29"/>
        </w:rPr>
      </w:pPr>
    </w:p>
    <w:p>
      <w:pPr>
        <w:spacing w:before="0"/>
        <w:ind w:left="3426" w:right="342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0" w:right="158" w:firstLine="0"/>
        <w:jc w:val="right"/>
        <w:rPr>
          <w:rFonts w:ascii="宋体" w:hAnsi="宋体" w:cs="宋体" w:eastAsia="宋体" w:hint="default"/>
          <w:sz w:val="18"/>
          <w:szCs w:val="18"/>
        </w:rPr>
      </w:pPr>
      <w:r>
        <w:rPr/>
        <w:pict>
          <v:shape style="position:absolute;margin-left:56.459999pt;margin-top:-177.047958pt;width:479.2pt;height:591.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公司、本公司、众信旅游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公司根据市场需求，采购旅游交通、景点、酒店、餐厅等上游资源， 事先设计好旅游产品，通过全国范围内的经营出境游业务的旅行社， </w:t>
                        </w:r>
                        <w:r>
                          <w:rPr>
                            <w:rFonts w:ascii="宋体" w:hAnsi="宋体" w:cs="宋体" w:eastAsia="宋体" w:hint="default"/>
                            <w:spacing w:val="-2"/>
                            <w:sz w:val="18"/>
                            <w:szCs w:val="18"/>
                          </w:rPr>
                          <w:t>包括根据国家旅游局规定可以从事出境游招徕业务的旅行社，即旅游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代理商，推广并销售给终端消费者，由公司为终端消费者提供最终产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品和服务，并由公司与旅游代理商之间进行旅游费用结算的业务。</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公司直接面向广大终端消费者推广、销售产品，并提供旅游服务的出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境旅游业务。该业务与出境游批发业务相比，主要区别在于不需通过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旅游代理商这一中间环节。</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5"/>
                            <w:sz w:val="18"/>
                            <w:szCs w:val="18"/>
                          </w:rPr>
                          <w:t>以活动公关策划为核心，以商务会奖旅游业务为基础，为企业、政府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机构等客户提供企业营销咨询、境内外大型项目策划运营、境内外会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议执行服务、参展观展、路演发布、奖励旅游、差旅服务、目的地二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次开发等多元化、一站式服务，是对原有商务会奖旅游业务的升级。</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竹园国际旅行社有限公司，公司下属控股子公司。公司于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2"/>
                            <w:sz w:val="18"/>
                            <w:szCs w:val="18"/>
                          </w:rPr>
                          <w:t>月通过发行股份购买资产（重大资产重组）取得其</w:t>
                        </w:r>
                        <w:r>
                          <w:rPr>
                            <w:rFonts w:ascii="宋体" w:hAnsi="宋体" w:cs="宋体" w:eastAsia="宋体" w:hint="default"/>
                            <w:spacing w:val="-36"/>
                            <w:sz w:val="18"/>
                            <w:szCs w:val="18"/>
                          </w:rPr>
                          <w:t> </w:t>
                        </w:r>
                        <w:r>
                          <w:rPr>
                            <w:rFonts w:ascii="Times New Roman" w:hAnsi="Times New Roman" w:cs="Times New Roman" w:eastAsia="Times New Roman" w:hint="default"/>
                            <w:spacing w:val="-2"/>
                            <w:sz w:val="18"/>
                            <w:szCs w:val="18"/>
                          </w:rPr>
                          <w:t>70%</w:t>
                        </w:r>
                        <w:r>
                          <w:rPr>
                            <w:rFonts w:ascii="宋体" w:hAnsi="宋体" w:cs="宋体" w:eastAsia="宋体" w:hint="default"/>
                            <w:spacing w:val="-2"/>
                            <w:sz w:val="18"/>
                            <w:szCs w:val="18"/>
                          </w:rPr>
                          <w:t>的股权。竹园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国旅品牌</w:t>
                        </w:r>
                        <w:r>
                          <w:rPr>
                            <w:rFonts w:ascii="Times New Roman" w:hAnsi="Times New Roman" w:cs="Times New Roman" w:eastAsia="Times New Roman" w:hint="default"/>
                            <w:sz w:val="18"/>
                            <w:szCs w:val="18"/>
                          </w:rPr>
                          <w:t>“</w:t>
                        </w:r>
                        <w:r>
                          <w:rPr>
                            <w:rFonts w:ascii="宋体" w:hAnsi="宋体" w:cs="宋体" w:eastAsia="宋体" w:hint="default"/>
                            <w:sz w:val="18"/>
                            <w:szCs w:val="18"/>
                          </w:rPr>
                          <w:t>全景旅游</w:t>
                        </w:r>
                        <w:r>
                          <w:rPr>
                            <w:rFonts w:ascii="Times New Roman" w:hAnsi="Times New Roman" w:cs="Times New Roman" w:eastAsia="Times New Roman" w:hint="default"/>
                            <w:sz w:val="18"/>
                            <w:szCs w:val="18"/>
                          </w:rPr>
                          <w:t>”</w:t>
                        </w:r>
                        <w:r>
                          <w:rPr>
                            <w:rFonts w:ascii="宋体" w:hAnsi="宋体" w:cs="宋体" w:eastAsia="宋体" w:hint="default"/>
                            <w:sz w:val="18"/>
                            <w:szCs w:val="18"/>
                          </w:rPr>
                          <w:t>为公司出境游批发业务两大品牌之一。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上海众信国际旅行社有限公司，公司下属全资子公司。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优耐德（北京）</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pacing w:val="-3"/>
                            <w:sz w:val="18"/>
                            <w:szCs w:val="18"/>
                          </w:rPr>
                          <w:t>优耐德（北京）国际旅行社有限公司，公司下属全资子公司，“优耐</w:t>
                        </w:r>
                        <w:r>
                          <w:rPr>
                            <w:rFonts w:ascii="宋体" w:hAnsi="宋体" w:cs="宋体" w:eastAsia="宋体" w:hint="default"/>
                            <w:sz w:val="18"/>
                            <w:szCs w:val="18"/>
                          </w:rPr>
                          <w:t> 德旅游”为公司出境游批发业务两大品牌之一。</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众信博睿</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pacing w:val="-3"/>
                            <w:sz w:val="18"/>
                            <w:szCs w:val="18"/>
                          </w:rPr>
                          <w:t>众信博睿整合营销咨询股份有限公司，公司下属控股子公司，“众信</w:t>
                        </w:r>
                        <w:r>
                          <w:rPr>
                            <w:rFonts w:ascii="宋体" w:hAnsi="宋体" w:cs="宋体" w:eastAsia="宋体" w:hint="default"/>
                            <w:sz w:val="18"/>
                            <w:szCs w:val="18"/>
                          </w:rPr>
                          <w:t> 博睿”为公司整合营销服务品牌。</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博睿商务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众信博睿（北京）国际商务会议展览有限公司，众信博睿下属全资子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Hongkong </w:t>
                        </w:r>
                        <w:r>
                          <w:rPr>
                            <w:rFonts w:ascii="Times New Roman" w:hAnsi="Times New Roman" w:cs="Times New Roman" w:eastAsia="Times New Roman" w:hint="default"/>
                            <w:spacing w:val="-3"/>
                            <w:sz w:val="18"/>
                            <w:szCs w:val="18"/>
                          </w:rPr>
                          <w:t>UTour </w:t>
                        </w:r>
                        <w:r>
                          <w:rPr>
                            <w:rFonts w:ascii="Times New Roman" w:hAnsi="Times New Roman" w:cs="Times New Roman" w:eastAsia="Times New Roman" w:hint="default"/>
                            <w:sz w:val="18"/>
                            <w:szCs w:val="18"/>
                          </w:rPr>
                          <w:t>International Travel Service Co.,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（中文名称： </w:t>
                        </w:r>
                        <w:r>
                          <w:rPr>
                            <w:rFonts w:ascii="宋体" w:hAnsi="宋体" w:cs="宋体" w:eastAsia="宋体" w:hint="default"/>
                            <w:spacing w:val="-4"/>
                            <w:sz w:val="18"/>
                            <w:szCs w:val="18"/>
                          </w:rPr>
                          <w:t>香港众信国际旅行社有限公司），公司下属全资子公司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奇迹旅行</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北京众信奇迹国际旅行社有限公司，公司下属全资子公司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悠联货币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北京悠联货币汇兑有限公司，公司下属控股子公司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北京优达出入境服务有限公司，公司下属全资子公司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杭州四达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杭州四达因私出入境服务有限公司，公司下属控股子公司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波兰车公司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TELEFUN </w:t>
                        </w:r>
                        <w:r>
                          <w:rPr>
                            <w:rFonts w:ascii="Times New Roman" w:hAnsi="Times New Roman" w:cs="Times New Roman" w:eastAsia="Times New Roman" w:hint="default"/>
                            <w:spacing w:val="-5"/>
                            <w:sz w:val="18"/>
                            <w:szCs w:val="18"/>
                          </w:rPr>
                          <w:t>TRAVEL</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SP.ZO.O.</w:t>
                        </w:r>
                        <w:r>
                          <w:rPr>
                            <w:rFonts w:ascii="宋体" w:hAnsi="宋体" w:cs="宋体" w:eastAsia="宋体" w:hint="default"/>
                            <w:sz w:val="18"/>
                            <w:szCs w:val="18"/>
                          </w:rPr>
                          <w:t>，注册地在波兰，公司全资子公司香港 众信国际旅行社有限公司之控股子公司，主要经营旅游大巴车运营。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002707</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pacing w:val="-3"/>
                <w:sz w:val="18"/>
              </w:rPr>
              <w:t>UTour </w:t>
            </w:r>
            <w:r>
              <w:rPr>
                <w:rFonts w:ascii="Times New Roman"/>
                <w:sz w:val="18"/>
              </w:rPr>
              <w:t>Group Co.,</w:t>
            </w:r>
            <w:r>
              <w:rPr>
                <w:rFonts w:ascii="Times New Roman"/>
                <w:spacing w:val="-2"/>
                <w:sz w:val="18"/>
              </w:rPr>
              <w:t> </w:t>
            </w:r>
            <w:r>
              <w:rPr>
                <w:rFonts w:ascii="Times New Roman"/>
                <w:sz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曹建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100125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100125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http://www.uzai.com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胡萍</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号众信旅游大厦</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北京市朝阳区朝阳公园路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号众信旅游大厦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010-64489903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stock@utourworld.com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line="240" w:lineRule="auto" w:before="4"/>
        <w:rPr>
          <w:rFonts w:ascii="宋体" w:hAnsi="宋体" w:cs="宋体" w:eastAsia="宋体" w:hint="default"/>
          <w:b/>
          <w:bCs/>
          <w:sz w:val="25"/>
          <w:szCs w:val="25"/>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3950;top:16;width:23;height:392" coordorigin="3950,16" coordsize="23,392">
              <v:shape style="position:absolute;left:3950;top:16;width:23;height:392" coordorigin="3950,16" coordsize="23,392" path="m3950,407l3973,407,3973,16,3950,16,3950,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914;height:392" coordorigin="37,16" coordsize="3914,392">
              <v:shape style="position:absolute;left:37;top:16;width:3914;height:392" coordorigin="37,16" coordsize="3914,392" path="m37,407l3950,407,3950,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3970;height:2" coordorigin="5,413" coordsize="3970,2">
              <v:shape style="position:absolute;left:5;top:413;width:3970;height:2" coordorigin="5,413" coordsize="3970,0" path="m5,413l3974,413e" filled="false" stroked="true" strokeweight=".48001pt" strokecolor="#000000">
                <v:path arrowok="t"/>
              </v:shape>
            </v:group>
            <v:group style="position:absolute;left:3979;top:14;width:2;height:404" coordorigin="3979,14" coordsize="2,404">
              <v:shape style="position:absolute;left:3979;top:14;width:2;height:404" coordorigin="3979,14" coordsize="0,404" path="m3979,14l3979,418e" filled="false" stroked="true" strokeweight=".48001pt" strokecolor="#000000">
                <v:path arrowok="t"/>
              </v:shape>
            </v:group>
            <v:group style="position:absolute;left:3984;top:413;width:5589;height:2" coordorigin="3984,413" coordsize="5589,2">
              <v:shape style="position:absolute;left:3984;top:413;width:5589;height:2" coordorigin="3984,413" coordsize="5589,0" path="m3984,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3969;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组织机构代码</w:t>
                      </w:r>
                    </w:p>
                  </w:txbxContent>
                </v:textbox>
                <w10:wrap type="none"/>
              </v:shape>
              <v:shape style="position:absolute;left:3979;top:10;width:5599;height:404" type="#_x0000_t202" filled="false" stroked="false">
                <v:textbox inset="0,0,0,0">
                  <w:txbxContent>
                    <w:p>
                      <w:pPr>
                        <w:spacing w:before="97"/>
                        <w:ind w:left="28" w:right="0" w:firstLine="0"/>
                        <w:jc w:val="left"/>
                        <w:rPr>
                          <w:rFonts w:ascii="Times New Roman" w:hAnsi="Times New Roman" w:cs="Times New Roman" w:eastAsia="Times New Roman" w:hint="default"/>
                          <w:sz w:val="18"/>
                          <w:szCs w:val="18"/>
                        </w:rPr>
                      </w:pPr>
                      <w:r>
                        <w:rPr>
                          <w:rFonts w:ascii="Times New Roman"/>
                          <w:sz w:val="18"/>
                        </w:rPr>
                        <w:t>91110000101126585H</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969"/>
        <w:gridCol w:w="5599"/>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日完成股份制改制后，控股股东未发生变更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5599"/>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北京市海淀区西直门北大街甲 </w:t>
            </w:r>
            <w:r>
              <w:rPr>
                <w:rFonts w:ascii="Times New Roman" w:hAnsi="Times New Roman" w:cs="Times New Roman" w:eastAsia="Times New Roman" w:hint="default"/>
                <w:sz w:val="18"/>
                <w:szCs w:val="18"/>
              </w:rPr>
              <w:t>43  </w:t>
            </w:r>
            <w:r>
              <w:rPr>
                <w:rFonts w:ascii="宋体" w:hAnsi="宋体" w:cs="宋体" w:eastAsia="宋体" w:hint="default"/>
                <w:sz w:val="18"/>
                <w:szCs w:val="18"/>
              </w:rPr>
              <w:t>号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李朝辉、孙太宏</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刘新、邵年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12,029,753,608.83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10,092,528,071.07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8,370,070,679.70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232,624,021.32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214,864,942.83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186,704,704.40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227,190,199.99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209,388,944.63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181,505,128.37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192,938,477.39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50,387,659.84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12,507,457.68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12.0</w:t>
            </w:r>
            <w:r>
              <w:rPr>
                <w:rFonts w:ascii="Arial Narrow"/>
                <w:spacing w:val="-1"/>
                <w:sz w:val="18"/>
              </w:rPr>
              <w:t>6</w:t>
            </w:r>
            <w:r>
              <w:rPr>
                <w:rFonts w:ascii="Times New Roman"/>
                <w:spacing w:val="-1"/>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5,095,773,128.13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4,002,153,162.91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3,217,978,900.41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2,234,534,919.10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1,801,005,532.88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1,564,419,339.26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2,236,309,651.09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2,809,713,253.29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4,177,820,980.21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2,806,365,699.08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50,196,171.21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45,055,206.22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86,292,880.85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51,459,396.54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49,650,236.75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44,141,486.14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85,360,842.15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48,037,634.95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-214,776,731.09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217,939,585.45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327,023,258.23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-137,247,635.20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-264,351.22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-364,470.58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-71,975.65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4,002,862.28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124,215.99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637,791.50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287,239.05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358"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19" w:type="dxa"/>
            <w:tcBorders>
              <w:top w:val="single" w:sz="4" w:space="0" w:color="000000"/>
              <w:left w:val="single" w:sz="4" w:space="0" w:color="000000"/>
              <w:bottom w:val="nil" w:sz="6" w:space="0" w:color="auto"/>
              <w:right w:val="single" w:sz="4" w:space="0" w:color="000000"/>
            </w:tcBorders>
          </w:tcPr>
          <w:p>
            <w:pP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
        </w:tc>
      </w:tr>
      <w:tr>
        <w:trPr>
          <w:trHeight w:val="312"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19"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6"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2,653,604.00</w:t>
            </w: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09"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19" w:type="dxa"/>
            <w:tcBorders>
              <w:top w:val="nil" w:sz="6" w:space="0" w:color="auto"/>
              <w:left w:val="single" w:sz="4" w:space="0" w:color="000000"/>
              <w:bottom w:val="nil" w:sz="6" w:space="0" w:color="auto"/>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56"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19" w:type="dxa"/>
            <w:tcBorders>
              <w:top w:val="nil" w:sz="6" w:space="0" w:color="auto"/>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707,547.17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2,872,641.51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-377,209.97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-138,772.30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-587,414.65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1,755,072.78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1,714,589.54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1,821,568.95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-75,482.45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326,602.39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289,464.72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5,454,316.97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5,475,998.20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5,199,576.03</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425"/>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96" w:lineRule="auto" w:before="77"/>
        <w:ind w:left="153" w:right="147" w:firstLine="420"/>
        <w:jc w:val="both"/>
      </w:pPr>
      <w:r>
        <w:rPr/>
        <w:t>公司是国内领先的大型出境旅游运营商，全国最大的出境游批发商之一，</w:t>
      </w:r>
      <w:r>
        <w:rPr>
          <w:rFonts w:ascii="Times New Roman" w:hAnsi="Times New Roman" w:cs="Times New Roman" w:eastAsia="Times New Roman" w:hint="default"/>
        </w:rPr>
        <w:t>“</w:t>
      </w:r>
      <w:r>
        <w:rPr/>
        <w:t>众信旅游</w:t>
      </w:r>
      <w:r>
        <w:rPr>
          <w:rFonts w:ascii="Times New Roman" w:hAnsi="Times New Roman" w:cs="Times New Roman" w:eastAsia="Times New Roman" w:hint="default"/>
        </w:rPr>
        <w:t>”</w:t>
      </w:r>
      <w:r>
        <w:rPr/>
        <w:t>是北京、天津、 </w:t>
      </w:r>
      <w:r>
        <w:rPr>
          <w:spacing w:val="-1"/>
        </w:rPr>
        <w:t>上海等城市领先的零售品牌。公司主要从事出境游批发、出境游零售、整合营销服务业务，在欧洲、大洋</w:t>
      </w:r>
      <w:r>
        <w:rPr>
          <w:spacing w:val="-83"/>
        </w:rPr>
        <w:t> </w:t>
      </w:r>
      <w:r>
        <w:rPr>
          <w:spacing w:val="-83"/>
        </w:rPr>
      </w:r>
      <w:r>
        <w:rPr>
          <w:spacing w:val="-1"/>
        </w:rPr>
        <w:t>洲、非洲、美洲等长线出国游及亚洲短线周边游上具有较强的竞争优势。近年来，公司坚持从旅游到旅行</w:t>
      </w:r>
      <w:r>
        <w:rPr>
          <w:spacing w:val="-82"/>
        </w:rPr>
        <w:t> </w:t>
      </w:r>
      <w:r>
        <w:rPr>
          <w:spacing w:val="-82"/>
        </w:rPr>
      </w:r>
      <w:r>
        <w:rPr/>
        <w:t>的发展路径，业务由出境游拓展至</w:t>
      </w:r>
      <w:r>
        <w:rPr>
          <w:rFonts w:ascii="Times New Roman" w:hAnsi="Times New Roman" w:cs="Times New Roman" w:eastAsia="Times New Roman" w:hint="default"/>
        </w:rPr>
        <w:t>“</w:t>
      </w:r>
      <w:r>
        <w:rPr/>
        <w:t>旅游</w:t>
      </w:r>
      <w:r>
        <w:rPr>
          <w:rFonts w:ascii="Times New Roman" w:hAnsi="Times New Roman" w:cs="Times New Roman" w:eastAsia="Times New Roman" w:hint="default"/>
        </w:rPr>
        <w:t>+”</w:t>
      </w:r>
      <w:r>
        <w:rPr/>
        <w:t>出境服务，逐步向游学、移民置业、旅游金融、健康医疗等一</w:t>
      </w:r>
      <w:r>
        <w:rPr>
          <w:spacing w:val="-27"/>
        </w:rPr>
        <w:t> </w:t>
      </w:r>
      <w:r>
        <w:rPr>
          <w:spacing w:val="-27"/>
        </w:rPr>
      </w:r>
      <w:r>
        <w:rPr/>
        <w:t>系列出境综合服务延伸。在继续加强批发业务领先优势的基础上，加大零售业务开拓力度，将</w:t>
      </w:r>
      <w:r>
        <w:rPr>
          <w:rFonts w:ascii="Times New Roman" w:hAnsi="Times New Roman" w:cs="Times New Roman" w:eastAsia="Times New Roman" w:hint="default"/>
        </w:rPr>
        <w:t>“</w:t>
      </w:r>
      <w:r>
        <w:rPr/>
        <w:t>众信旅游</w:t>
      </w:r>
      <w:r>
        <w:rPr>
          <w:rFonts w:ascii="Times New Roman" w:hAnsi="Times New Roman" w:cs="Times New Roman" w:eastAsia="Times New Roman" w:hint="default"/>
        </w:rPr>
        <w:t>” </w:t>
      </w:r>
      <w:r>
        <w:rPr/>
        <w:t>零售品牌拓展至全国。</w:t>
      </w:r>
    </w:p>
    <w:p>
      <w:pPr>
        <w:pStyle w:val="BodyText"/>
        <w:spacing w:line="408" w:lineRule="auto" w:before="56"/>
        <w:ind w:left="153" w:right="148" w:firstLine="420"/>
        <w:jc w:val="both"/>
      </w:pPr>
      <w:r>
        <w:rPr>
          <w:spacing w:val="-1"/>
        </w:rPr>
        <w:t>作为旅游产品制造者和服务提供者，公司通过整合旅游资源，研发符合不同层次需求、有主题的、有</w:t>
      </w:r>
      <w:r>
        <w:rPr/>
        <w:t> </w:t>
      </w:r>
      <w:r>
        <w:rPr>
          <w:spacing w:val="-1"/>
        </w:rPr>
        <w:t>特色的、性价比高的出境游产品（跟团游、定制游、自由行、半自由行、海外目的地碎片化产品），及以</w:t>
      </w:r>
      <w:r>
        <w:rPr>
          <w:spacing w:val="-85"/>
        </w:rPr>
        <w:t> </w:t>
      </w:r>
      <w:r>
        <w:rPr>
          <w:spacing w:val="-85"/>
        </w:rPr>
      </w:r>
      <w:r>
        <w:rPr>
          <w:spacing w:val="-1"/>
        </w:rPr>
        <w:t>活动公关策划为核心，以商务会奖旅游业务为基础，为企业、政府、机构等客户提供企业营销咨询、境内</w:t>
      </w:r>
      <w:r>
        <w:rPr>
          <w:spacing w:val="-83"/>
        </w:rPr>
        <w:t> </w:t>
      </w:r>
      <w:r>
        <w:rPr>
          <w:spacing w:val="-83"/>
        </w:rPr>
      </w:r>
      <w:r>
        <w:rPr>
          <w:spacing w:val="-1"/>
        </w:rPr>
        <w:t>外大型项目策划运营、境内外会议执行服务、参展观展、路演发布、奖励旅游、差旅服务、目的地二次开</w:t>
      </w:r>
      <w:r>
        <w:rPr>
          <w:spacing w:val="-83"/>
        </w:rPr>
        <w:t> </w:t>
      </w:r>
      <w:r>
        <w:rPr>
          <w:spacing w:val="-83"/>
        </w:rPr>
      </w:r>
      <w:r>
        <w:rPr>
          <w:spacing w:val="-1"/>
        </w:rPr>
        <w:t>发等整体解决方案。出境游产品以批发、零售等方式销售给客户，最终由公司为客户提供有组织、有计划</w:t>
      </w:r>
      <w:r>
        <w:rPr>
          <w:spacing w:val="-82"/>
        </w:rPr>
        <w:t> </w:t>
      </w:r>
      <w:r>
        <w:rPr>
          <w:spacing w:val="-82"/>
        </w:rPr>
      </w:r>
      <w:r>
        <w:rPr>
          <w:spacing w:val="-1"/>
        </w:rPr>
        <w:t>的组团、发团、机票、签证、境内外行程安排、安全保障等全方位旅游服务。其中批发业务通过代理商销</w:t>
      </w:r>
      <w:r>
        <w:rPr>
          <w:spacing w:val="-83"/>
        </w:rPr>
        <w:t> </w:t>
      </w:r>
      <w:r>
        <w:rPr>
          <w:spacing w:val="-83"/>
        </w:rPr>
      </w:r>
      <w:r>
        <w:rPr>
          <w:spacing w:val="-1"/>
        </w:rPr>
        <w:t>售给终端消费者，零售业务通过门店、网站及移动端平台、呼叫中心和大客户拓展及会员制营销等方式销</w:t>
      </w:r>
      <w:r>
        <w:rPr>
          <w:spacing w:val="-83"/>
        </w:rPr>
        <w:t> </w:t>
      </w:r>
      <w:r>
        <w:rPr>
          <w:spacing w:val="-83"/>
        </w:rPr>
      </w:r>
      <w:r>
        <w:rPr>
          <w:spacing w:val="-1"/>
        </w:rPr>
        <w:t>售给终端消费者。整合营销服务通过专业团队拓展企业、政府部门等客户，实现销售并提供服务。同时提</w:t>
      </w:r>
      <w:r>
        <w:rPr>
          <w:spacing w:val="-82"/>
        </w:rPr>
        <w:t> </w:t>
      </w:r>
      <w:r>
        <w:rPr>
          <w:spacing w:val="-82"/>
        </w:rPr>
      </w:r>
      <w:r>
        <w:rPr/>
        <w:t>供游学、移民置业、个人外币兑换、代理购物退税、旅游消费信贷及供应链金融等出境服务。</w:t>
      </w:r>
    </w:p>
    <w:p>
      <w:pPr>
        <w:spacing w:line="379" w:lineRule="auto" w:before="46"/>
        <w:ind w:left="153" w:right="149" w:firstLine="420"/>
        <w:jc w:val="both"/>
        <w:rPr>
          <w:rFonts w:ascii="宋体" w:hAnsi="宋体" w:cs="宋体" w:eastAsia="宋体" w:hint="default"/>
          <w:sz w:val="22"/>
          <w:szCs w:val="22"/>
        </w:rPr>
      </w:pPr>
      <w:r>
        <w:rPr>
          <w:rFonts w:ascii="宋体" w:hAnsi="宋体" w:cs="宋体" w:eastAsia="宋体" w:hint="default"/>
          <w:spacing w:val="-2"/>
          <w:sz w:val="21"/>
          <w:szCs w:val="21"/>
        </w:rPr>
        <w:t>公司、上海众信、竹园国旅均为</w:t>
      </w:r>
      <w:r>
        <w:rPr>
          <w:rFonts w:ascii="Times New Roman" w:hAnsi="Times New Roman" w:cs="Times New Roman" w:eastAsia="Times New Roman" w:hint="default"/>
          <w:spacing w:val="-2"/>
          <w:sz w:val="21"/>
          <w:szCs w:val="21"/>
        </w:rPr>
        <w:t>5A</w:t>
      </w:r>
      <w:r>
        <w:rPr>
          <w:rFonts w:ascii="宋体" w:hAnsi="宋体" w:cs="宋体" w:eastAsia="宋体" w:hint="default"/>
          <w:spacing w:val="-2"/>
          <w:sz w:val="21"/>
          <w:szCs w:val="21"/>
        </w:rPr>
        <w:t>级旅行社，公司是中国旅游集团</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强单位，是国家旅游局（注：现</w:t>
      </w:r>
      <w:r>
        <w:rPr>
          <w:rFonts w:ascii="宋体" w:hAnsi="宋体" w:cs="宋体" w:eastAsia="宋体" w:hint="default"/>
          <w:sz w:val="21"/>
          <w:szCs w:val="21"/>
        </w:rPr>
        <w:t> </w:t>
      </w:r>
      <w:r>
        <w:rPr>
          <w:rFonts w:ascii="宋体" w:hAnsi="宋体" w:cs="宋体" w:eastAsia="宋体" w:hint="default"/>
          <w:spacing w:val="-5"/>
          <w:sz w:val="21"/>
          <w:szCs w:val="21"/>
        </w:rPr>
        <w:t>文化和旅游部）对口联系旅行社，是人力资源和社会保障部、国家旅游局评选的</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全国旅游系统先进集体</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月，我国发起设立</w:t>
      </w:r>
      <w:r>
        <w:rPr>
          <w:rFonts w:ascii="Times New Roman" w:hAnsi="Times New Roman" w:cs="Times New Roman" w:eastAsia="Times New Roman" w:hint="default"/>
          <w:sz w:val="22"/>
          <w:szCs w:val="22"/>
        </w:rPr>
        <w:t>“</w:t>
      </w:r>
      <w:r>
        <w:rPr>
          <w:rFonts w:ascii="宋体" w:hAnsi="宋体" w:cs="宋体" w:eastAsia="宋体" w:hint="default"/>
          <w:sz w:val="22"/>
          <w:szCs w:val="22"/>
        </w:rPr>
        <w:t>世界旅游联盟（</w:t>
      </w:r>
      <w:r>
        <w:rPr>
          <w:rFonts w:ascii="Times New Roman" w:hAnsi="Times New Roman" w:cs="Times New Roman" w:eastAsia="Times New Roman" w:hint="default"/>
          <w:sz w:val="22"/>
          <w:szCs w:val="22"/>
        </w:rPr>
        <w:t>WTA</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，该组织为我国发起设立的第一个全球性、综合</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性、非政府、非营利国际旅游组织，</w:t>
      </w:r>
      <w:r>
        <w:rPr>
          <w:rFonts w:ascii="宋体" w:hAnsi="宋体" w:cs="宋体" w:eastAsia="宋体" w:hint="default"/>
          <w:sz w:val="21"/>
          <w:szCs w:val="21"/>
        </w:rPr>
        <w:t>公司为</w:t>
      </w:r>
      <w:r>
        <w:rPr>
          <w:rFonts w:ascii="Times New Roman" w:hAnsi="Times New Roman" w:cs="Times New Roman" w:eastAsia="Times New Roman" w:hint="default"/>
          <w:sz w:val="22"/>
          <w:szCs w:val="22"/>
        </w:rPr>
        <w:t>89</w:t>
      </w:r>
      <w:r>
        <w:rPr>
          <w:rFonts w:ascii="宋体" w:hAnsi="宋体" w:cs="宋体" w:eastAsia="宋体" w:hint="default"/>
          <w:sz w:val="22"/>
          <w:szCs w:val="22"/>
        </w:rPr>
        <w:t>家创始会员之一。</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4"/>
        <w:rPr>
          <w:rFonts w:ascii="宋体" w:hAnsi="宋体" w:cs="宋体" w:eastAsia="宋体" w:hint="default"/>
          <w:b/>
          <w:bCs/>
          <w:sz w:val="25"/>
          <w:szCs w:val="25"/>
        </w:rPr>
      </w:pPr>
    </w:p>
    <w:p>
      <w:pPr>
        <w:spacing w:line="783"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5pt;height:39.2pt;mso-position-horizontal-relative:char;mso-position-vertical-relative:line" coordorigin="0,0" coordsize="9587,784">
            <v:group style="position:absolute;left:14;top:14;width:3041;height:182" coordorigin="14,14" coordsize="3041,182">
              <v:shape style="position:absolute;left:14;top:14;width:3041;height:182" coordorigin="14,14" coordsize="3041,182" path="m14,196l3055,196,3055,14,14,14,14,196xe" filled="true" fillcolor="#d3d3d3" stroked="false">
                <v:path arrowok="t"/>
                <v:fill type="solid"/>
              </v:shape>
            </v:group>
            <v:group style="position:absolute;left:14;top:588;width:3041;height:182" coordorigin="14,588" coordsize="3041,182">
              <v:shape style="position:absolute;left:14;top:588;width:3041;height:182" coordorigin="14,588" coordsize="3041,182" path="m14,769l3055,769,3055,588,14,588,14,769xe" filled="true" fillcolor="#d3d3d3" stroked="false">
                <v:path arrowok="t"/>
                <v:fill type="solid"/>
              </v:shape>
            </v:group>
            <v:group style="position:absolute;left:37;top:196;width:2996;height:393" coordorigin="37,196" coordsize="2996,393">
              <v:shape style="position:absolute;left:37;top:196;width:2996;height:393" coordorigin="37,196" coordsize="2996,393" path="m37,588l3032,588,3032,196,37,196,37,588xe" filled="true" fillcolor="#d3d3d3" stroked="false">
                <v:path arrowok="t"/>
                <v:fill type="solid"/>
              </v:shape>
            </v:group>
            <v:group style="position:absolute;left:3066;top:14;width:6507;height:182" coordorigin="3066,14" coordsize="6507,182">
              <v:shape style="position:absolute;left:3066;top:14;width:6507;height:182" coordorigin="3066,14" coordsize="6507,182" path="m3066,196l9572,196,9572,14,3066,14,3066,196xe" filled="true" fillcolor="#d3d3d3" stroked="false">
                <v:path arrowok="t"/>
                <v:fill type="solid"/>
              </v:shape>
            </v:group>
            <v:group style="position:absolute;left:3066;top:588;width:6507;height:182" coordorigin="3066,588" coordsize="6507,182">
              <v:shape style="position:absolute;left:3066;top:588;width:6507;height:182" coordorigin="3066,588" coordsize="6507,182" path="m3066,769l9572,769,9572,588,3066,588,3066,769xe" filled="true" fillcolor="#d3d3d3" stroked="false">
                <v:path arrowok="t"/>
                <v:fill type="solid"/>
              </v:shape>
            </v:group>
            <v:group style="position:absolute;left:3089;top:196;width:6461;height:393" coordorigin="3089,196" coordsize="6461,393">
              <v:shape style="position:absolute;left:3089;top:196;width:6461;height:393" coordorigin="3089,196" coordsize="6461,393" path="m3089,588l9550,588,9550,196,3089,196,3089,588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774" coordorigin="10,5" coordsize="2,774">
              <v:shape style="position:absolute;left:10;top:5;width:2;height:774" coordorigin="10,5" coordsize="0,774" path="m10,5l10,779e" filled="false" stroked="true" strokeweight=".48001pt" strokecolor="#000000">
                <v:path arrowok="t"/>
              </v:shape>
            </v:group>
            <v:group style="position:absolute;left:5;top:774;width:3052;height:2" coordorigin="5,774" coordsize="3052,2">
              <v:shape style="position:absolute;left:5;top:774;width:3052;height:2" coordorigin="5,774" coordsize="3052,0" path="m5,774l3056,774e" filled="false" stroked="true" strokeweight=".48001pt" strokecolor="#000000">
                <v:path arrowok="t"/>
              </v:shape>
            </v:group>
            <v:group style="position:absolute;left:3061;top:14;width:2;height:765" coordorigin="3061,14" coordsize="2,765">
              <v:shape style="position:absolute;left:3061;top:14;width:2;height:765" coordorigin="3061,14" coordsize="0,765" path="m3061,14l3061,779e" filled="false" stroked="true" strokeweight=".48001pt" strokecolor="#000000">
                <v:path arrowok="t"/>
              </v:shape>
            </v:group>
            <v:group style="position:absolute;left:3066;top:774;width:6507;height:2" coordorigin="3066,774" coordsize="6507,2">
              <v:shape style="position:absolute;left:3066;top:774;width:6507;height:2" coordorigin="3066,774" coordsize="6507,0" path="m3066,774l9572,774e" filled="false" stroked="true" strokeweight=".48001pt" strokecolor="#000000">
                <v:path arrowok="t"/>
              </v:shape>
            </v:group>
            <v:group style="position:absolute;left:9577;top:5;width:2;height:774" coordorigin="9577,5" coordsize="2,774">
              <v:shape style="position:absolute;left:9577;top:5;width:2;height:774" coordorigin="9577,5" coordsize="0,774" path="m9577,5l9577,779e" filled="false" stroked="true" strokeweight=".47998pt" strokecolor="#000000">
                <v:path arrowok="t"/>
              </v:shape>
              <v:shape style="position:absolute;left:10;top:10;width:3052;height:765" type="#_x0000_t202" filled="false" stroked="false">
                <v:textbox inset="0,0,0,0">
                  <w:txbxContent>
                    <w:p>
                      <w:pPr>
                        <w:spacing w:line="240" w:lineRule="auto" w:before="2"/>
                        <w:rPr>
                          <w:rFonts w:ascii="宋体" w:hAnsi="宋体" w:cs="宋体" w:eastAsia="宋体" w:hint="default"/>
                          <w:b/>
                          <w:bCs/>
                          <w:sz w:val="18"/>
                          <w:szCs w:val="18"/>
                        </w:rPr>
                      </w:pPr>
                    </w:p>
                    <w:p>
                      <w:pPr>
                        <w:spacing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主要资产</w:t>
                      </w:r>
                    </w:p>
                  </w:txbxContent>
                </v:textbox>
                <w10:wrap type="none"/>
              </v:shape>
              <v:shape style="position:absolute;left:5779;top:30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重大变化说明</w:t>
                      </w:r>
                    </w:p>
                  </w:txbxContent>
                </v:textbox>
                <w10:wrap type="none"/>
              </v:shape>
            </v:group>
          </v:group>
        </w:pict>
      </w:r>
      <w:r>
        <w:rPr>
          <w:rFonts w:ascii="宋体" w:hAnsi="宋体" w:cs="宋体" w:eastAsia="宋体" w:hint="default"/>
          <w:position w:val="-15"/>
          <w:sz w:val="20"/>
          <w:szCs w:val="20"/>
        </w:rPr>
      </w:r>
    </w:p>
    <w:p>
      <w:pPr>
        <w:spacing w:after="0" w:line="783"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固定资产期末余额较期初余额增长</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47.10%</w:t>
            </w:r>
            <w:r>
              <w:rPr>
                <w:rFonts w:ascii="宋体" w:hAnsi="宋体" w:cs="宋体" w:eastAsia="宋体" w:hint="default"/>
                <w:spacing w:val="-4"/>
                <w:sz w:val="18"/>
                <w:szCs w:val="18"/>
              </w:rPr>
              <w:t>，主要原因为公司下属公司波兰车公司购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入运营车辆等。</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无形资产期末余额较期初余额增长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134.48%</w:t>
            </w:r>
            <w:r>
              <w:rPr>
                <w:rFonts w:ascii="宋体" w:hAnsi="宋体" w:cs="宋体" w:eastAsia="宋体" w:hint="default"/>
                <w:sz w:val="18"/>
                <w:szCs w:val="18"/>
              </w:rPr>
              <w:t>，主要原因为公司本期收购上海悠哉网 络科技有限公司，该公司无形资产公允价值较高，导致本期无形资产增加较多。</w:t>
            </w:r>
          </w:p>
        </w:tc>
      </w:tr>
    </w:tbl>
    <w:p>
      <w:pPr>
        <w:spacing w:line="240" w:lineRule="auto" w:before="2"/>
        <w:rPr>
          <w:rFonts w:ascii="宋体" w:hAnsi="宋体" w:cs="宋体" w:eastAsia="宋体" w:hint="default"/>
          <w:b/>
          <w:bCs/>
          <w:sz w:val="19"/>
          <w:szCs w:val="19"/>
        </w:rPr>
      </w:pPr>
    </w:p>
    <w:p>
      <w:pPr>
        <w:pStyle w:val="Heading6"/>
        <w:spacing w:line="240" w:lineRule="auto" w:before="35"/>
        <w:ind w:right="6771"/>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6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6771"/>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67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98" w:lineRule="auto" w:before="77"/>
        <w:ind w:right="208" w:firstLine="419"/>
        <w:jc w:val="both"/>
      </w:pPr>
      <w:r>
        <w:rPr>
          <w:rFonts w:ascii="Times New Roman" w:hAnsi="Times New Roman" w:cs="Times New Roman" w:eastAsia="Times New Roman" w:hint="default"/>
          <w:b/>
          <w:bCs/>
          <w:spacing w:val="-1"/>
        </w:rPr>
        <w:t>1</w:t>
      </w:r>
      <w:r>
        <w:rPr>
          <w:rFonts w:ascii="宋体" w:hAnsi="宋体" w:cs="宋体" w:eastAsia="宋体" w:hint="default"/>
          <w:b/>
          <w:bCs/>
          <w:spacing w:val="-1"/>
        </w:rPr>
        <w:t>、规模优势。</w:t>
      </w:r>
      <w:r>
        <w:rPr>
          <w:spacing w:val="-1"/>
        </w:rPr>
        <w:t>旅游服务收入从</w:t>
      </w:r>
      <w:r>
        <w:rPr>
          <w:rFonts w:ascii="Times New Roman" w:hAnsi="Times New Roman" w:cs="Times New Roman" w:eastAsia="Times New Roman" w:hint="default"/>
          <w:spacing w:val="-1"/>
        </w:rPr>
        <w:t>2014</w:t>
      </w:r>
      <w:r>
        <w:rPr>
          <w:spacing w:val="-1"/>
        </w:rPr>
        <w:t>年上市当年的</w:t>
      </w:r>
      <w:r>
        <w:rPr>
          <w:rFonts w:ascii="Times New Roman" w:hAnsi="Times New Roman" w:cs="Times New Roman" w:eastAsia="Times New Roman" w:hint="default"/>
          <w:spacing w:val="-1"/>
        </w:rPr>
        <w:t>42</w:t>
      </w:r>
      <w:r>
        <w:rPr>
          <w:spacing w:val="-1"/>
        </w:rPr>
        <w:t>亿元增长到</w:t>
      </w:r>
      <w:r>
        <w:rPr>
          <w:rFonts w:ascii="Times New Roman" w:hAnsi="Times New Roman" w:cs="Times New Roman" w:eastAsia="Times New Roman" w:hint="default"/>
          <w:spacing w:val="-1"/>
        </w:rPr>
        <w:t>2017</w:t>
      </w:r>
      <w:r>
        <w:rPr>
          <w:spacing w:val="-1"/>
        </w:rPr>
        <w:t>年的</w:t>
      </w:r>
      <w:r>
        <w:rPr>
          <w:rFonts w:ascii="Times New Roman" w:hAnsi="Times New Roman" w:cs="Times New Roman" w:eastAsia="Times New Roman" w:hint="default"/>
          <w:spacing w:val="-1"/>
        </w:rPr>
        <w:t>120</w:t>
      </w:r>
      <w:r>
        <w:rPr>
          <w:spacing w:val="-1"/>
        </w:rPr>
        <w:t>亿元，服务人次同步大幅</w:t>
      </w:r>
      <w:r>
        <w:rPr/>
        <w:t> </w:t>
      </w:r>
      <w:r>
        <w:rPr>
          <w:spacing w:val="-5"/>
        </w:rPr>
        <w:t>增长。规模的扩大为旅游产品的丰富、资源整合及成本控制、产业链的延伸、游学、移民置业、旅游金融、</w:t>
      </w:r>
      <w:r>
        <w:rPr/>
        <w:t> 健康医疗等出境综合服务推出提供了坚实的客户基础。</w:t>
      </w:r>
    </w:p>
    <w:p>
      <w:pPr>
        <w:pStyle w:val="BodyText"/>
        <w:spacing w:line="391" w:lineRule="auto" w:before="54"/>
        <w:ind w:left="153" w:right="104" w:firstLine="420"/>
        <w:jc w:val="both"/>
      </w:pPr>
      <w:r>
        <w:rPr>
          <w:rFonts w:ascii="Times New Roman" w:hAnsi="Times New Roman" w:cs="Times New Roman" w:eastAsia="Times New Roman" w:hint="default"/>
          <w:b/>
          <w:bCs/>
        </w:rPr>
        <w:t>2</w:t>
      </w:r>
      <w:r>
        <w:rPr>
          <w:rFonts w:ascii="宋体" w:hAnsi="宋体" w:cs="宋体" w:eastAsia="宋体" w:hint="default"/>
          <w:b/>
          <w:bCs/>
        </w:rPr>
        <w:t>、产品和服务优势。</w:t>
      </w:r>
      <w:r>
        <w:rPr/>
        <w:t>公司坚持</w:t>
      </w:r>
      <w:r>
        <w:rPr>
          <w:rFonts w:ascii="Times New Roman" w:hAnsi="Times New Roman" w:cs="Times New Roman" w:eastAsia="Times New Roman" w:hint="default"/>
        </w:rPr>
        <w:t>“</w:t>
      </w:r>
      <w:r>
        <w:rPr/>
        <w:t>以服务品质为前提，以产品为核心</w:t>
      </w:r>
      <w:r>
        <w:rPr>
          <w:rFonts w:ascii="Times New Roman" w:hAnsi="Times New Roman" w:cs="Times New Roman" w:eastAsia="Times New Roman" w:hint="default"/>
        </w:rPr>
        <w:t>”</w:t>
      </w:r>
      <w:r>
        <w:rPr/>
        <w:t>的理念，产品已覆盖欧澳美非亚 全球主要目的地国家和地区，丰富的出境游产品和不同的产品类型形态，为游客提供多样化选择，出行产 品密度和出境口岸的增加，方便了游客出行。公司坚持不断优化业务流程，重视客户反馈，坚持开展</w:t>
      </w:r>
      <w:r>
        <w:rPr>
          <w:rFonts w:ascii="Times New Roman" w:hAnsi="Times New Roman" w:cs="Times New Roman" w:eastAsia="Times New Roman" w:hint="default"/>
        </w:rPr>
        <w:t>“</w:t>
      </w:r>
      <w:r>
        <w:rPr/>
        <w:t>质</w:t>
      </w:r>
      <w:r>
        <w:rPr>
          <w:spacing w:val="-25"/>
        </w:rPr>
        <w:t> </w:t>
      </w:r>
      <w:r>
        <w:rPr>
          <w:spacing w:val="-2"/>
        </w:rPr>
        <w:t>量年</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标准年</w:t>
      </w:r>
      <w:r>
        <w:rPr>
          <w:rFonts w:ascii="Times New Roman" w:hAnsi="Times New Roman" w:cs="Times New Roman" w:eastAsia="Times New Roman" w:hint="default"/>
          <w:spacing w:val="-2"/>
        </w:rPr>
        <w:t>”</w:t>
      </w:r>
      <w:r>
        <w:rPr>
          <w:spacing w:val="-2"/>
        </w:rPr>
        <w:t>等活动，不断提升客户体验。除跟团游外，为满足多样化、个性化的客户需求，推出了定</w:t>
      </w:r>
      <w:r>
        <w:rPr/>
        <w:t> 制游、自由行、半自由行、海外目的地碎片化产品、境外参团等产品与服务，不断增强客户的旅游体验。</w:t>
      </w:r>
    </w:p>
    <w:p>
      <w:pPr>
        <w:pStyle w:val="BodyText"/>
        <w:spacing w:line="403" w:lineRule="auto" w:before="61"/>
        <w:ind w:left="153" w:right="102" w:firstLine="471"/>
        <w:jc w:val="left"/>
      </w:pPr>
      <w:r>
        <w:rPr>
          <w:rFonts w:ascii="Times New Roman" w:hAnsi="Times New Roman" w:cs="Times New Roman" w:eastAsia="Times New Roman" w:hint="default"/>
          <w:b/>
          <w:bCs/>
        </w:rPr>
        <w:t>3</w:t>
      </w:r>
      <w:r>
        <w:rPr>
          <w:rFonts w:ascii="宋体" w:hAnsi="宋体" w:cs="宋体" w:eastAsia="宋体" w:hint="default"/>
          <w:b/>
          <w:bCs/>
        </w:rPr>
        <w:t>、渠道优势。</w:t>
      </w:r>
      <w:r>
        <w:rPr/>
        <w:t>作为全国最大的出境游批发商之一，经过</w:t>
      </w:r>
      <w:r>
        <w:rPr>
          <w:rFonts w:ascii="Times New Roman" w:hAnsi="Times New Roman" w:cs="Times New Roman" w:eastAsia="Times New Roman" w:hint="default"/>
        </w:rPr>
        <w:t>20</w:t>
      </w:r>
      <w:r>
        <w:rPr/>
        <w:t>年多年的发展，已在各主要一、二线城市 设立了下属分子公司，并将渠道进一步下沉至三四线地市，拥有超过</w:t>
      </w:r>
      <w:r>
        <w:rPr>
          <w:rFonts w:ascii="Times New Roman" w:hAnsi="Times New Roman" w:cs="Times New Roman" w:eastAsia="Times New Roman" w:hint="default"/>
        </w:rPr>
        <w:t>2000</w:t>
      </w:r>
      <w:r>
        <w:rPr/>
        <w:t>家代理客户及数万家合作经营网 </w:t>
      </w:r>
      <w:r>
        <w:rPr>
          <w:spacing w:val="-3"/>
        </w:rPr>
        <w:t>点，形成了覆盖全国的线上线下协作的批发销售体系，目前公司是各大线上线下零售旅行社的主要供应商。</w:t>
      </w:r>
      <w:r>
        <w:rPr>
          <w:spacing w:val="-92"/>
        </w:rPr>
        <w:t> </w:t>
      </w:r>
      <w:r>
        <w:rPr>
          <w:spacing w:val="-92"/>
        </w:rPr>
      </w:r>
      <w:r>
        <w:rPr/>
        <w:t>公司大力投入、自主研发的同业分销系统使得代理商实时掌握公司产品动态，完成在线预订，大大提高了</w:t>
      </w:r>
      <w:r>
        <w:rPr/>
        <w:t> 工作效率并降低了沟通成本。公司零售业务通过门店、网站和移动端平台、呼叫中心、大客户拓展、会员 制营销及第三方平台等方式销售给终端消费者，形成覆盖京津冀、江浙沪地区主要城市的零售体系，并逐 步在湖北、陕西、云南、江西等地实现品牌落地。公司自建的企业资源管理系统，实现产品各种信息从生 产到销售端各系统、零售网站之间实时对接及完成在线预订，不断优化并扩充企业资源管理系统模块与功 能，为公司未来整合各种资源提供了系统保障。</w:t>
      </w:r>
    </w:p>
    <w:p>
      <w:pPr>
        <w:pStyle w:val="BodyText"/>
        <w:spacing w:line="398" w:lineRule="auto" w:before="50"/>
        <w:ind w:left="153" w:right="210" w:firstLine="471"/>
        <w:jc w:val="both"/>
      </w:pPr>
      <w:r>
        <w:rPr>
          <w:rFonts w:ascii="Times New Roman" w:hAnsi="Times New Roman" w:cs="Times New Roman" w:eastAsia="Times New Roman" w:hint="default"/>
          <w:b/>
          <w:bCs/>
        </w:rPr>
        <w:t>4</w:t>
      </w:r>
      <w:r>
        <w:rPr>
          <w:rFonts w:ascii="宋体" w:hAnsi="宋体" w:cs="宋体" w:eastAsia="宋体" w:hint="default"/>
          <w:b/>
          <w:bCs/>
        </w:rPr>
        <w:t>、团队优势。</w:t>
      </w:r>
      <w:r>
        <w:rPr/>
        <w:t>公司核心团队组建超过</w:t>
      </w:r>
      <w:r>
        <w:rPr>
          <w:rFonts w:ascii="Times New Roman" w:hAnsi="Times New Roman" w:cs="Times New Roman" w:eastAsia="Times New Roman" w:hint="default"/>
        </w:rPr>
        <w:t>20</w:t>
      </w:r>
      <w:r>
        <w:rPr/>
        <w:t>年，核心团队成员均是股东，从业经验丰富，彼此间配合默 </w:t>
      </w:r>
      <w:r>
        <w:rPr>
          <w:spacing w:val="-1"/>
        </w:rPr>
        <w:t>契，凝聚力高，团队稳定，执行力强。公司上市后，通过股权激励、员工持股计划，进一步激励中高层管</w:t>
      </w:r>
      <w:r>
        <w:rPr>
          <w:spacing w:val="-85"/>
        </w:rPr>
        <w:t> </w:t>
      </w:r>
      <w:r>
        <w:rPr>
          <w:spacing w:val="-85"/>
        </w:rPr>
      </w:r>
      <w:r>
        <w:rPr/>
        <w:t>理人员、核心业务人员，公司整体运转高效、决策机制完善，始终保持创业公司的激情。</w:t>
      </w:r>
    </w:p>
    <w:p>
      <w:pPr>
        <w:spacing w:after="0" w:line="398"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93" w:lineRule="auto" w:before="35"/>
        <w:ind w:left="153" w:right="147" w:firstLine="420"/>
        <w:jc w:val="both"/>
      </w:pPr>
      <w:r>
        <w:rPr>
          <w:rFonts w:ascii="Times New Roman" w:hAnsi="Times New Roman" w:cs="Times New Roman" w:eastAsia="Times New Roman" w:hint="default"/>
          <w:b/>
          <w:bCs/>
        </w:rPr>
        <w:t>5</w:t>
      </w:r>
      <w:r>
        <w:rPr>
          <w:rFonts w:ascii="宋体" w:hAnsi="宋体" w:cs="宋体" w:eastAsia="宋体" w:hint="default"/>
          <w:b/>
          <w:bCs/>
        </w:rPr>
        <w:t>、业务协同优势。</w:t>
      </w:r>
      <w:r>
        <w:rPr/>
        <w:t>随着公司发展战略的逐步实施，打通出境游上中下游产业链，在原有的出境游批</w:t>
      </w:r>
      <w:r>
        <w:rPr>
          <w:spacing w:val="2"/>
        </w:rPr>
        <w:t> </w:t>
      </w:r>
      <w:r>
        <w:rPr>
          <w:spacing w:val="-1"/>
        </w:rPr>
        <w:t>发、出境游零售、整合营销服务三大业务协同的基础上，适时推出了与出境游相关的游学、移民置业、旅</w:t>
      </w:r>
      <w:r>
        <w:rPr>
          <w:spacing w:val="-83"/>
        </w:rPr>
        <w:t> </w:t>
      </w:r>
      <w:r>
        <w:rPr>
          <w:spacing w:val="-83"/>
        </w:rPr>
      </w:r>
      <w:r>
        <w:rPr/>
        <w:t>游金融、健康医疗等出境服务，核心出境游业务与</w:t>
      </w:r>
      <w:r>
        <w:rPr>
          <w:rFonts w:ascii="Times New Roman" w:hAnsi="Times New Roman" w:cs="Times New Roman" w:eastAsia="Times New Roman" w:hint="default"/>
        </w:rPr>
        <w:t>“</w:t>
      </w:r>
      <w:r>
        <w:rPr/>
        <w:t>旅游</w:t>
      </w:r>
      <w:r>
        <w:rPr>
          <w:rFonts w:ascii="Times New Roman" w:hAnsi="Times New Roman" w:cs="Times New Roman" w:eastAsia="Times New Roman" w:hint="default"/>
        </w:rPr>
        <w:t>+”</w:t>
      </w:r>
      <w:r>
        <w:rPr/>
        <w:t>业务互相促进、协同发展，进一步巩固加强了</w:t>
      </w:r>
      <w:r>
        <w:rPr>
          <w:spacing w:val="-27"/>
        </w:rPr>
        <w:t> </w:t>
      </w:r>
      <w:r>
        <w:rPr>
          <w:spacing w:val="-27"/>
        </w:rPr>
      </w:r>
      <w:r>
        <w:rPr/>
        <w:t>业务协同优势。</w:t>
      </w:r>
    </w:p>
    <w:p>
      <w:pPr>
        <w:spacing w:after="0" w:line="393" w:lineRule="auto"/>
        <w:jc w:val="both"/>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102"/>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771"/>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208" w:firstLine="420"/>
        <w:jc w:val="both"/>
      </w:pPr>
      <w:r>
        <w:rPr>
          <w:rFonts w:ascii="Times New Roman" w:hAnsi="Times New Roman" w:cs="Times New Roman" w:eastAsia="Times New Roman" w:hint="default"/>
        </w:rPr>
        <w:t>2017</w:t>
      </w:r>
      <w:r>
        <w:rPr/>
        <w:t>年公司营业收入及相关利润指标稳步增长，实现营业总收入</w:t>
      </w:r>
      <w:r>
        <w:rPr>
          <w:rFonts w:ascii="Times New Roman" w:hAnsi="Times New Roman" w:cs="Times New Roman" w:eastAsia="Times New Roman" w:hint="default"/>
        </w:rPr>
        <w:t>120.48</w:t>
      </w:r>
      <w:r>
        <w:rPr/>
        <w:t>亿元，同比增长</w:t>
      </w:r>
      <w:r>
        <w:rPr>
          <w:rFonts w:ascii="Times New Roman" w:hAnsi="Times New Roman" w:cs="Times New Roman" w:eastAsia="Times New Roman" w:hint="default"/>
        </w:rPr>
        <w:t>19.24%</w:t>
      </w:r>
      <w:r>
        <w:rPr/>
        <w:t>，实现</w:t>
      </w:r>
      <w:r>
        <w:rPr>
          <w:spacing w:val="1"/>
        </w:rPr>
        <w:t> </w:t>
      </w:r>
      <w:r>
        <w:rPr/>
        <w:t>净利润</w:t>
      </w:r>
      <w:r>
        <w:rPr>
          <w:rFonts w:ascii="Times New Roman" w:hAnsi="Times New Roman" w:cs="Times New Roman" w:eastAsia="Times New Roman" w:hint="default"/>
        </w:rPr>
        <w:t>2.8</w:t>
      </w:r>
      <w:r>
        <w:rPr/>
        <w:t>亿元，同比增长</w:t>
      </w:r>
      <w:r>
        <w:rPr>
          <w:rFonts w:ascii="Times New Roman" w:hAnsi="Times New Roman" w:cs="Times New Roman" w:eastAsia="Times New Roman" w:hint="default"/>
        </w:rPr>
        <w:t>13.98%</w:t>
      </w:r>
      <w:r>
        <w:rPr/>
        <w:t>，其中归属于上市公司股东的净利润</w:t>
      </w:r>
      <w:r>
        <w:rPr>
          <w:rFonts w:ascii="Times New Roman" w:hAnsi="Times New Roman" w:cs="Times New Roman" w:eastAsia="Times New Roman" w:hint="default"/>
        </w:rPr>
        <w:t>2.33</w:t>
      </w:r>
      <w:r>
        <w:rPr/>
        <w:t>亿元，同比增长</w:t>
      </w:r>
      <w:r>
        <w:rPr>
          <w:rFonts w:ascii="Times New Roman" w:hAnsi="Times New Roman" w:cs="Times New Roman" w:eastAsia="Times New Roman" w:hint="default"/>
        </w:rPr>
        <w:t>8.27%</w:t>
      </w:r>
      <w:r>
        <w:rPr/>
        <w:t>，全年为</w:t>
      </w:r>
      <w:r>
        <w:rPr>
          <w:spacing w:val="-72"/>
        </w:rPr>
        <w:t> </w:t>
      </w:r>
      <w:r>
        <w:rPr/>
        <w:t>超过</w:t>
      </w:r>
      <w:r>
        <w:rPr>
          <w:rFonts w:ascii="Times New Roman" w:hAnsi="Times New Roman" w:cs="Times New Roman" w:eastAsia="Times New Roman" w:hint="default"/>
        </w:rPr>
        <w:t>200</w:t>
      </w:r>
      <w:r>
        <w:rPr/>
        <w:t>万以上游客提供了旅游服务。</w:t>
      </w:r>
    </w:p>
    <w:p>
      <w:pPr>
        <w:pStyle w:val="BodyText"/>
        <w:spacing w:line="391" w:lineRule="auto" w:before="35"/>
        <w:ind w:right="97" w:firstLine="420"/>
        <w:jc w:val="left"/>
        <w:rPr>
          <w:rFonts w:ascii="Times New Roman" w:hAnsi="Times New Roman" w:cs="Times New Roman" w:eastAsia="Times New Roman" w:hint="default"/>
        </w:rPr>
      </w:pPr>
      <w:r>
        <w:rPr>
          <w:spacing w:val="-5"/>
        </w:rPr>
        <w:t>中国旅游研究院发布的数据显示，</w:t>
      </w:r>
      <w:r>
        <w:rPr>
          <w:rFonts w:ascii="Times New Roman" w:hAnsi="Times New Roman" w:cs="Times New Roman" w:eastAsia="Times New Roman" w:hint="default"/>
          <w:spacing w:val="-5"/>
        </w:rPr>
        <w:t>2017</w:t>
      </w:r>
      <w:r>
        <w:rPr>
          <w:spacing w:val="-5"/>
        </w:rPr>
        <w:t>年全年，中国公民出境旅游</w:t>
      </w:r>
      <w:r>
        <w:rPr>
          <w:rFonts w:ascii="Times New Roman" w:hAnsi="Times New Roman" w:cs="Times New Roman" w:eastAsia="Times New Roman" w:hint="default"/>
          <w:spacing w:val="-5"/>
        </w:rPr>
        <w:t>13051</w:t>
      </w:r>
      <w:r>
        <w:rPr>
          <w:spacing w:val="-5"/>
        </w:rPr>
        <w:t>万人次，比上年同期增长</w:t>
      </w:r>
      <w:r>
        <w:rPr>
          <w:rFonts w:ascii="Times New Roman" w:hAnsi="Times New Roman" w:cs="Times New Roman" w:eastAsia="Times New Roman" w:hint="default"/>
          <w:spacing w:val="-5"/>
        </w:rPr>
        <w:t>7.0%</w:t>
      </w:r>
      <w:r>
        <w:rPr>
          <w:spacing w:val="-5"/>
        </w:rPr>
        <w:t>，</w:t>
      </w:r>
      <w:r>
        <w:rPr/>
        <w:t> 中国已连续多年保持世界第一大出境旅游客源国地位。目前中国已经成为泰国、日本、韩国、越南、柬埔</w:t>
      </w:r>
      <w:r>
        <w:rPr/>
        <w:t> 寨、俄罗斯、马尔代夫、印尼、朝鲜、南非等</w:t>
      </w:r>
      <w:r>
        <w:rPr>
          <w:rFonts w:ascii="Times New Roman" w:hAnsi="Times New Roman" w:cs="Times New Roman" w:eastAsia="Times New Roman" w:hint="default"/>
        </w:rPr>
        <w:t>10</w:t>
      </w:r>
      <w:r>
        <w:rPr/>
        <w:t>个国家的第一大入境旅游客源地，中国游客在这些国家国 际游客中的占比最高达</w:t>
      </w:r>
      <w:r>
        <w:rPr>
          <w:rFonts w:ascii="Times New Roman" w:hAnsi="Times New Roman" w:cs="Times New Roman" w:eastAsia="Times New Roman" w:hint="default"/>
        </w:rPr>
        <w:t>30%</w:t>
      </w:r>
      <w:r>
        <w:rPr/>
        <w:t>。中国也是美国、阿联酋、英国、新西兰、菲律宾、斯里兰卡、加拿大等国家</w:t>
      </w:r>
      <w:r>
        <w:rPr>
          <w:spacing w:val="-98"/>
        </w:rPr>
        <w:t> </w:t>
      </w:r>
      <w:r>
        <w:rPr>
          <w:spacing w:val="-98"/>
        </w:rPr>
      </w:r>
      <w:r>
        <w:rPr/>
        <w:t>的重要客源国。</w:t>
      </w:r>
      <w:r>
        <w:rPr>
          <w:rFonts w:ascii="Times New Roman" w:hAnsi="Times New Roman" w:cs="Times New Roman" w:eastAsia="Times New Roman" w:hint="default"/>
        </w:rPr>
        <w:t>2017</w:t>
      </w:r>
      <w:r>
        <w:rPr/>
        <w:t>年，中国还成为赴南极旅游的第二大客源国。根据公安部</w:t>
      </w:r>
      <w:r>
        <w:rPr>
          <w:rFonts w:ascii="Times New Roman" w:hAnsi="Times New Roman" w:cs="Times New Roman" w:eastAsia="Times New Roman" w:hint="default"/>
        </w:rPr>
        <w:t>2017</w:t>
      </w:r>
      <w:r>
        <w:rPr/>
        <w:t>年初发布的数据显示，</w:t>
      </w:r>
      <w:r>
        <w:rPr>
          <w:spacing w:val="-38"/>
        </w:rPr>
        <w:t> </w:t>
      </w:r>
      <w:r>
        <w:rPr>
          <w:spacing w:val="-38"/>
        </w:rPr>
      </w:r>
      <w:r>
        <w:rPr>
          <w:spacing w:val="-4"/>
        </w:rPr>
        <w:t>内地居民有效的因私普通护照持有量达</w:t>
      </w:r>
      <w:r>
        <w:rPr>
          <w:rFonts w:ascii="Times New Roman" w:hAnsi="Times New Roman" w:cs="Times New Roman" w:eastAsia="Times New Roman" w:hint="default"/>
          <w:spacing w:val="-4"/>
        </w:rPr>
        <w:t>1.29</w:t>
      </w:r>
      <w:r>
        <w:rPr>
          <w:spacing w:val="-4"/>
        </w:rPr>
        <w:t>亿本，据此推算，持有因私普通护照人口约占全国总人口的</w:t>
      </w:r>
      <w:r>
        <w:rPr>
          <w:rFonts w:ascii="Times New Roman" w:hAnsi="Times New Roman" w:cs="Times New Roman" w:eastAsia="Times New Roman" w:hint="default"/>
          <w:spacing w:val="-4"/>
        </w:rPr>
        <w:t>9.3%</w:t>
      </w:r>
    </w:p>
    <w:p>
      <w:pPr>
        <w:pStyle w:val="BodyText"/>
        <w:spacing w:line="403" w:lineRule="auto" w:before="30"/>
        <w:ind w:left="153" w:right="102"/>
        <w:jc w:val="left"/>
      </w:pPr>
      <w:r>
        <w:rPr/>
        <w:t>（而欧美发达国家此数据比例在</w:t>
      </w:r>
      <w:r>
        <w:rPr>
          <w:rFonts w:ascii="Times New Roman" w:hAnsi="Times New Roman" w:cs="Times New Roman" w:eastAsia="Times New Roman" w:hint="default"/>
        </w:rPr>
        <w:t>40%-70%</w:t>
      </w:r>
      <w:r>
        <w:rPr/>
        <w:t>以上），相当于我国尚有</w:t>
      </w:r>
      <w:r>
        <w:rPr>
          <w:rFonts w:ascii="Times New Roman" w:hAnsi="Times New Roman" w:cs="Times New Roman" w:eastAsia="Times New Roman" w:hint="default"/>
        </w:rPr>
        <w:t>90%</w:t>
      </w:r>
      <w:r>
        <w:rPr/>
        <w:t>的人口尚未进入出境旅游市场，出</w:t>
      </w:r>
      <w:r>
        <w:rPr>
          <w:spacing w:val="-100"/>
        </w:rPr>
        <w:t> </w:t>
      </w:r>
      <w:r>
        <w:rPr>
          <w:spacing w:val="-100"/>
        </w:rPr>
      </w:r>
      <w:r>
        <w:rPr>
          <w:spacing w:val="-5"/>
        </w:rPr>
        <w:t>境旅游市场拥有巨大的发展潜力。在出游方式上，跟团游（含定制游）、自由行成为两个独立的出游方式，</w:t>
      </w:r>
      <w:r>
        <w:rPr/>
        <w:t> </w:t>
      </w:r>
      <w:r>
        <w:rPr>
          <w:spacing w:val="-3"/>
        </w:rPr>
        <w:t>人们因不同目的地、不同出游目的及不同的消费阶段会选择不同的出游方式，能够有效整合资源提供优质、</w:t>
      </w:r>
      <w:r>
        <w:rPr>
          <w:spacing w:val="-92"/>
        </w:rPr>
        <w:t> </w:t>
      </w:r>
      <w:r>
        <w:rPr>
          <w:spacing w:val="-92"/>
        </w:rPr>
      </w:r>
      <w:r>
        <w:rPr/>
        <w:t>便捷产品服务的跟团游（含定制游）仍然具有巨大的发展空间。目前旅游已成为衡量中国城市家庭和年轻</w:t>
      </w:r>
      <w:r>
        <w:rPr/>
        <w:t> 人幸福度的一大标准，基于我国稳定的政治环境，在国民收入增长和旅游消费升级推动下，以及签证、汇 率、航班等一系列便利因素影响下，在可以预见的未来，我国出境旅游市场将继续保持较快发展。</w:t>
      </w:r>
    </w:p>
    <w:p>
      <w:pPr>
        <w:pStyle w:val="BodyText"/>
        <w:spacing w:line="400" w:lineRule="auto" w:before="50"/>
        <w:ind w:left="153" w:right="102" w:firstLine="420"/>
        <w:jc w:val="left"/>
      </w:pPr>
      <w:r>
        <w:rPr>
          <w:rFonts w:ascii="Times New Roman" w:hAnsi="Times New Roman" w:cs="Times New Roman" w:eastAsia="Times New Roman" w:hint="default"/>
        </w:rPr>
        <w:t>2017</w:t>
      </w:r>
      <w:r>
        <w:rPr/>
        <w:t>年随着欧洲暴恐影响的减小，欧洲旅游呈现回暖态势，作为国内经营欧洲旅游目的地最大的运营 </w:t>
      </w:r>
      <w:r>
        <w:rPr>
          <w:spacing w:val="-5"/>
        </w:rPr>
        <w:t>商，公司不断进行产品创新，引领行业产品格局，除了主流的常规西欧游产品，西欧深度游、东欧、北欧、</w:t>
      </w:r>
      <w:r>
        <w:rPr/>
        <w:t> 南欧产品也受到市场欢迎。随着与竹园国旅的重组完成，近两年公司东南亚、海岛目的地产品增长迅猛，</w:t>
      </w:r>
      <w:r>
        <w:rPr>
          <w:spacing w:val="-34"/>
        </w:rPr>
        <w:t> </w:t>
      </w:r>
      <w:r>
        <w:rPr>
          <w:spacing w:val="-34"/>
        </w:rPr>
      </w:r>
      <w:r>
        <w:rPr/>
        <w:t>年服务游客超过百万人次。</w:t>
      </w:r>
      <w:r>
        <w:rPr>
          <w:rFonts w:ascii="Times New Roman" w:hAnsi="Times New Roman" w:cs="Times New Roman" w:eastAsia="Times New Roman" w:hint="default"/>
        </w:rPr>
        <w:t>2017</w:t>
      </w:r>
      <w:r>
        <w:rPr/>
        <w:t>年公司持续进行产品目的地均衡、产品本地化和产品创新，根据各渠道各 类人群的消费特点，开发满足市场需求的产品，通过在各地开设分子公司，在各个区域市场实施产品本地 化落地。同时，加大集中采购力度，有效降低采购成本，根据对市场的预判，进行更精准地采购管理。</w:t>
      </w:r>
    </w:p>
    <w:p>
      <w:pPr>
        <w:pStyle w:val="BodyText"/>
        <w:spacing w:line="408" w:lineRule="auto" w:before="52"/>
        <w:ind w:left="153" w:right="208" w:firstLine="420"/>
        <w:jc w:val="both"/>
      </w:pPr>
      <w:r>
        <w:rPr/>
        <w:t>近两年来，在出境游热点地区，公司开始实施目的地一体化战略，</w:t>
      </w:r>
      <w:r>
        <w:rPr>
          <w:spacing w:val="46"/>
        </w:rPr>
        <w:t> </w:t>
      </w:r>
      <w:r>
        <w:rPr/>
        <w:t>已经在欧洲、日本、美国、东南</w:t>
      </w:r>
      <w:r>
        <w:rPr>
          <w:spacing w:val="2"/>
        </w:rPr>
        <w:t> </w:t>
      </w:r>
      <w:r>
        <w:rPr>
          <w:spacing w:val="-1"/>
        </w:rPr>
        <w:t>亚等地采用投资、战略合作等方式建立了落地服务公司，在提升公司的服务能力和产品质量的稳定性的同</w:t>
      </w:r>
      <w:r>
        <w:rPr>
          <w:spacing w:val="-81"/>
        </w:rPr>
        <w:t> </w:t>
      </w:r>
      <w:r>
        <w:rPr>
          <w:spacing w:val="-81"/>
        </w:rPr>
      </w:r>
      <w:r>
        <w:rPr/>
        <w:t>时，盈利能力也得到提升，产业链一体化成果得到初步显现。</w:t>
      </w:r>
    </w:p>
    <w:p>
      <w:pPr>
        <w:pStyle w:val="Heading6"/>
        <w:spacing w:line="240" w:lineRule="auto" w:before="87"/>
        <w:ind w:left="636" w:right="6771"/>
        <w:jc w:val="left"/>
        <w:rPr>
          <w:b w:val="0"/>
          <w:bCs w:val="0"/>
        </w:rPr>
      </w:pPr>
      <w:r>
        <w:rPr>
          <w:rFonts w:ascii="Times New Roman" w:hAnsi="Times New Roman" w:cs="Times New Roman" w:eastAsia="Times New Roman" w:hint="default"/>
        </w:rPr>
        <w:t>1</w:t>
      </w:r>
      <w:r>
        <w:rPr/>
        <w:t>、出境游业务</w:t>
      </w:r>
      <w:r>
        <w:rPr>
          <w:b w:val="0"/>
          <w:bCs w:val="0"/>
        </w:rPr>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b/>
          <w:bCs/>
          <w:sz w:val="26"/>
          <w:szCs w:val="26"/>
        </w:rPr>
      </w:pPr>
    </w:p>
    <w:p>
      <w:pPr>
        <w:pStyle w:val="BodyText"/>
        <w:spacing w:line="240" w:lineRule="auto" w:before="35"/>
        <w:ind w:left="574" w:right="102"/>
        <w:jc w:val="left"/>
      </w:pPr>
      <w:r>
        <w:rPr>
          <w:rFonts w:ascii="Times New Roman" w:hAnsi="Times New Roman" w:cs="Times New Roman" w:eastAsia="Times New Roman" w:hint="default"/>
        </w:rPr>
        <w:t>2017</w:t>
      </w:r>
      <w:r>
        <w:rPr/>
        <w:t>年，出境游营业收入</w:t>
      </w:r>
      <w:r>
        <w:rPr>
          <w:rFonts w:ascii="Times New Roman" w:hAnsi="Times New Roman" w:cs="Times New Roman" w:eastAsia="Times New Roman" w:hint="default"/>
        </w:rPr>
        <w:t>1,096,390.91</w:t>
      </w:r>
      <w:r>
        <w:rPr/>
        <w:t>万元，同比增长</w:t>
      </w:r>
      <w:r>
        <w:rPr>
          <w:rFonts w:ascii="Times New Roman" w:hAnsi="Times New Roman" w:cs="Times New Roman" w:eastAsia="Times New Roman" w:hint="default"/>
        </w:rPr>
        <w:t>18.62%</w:t>
      </w:r>
      <w:r>
        <w:rPr/>
        <w:t>。</w:t>
      </w:r>
    </w:p>
    <w:p>
      <w:pPr>
        <w:spacing w:line="240" w:lineRule="auto" w:before="8"/>
        <w:rPr>
          <w:rFonts w:ascii="宋体" w:hAnsi="宋体" w:cs="宋体" w:eastAsia="宋体" w:hint="default"/>
          <w:sz w:val="16"/>
          <w:szCs w:val="16"/>
        </w:rPr>
      </w:pPr>
    </w:p>
    <w:p>
      <w:pPr>
        <w:spacing w:line="420" w:lineRule="auto" w:before="0"/>
        <w:ind w:left="636" w:right="2593"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）出境游批发业务</w:t>
      </w:r>
      <w:r>
        <w:rPr>
          <w:rFonts w:ascii="宋体" w:hAnsi="宋体" w:cs="宋体" w:eastAsia="宋体" w:hint="default"/>
          <w:b/>
          <w:bCs/>
          <w:spacing w:val="1"/>
          <w:w w:val="99"/>
          <w:sz w:val="21"/>
          <w:szCs w:val="21"/>
        </w:rPr>
        <w:t> </w:t>
      </w:r>
      <w:r>
        <w:rPr>
          <w:rFonts w:ascii="宋体" w:hAnsi="宋体" w:cs="宋体" w:eastAsia="宋体" w:hint="default"/>
          <w:sz w:val="21"/>
          <w:szCs w:val="21"/>
        </w:rPr>
        <w:t>出境游批发业务收入</w:t>
      </w:r>
      <w:r>
        <w:rPr>
          <w:rFonts w:ascii="Times New Roman" w:hAnsi="Times New Roman" w:cs="Times New Roman" w:eastAsia="Times New Roman" w:hint="default"/>
          <w:sz w:val="21"/>
          <w:szCs w:val="21"/>
        </w:rPr>
        <w:t>891,485.32</w:t>
      </w:r>
      <w:r>
        <w:rPr>
          <w:rFonts w:ascii="宋体" w:hAnsi="宋体" w:cs="宋体" w:eastAsia="宋体" w:hint="default"/>
          <w:sz w:val="21"/>
          <w:szCs w:val="21"/>
        </w:rPr>
        <w:t>万元，同比增长</w:t>
      </w:r>
      <w:r>
        <w:rPr>
          <w:rFonts w:ascii="Times New Roman" w:hAnsi="Times New Roman" w:cs="Times New Roman" w:eastAsia="Times New Roman" w:hint="default"/>
          <w:sz w:val="21"/>
          <w:szCs w:val="21"/>
        </w:rPr>
        <w:t>19.82%</w:t>
      </w:r>
      <w:r>
        <w:rPr>
          <w:rFonts w:ascii="宋体" w:hAnsi="宋体" w:cs="宋体" w:eastAsia="宋体" w:hint="default"/>
          <w:sz w:val="21"/>
          <w:szCs w:val="21"/>
        </w:rPr>
        <w:t>，毛利率为</w:t>
      </w:r>
      <w:r>
        <w:rPr>
          <w:rFonts w:ascii="Times New Roman" w:hAnsi="Times New Roman" w:cs="Times New Roman" w:eastAsia="Times New Roman" w:hint="default"/>
          <w:sz w:val="21"/>
          <w:szCs w:val="21"/>
        </w:rPr>
        <w:t>7.88%</w:t>
      </w:r>
      <w:r>
        <w:rPr>
          <w:rFonts w:ascii="宋体" w:hAnsi="宋体" w:cs="宋体" w:eastAsia="宋体" w:hint="default"/>
          <w:sz w:val="21"/>
          <w:szCs w:val="21"/>
        </w:rPr>
        <w:t>。</w:t>
      </w:r>
    </w:p>
    <w:p>
      <w:pPr>
        <w:pStyle w:val="BodyText"/>
        <w:spacing w:line="410" w:lineRule="auto" w:before="41"/>
        <w:ind w:right="102" w:firstLine="420"/>
        <w:jc w:val="left"/>
      </w:pPr>
      <w:r>
        <w:rPr/>
        <w:t>随着和竹园国旅之间业务整合的不断深入、业务协同不断加强、众信旅游批发业务与竹园国旅在产品 和资源上优势互补，在渠道上保持有效的内部竞争机制，公司出境游批发业务上保持着较高的增长速度。</w:t>
      </w:r>
    </w:p>
    <w:p>
      <w:pPr>
        <w:pStyle w:val="BodyText"/>
        <w:spacing w:line="396" w:lineRule="auto" w:before="82"/>
        <w:ind w:right="102" w:firstLine="420"/>
        <w:jc w:val="left"/>
      </w:pPr>
      <w:r>
        <w:rPr>
          <w:rFonts w:ascii="Times New Roman" w:hAnsi="Times New Roman" w:cs="Times New Roman" w:eastAsia="Times New Roman" w:hint="default"/>
        </w:rPr>
        <w:t>2017</w:t>
      </w:r>
      <w:r>
        <w:rPr/>
        <w:t>年公司在欧洲目的地上继续保持批发业务龙头的地位。随着欧洲恐怖袭击影响的逐渐消除，各使 领馆、签证中心对签证指纹录入的便利性的提高等，欧洲旅游市场呈现较强的回暖态势，</w:t>
      </w:r>
      <w:r>
        <w:rPr>
          <w:rFonts w:ascii="Times New Roman" w:hAnsi="Times New Roman" w:cs="Times New Roman" w:eastAsia="Times New Roman" w:hint="default"/>
        </w:rPr>
        <w:t>2017</w:t>
      </w:r>
      <w:r>
        <w:rPr/>
        <w:t>年度公司欧 洲目的地产品营收增速超过</w:t>
      </w:r>
      <w:r>
        <w:rPr>
          <w:rFonts w:ascii="Times New Roman" w:hAnsi="Times New Roman" w:cs="Times New Roman" w:eastAsia="Times New Roman" w:hint="default"/>
        </w:rPr>
        <w:t>30%</w:t>
      </w:r>
      <w:r>
        <w:rPr/>
        <w:t>。公司管理层根据市场情况，结合与竹园国旅之间不同的地区优势和产品</w:t>
      </w:r>
      <w:r>
        <w:rPr>
          <w:spacing w:val="-98"/>
        </w:rPr>
        <w:t> </w:t>
      </w:r>
      <w:r>
        <w:rPr>
          <w:spacing w:val="-98"/>
        </w:rPr>
      </w:r>
      <w:r>
        <w:rPr/>
        <w:t>定位，在各销售区域和各产品结构上均加大了赴欧旅游产品的投放力度，并在产品端深度研发，结合欧洲</w:t>
      </w:r>
      <w:r>
        <w:rPr/>
        <w:t> 目的地市场的不断升级，新兴赴欧旅游热点地区的不断涌现，细分了东南西北欧、俄罗斯、北极等产品，</w:t>
      </w:r>
      <w:r>
        <w:rPr>
          <w:spacing w:val="-34"/>
        </w:rPr>
        <w:t> </w:t>
      </w:r>
      <w:r>
        <w:rPr>
          <w:spacing w:val="-34"/>
        </w:rPr>
      </w:r>
      <w:r>
        <w:rPr/>
        <w:t>引领消费需求和市场产品格局，如在保证常规西欧游投入的前提下，加大了</w:t>
      </w:r>
      <w:r>
        <w:rPr>
          <w:rFonts w:ascii="Times New Roman" w:hAnsi="Times New Roman" w:cs="Times New Roman" w:eastAsia="Times New Roman" w:hint="default"/>
        </w:rPr>
        <w:t>1</w:t>
      </w:r>
      <w:r>
        <w:rPr/>
        <w:t>国、</w:t>
      </w:r>
      <w:r>
        <w:rPr>
          <w:rFonts w:ascii="Times New Roman" w:hAnsi="Times New Roman" w:cs="Times New Roman" w:eastAsia="Times New Roman" w:hint="default"/>
        </w:rPr>
        <w:t>2</w:t>
      </w:r>
      <w:r>
        <w:rPr/>
        <w:t>国等深度主题度假旅游 产品的开发力度，推出超级旅行团尊品意大利一地</w:t>
      </w:r>
      <w:r>
        <w:rPr>
          <w:rFonts w:ascii="Times New Roman" w:hAnsi="Times New Roman" w:cs="Times New Roman" w:eastAsia="Times New Roman" w:hint="default"/>
        </w:rPr>
        <w:t>12</w:t>
      </w:r>
      <w:r>
        <w:rPr/>
        <w:t>日、金牌瑞士一地</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w:t>
      </w:r>
      <w:r>
        <w:rPr/>
        <w:t>一价全含</w:t>
      </w:r>
      <w:r>
        <w:rPr>
          <w:rFonts w:ascii="Times New Roman" w:hAnsi="Times New Roman" w:cs="Times New Roman" w:eastAsia="Times New Roman" w:hint="default"/>
        </w:rPr>
        <w:t>”</w:t>
      </w:r>
      <w:r>
        <w:rPr/>
        <w:t>尊品荷兰德国</w:t>
      </w:r>
      <w:r>
        <w:rPr>
          <w:rFonts w:ascii="Times New Roman" w:hAnsi="Times New Roman" w:cs="Times New Roman" w:eastAsia="Times New Roman" w:hint="default"/>
        </w:rPr>
        <w:t>12 </w:t>
      </w:r>
      <w:r>
        <w:rPr/>
        <w:t>日等产品。通过与乌拉尔航空包机业务的合作，加大东欧产品的开拓力度，使得东欧及东西欧连线产品销 售收入快速增长。</w:t>
      </w:r>
    </w:p>
    <w:p>
      <w:pPr>
        <w:pStyle w:val="BodyText"/>
        <w:spacing w:line="393" w:lineRule="auto" w:before="96"/>
        <w:ind w:right="88" w:firstLine="420"/>
        <w:jc w:val="left"/>
      </w:pPr>
      <w:r>
        <w:rPr/>
        <w:t>亚洲旅游市场延续了近几年的快速增长态势，结合竹园国旅在亚洲市场的优势地位，亚洲目的地产品 对收入的贡献率已经和欧洲体量相当，成为公司第二大收入来源，年服务人次超过</w:t>
      </w:r>
      <w:r>
        <w:rPr>
          <w:rFonts w:ascii="Times New Roman" w:hAnsi="Times New Roman" w:cs="Times New Roman" w:eastAsia="Times New Roman" w:hint="default"/>
        </w:rPr>
        <w:t>100</w:t>
      </w:r>
      <w:r>
        <w:rPr/>
        <w:t>万，占到公司旅游</w:t>
      </w:r>
      <w:r>
        <w:rPr>
          <w:spacing w:val="-35"/>
        </w:rPr>
        <w:t> </w:t>
      </w:r>
      <w:r>
        <w:rPr>
          <w:spacing w:val="-35"/>
        </w:rPr>
      </w:r>
      <w:r>
        <w:rPr/>
        <w:t>服务人次的一半。公司在曼谷、普吉、沙巴、巴厘岛等中国游客较为集中的热点目的地运营了国内</w:t>
      </w:r>
      <w:r>
        <w:rPr>
          <w:rFonts w:ascii="Times New Roman" w:hAnsi="Times New Roman" w:cs="Times New Roman" w:eastAsia="Times New Roman" w:hint="default"/>
        </w:rPr>
        <w:t>10</w:t>
      </w:r>
      <w:r>
        <w:rPr/>
        <w:t>余个</w:t>
      </w:r>
      <w:r>
        <w:rPr>
          <w:spacing w:val="-2"/>
        </w:rPr>
        <w:t> </w:t>
      </w:r>
      <w:r>
        <w:rPr/>
        <w:t>城市始发的定期航班产品和包机产品，同时，经过多年的建设，东南亚、海岛产品品质不断升级，已经沉</w:t>
      </w:r>
      <w:r>
        <w:rPr/>
        <w:t> </w:t>
      </w:r>
      <w:r>
        <w:rPr>
          <w:spacing w:val="-4"/>
        </w:rPr>
        <w:t>淀了很多经典的、高性价比的产品受到了市场的认可，如：金牌</w:t>
      </w:r>
      <w:r>
        <w:rPr>
          <w:rFonts w:ascii="Times New Roman" w:hAnsi="Times New Roman" w:cs="Times New Roman" w:eastAsia="Times New Roman" w:hint="default"/>
          <w:spacing w:val="-4"/>
        </w:rPr>
        <w:t>·</w:t>
      </w:r>
      <w:r>
        <w:rPr>
          <w:spacing w:val="-4"/>
        </w:rPr>
        <w:t>泰传奇</w:t>
      </w:r>
      <w:r>
        <w:rPr>
          <w:rFonts w:ascii="Times New Roman" w:hAnsi="Times New Roman" w:cs="Times New Roman" w:eastAsia="Times New Roman" w:hint="default"/>
          <w:spacing w:val="-4"/>
        </w:rPr>
        <w:t>5</w:t>
      </w:r>
      <w:r>
        <w:rPr>
          <w:spacing w:val="-4"/>
        </w:rPr>
        <w:t>晚</w:t>
      </w:r>
      <w:r>
        <w:rPr>
          <w:rFonts w:ascii="Times New Roman" w:hAnsi="Times New Roman" w:cs="Times New Roman" w:eastAsia="Times New Roman" w:hint="default"/>
          <w:spacing w:val="-4"/>
        </w:rPr>
        <w:t>6</w:t>
      </w:r>
      <w:r>
        <w:rPr>
          <w:spacing w:val="-4"/>
        </w:rPr>
        <w:t>日、艇进</w:t>
      </w:r>
      <w:r>
        <w:rPr>
          <w:rFonts w:ascii="Times New Roman" w:hAnsi="Times New Roman" w:cs="Times New Roman" w:eastAsia="Times New Roman" w:hint="default"/>
          <w:spacing w:val="-4"/>
        </w:rPr>
        <w:t>·</w:t>
      </w:r>
      <w:r>
        <w:rPr>
          <w:spacing w:val="-4"/>
        </w:rPr>
        <w:t>普吉美食版</w:t>
      </w:r>
      <w:r>
        <w:rPr>
          <w:rFonts w:ascii="Times New Roman" w:hAnsi="Times New Roman" w:cs="Times New Roman" w:eastAsia="Times New Roman" w:hint="default"/>
          <w:spacing w:val="-4"/>
        </w:rPr>
        <w:t>5</w:t>
      </w:r>
      <w:r>
        <w:rPr>
          <w:spacing w:val="-4"/>
        </w:rPr>
        <w:t>晚</w:t>
      </w:r>
      <w:r>
        <w:rPr>
          <w:rFonts w:ascii="Times New Roman" w:hAnsi="Times New Roman" w:cs="Times New Roman" w:eastAsia="Times New Roman" w:hint="default"/>
          <w:spacing w:val="-4"/>
        </w:rPr>
        <w:t>7</w:t>
      </w:r>
      <w:r>
        <w:rPr>
          <w:spacing w:val="-4"/>
        </w:rPr>
        <w:t>日、</w:t>
      </w:r>
      <w:r>
        <w:rPr>
          <w:spacing w:val="-72"/>
        </w:rPr>
        <w:t> </w:t>
      </w:r>
      <w:r>
        <w:rPr>
          <w:spacing w:val="2"/>
        </w:rPr>
        <w:t>金牌</w:t>
      </w:r>
      <w:r>
        <w:rPr>
          <w:rFonts w:ascii="Times New Roman" w:hAnsi="Times New Roman" w:cs="Times New Roman" w:eastAsia="Times New Roman" w:hint="default"/>
          <w:spacing w:val="2"/>
        </w:rPr>
        <w:t>·</w:t>
      </w:r>
      <w:r>
        <w:rPr>
          <w:spacing w:val="2"/>
        </w:rPr>
        <w:t>凯悦普吉</w:t>
      </w:r>
      <w:r>
        <w:rPr>
          <w:rFonts w:ascii="Times New Roman" w:hAnsi="Times New Roman" w:cs="Times New Roman" w:eastAsia="Times New Roman" w:hint="default"/>
          <w:spacing w:val="2"/>
        </w:rPr>
        <w:t>5</w:t>
      </w:r>
      <w:r>
        <w:rPr>
          <w:spacing w:val="2"/>
        </w:rPr>
        <w:t>晚</w:t>
      </w:r>
      <w:r>
        <w:rPr>
          <w:rFonts w:ascii="Times New Roman" w:hAnsi="Times New Roman" w:cs="Times New Roman" w:eastAsia="Times New Roman" w:hint="default"/>
          <w:spacing w:val="2"/>
        </w:rPr>
        <w:t>7</w:t>
      </w:r>
      <w:r>
        <w:rPr>
          <w:spacing w:val="2"/>
        </w:rPr>
        <w:t>日、尊品</w:t>
      </w:r>
      <w:r>
        <w:rPr>
          <w:rFonts w:ascii="Times New Roman" w:hAnsi="Times New Roman" w:cs="Times New Roman" w:eastAsia="Times New Roman" w:hint="default"/>
          <w:spacing w:val="2"/>
        </w:rPr>
        <w:t>·</w:t>
      </w:r>
      <w:r>
        <w:rPr>
          <w:spacing w:val="2"/>
        </w:rPr>
        <w:t>巴厘岛金蓝双享</w:t>
      </w:r>
      <w:r>
        <w:rPr>
          <w:rFonts w:ascii="Times New Roman" w:hAnsi="Times New Roman" w:cs="Times New Roman" w:eastAsia="Times New Roman" w:hint="default"/>
          <w:spacing w:val="2"/>
        </w:rPr>
        <w:t>7</w:t>
      </w:r>
      <w:r>
        <w:rPr>
          <w:spacing w:val="2"/>
        </w:rPr>
        <w:t>日、菲同凡响长滩自由行</w:t>
      </w:r>
      <w:r>
        <w:rPr>
          <w:rFonts w:ascii="Times New Roman" w:hAnsi="Times New Roman" w:cs="Times New Roman" w:eastAsia="Times New Roman" w:hint="default"/>
          <w:spacing w:val="2"/>
        </w:rPr>
        <w:t>6</w:t>
      </w:r>
      <w:r>
        <w:rPr>
          <w:spacing w:val="2"/>
        </w:rPr>
        <w:t>晚</w:t>
      </w:r>
      <w:r>
        <w:rPr>
          <w:rFonts w:ascii="Times New Roman" w:hAnsi="Times New Roman" w:cs="Times New Roman" w:eastAsia="Times New Roman" w:hint="default"/>
          <w:spacing w:val="2"/>
        </w:rPr>
        <w:t>8</w:t>
      </w:r>
      <w:r>
        <w:rPr>
          <w:spacing w:val="2"/>
        </w:rPr>
        <w:t>日、鼎级新加坡巴厘岛</w:t>
      </w:r>
      <w:r>
        <w:rPr>
          <w:rFonts w:ascii="Times New Roman" w:hAnsi="Times New Roman" w:cs="Times New Roman" w:eastAsia="Times New Roman" w:hint="default"/>
          <w:spacing w:val="2"/>
        </w:rPr>
        <w:t>6</w:t>
      </w:r>
      <w:r>
        <w:rPr>
          <w:spacing w:val="2"/>
        </w:rPr>
        <w:t>晚</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21"/>
        </w:rPr>
        <w:t> </w:t>
      </w:r>
      <w:r>
        <w:rPr>
          <w:spacing w:val="-5"/>
        </w:rPr>
        <w:t>日等。为了应对市场同质化竞争，公司在中东非洲率先推出了中东非洲的多国连线产品，如埃及迪拜</w:t>
      </w:r>
      <w:r>
        <w:rPr>
          <w:rFonts w:ascii="Times New Roman" w:hAnsi="Times New Roman" w:cs="Times New Roman" w:eastAsia="Times New Roman" w:hint="default"/>
          <w:spacing w:val="-5"/>
        </w:rPr>
        <w:t>10</w:t>
      </w:r>
      <w:r>
        <w:rPr>
          <w:spacing w:val="-5"/>
        </w:rPr>
        <w:t>日</w:t>
      </w:r>
      <w:r>
        <w:rPr>
          <w:spacing w:val="2"/>
        </w:rPr>
        <w:t> </w:t>
      </w:r>
      <w:r>
        <w:rPr/>
        <w:t>、</w:t>
      </w:r>
      <w:r>
        <w:rPr/>
        <w:t> 埃及游轮阿布辛贝迪拜</w:t>
      </w:r>
      <w:r>
        <w:rPr>
          <w:rFonts w:ascii="Times New Roman" w:hAnsi="Times New Roman" w:cs="Times New Roman" w:eastAsia="Times New Roman" w:hint="default"/>
        </w:rPr>
        <w:t>15</w:t>
      </w:r>
      <w:r>
        <w:rPr/>
        <w:t>日、希腊土耳其两国深度</w:t>
      </w:r>
      <w:r>
        <w:rPr>
          <w:rFonts w:ascii="Times New Roman" w:hAnsi="Times New Roman" w:cs="Times New Roman" w:eastAsia="Times New Roman" w:hint="default"/>
        </w:rPr>
        <w:t>15</w:t>
      </w:r>
      <w:r>
        <w:rPr/>
        <w:t>日、突尼斯摩洛哥</w:t>
      </w:r>
      <w:r>
        <w:rPr>
          <w:rFonts w:ascii="Times New Roman" w:hAnsi="Times New Roman" w:cs="Times New Roman" w:eastAsia="Times New Roman" w:hint="default"/>
        </w:rPr>
        <w:t>13</w:t>
      </w:r>
      <w:r>
        <w:rPr/>
        <w:t>日等取得了良好的市场反响。</w:t>
      </w:r>
    </w:p>
    <w:p>
      <w:pPr>
        <w:pStyle w:val="BodyText"/>
        <w:spacing w:line="400" w:lineRule="auto" w:before="66"/>
        <w:ind w:left="153" w:right="208" w:firstLine="420"/>
        <w:jc w:val="both"/>
      </w:pPr>
      <w:r>
        <w:rPr>
          <w:spacing w:val="-1"/>
        </w:rPr>
        <w:t>在资源采购上，强化机票资源的集中采购，常年与国内外主流的大型航空公司进行系列团合作，不断</w:t>
      </w:r>
      <w:r>
        <w:rPr/>
        <w:t> </w:t>
      </w:r>
      <w:r>
        <w:rPr>
          <w:spacing w:val="-5"/>
        </w:rPr>
        <w:t>降低机票成本，获取机票资源的优先政策。公司与法荷航、汉莎等外航达成深度战略合作，以法荷航为例，</w:t>
      </w:r>
      <w:r>
        <w:rPr>
          <w:spacing w:val="-102"/>
        </w:rPr>
        <w:t> </w:t>
      </w:r>
      <w:r>
        <w:rPr>
          <w:spacing w:val="-102"/>
        </w:rPr>
      </w:r>
      <w:r>
        <w:rPr>
          <w:spacing w:val="-1"/>
        </w:rPr>
        <w:t>众信旅游及竹园国旅在其北京、上海、杭州、武汉、厦门、成都的全部航点均享有机票采购优先权及激励</w:t>
      </w:r>
      <w:r>
        <w:rPr>
          <w:spacing w:val="-83"/>
        </w:rPr>
        <w:t> </w:t>
      </w:r>
      <w:r>
        <w:rPr>
          <w:spacing w:val="-83"/>
        </w:rPr>
      </w:r>
      <w:r>
        <w:rPr/>
        <w:t>政策；与意大利勒奥斯航空（</w:t>
      </w:r>
      <w:r>
        <w:rPr>
          <w:rFonts w:ascii="Times New Roman" w:hAnsi="Times New Roman" w:cs="Times New Roman" w:eastAsia="Times New Roman" w:hint="default"/>
        </w:rPr>
        <w:t>NEOS</w:t>
      </w:r>
      <w:r>
        <w:rPr/>
        <w:t>）合作在南京、济南等城市开通赴意大利米兰的直航包机，极大地提</w:t>
      </w:r>
      <w:r>
        <w:rPr>
          <w:spacing w:val="-58"/>
        </w:rPr>
        <w:t> </w:t>
      </w:r>
      <w:r>
        <w:rPr>
          <w:spacing w:val="-58"/>
        </w:rPr>
      </w:r>
      <w:r>
        <w:rPr>
          <w:spacing w:val="-1"/>
        </w:rPr>
        <w:t>升了欧洲旺季运力；与奥凯航空合作，开通天津直飞日本青森的独家航线，增加了赴日航线；公司还与多</w:t>
      </w:r>
      <w:r>
        <w:rPr>
          <w:spacing w:val="-82"/>
        </w:rPr>
        <w:t> </w:t>
      </w:r>
      <w:r>
        <w:rPr>
          <w:spacing w:val="-82"/>
        </w:rPr>
      </w:r>
      <w:r>
        <w:rPr>
          <w:spacing w:val="-1"/>
        </w:rPr>
        <w:t>家东南亚航空在国内</w:t>
      </w:r>
      <w:r>
        <w:rPr>
          <w:rFonts w:ascii="Times New Roman" w:hAnsi="Times New Roman" w:cs="Times New Roman" w:eastAsia="Times New Roman" w:hint="default"/>
          <w:spacing w:val="-1"/>
        </w:rPr>
        <w:t>10</w:t>
      </w:r>
      <w:r>
        <w:rPr>
          <w:spacing w:val="-1"/>
        </w:rPr>
        <w:t>余个口岸城市进行定期航班或包机合作。同时，公司不断进行产品本地化落地，与</w:t>
      </w:r>
      <w:r>
        <w:rPr>
          <w:spacing w:val="-83"/>
        </w:rPr>
        <w:t> </w:t>
      </w:r>
      <w:r>
        <w:rPr>
          <w:spacing w:val="-83"/>
        </w:rPr>
      </w:r>
      <w:r>
        <w:rPr>
          <w:spacing w:val="-1"/>
        </w:rPr>
        <w:t>国航、东航、南航、海航等达成战略合作或深度合作，通过增加出境口岸及提供国内联运机票提升产品吸</w:t>
      </w:r>
    </w:p>
    <w:p>
      <w:pPr>
        <w:spacing w:after="0" w:line="400"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0" w:lineRule="auto" w:before="35"/>
        <w:ind w:right="210"/>
        <w:jc w:val="both"/>
      </w:pPr>
      <w:r>
        <w:rPr>
          <w:spacing w:val="-1"/>
        </w:rPr>
        <w:t>引力。通过一系列的举措，报告期内公司各销售区域均实现了不同程度的增长，其中华中、华南地区营收</w:t>
      </w:r>
      <w:r>
        <w:rPr>
          <w:spacing w:val="-82"/>
        </w:rPr>
        <w:t> </w:t>
      </w:r>
      <w:r>
        <w:rPr>
          <w:spacing w:val="-82"/>
        </w:rPr>
      </w:r>
      <w:r>
        <w:rPr/>
        <w:t>增幅超过</w:t>
      </w:r>
      <w:r>
        <w:rPr>
          <w:rFonts w:ascii="Times New Roman" w:hAnsi="Times New Roman" w:cs="Times New Roman" w:eastAsia="Times New Roman" w:hint="default"/>
        </w:rPr>
        <w:t>30%</w:t>
      </w:r>
      <w:r>
        <w:rPr/>
        <w:t>。近两年来，在出境游热点地区，公司开始实施目的地一体化战略，已经在欧洲、日本、美</w:t>
      </w:r>
      <w:r>
        <w:rPr>
          <w:spacing w:val="-98"/>
        </w:rPr>
        <w:t> </w:t>
      </w:r>
      <w:r>
        <w:rPr>
          <w:spacing w:val="-98"/>
        </w:rPr>
      </w:r>
      <w:r>
        <w:rPr>
          <w:spacing w:val="-1"/>
        </w:rPr>
        <w:t>国、东南亚等地采用投资、战略合作等方式在当地建立了落地服务公司，在提升公司的服务能力和产品质</w:t>
      </w:r>
      <w:r>
        <w:rPr>
          <w:spacing w:val="-83"/>
        </w:rPr>
        <w:t> </w:t>
      </w:r>
      <w:r>
        <w:rPr>
          <w:spacing w:val="-83"/>
        </w:rPr>
      </w:r>
      <w:r>
        <w:rPr/>
        <w:t>量的稳定性的同时，盈利能力也得到提升，产业链一体化成果得到初步显现。</w:t>
      </w:r>
    </w:p>
    <w:p>
      <w:pPr>
        <w:pStyle w:val="Heading6"/>
        <w:spacing w:line="240" w:lineRule="auto" w:before="92"/>
        <w:ind w:left="573" w:right="6771"/>
        <w:jc w:val="left"/>
        <w:rPr>
          <w:b w:val="0"/>
          <w:bCs w:val="0"/>
        </w:rPr>
      </w:pPr>
      <w:r>
        <w:rPr/>
        <w:t>（</w:t>
      </w:r>
      <w:r>
        <w:rPr>
          <w:rFonts w:ascii="Times New Roman" w:hAnsi="Times New Roman" w:cs="Times New Roman" w:eastAsia="Times New Roman" w:hint="default"/>
        </w:rPr>
        <w:t>2</w:t>
      </w:r>
      <w:r>
        <w:rPr/>
        <w:t>）出境游零售业务</w:t>
      </w:r>
      <w:r>
        <w:rPr>
          <w:b w:val="0"/>
          <w:bCs w:val="0"/>
        </w:rPr>
      </w:r>
    </w:p>
    <w:p>
      <w:pPr>
        <w:spacing w:line="240" w:lineRule="auto" w:before="9"/>
        <w:rPr>
          <w:rFonts w:ascii="宋体" w:hAnsi="宋体" w:cs="宋体" w:eastAsia="宋体" w:hint="default"/>
          <w:b/>
          <w:bCs/>
          <w:sz w:val="16"/>
          <w:szCs w:val="16"/>
        </w:rPr>
      </w:pPr>
    </w:p>
    <w:p>
      <w:pPr>
        <w:pStyle w:val="BodyText"/>
        <w:spacing w:line="240" w:lineRule="auto" w:before="0"/>
        <w:ind w:left="574" w:right="102"/>
        <w:jc w:val="left"/>
      </w:pPr>
      <w:r>
        <w:rPr>
          <w:rFonts w:ascii="Times New Roman" w:hAnsi="Times New Roman" w:cs="Times New Roman" w:eastAsia="Times New Roman" w:hint="default"/>
        </w:rPr>
        <w:t>2017</w:t>
      </w:r>
      <w:r>
        <w:rPr/>
        <w:t>年出境游零售业务收入</w:t>
      </w:r>
      <w:r>
        <w:rPr>
          <w:rFonts w:ascii="Times New Roman" w:hAnsi="Times New Roman" w:cs="Times New Roman" w:eastAsia="Times New Roman" w:hint="default"/>
        </w:rPr>
        <w:t>204,905.59</w:t>
      </w:r>
      <w:r>
        <w:rPr/>
        <w:t>万元，同比增长</w:t>
      </w:r>
      <w:r>
        <w:rPr>
          <w:rFonts w:ascii="Times New Roman" w:hAnsi="Times New Roman" w:cs="Times New Roman" w:eastAsia="Times New Roman" w:hint="default"/>
        </w:rPr>
        <w:t>13.68%</w:t>
      </w:r>
      <w:r>
        <w:rPr/>
        <w:t>，毛利率为</w:t>
      </w:r>
      <w:r>
        <w:rPr>
          <w:rFonts w:ascii="Times New Roman" w:hAnsi="Times New Roman" w:cs="Times New Roman" w:eastAsia="Times New Roman" w:hint="default"/>
        </w:rPr>
        <w:t>16.36%</w:t>
      </w:r>
      <w:r>
        <w:rPr/>
        <w:t>。</w:t>
      </w:r>
    </w:p>
    <w:p>
      <w:pPr>
        <w:spacing w:line="240" w:lineRule="auto" w:before="6"/>
        <w:rPr>
          <w:rFonts w:ascii="宋体" w:hAnsi="宋体" w:cs="宋体" w:eastAsia="宋体" w:hint="default"/>
          <w:sz w:val="16"/>
          <w:szCs w:val="16"/>
        </w:rPr>
      </w:pPr>
    </w:p>
    <w:p>
      <w:pPr>
        <w:pStyle w:val="BodyText"/>
        <w:spacing w:line="396" w:lineRule="auto" w:before="0"/>
        <w:ind w:left="153" w:right="102" w:firstLine="420"/>
        <w:jc w:val="left"/>
      </w:pPr>
      <w:r>
        <w:rPr>
          <w:rFonts w:ascii="Times New Roman" w:hAnsi="Times New Roman" w:cs="Times New Roman" w:eastAsia="Times New Roman" w:hint="default"/>
        </w:rPr>
        <w:t>2017</w:t>
      </w:r>
      <w:r>
        <w:rPr/>
        <w:t>年公司继续引领出境游市场产品的发展，根据不同季节的消费特点推出应季的旅游产品，如</w:t>
      </w:r>
      <w:r>
        <w:rPr>
          <w:rFonts w:ascii="Times New Roman" w:hAnsi="Times New Roman" w:cs="Times New Roman" w:eastAsia="Times New Roman" w:hint="default"/>
        </w:rPr>
        <w:t>“</w:t>
      </w:r>
      <w:r>
        <w:rPr/>
        <w:t>随 心自由行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我和春天有个约会</w:t>
      </w:r>
      <w:r>
        <w:rPr>
          <w:rFonts w:ascii="Times New Roman" w:hAnsi="Times New Roman" w:cs="Times New Roman" w:eastAsia="Times New Roman" w:hint="default"/>
        </w:rPr>
        <w:t>”</w:t>
      </w:r>
      <w:r>
        <w:rPr/>
        <w:t>赏花主题系列产品、</w:t>
      </w:r>
      <w:r>
        <w:rPr>
          <w:rFonts w:ascii="Times New Roman" w:hAnsi="Times New Roman" w:cs="Times New Roman" w:eastAsia="Times New Roman" w:hint="default"/>
        </w:rPr>
        <w:t>“</w:t>
      </w:r>
      <w:r>
        <w:rPr/>
        <w:t>神奇节日在哪里</w:t>
      </w:r>
      <w:r>
        <w:rPr>
          <w:rFonts w:ascii="Times New Roman" w:hAnsi="Times New Roman" w:cs="Times New Roman" w:eastAsia="Times New Roman" w:hint="default"/>
        </w:rPr>
        <w:t>”</w:t>
      </w:r>
      <w:r>
        <w:rPr/>
        <w:t>节庆主题系列产品、</w:t>
      </w:r>
      <w:r>
        <w:rPr>
          <w:spacing w:val="-36"/>
        </w:rPr>
        <w:t> </w:t>
      </w:r>
      <w:r>
        <w:rPr>
          <w:rFonts w:ascii="Times New Roman" w:hAnsi="Times New Roman" w:cs="Times New Roman" w:eastAsia="Times New Roman" w:hint="default"/>
        </w:rPr>
        <w:t>“</w:t>
      </w:r>
      <w:r>
        <w:rPr/>
        <w:t>全家人的暑 </w:t>
      </w:r>
      <w:r>
        <w:rPr>
          <w:spacing w:val="-2"/>
        </w:rPr>
        <w:t>假</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五天年假去旅行</w:t>
      </w:r>
      <w:r>
        <w:rPr>
          <w:rFonts w:ascii="Times New Roman" w:hAnsi="Times New Roman" w:cs="Times New Roman" w:eastAsia="Times New Roman" w:hint="default"/>
          <w:spacing w:val="-2"/>
        </w:rPr>
        <w:t>”</w:t>
      </w:r>
      <w:r>
        <w:rPr>
          <w:spacing w:val="-2"/>
        </w:rPr>
        <w:t>、十一长假后的第八季惠玩季等主题系列产品，同时，根据节日和季节变化，公司</w:t>
      </w:r>
      <w:r>
        <w:rPr>
          <w:spacing w:val="-102"/>
        </w:rPr>
        <w:t> </w:t>
      </w:r>
      <w:r>
        <w:rPr>
          <w:spacing w:val="-102"/>
        </w:rPr>
      </w:r>
      <w:r>
        <w:rPr>
          <w:spacing w:val="-4"/>
        </w:rPr>
        <w:t>制定了相应的主打产品策略，如：</w:t>
      </w:r>
      <w:r>
        <w:rPr>
          <w:rFonts w:ascii="Times New Roman" w:hAnsi="Times New Roman" w:cs="Times New Roman" w:eastAsia="Times New Roman" w:hint="default"/>
          <w:spacing w:val="-4"/>
        </w:rPr>
        <w:t>1-2</w:t>
      </w:r>
      <w:r>
        <w:rPr>
          <w:spacing w:val="-4"/>
        </w:rPr>
        <w:t>月主推东南亚、海岛目的地产品，在</w:t>
      </w:r>
      <w:r>
        <w:rPr>
          <w:rFonts w:ascii="Times New Roman" w:hAnsi="Times New Roman" w:cs="Times New Roman" w:eastAsia="Times New Roman" w:hint="default"/>
          <w:spacing w:val="-4"/>
        </w:rPr>
        <w:t>3-6</w:t>
      </w:r>
      <w:r>
        <w:rPr>
          <w:spacing w:val="-4"/>
        </w:rPr>
        <w:t>月北京零售门店加大了南欧、</w:t>
      </w:r>
      <w:r>
        <w:rPr>
          <w:spacing w:val="-72"/>
        </w:rPr>
        <w:t> </w:t>
      </w:r>
      <w:r>
        <w:rPr>
          <w:spacing w:val="-72"/>
        </w:rPr>
      </w:r>
      <w:r>
        <w:rPr/>
        <w:t>东欧产品的销售力度，增大发团量，使得东欧产品在欧洲市场平季保持了较快增长。随着定制游的兴起，</w:t>
      </w:r>
      <w:r>
        <w:rPr>
          <w:spacing w:val="-34"/>
        </w:rPr>
        <w:t> </w:t>
      </w:r>
      <w:r>
        <w:rPr>
          <w:spacing w:val="-34"/>
        </w:rPr>
      </w:r>
      <w:r>
        <w:rPr/>
        <w:t>公司适时推出“一家一团”产品，增加“一家一团”的产品目的地和种类，为消费者提供多样化选择。此</w:t>
      </w:r>
      <w:r>
        <w:rPr/>
        <w:t> 外，随着欧洲市场的复苏和这些年公司在欧洲市场的不断投入，使得公司在欧洲市场的散客接待量也在大 幅上升，这也为公司抓住欧洲当地参团市场和自由行市场提供了有力保障。</w:t>
      </w:r>
    </w:p>
    <w:p>
      <w:pPr>
        <w:pStyle w:val="BodyText"/>
        <w:spacing w:line="391" w:lineRule="auto" w:before="95"/>
        <w:ind w:left="153" w:right="210" w:firstLine="525"/>
        <w:jc w:val="both"/>
      </w:pPr>
      <w:r>
        <w:rPr>
          <w:rFonts w:ascii="Times New Roman" w:hAnsi="Times New Roman" w:cs="Times New Roman" w:eastAsia="Times New Roman" w:hint="default"/>
        </w:rPr>
        <w:t>2017</w:t>
      </w:r>
      <w:r>
        <w:rPr/>
        <w:t>年公司对部分北京、天津、河北地区零售门店进行优化调整，使得单店收入得到较快增长。在 </w:t>
      </w:r>
      <w:r>
        <w:rPr>
          <w:spacing w:val="-1"/>
        </w:rPr>
        <w:t>华东市场，公司加快了上海、南京等主要城市的门店开设力度，特别是上海门店的开设力度，截至</w:t>
      </w:r>
      <w:r>
        <w:rPr>
          <w:rFonts w:ascii="Times New Roman" w:hAnsi="Times New Roman" w:cs="Times New Roman" w:eastAsia="Times New Roman" w:hint="default"/>
          <w:spacing w:val="-1"/>
        </w:rPr>
        <w:t>2017</w:t>
      </w:r>
      <w:r>
        <w:rPr>
          <w:spacing w:val="-1"/>
        </w:rPr>
        <w:t>年</w:t>
      </w:r>
      <w:r>
        <w:rPr>
          <w:spacing w:val="-82"/>
        </w:rPr>
        <w:t> </w:t>
      </w:r>
      <w:r>
        <w:rPr>
          <w:rFonts w:ascii="Times New Roman" w:hAnsi="Times New Roman" w:cs="Times New Roman" w:eastAsia="Times New Roman" w:hint="default"/>
          <w:spacing w:val="-2"/>
        </w:rPr>
        <w:t>12</w:t>
      </w:r>
      <w:r>
        <w:rPr>
          <w:spacing w:val="-2"/>
        </w:rPr>
        <w:t>月，华东地区零售门店已有</w:t>
      </w:r>
      <w:r>
        <w:rPr>
          <w:rFonts w:ascii="Times New Roman" w:hAnsi="Times New Roman" w:cs="Times New Roman" w:eastAsia="Times New Roman" w:hint="default"/>
          <w:spacing w:val="-2"/>
        </w:rPr>
        <w:t>25</w:t>
      </w:r>
      <w:r>
        <w:rPr>
          <w:spacing w:val="-2"/>
        </w:rPr>
        <w:t>家，营业收入较去年增长超过</w:t>
      </w:r>
      <w:r>
        <w:rPr>
          <w:rFonts w:ascii="Times New Roman" w:hAnsi="Times New Roman" w:cs="Times New Roman" w:eastAsia="Times New Roman" w:hint="default"/>
          <w:spacing w:val="-2"/>
        </w:rPr>
        <w:t>200%</w:t>
      </w:r>
      <w:r>
        <w:rPr>
          <w:spacing w:val="-2"/>
        </w:rPr>
        <w:t>。武汉、西安等零售门店落地城市不断</w:t>
      </w:r>
      <w:r>
        <w:rPr>
          <w:spacing w:val="-103"/>
        </w:rPr>
        <w:t> </w:t>
      </w:r>
      <w:r>
        <w:rPr>
          <w:spacing w:val="-103"/>
        </w:rPr>
      </w:r>
      <w:r>
        <w:rPr>
          <w:spacing w:val="-1"/>
        </w:rPr>
        <w:t>加强产品和品牌推广。为了促进零售门店业绩的提升，开展会员特卖会、参展旅交会、商场巡展、社区推</w:t>
      </w:r>
      <w:r>
        <w:rPr>
          <w:spacing w:val="-83"/>
        </w:rPr>
        <w:t> </w:t>
      </w:r>
      <w:r>
        <w:rPr>
          <w:spacing w:val="-83"/>
        </w:rPr>
      </w:r>
      <w:r>
        <w:rPr/>
        <w:t>广等各类落地推广活动，加强员工培训，及与多所旅游院校进行校企合作，为零售门店做好人员储备。</w:t>
      </w:r>
    </w:p>
    <w:p>
      <w:pPr>
        <w:pStyle w:val="BodyText"/>
        <w:spacing w:line="391" w:lineRule="auto" w:before="100"/>
        <w:ind w:left="153" w:right="208" w:firstLine="420"/>
        <w:jc w:val="both"/>
      </w:pPr>
      <w:r>
        <w:rPr>
          <w:spacing w:val="-1"/>
        </w:rPr>
        <w:t>在新业务板块，奇迹旅行继续保持一贯的高品质和产品创新的特点，以极地邮轮为切入口，将优质服</w:t>
      </w:r>
      <w:r>
        <w:rPr/>
        <w:t> </w:t>
      </w:r>
      <w:r>
        <w:rPr>
          <w:spacing w:val="-1"/>
        </w:rPr>
        <w:t>务和行程创新相结合，给客人带来深刻的旅游体验。</w:t>
      </w:r>
      <w:r>
        <w:rPr>
          <w:rFonts w:ascii="Times New Roman" w:hAnsi="Times New Roman" w:cs="Times New Roman" w:eastAsia="Times New Roman" w:hint="default"/>
          <w:spacing w:val="-1"/>
        </w:rPr>
        <w:t>2017</w:t>
      </w:r>
      <w:r>
        <w:rPr>
          <w:spacing w:val="-1"/>
        </w:rPr>
        <w:t>年继续推出极地系列、南美系列、臻品系列、度</w:t>
      </w:r>
      <w:r>
        <w:rPr>
          <w:spacing w:val="-83"/>
        </w:rPr>
        <w:t> </w:t>
      </w:r>
      <w:r>
        <w:rPr>
          <w:spacing w:val="-83"/>
        </w:rPr>
      </w:r>
      <w:r>
        <w:rPr>
          <w:spacing w:val="-1"/>
        </w:rPr>
        <w:t>假系列、高端健康医疗系列等产品，鉴于一般高端客人都有较为丰富的出行经历，奇迹旅行每年推出目的</w:t>
      </w:r>
      <w:r>
        <w:rPr>
          <w:spacing w:val="-83"/>
        </w:rPr>
        <w:t> </w:t>
      </w:r>
      <w:r>
        <w:rPr>
          <w:spacing w:val="-83"/>
        </w:rPr>
      </w:r>
      <w:r>
        <w:rPr>
          <w:spacing w:val="-2"/>
        </w:rPr>
        <w:t>地特别、旅行方式新颖的产品，如</w:t>
      </w:r>
      <w:r>
        <w:rPr>
          <w:rFonts w:ascii="Times New Roman" w:hAnsi="Times New Roman" w:cs="Times New Roman" w:eastAsia="Times New Roman" w:hint="default"/>
          <w:spacing w:val="-2"/>
        </w:rPr>
        <w:t>2017</w:t>
      </w:r>
      <w:r>
        <w:rPr>
          <w:spacing w:val="-2"/>
        </w:rPr>
        <w:t>年的</w:t>
      </w:r>
      <w:r>
        <w:rPr>
          <w:rFonts w:ascii="Times New Roman" w:hAnsi="Times New Roman" w:cs="Times New Roman" w:eastAsia="Times New Roman" w:hint="default"/>
          <w:spacing w:val="-2"/>
        </w:rPr>
        <w:t>“</w:t>
      </w:r>
      <w:r>
        <w:rPr>
          <w:spacing w:val="-2"/>
        </w:rPr>
        <w:t>厄瓜多尔加拉帕格斯生物多样性之旅</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飞跃南纬</w:t>
      </w:r>
      <w:r>
        <w:rPr>
          <w:rFonts w:ascii="Times New Roman" w:hAnsi="Times New Roman" w:cs="Times New Roman" w:eastAsia="Times New Roman" w:hint="default"/>
          <w:spacing w:val="-2"/>
        </w:rPr>
        <w:t>90</w:t>
      </w:r>
      <w:r>
        <w:rPr>
          <w:spacing w:val="-2"/>
        </w:rPr>
        <w:t>度，南极</w:t>
      </w:r>
      <w:r>
        <w:rPr>
          <w:spacing w:val="-99"/>
        </w:rPr>
        <w:t> </w:t>
      </w:r>
      <w:r>
        <w:rPr>
          <w:spacing w:val="-99"/>
        </w:rPr>
      </w:r>
      <w:r>
        <w:rPr>
          <w:spacing w:val="-1"/>
        </w:rPr>
        <w:t>点史诗之旅</w:t>
      </w:r>
      <w:r>
        <w:rPr>
          <w:rFonts w:ascii="Times New Roman" w:hAnsi="Times New Roman" w:cs="Times New Roman" w:eastAsia="Times New Roman" w:hint="default"/>
          <w:spacing w:val="-1"/>
        </w:rPr>
        <w:t>”</w:t>
      </w:r>
      <w:r>
        <w:rPr>
          <w:spacing w:val="-1"/>
        </w:rPr>
        <w:t>等。</w:t>
      </w:r>
      <w:r>
        <w:rPr>
          <w:rFonts w:ascii="Times New Roman" w:hAnsi="Times New Roman" w:cs="Times New Roman" w:eastAsia="Times New Roman" w:hint="default"/>
          <w:spacing w:val="-1"/>
        </w:rPr>
        <w:t>2017</w:t>
      </w:r>
      <w:r>
        <w:rPr>
          <w:spacing w:val="-1"/>
        </w:rPr>
        <w:t>年是众信游学组建的第二年，在产品研发和渠道推广上均取得较大发展。</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spacing w:val="-70"/>
        </w:rPr>
        <w:t> </w:t>
      </w:r>
      <w:r>
        <w:rPr>
          <w:spacing w:val="-1"/>
        </w:rPr>
        <w:t>众信游学成功承接哈萨克斯坦阿斯塔纳世博会最大规模中国青少年交流活动，并为此次活动定制为期</w:t>
      </w:r>
      <w:r>
        <w:rPr>
          <w:rFonts w:ascii="Times New Roman" w:hAnsi="Times New Roman" w:cs="Times New Roman" w:eastAsia="Times New Roman" w:hint="default"/>
          <w:spacing w:val="-1"/>
        </w:rPr>
        <w:t>10</w:t>
      </w:r>
      <w:r>
        <w:rPr>
          <w:spacing w:val="-1"/>
        </w:rPr>
        <w:t>天</w:t>
      </w:r>
      <w:r>
        <w:rPr>
          <w:spacing w:val="-81"/>
        </w:rPr>
        <w:t> </w:t>
      </w:r>
      <w:r>
        <w:rPr/>
        <w:t>的</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研学之旅，前往乌兹别克斯坦、吉尔吉斯斯坦、哈萨克斯坦主要城市进行考察和文化交流。 众信游学不断开发多主题的社会实践课程，如：</w:t>
      </w:r>
      <w:r>
        <w:rPr>
          <w:rFonts w:ascii="Times New Roman" w:hAnsi="Times New Roman" w:cs="Times New Roman" w:eastAsia="Times New Roman" w:hint="default"/>
        </w:rPr>
        <w:t>“</w:t>
      </w:r>
      <w:r>
        <w:rPr/>
        <w:t>行走的课堂</w:t>
      </w:r>
      <w:r>
        <w:rPr>
          <w:rFonts w:ascii="Times New Roman" w:hAnsi="Times New Roman" w:cs="Times New Roman" w:eastAsia="Times New Roman" w:hint="default"/>
        </w:rPr>
        <w:t>”</w:t>
      </w:r>
      <w:r>
        <w:rPr/>
        <w:t>之重走</w:t>
      </w:r>
      <w:r>
        <w:rPr>
          <w:rFonts w:ascii="Times New Roman" w:hAnsi="Times New Roman" w:cs="Times New Roman" w:eastAsia="Times New Roman" w:hint="default"/>
        </w:rPr>
        <w:t>“</w:t>
      </w:r>
      <w:r>
        <w:rPr/>
        <w:t>古丝路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千人唐山工业研学之旅</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等。</w:t>
      </w:r>
    </w:p>
    <w:p>
      <w:pPr>
        <w:pStyle w:val="Heading6"/>
        <w:spacing w:line="240" w:lineRule="auto" w:before="100"/>
        <w:ind w:left="573" w:right="6771"/>
        <w:jc w:val="left"/>
        <w:rPr>
          <w:b w:val="0"/>
          <w:bCs w:val="0"/>
        </w:rPr>
      </w:pPr>
      <w:r>
        <w:rPr>
          <w:rFonts w:ascii="Times New Roman" w:hAnsi="Times New Roman" w:cs="Times New Roman" w:eastAsia="Times New Roman" w:hint="default"/>
        </w:rPr>
        <w:t>2</w:t>
      </w:r>
      <w:r>
        <w:rPr/>
        <w:t>、整合营销服务</w:t>
      </w:r>
      <w:r>
        <w:rPr>
          <w:b w:val="0"/>
          <w:bCs w:val="0"/>
        </w:rPr>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b/>
          <w:bCs/>
          <w:sz w:val="26"/>
          <w:szCs w:val="26"/>
        </w:rPr>
      </w:pPr>
    </w:p>
    <w:p>
      <w:pPr>
        <w:pStyle w:val="BodyText"/>
        <w:spacing w:line="417" w:lineRule="auto" w:before="35"/>
        <w:ind w:left="574" w:right="90"/>
        <w:jc w:val="left"/>
      </w:pPr>
      <w:r>
        <w:rPr>
          <w:rFonts w:ascii="Times New Roman" w:hAnsi="Times New Roman" w:cs="Times New Roman" w:eastAsia="Times New Roman" w:hint="default"/>
        </w:rPr>
        <w:t>2017</w:t>
      </w:r>
      <w:r>
        <w:rPr/>
        <w:t>年整合营销服务业务收入</w:t>
      </w:r>
      <w:r>
        <w:rPr>
          <w:rFonts w:ascii="Times New Roman" w:hAnsi="Times New Roman" w:cs="Times New Roman" w:eastAsia="Times New Roman" w:hint="default"/>
        </w:rPr>
        <w:t>87,741.01</w:t>
      </w:r>
      <w:r>
        <w:rPr>
          <w:rFonts w:ascii="Times New Roman" w:hAnsi="Times New Roman" w:cs="Times New Roman" w:eastAsia="Times New Roman" w:hint="default"/>
          <w:spacing w:val="51"/>
        </w:rPr>
        <w:t> </w:t>
      </w:r>
      <w:r>
        <w:rPr/>
        <w:t>万元，同比增长</w:t>
      </w:r>
      <w:r>
        <w:rPr>
          <w:rFonts w:ascii="Times New Roman" w:hAnsi="Times New Roman" w:cs="Times New Roman" w:eastAsia="Times New Roman" w:hint="default"/>
        </w:rPr>
        <w:t>24.14%</w:t>
      </w:r>
      <w:r>
        <w:rPr/>
        <w:t>，毛利率为</w:t>
      </w:r>
      <w:r>
        <w:rPr>
          <w:rFonts w:ascii="Times New Roman" w:hAnsi="Times New Roman" w:cs="Times New Roman" w:eastAsia="Times New Roman" w:hint="default"/>
        </w:rPr>
        <w:t>10.55%</w:t>
      </w:r>
      <w:r>
        <w:rPr/>
        <w:t>。 </w:t>
      </w:r>
      <w:r>
        <w:rPr>
          <w:spacing w:val="-1"/>
        </w:rPr>
        <w:t>自</w:t>
      </w:r>
      <w:r>
        <w:rPr>
          <w:rFonts w:ascii="Times New Roman" w:hAnsi="Times New Roman" w:cs="Times New Roman" w:eastAsia="Times New Roman" w:hint="default"/>
          <w:spacing w:val="-1"/>
        </w:rPr>
        <w:t>2015</w:t>
      </w:r>
      <w:r>
        <w:rPr>
          <w:spacing w:val="-1"/>
        </w:rPr>
        <w:t>年以来，众信博睿坚持深化业务模式转型升级理念，进一步向整合营销服务领域发展，全方位</w:t>
      </w:r>
    </w:p>
    <w:p>
      <w:pPr>
        <w:pStyle w:val="BodyText"/>
        <w:spacing w:line="398" w:lineRule="auto" w:before="5"/>
        <w:ind w:left="153" w:right="90"/>
        <w:jc w:val="left"/>
      </w:pPr>
      <w:r>
        <w:rPr>
          <w:spacing w:val="-5"/>
        </w:rPr>
        <w:t>打造企业客户服务平台。截至目前，除原有商务会奖业务外，众信博睿已横向拓展了公关策划、展览展示、</w:t>
      </w:r>
      <w:r>
        <w:rPr>
          <w:spacing w:val="-102"/>
        </w:rPr>
        <w:t> </w:t>
      </w:r>
      <w:r>
        <w:rPr>
          <w:spacing w:val="-102"/>
        </w:rPr>
      </w:r>
      <w:r>
        <w:rPr/>
        <w:t>差旅服务等领域。为巩固原有业务优势，博睿商务新设西安分公司、深圳分公司及天津子公司，更好地结</w:t>
      </w:r>
      <w:r>
        <w:rPr/>
        <w:t> 合区域特点，整合当地特色资源，开发区域客户，促进业务增长。</w:t>
      </w:r>
      <w:r>
        <w:rPr>
          <w:rFonts w:ascii="Times New Roman" w:hAnsi="Times New Roman" w:cs="Times New Roman" w:eastAsia="Times New Roman" w:hint="default"/>
        </w:rPr>
        <w:t>2017</w:t>
      </w:r>
      <w:r>
        <w:rPr/>
        <w:t>年，众信博睿继续坚持客户类型及 客户行业多元化发展的策略，使得中小企业客户数量及收入占比明显提升，市场竞争实力及抗风险能力进 一步提高；继续加大销售力度和内部管理力度，多板块多区域协同发展，营收规模和盈利能力稳步增长。</w:t>
      </w:r>
      <w:r>
        <w:rPr>
          <w:spacing w:val="-34"/>
        </w:rPr>
        <w:t> </w:t>
      </w:r>
      <w:r>
        <w:rPr>
          <w:spacing w:val="-34"/>
        </w:rPr>
      </w:r>
      <w:r>
        <w:rPr/>
        <w:t>报告期内，众信博睿成功承接了多个大型项目，并得到客户方的高度认可。如：第三届</w:t>
      </w:r>
      <w:r>
        <w:rPr>
          <w:rFonts w:ascii="Times New Roman" w:hAnsi="Times New Roman" w:cs="Times New Roman" w:eastAsia="Times New Roman" w:hint="default"/>
        </w:rPr>
        <w:t>“</w:t>
      </w:r>
      <w:r>
        <w:rPr/>
        <w:t>东亚峰会清洁能</w:t>
      </w:r>
      <w:r>
        <w:rPr>
          <w:spacing w:val="-23"/>
        </w:rPr>
        <w:t> </w:t>
      </w:r>
      <w:r>
        <w:rPr>
          <w:spacing w:val="-23"/>
        </w:rPr>
      </w:r>
      <w:r>
        <w:rPr/>
        <w:t>源论坛</w:t>
      </w:r>
      <w:r>
        <w:rPr>
          <w:rFonts w:ascii="Times New Roman" w:hAnsi="Times New Roman" w:cs="Times New Roman" w:eastAsia="Times New Roman" w:hint="default"/>
        </w:rPr>
        <w:t>”</w:t>
      </w:r>
      <w:r>
        <w:rPr/>
        <w:t>项目、“俞你同行”新东方</w:t>
      </w:r>
      <w:r>
        <w:rPr>
          <w:rFonts w:ascii="Times New Roman" w:hAnsi="Times New Roman" w:cs="Times New Roman" w:eastAsia="Times New Roman" w:hint="default"/>
        </w:rPr>
        <w:t>2,200</w:t>
      </w:r>
      <w:r>
        <w:rPr/>
        <w:t>名优秀教师大型邮轮包船项目、某金融行业客户</w:t>
      </w:r>
      <w:r>
        <w:rPr>
          <w:rFonts w:ascii="Times New Roman" w:hAnsi="Times New Roman" w:cs="Times New Roman" w:eastAsia="Times New Roman" w:hint="default"/>
        </w:rPr>
        <w:t>3,000</w:t>
      </w:r>
      <w:r>
        <w:rPr/>
        <w:t>人年会全案 项目、某零售行业客户</w:t>
      </w:r>
      <w:r>
        <w:rPr>
          <w:rFonts w:ascii="Times New Roman" w:hAnsi="Times New Roman" w:cs="Times New Roman" w:eastAsia="Times New Roman" w:hint="default"/>
        </w:rPr>
        <w:t>3,500</w:t>
      </w:r>
      <w:r>
        <w:rPr/>
        <w:t>人赴马来西亚沙巴大型奖励旅游项目、某医药行业客户</w:t>
      </w:r>
      <w:r>
        <w:rPr>
          <w:rFonts w:ascii="Times New Roman" w:hAnsi="Times New Roman" w:cs="Times New Roman" w:eastAsia="Times New Roman" w:hint="default"/>
        </w:rPr>
        <w:t>4,000</w:t>
      </w:r>
      <w:r>
        <w:rPr/>
        <w:t>人珠海年会项目</w:t>
      </w:r>
      <w:r>
        <w:rPr>
          <w:spacing w:val="-39"/>
        </w:rPr>
        <w:t> </w:t>
      </w:r>
      <w:r>
        <w:rPr>
          <w:spacing w:val="-39"/>
        </w:rPr>
      </w:r>
      <w:r>
        <w:rPr/>
        <w:t>及某文化行业客户内蒙古巴彦淖尔草原音乐节项目等。</w:t>
      </w:r>
    </w:p>
    <w:p>
      <w:pPr>
        <w:pStyle w:val="Heading6"/>
        <w:spacing w:line="240" w:lineRule="auto" w:before="95"/>
        <w:ind w:left="573" w:right="90"/>
        <w:jc w:val="left"/>
        <w:rPr>
          <w:b w:val="0"/>
          <w:bCs w:val="0"/>
        </w:rPr>
      </w:pPr>
      <w:r>
        <w:rPr>
          <w:rFonts w:ascii="Times New Roman" w:hAnsi="Times New Roman" w:cs="Times New Roman" w:eastAsia="Times New Roman" w:hint="default"/>
        </w:rPr>
        <w:t>3</w:t>
      </w:r>
      <w:r>
        <w:rPr/>
        <w:t>、其他旅游业务和其他行业产品</w:t>
      </w:r>
      <w:r>
        <w:rPr>
          <w:b w:val="0"/>
          <w:bCs w:val="0"/>
        </w:rPr>
      </w:r>
    </w:p>
    <w:p>
      <w:pPr>
        <w:spacing w:line="240" w:lineRule="auto" w:before="6"/>
        <w:rPr>
          <w:rFonts w:ascii="宋体" w:hAnsi="宋体" w:cs="宋体" w:eastAsia="宋体" w:hint="default"/>
          <w:b/>
          <w:bCs/>
          <w:sz w:val="16"/>
          <w:szCs w:val="16"/>
        </w:rPr>
      </w:pPr>
    </w:p>
    <w:p>
      <w:pPr>
        <w:pStyle w:val="BodyText"/>
        <w:spacing w:line="386" w:lineRule="auto" w:before="0"/>
        <w:ind w:left="153" w:right="311" w:firstLine="420"/>
        <w:jc w:val="both"/>
      </w:pPr>
      <w:r>
        <w:rPr/>
        <w:t>（</w:t>
      </w:r>
      <w:r>
        <w:rPr>
          <w:rFonts w:ascii="Times New Roman" w:hAnsi="Times New Roman" w:cs="Times New Roman" w:eastAsia="Times New Roman" w:hint="default"/>
        </w:rPr>
        <w:t>1</w:t>
      </w:r>
      <w:r>
        <w:rPr/>
        <w:t>）其他旅游业务收入</w:t>
      </w:r>
      <w:r>
        <w:rPr>
          <w:spacing w:val="-68"/>
        </w:rPr>
        <w:t> </w:t>
      </w:r>
      <w:r>
        <w:rPr>
          <w:rFonts w:ascii="Times New Roman" w:hAnsi="Times New Roman" w:cs="Times New Roman" w:eastAsia="Times New Roman" w:hint="default"/>
        </w:rPr>
        <w:t>17,268.35</w:t>
      </w:r>
      <w:r>
        <w:rPr>
          <w:rFonts w:ascii="Times New Roman" w:hAnsi="Times New Roman" w:cs="Times New Roman" w:eastAsia="Times New Roman" w:hint="default"/>
          <w:spacing w:val="-15"/>
        </w:rPr>
        <w:t> </w:t>
      </w:r>
      <w:r>
        <w:rPr/>
        <w:t>万元，主要为国内旅游收入。国内旅游收入主要来源于零售渠道的 </w:t>
      </w:r>
      <w:r>
        <w:rPr>
          <w:spacing w:val="-3"/>
        </w:rPr>
        <w:t>国内旅游业务，</w:t>
      </w:r>
      <w:r>
        <w:rPr>
          <w:rFonts w:ascii="Times New Roman" w:hAnsi="Times New Roman" w:cs="Times New Roman" w:eastAsia="Times New Roman" w:hint="default"/>
          <w:spacing w:val="-3"/>
        </w:rPr>
        <w:t>2017 </w:t>
      </w:r>
      <w:r>
        <w:rPr/>
        <w:t>年国内旅游业务收入同比增长超过</w:t>
      </w:r>
      <w:r>
        <w:rPr>
          <w:spacing w:val="-49"/>
        </w:rPr>
        <w:t> </w:t>
      </w:r>
      <w:r>
        <w:rPr>
          <w:rFonts w:ascii="Times New Roman" w:hAnsi="Times New Roman" w:cs="Times New Roman" w:eastAsia="Times New Roman" w:hint="default"/>
          <w:spacing w:val="-3"/>
        </w:rPr>
        <w:t>60%</w:t>
      </w:r>
      <w:r>
        <w:rPr>
          <w:spacing w:val="-3"/>
        </w:rPr>
        <w:t>，随着公司零售业务的不断扩展，国内旅游业</w:t>
      </w:r>
      <w:r>
        <w:rPr/>
        <w:t> 务收入预计将保持快速的增长态势。</w:t>
      </w:r>
    </w:p>
    <w:p>
      <w:pPr>
        <w:pStyle w:val="BodyText"/>
        <w:spacing w:line="420" w:lineRule="auto" w:before="104"/>
        <w:ind w:left="573" w:right="90" w:hanging="1"/>
        <w:jc w:val="left"/>
      </w:pPr>
      <w:r>
        <w:rPr/>
        <w:t>（</w:t>
      </w:r>
      <w:r>
        <w:rPr>
          <w:rFonts w:ascii="Times New Roman" w:hAnsi="Times New Roman" w:cs="Times New Roman" w:eastAsia="Times New Roman" w:hint="default"/>
        </w:rPr>
        <w:t>2</w:t>
      </w:r>
      <w:r>
        <w:rPr/>
        <w:t>）其他行业产品收入</w:t>
      </w:r>
      <w:r>
        <w:rPr>
          <w:spacing w:val="-54"/>
        </w:rPr>
        <w:t> </w:t>
      </w:r>
      <w:r>
        <w:rPr>
          <w:rFonts w:ascii="Times New Roman" w:hAnsi="Times New Roman" w:cs="Times New Roman" w:eastAsia="Times New Roman" w:hint="default"/>
        </w:rPr>
        <w:t>1,575.09</w:t>
      </w:r>
      <w:r>
        <w:rPr>
          <w:rFonts w:ascii="Times New Roman" w:hAnsi="Times New Roman" w:cs="Times New Roman" w:eastAsia="Times New Roman" w:hint="default"/>
          <w:spacing w:val="-1"/>
        </w:rPr>
        <w:t> </w:t>
      </w:r>
      <w:r>
        <w:rPr/>
        <w:t>万元，主要为移民置业收入和货币兑换等。 </w:t>
      </w:r>
      <w:r>
        <w:rPr>
          <w:spacing w:val="-1"/>
        </w:rPr>
        <w:t>公司移民置业业务由旗下子公司北京优达和杭州四达开展，主要为国内高净值人群提供各类海外定居、</w:t>
      </w:r>
    </w:p>
    <w:p>
      <w:pPr>
        <w:pStyle w:val="BodyText"/>
        <w:spacing w:line="400" w:lineRule="auto" w:before="35"/>
        <w:ind w:left="153" w:right="308"/>
        <w:jc w:val="both"/>
      </w:pPr>
      <w:r>
        <w:rPr>
          <w:spacing w:val="-1"/>
        </w:rPr>
        <w:t>移民、海外投资等咨询中介服务。</w:t>
      </w:r>
      <w:r>
        <w:rPr>
          <w:rFonts w:ascii="Times New Roman" w:hAnsi="Times New Roman" w:cs="Times New Roman" w:eastAsia="Times New Roman" w:hint="default"/>
          <w:spacing w:val="-1"/>
        </w:rPr>
        <w:t>2017</w:t>
      </w:r>
      <w:r>
        <w:rPr>
          <w:spacing w:val="-1"/>
        </w:rPr>
        <w:t>年移民置业业务依托众信旅游集团的丰富海外资源优势，及各国使</w:t>
      </w:r>
      <w:r>
        <w:rPr>
          <w:spacing w:val="-85"/>
        </w:rPr>
        <w:t> </w:t>
      </w:r>
      <w:r>
        <w:rPr>
          <w:spacing w:val="-85"/>
        </w:rPr>
      </w:r>
      <w:r>
        <w:rPr>
          <w:spacing w:val="-1"/>
        </w:rPr>
        <w:t>领馆长年良好的合作关系，为国内高净值客户提供海外资产配置规划、海外移民身份规划、海外定居等咨</w:t>
      </w:r>
      <w:r>
        <w:rPr>
          <w:spacing w:val="-83"/>
        </w:rPr>
        <w:t> </w:t>
      </w:r>
      <w:r>
        <w:rPr>
          <w:spacing w:val="-83"/>
        </w:rPr>
      </w:r>
      <w:r>
        <w:rPr>
          <w:spacing w:val="-5"/>
        </w:rPr>
        <w:t>询中介服务，业务发展势头良好，定期举办推介活动，不断推出优质项目，如：海外移民项目包括：美国、</w:t>
      </w:r>
      <w:r>
        <w:rPr/>
        <w:t> 英国、加拿大、德国等；海外置业项目包括美国、泰国、澳大利亚、英国等。</w:t>
      </w:r>
    </w:p>
    <w:p>
      <w:pPr>
        <w:pStyle w:val="BodyText"/>
        <w:spacing w:line="393" w:lineRule="auto" w:before="91"/>
        <w:ind w:left="153" w:right="310" w:firstLine="420"/>
        <w:jc w:val="both"/>
      </w:pPr>
      <w:r>
        <w:rPr>
          <w:rFonts w:ascii="Times New Roman" w:hAnsi="Times New Roman" w:cs="Times New Roman" w:eastAsia="Times New Roman" w:hint="default"/>
          <w:spacing w:val="-2"/>
        </w:rPr>
        <w:t>2017</w:t>
      </w:r>
      <w:r>
        <w:rPr>
          <w:spacing w:val="-2"/>
        </w:rPr>
        <w:t>年公司旗下货币兑换公司悠联货币业务增长迅速，全年兑换外币量折合</w:t>
      </w:r>
      <w:r>
        <w:rPr>
          <w:rFonts w:ascii="Times New Roman" w:hAnsi="Times New Roman" w:cs="Times New Roman" w:eastAsia="Times New Roman" w:hint="default"/>
          <w:spacing w:val="-2"/>
        </w:rPr>
        <w:t>2,389</w:t>
      </w:r>
      <w:r>
        <w:rPr>
          <w:spacing w:val="-2"/>
        </w:rPr>
        <w:t>万美元，较</w:t>
      </w:r>
      <w:r>
        <w:rPr>
          <w:rFonts w:ascii="Times New Roman" w:hAnsi="Times New Roman" w:cs="Times New Roman" w:eastAsia="Times New Roman" w:hint="default"/>
          <w:spacing w:val="-2"/>
        </w:rPr>
        <w:t>2016</w:t>
      </w:r>
      <w:r>
        <w:rPr>
          <w:spacing w:val="-2"/>
        </w:rPr>
        <w:t>年增</w:t>
      </w:r>
      <w:r>
        <w:rPr/>
        <w:t> </w:t>
      </w:r>
      <w:r>
        <w:rPr>
          <w:spacing w:val="-1"/>
        </w:rPr>
        <w:t>长了</w:t>
      </w:r>
      <w:r>
        <w:rPr>
          <w:rFonts w:ascii="Times New Roman" w:hAnsi="Times New Roman" w:cs="Times New Roman" w:eastAsia="Times New Roman" w:hint="default"/>
          <w:spacing w:val="-1"/>
        </w:rPr>
        <w:t>50.2%</w:t>
      </w:r>
      <w:r>
        <w:rPr>
          <w:spacing w:val="-1"/>
        </w:rPr>
        <w:t>。</w:t>
      </w:r>
      <w:r>
        <w:rPr>
          <w:rFonts w:ascii="Times New Roman" w:hAnsi="Times New Roman" w:cs="Times New Roman" w:eastAsia="Times New Roman" w:hint="default"/>
          <w:spacing w:val="-1"/>
        </w:rPr>
        <w:t>5</w:t>
      </w:r>
      <w:r>
        <w:rPr>
          <w:spacing w:val="-1"/>
        </w:rPr>
        <w:t>月底悠联货币取得全国范围内经营个人本外币兑换特许业务资质，成为我国第九家获得该业</w:t>
      </w:r>
      <w:r>
        <w:rPr>
          <w:spacing w:val="-100"/>
        </w:rPr>
        <w:t> </w:t>
      </w:r>
      <w:r>
        <w:rPr>
          <w:spacing w:val="-100"/>
        </w:rPr>
      </w:r>
      <w:r>
        <w:rPr>
          <w:spacing w:val="-1"/>
        </w:rPr>
        <w:t>务全国运营资质的特许机构，也是旅游行业第一家。货币兑换业务全国布局正式展开，继</w:t>
      </w:r>
      <w:r>
        <w:rPr>
          <w:rFonts w:ascii="Times New Roman" w:hAnsi="Times New Roman" w:cs="Times New Roman" w:eastAsia="Times New Roman" w:hint="default"/>
          <w:spacing w:val="-1"/>
        </w:rPr>
        <w:t>2016</w:t>
      </w:r>
      <w:r>
        <w:rPr>
          <w:spacing w:val="-1"/>
        </w:rPr>
        <w:t>年在北京首</w:t>
      </w:r>
      <w:r>
        <w:rPr>
          <w:spacing w:val="-83"/>
        </w:rPr>
        <w:t> </w:t>
      </w:r>
      <w:r>
        <w:rPr>
          <w:spacing w:val="-2"/>
        </w:rPr>
        <w:t>都机场店</w:t>
      </w:r>
      <w:r>
        <w:rPr>
          <w:rFonts w:ascii="Times New Roman" w:hAnsi="Times New Roman" w:cs="Times New Roman" w:eastAsia="Times New Roman" w:hint="default"/>
          <w:spacing w:val="-2"/>
        </w:rPr>
        <w:t>T3</w:t>
      </w:r>
      <w:r>
        <w:rPr>
          <w:spacing w:val="-2"/>
        </w:rPr>
        <w:t>航站楼开设货币兑换网点后，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月悠联货币通过竞标获得上海浦东机场</w:t>
      </w:r>
      <w:r>
        <w:rPr>
          <w:rFonts w:ascii="Times New Roman" w:hAnsi="Times New Roman" w:cs="Times New Roman" w:eastAsia="Times New Roman" w:hint="default"/>
          <w:spacing w:val="-2"/>
        </w:rPr>
        <w:t>T1</w:t>
      </w:r>
      <w:r>
        <w:rPr>
          <w:spacing w:val="-2"/>
        </w:rPr>
        <w:t>航站楼出发大</w:t>
      </w:r>
      <w:r>
        <w:rPr>
          <w:spacing w:val="-80"/>
        </w:rPr>
        <w:t> </w:t>
      </w:r>
      <w:r>
        <w:rPr>
          <w:spacing w:val="-80"/>
        </w:rPr>
      </w:r>
      <w:r>
        <w:rPr>
          <w:spacing w:val="-1"/>
        </w:rPr>
        <w:t>厅货币兑换点运营资质，公司最主要的两大出境口岸北京、上海的货币兑换配套服务已然成型，其他口岸</w:t>
      </w:r>
      <w:r>
        <w:rPr>
          <w:spacing w:val="-83"/>
        </w:rPr>
        <w:t> </w:t>
      </w:r>
      <w:r>
        <w:rPr>
          <w:spacing w:val="-83"/>
        </w:rPr>
      </w:r>
      <w:r>
        <w:rPr/>
        <w:t>城市的布局也将继续稳步推进。</w:t>
      </w:r>
      <w:r>
        <w:rPr>
          <w:rFonts w:ascii="Times New Roman" w:hAnsi="Times New Roman" w:cs="Times New Roman" w:eastAsia="Times New Roman" w:hint="default"/>
        </w:rPr>
        <w:t>“</w:t>
      </w:r>
      <w:r>
        <w:rPr/>
        <w:t>线上兑换、线下取钞</w:t>
      </w:r>
      <w:r>
        <w:rPr>
          <w:rFonts w:ascii="Times New Roman" w:hAnsi="Times New Roman" w:cs="Times New Roman" w:eastAsia="Times New Roman" w:hint="default"/>
        </w:rPr>
        <w:t>”</w:t>
      </w:r>
      <w:r>
        <w:rPr/>
        <w:t>的互联网兑换模式</w:t>
      </w:r>
      <w:r>
        <w:rPr>
          <w:rFonts w:ascii="Times New Roman" w:hAnsi="Times New Roman" w:cs="Times New Roman" w:eastAsia="Times New Roman" w:hint="default"/>
        </w:rPr>
        <w:t>2017</w:t>
      </w:r>
      <w:r>
        <w:rPr/>
        <w:t>年在北京正式推行，便捷的 </w:t>
      </w:r>
      <w:r>
        <w:rPr>
          <w:spacing w:val="-1"/>
        </w:rPr>
        <w:t>兑换方式深受客户好评，兑换量逐月保持快速增长。悠联货币还积极创新产品类型，已经申请增加了销售</w:t>
      </w:r>
      <w:r>
        <w:rPr>
          <w:spacing w:val="-83"/>
        </w:rPr>
        <w:t> </w:t>
      </w:r>
      <w:r>
        <w:rPr>
          <w:spacing w:val="-83"/>
        </w:rPr>
      </w:r>
      <w:r>
        <w:rPr/>
        <w:t>集邮票品、工艺品、黄金制品、白银制品的经营资质，推出的外币纪念币红包获得良好的市场认可。</w:t>
      </w:r>
    </w:p>
    <w:p>
      <w:pPr>
        <w:spacing w:after="0" w:line="393" w:lineRule="auto"/>
        <w:jc w:val="both"/>
        <w:sectPr>
          <w:pgSz w:w="11910" w:h="16840"/>
          <w:pgMar w:header="877" w:footer="982" w:top="1100" w:bottom="1180" w:left="980" w:right="82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5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12,029,753,608.83</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10,092,528,071.07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12,014,002,684.33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10,083,882,828.28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15,750,924.50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8,645,242.79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8,914,853,210.88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7,440,379,106.39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2,049,055,855.05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1,802,550,384.61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877,410,113.42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706,780,758.24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其他旅游业务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172,683,504.98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134,172,579.04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15,750,924.50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8,645,242.79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4,943,916,162.64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4,440,162,744.91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778,041,279.85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640,250,614.50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1,383,145,709.96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1,165,344,476.88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430,061,430.12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293,600,995.71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3,110,670,115.48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2,546,469,504.99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725,530,735.26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558,145,135.04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217,222,306.84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158,053,861.24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441,165,868.68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290,500,737.80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spacing w:line="34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after="0" w:line="34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62"/>
        <w:gridCol w:w="1561"/>
        <w:gridCol w:w="1700"/>
        <w:gridCol w:w="1134"/>
        <w:gridCol w:w="1416"/>
        <w:gridCol w:w="1417"/>
        <w:gridCol w:w="1303"/>
      </w:tblGrid>
      <w:tr>
        <w:trPr>
          <w:trHeight w:val="714" w:hRule="exact"/>
        </w:trPr>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3" w:right="71"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4" w:right="71"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7"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12,004,676,990.11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10,848,773,447.80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-0.64%</w:t>
            </w:r>
          </w:p>
        </w:tc>
      </w:tr>
      <w:tr>
        <w:trPr>
          <w:trHeight w:val="401"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8,914,853,210.88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8,212,637,036.30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-0.39%</w:t>
            </w:r>
          </w:p>
        </w:tc>
      </w:tr>
      <w:tr>
        <w:trPr>
          <w:trHeight w:val="40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2,049,055,855.05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1,713,873,000.64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0.92%</w:t>
            </w:r>
          </w:p>
        </w:tc>
      </w:tr>
      <w:tr>
        <w:trPr>
          <w:trHeight w:val="401"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北京大区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4,943,916,162.64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4,377,105,953.21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中原大区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1,383,145,709.96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1,287,250,389.47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w:t>
            </w:r>
          </w:p>
        </w:tc>
      </w:tr>
      <w:tr>
        <w:trPr>
          <w:trHeight w:val="40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3,110,670,115.48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2,874,532,677.83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183"/>
        <w:gridCol w:w="1559"/>
        <w:gridCol w:w="1358"/>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10,848,773,447.80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9,047,954,387.92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92,456.48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62,827.74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183"/>
        <w:gridCol w:w="1559"/>
        <w:gridCol w:w="1358"/>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出境游批发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8,212,637,036.30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6,825,207,872.61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出境游零售</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1,713,873,000.64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1,524,230,844.25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784,829,186.30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633,629,913.72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其他旅游业务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128,530,132.78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64,885,757.34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9"/>
        <w:gridCol w:w="1183"/>
        <w:gridCol w:w="1559"/>
        <w:gridCol w:w="1358"/>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其他行业产品</w:t>
            </w:r>
          </w:p>
        </w:tc>
        <w:tc>
          <w:tcPr>
            <w:tcW w:w="118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5" w:right="0"/>
              <w:jc w:val="left"/>
              <w:rPr>
                <w:rFonts w:ascii="Times New Roman" w:hAnsi="Times New Roman" w:cs="Times New Roman" w:eastAsia="Times New Roman" w:hint="default"/>
                <w:sz w:val="18"/>
                <w:szCs w:val="18"/>
              </w:rPr>
            </w:pPr>
            <w:r>
              <w:rPr>
                <w:rFonts w:ascii="Times New Roman"/>
                <w:sz w:val="18"/>
              </w:rPr>
              <w:t>92,456.48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1" w:right="0"/>
              <w:jc w:val="lef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62,827.74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32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报告期公司非同一控制下企业合并下属公司</w:t>
      </w:r>
      <w:r>
        <w:rPr>
          <w:rFonts w:ascii="Times New Roman" w:hAnsi="Times New Roman" w:cs="Times New Roman" w:eastAsia="Times New Roman" w:hint="default"/>
          <w:sz w:val="18"/>
          <w:szCs w:val="18"/>
        </w:rPr>
        <w:t>6</w:t>
      </w:r>
      <w:r>
        <w:rPr>
          <w:rFonts w:ascii="宋体" w:hAnsi="宋体" w:cs="宋体" w:eastAsia="宋体" w:hint="default"/>
          <w:sz w:val="18"/>
          <w:szCs w:val="18"/>
        </w:rPr>
        <w:t>家，新设子公司</w:t>
      </w:r>
      <w:r>
        <w:rPr>
          <w:rFonts w:ascii="Times New Roman" w:hAnsi="Times New Roman" w:cs="Times New Roman" w:eastAsia="Times New Roman" w:hint="default"/>
          <w:sz w:val="18"/>
          <w:szCs w:val="18"/>
        </w:rPr>
        <w:t>1</w:t>
      </w:r>
      <w:r>
        <w:rPr>
          <w:rFonts w:ascii="宋体" w:hAnsi="宋体" w:cs="宋体" w:eastAsia="宋体" w:hint="default"/>
          <w:sz w:val="18"/>
          <w:szCs w:val="18"/>
        </w:rPr>
        <w:t>家，注销子公司</w:t>
      </w:r>
      <w:r>
        <w:rPr>
          <w:rFonts w:ascii="Times New Roman" w:hAnsi="Times New Roman" w:cs="Times New Roman" w:eastAsia="Times New Roman" w:hint="default"/>
          <w:sz w:val="18"/>
          <w:szCs w:val="18"/>
        </w:rPr>
        <w:t>1</w:t>
      </w:r>
      <w:r>
        <w:rPr>
          <w:rFonts w:ascii="宋体" w:hAnsi="宋体" w:cs="宋体" w:eastAsia="宋体" w:hint="default"/>
          <w:sz w:val="18"/>
          <w:szCs w:val="18"/>
        </w:rPr>
        <w:t>家。</w:t>
      </w:r>
    </w:p>
    <w:p>
      <w:pPr>
        <w:spacing w:line="240" w:lineRule="auto" w:before="8"/>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705"/>
        <w:gridCol w:w="4989"/>
      </w:tblGrid>
      <w:tr>
        <w:trPr>
          <w:trHeight w:val="402" w:hRule="exact"/>
        </w:trPr>
        <w:tc>
          <w:tcPr>
            <w:tcW w:w="4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1,532,279,244.82</w:t>
            </w:r>
          </w:p>
        </w:tc>
      </w:tr>
      <w:tr>
        <w:trPr>
          <w:trHeight w:val="402" w:hRule="exact"/>
        </w:trPr>
        <w:tc>
          <w:tcPr>
            <w:tcW w:w="4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12.74%</w:t>
            </w:r>
          </w:p>
        </w:tc>
      </w:tr>
      <w:tr>
        <w:trPr>
          <w:trHeight w:val="402" w:hRule="exact"/>
        </w:trPr>
        <w:tc>
          <w:tcPr>
            <w:tcW w:w="4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555,029,025.98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352,408,336.74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272,986,187.17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179,373,166.35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172,482,528.58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1,532,279,244.82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705"/>
        <w:gridCol w:w="4989"/>
      </w:tblGrid>
      <w:tr>
        <w:trPr>
          <w:trHeight w:val="402" w:hRule="exact"/>
        </w:trPr>
        <w:tc>
          <w:tcPr>
            <w:tcW w:w="4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1,510,746,497.02</w:t>
            </w:r>
          </w:p>
        </w:tc>
      </w:tr>
      <w:tr>
        <w:trPr>
          <w:trHeight w:val="402" w:hRule="exact"/>
        </w:trPr>
        <w:tc>
          <w:tcPr>
            <w:tcW w:w="4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13.94%</w:t>
            </w:r>
          </w:p>
        </w:tc>
      </w:tr>
      <w:tr>
        <w:trPr>
          <w:trHeight w:val="403" w:hRule="exact"/>
        </w:trPr>
        <w:tc>
          <w:tcPr>
            <w:tcW w:w="4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471,656,798.12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429,856,912.84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260,712,024.70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174,264,027.00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174,256,734.36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1,510,746,497.02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w:t>
            </w:r>
          </w:p>
        </w:tc>
      </w:tr>
    </w:tbl>
    <w:p>
      <w:pPr>
        <w:spacing w:before="51"/>
        <w:ind w:left="154" w:right="255"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3" w:right="2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255"/>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679,922,906.65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547,499,577.82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160,874,710.72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152,621,151.39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3,206,128.02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15,368,506.79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报告期财务费用同比下降</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79.14%</w:t>
            </w:r>
            <w:r>
              <w:rPr>
                <w:rFonts w:ascii="宋体" w:hAnsi="宋体" w:cs="宋体" w:eastAsia="宋体" w:hint="default"/>
                <w:spacing w:val="-10"/>
                <w:sz w:val="18"/>
                <w:szCs w:val="18"/>
              </w:rPr>
              <w:t>，主</w:t>
            </w:r>
            <w:r>
              <w:rPr>
                <w:rFonts w:ascii="宋体" w:hAnsi="宋体" w:cs="宋体" w:eastAsia="宋体" w:hint="default"/>
                <w:sz w:val="18"/>
                <w:szCs w:val="18"/>
              </w:rPr>
              <w:t> 要原因为本期汇兑收益增加所致</w:t>
            </w:r>
          </w:p>
        </w:tc>
      </w:tr>
    </w:tbl>
    <w:p>
      <w:pPr>
        <w:spacing w:line="240" w:lineRule="auto" w:before="2"/>
        <w:rPr>
          <w:rFonts w:ascii="宋体" w:hAnsi="宋体" w:cs="宋体" w:eastAsia="宋体" w:hint="default"/>
          <w:sz w:val="19"/>
          <w:szCs w:val="19"/>
        </w:rPr>
      </w:pPr>
    </w:p>
    <w:p>
      <w:pPr>
        <w:pStyle w:val="Heading6"/>
        <w:spacing w:line="240" w:lineRule="auto" w:before="35"/>
        <w:ind w:right="255"/>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2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255"/>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841"/>
        <w:gridCol w:w="2256"/>
        <w:gridCol w:w="2255"/>
        <w:gridCol w:w="1342"/>
      </w:tblGrid>
      <w:tr>
        <w:trPr>
          <w:trHeight w:val="401"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12,227,678,410.74</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10,048,135,220.85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21.69%</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12,034,739,933.35</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9,997,747,561.01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20.37%</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192,938,477.39</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50,387,659.84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282.91%</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171,089,575.60</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18,224,300.00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838.80%</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415,141,359.42</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303,581,221.80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36.75%</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-244,051,783.82</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-285,356,921.80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14.47%</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1,539,132,573.71</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1,119,017,814.99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37.54%</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1,063,302,064.48</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894,565,563.48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18.86%</w:t>
            </w:r>
          </w:p>
        </w:tc>
      </w:tr>
      <w:tr>
        <w:trPr>
          <w:trHeight w:val="402"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475,830,509.23</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224,452,251.51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112.00%</w:t>
            </w:r>
          </w:p>
        </w:tc>
      </w:tr>
      <w:tr>
        <w:trPr>
          <w:trHeight w:val="403" w:hRule="exact"/>
        </w:trPr>
        <w:tc>
          <w:tcPr>
            <w:tcW w:w="3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434,589,774.15</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-10,862,106.18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4,100.97%</w:t>
            </w:r>
          </w:p>
        </w:tc>
      </w:tr>
    </w:tbl>
    <w:p>
      <w:pPr>
        <w:spacing w:before="51"/>
        <w:ind w:left="154" w:right="255"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53" w:right="2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2"/>
        <w:ind w:left="154" w:right="25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）经营活动产生的现金流量净额较上年同期增加</w:t>
      </w:r>
      <w:r>
        <w:rPr>
          <w:rFonts w:ascii="Times New Roman" w:hAnsi="Times New Roman" w:cs="Times New Roman" w:eastAsia="Times New Roman" w:hint="default"/>
          <w:sz w:val="18"/>
          <w:szCs w:val="18"/>
        </w:rPr>
        <w:t>282.91%</w:t>
      </w:r>
      <w:r>
        <w:rPr>
          <w:rFonts w:ascii="宋体" w:hAnsi="宋体" w:cs="宋体" w:eastAsia="宋体" w:hint="default"/>
          <w:sz w:val="18"/>
          <w:szCs w:val="18"/>
        </w:rPr>
        <w:t>，主要原因为报告期公司销售及收款情况较好，及公司第四季 度部分供应商款项尚未到付款期增加的应付账款；</w:t>
      </w:r>
    </w:p>
    <w:p>
      <w:pPr>
        <w:spacing w:before="3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）筹资活动产生的现金流量净额较上年同期增加</w:t>
      </w:r>
      <w:r>
        <w:rPr>
          <w:rFonts w:ascii="Times New Roman" w:hAnsi="Times New Roman" w:cs="Times New Roman" w:eastAsia="Times New Roman" w:hint="default"/>
          <w:spacing w:val="-3"/>
          <w:sz w:val="18"/>
          <w:szCs w:val="18"/>
        </w:rPr>
        <w:t>112%</w:t>
      </w:r>
      <w:r>
        <w:rPr>
          <w:rFonts w:ascii="宋体" w:hAnsi="宋体" w:cs="宋体" w:eastAsia="宋体" w:hint="default"/>
          <w:spacing w:val="-3"/>
          <w:sz w:val="18"/>
          <w:szCs w:val="18"/>
        </w:rPr>
        <w:t>，主要原因为报告期公司发行可转换公司债券取得的募集资金所致。</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736"/>
        <w:gridCol w:w="1771"/>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11,631,074.18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0"/>
              <w:jc w:val="left"/>
              <w:rPr>
                <w:rFonts w:ascii="宋体" w:hAnsi="宋体" w:cs="宋体" w:eastAsia="宋体" w:hint="default"/>
                <w:sz w:val="18"/>
                <w:szCs w:val="18"/>
              </w:rPr>
            </w:pPr>
            <w:r>
              <w:rPr>
                <w:rFonts w:ascii="宋体" w:hAnsi="宋体" w:cs="宋体" w:eastAsia="宋体" w:hint="default"/>
                <w:sz w:val="18"/>
                <w:szCs w:val="18"/>
              </w:rPr>
              <w:t>权益法确认的对联营企业的投资 损益等</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22,634,291.05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计提坏账准备和贷款减值准备等</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4,247,868.08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主要为收到政府补助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886,566.99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0"/>
              <w:jc w:val="left"/>
              <w:rPr>
                <w:rFonts w:ascii="宋体" w:hAnsi="宋体" w:cs="宋体" w:eastAsia="宋体" w:hint="default"/>
                <w:sz w:val="18"/>
                <w:szCs w:val="18"/>
              </w:rPr>
            </w:pPr>
            <w:r>
              <w:rPr>
                <w:rFonts w:ascii="宋体" w:hAnsi="宋体" w:cs="宋体" w:eastAsia="宋体" w:hint="default"/>
                <w:sz w:val="18"/>
                <w:szCs w:val="18"/>
              </w:rPr>
              <w:t>主要为对外捐赠和非流动资产报 废损失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44"/>
        <w:gridCol w:w="1320"/>
        <w:gridCol w:w="826"/>
        <w:gridCol w:w="1350"/>
        <w:gridCol w:w="775"/>
        <w:gridCol w:w="850"/>
        <w:gridCol w:w="3430"/>
      </w:tblGrid>
      <w:tr>
        <w:trPr>
          <w:trHeight w:val="402" w:hRule="exact"/>
        </w:trPr>
        <w:tc>
          <w:tcPr>
            <w:tcW w:w="1144" w:type="dxa"/>
            <w:vMerge w:val="restart"/>
            <w:tcBorders>
              <w:top w:val="single" w:sz="4" w:space="0" w:color="000000"/>
              <w:left w:val="single" w:sz="4" w:space="0" w:color="000000"/>
              <w:right w:val="single" w:sz="4" w:space="0" w:color="000000"/>
            </w:tcBorders>
            <w:shd w:val="clear" w:color="auto" w:fill="D0CECE"/>
          </w:tcPr>
          <w:p>
            <w:pPr/>
          </w:p>
        </w:tc>
        <w:tc>
          <w:tcPr>
            <w:tcW w:w="21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4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144" w:type="dxa"/>
            <w:vMerge/>
            <w:tcBorders>
              <w:left w:val="single" w:sz="4" w:space="0" w:color="000000"/>
              <w:bottom w:val="single" w:sz="4" w:space="0" w:color="000000"/>
              <w:right w:val="single" w:sz="4" w:space="0" w:color="000000"/>
            </w:tcBorders>
            <w:shd w:val="clear" w:color="auto" w:fill="D0CECE"/>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2" w:right="2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0" w:type="dxa"/>
            <w:vMerge/>
            <w:tcBorders>
              <w:left w:val="single" w:sz="4" w:space="0" w:color="000000"/>
              <w:bottom w:val="single" w:sz="4" w:space="0" w:color="000000"/>
              <w:right w:val="single" w:sz="4" w:space="0" w:color="000000"/>
            </w:tcBorders>
            <w:shd w:val="clear" w:color="auto" w:fill="D3D3D3"/>
          </w:tcPr>
          <w:p>
            <w:pPr/>
          </w:p>
        </w:tc>
        <w:tc>
          <w:tcPr>
            <w:tcW w:w="343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1,367,368,101.02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932,278,326.87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主要原因为公司本期发行可转换公司债券 收到的募集资金</w:t>
            </w: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574,439,214.55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519,347,994.82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2,147,449.81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1,409,678.44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76,429,185.23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67,512,136.24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82,267,065.35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55,925,752.91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主要原因为公司下属公司波兰车公司购入 运营车辆等</w:t>
            </w: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637,737,210.00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802,554,184.00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6,732,921.62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5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379,322,405.90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431,962,718.80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357,485,390.20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346,226,422.52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599,956,017.24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607,019,028.44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482,445,448.47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9.47%</w:t>
            </w:r>
          </w:p>
        </w:tc>
        <w:tc>
          <w:tcPr>
            <w:tcW w:w="135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主要原因为公司本期发行可转换公司债券</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692" w:lineRule="exact" w:before="28"/>
        <w:ind w:left="636" w:right="0" w:hanging="48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pacing w:val="2"/>
          <w:sz w:val="21"/>
          <w:szCs w:val="21"/>
        </w:rPr>
        <w:t>公司所有权受限制的资产为用于取得并保持国际航协在中国实施代理人计划中的民用航空运输销售</w:t>
      </w:r>
    </w:p>
    <w:p>
      <w:pPr>
        <w:pStyle w:val="BodyText"/>
        <w:spacing w:line="240" w:lineRule="auto" w:before="84"/>
        <w:ind w:left="153" w:right="0"/>
        <w:jc w:val="left"/>
      </w:pPr>
      <w:r>
        <w:rPr/>
        <w:t>代理人资格而做的质押反担保。详见“第十一节</w:t>
      </w:r>
      <w:r>
        <w:rPr>
          <w:rFonts w:ascii="Times New Roman" w:hAnsi="Times New Roman" w:cs="Times New Roman" w:eastAsia="Times New Roman" w:hint="default"/>
        </w:rPr>
        <w:t>-</w:t>
      </w:r>
      <w:r>
        <w:rPr/>
        <w:t>财务报告</w:t>
      </w:r>
      <w:r>
        <w:rPr>
          <w:spacing w:val="-1"/>
        </w:rPr>
        <w:t> </w:t>
      </w:r>
      <w:r>
        <w:rPr/>
        <w:t>附十三、承诺及或有事项”。</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390,019,405.87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222,061,967.37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75.64%</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配套融资</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20,250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1,834.72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17,180.79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3,162.57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存放在募</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674"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集资金专 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发行可转 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69,013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69,013.64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存放在募 集资金专 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1,834.72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17,180.79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72,176.21</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56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6"/>
                <w:sz w:val="18"/>
                <w:szCs w:val="18"/>
              </w:rPr>
              <w:t> </w:t>
            </w:r>
            <w:r>
              <w:rPr>
                <w:rFonts w:ascii="宋体" w:hAnsi="宋体" w:cs="宋体" w:eastAsia="宋体" w:hint="default"/>
                <w:b/>
                <w:bCs/>
                <w:sz w:val="18"/>
                <w:szCs w:val="18"/>
              </w:rPr>
              <w:t>年配套融资（发行股份购买资产并募集配套资金）</w:t>
            </w:r>
            <w:r>
              <w:rPr>
                <w:rFonts w:ascii="宋体" w:hAnsi="宋体" w:cs="宋体" w:eastAsia="宋体" w:hint="default"/>
                <w:sz w:val="18"/>
                <w:szCs w:val="18"/>
              </w:rPr>
            </w:r>
          </w:p>
          <w:p>
            <w:pPr>
              <w:pStyle w:val="TableParagraph"/>
              <w:spacing w:line="300" w:lineRule="auto" w:before="63"/>
              <w:ind w:left="380"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）实际募集资金金额、资金到位情况 </w:t>
            </w:r>
            <w:r>
              <w:rPr>
                <w:rFonts w:ascii="宋体" w:hAnsi="宋体" w:cs="宋体" w:eastAsia="宋体" w:hint="default"/>
                <w:spacing w:val="-1"/>
                <w:sz w:val="18"/>
                <w:szCs w:val="18"/>
              </w:rPr>
              <w:t>经中国证券监督管理委员会《关于核准北京众信国际旅行社股份有限公司向郭洪斌等发行股份购买资产并募集配套资</w:t>
            </w:r>
          </w:p>
          <w:p>
            <w:pPr>
              <w:pStyle w:val="TableParagraph"/>
              <w:spacing w:line="300" w:lineRule="auto" w:before="31"/>
              <w:ind w:left="22" w:right="36"/>
              <w:jc w:val="left"/>
              <w:rPr>
                <w:rFonts w:ascii="宋体" w:hAnsi="宋体" w:cs="宋体" w:eastAsia="宋体" w:hint="default"/>
                <w:sz w:val="18"/>
                <w:szCs w:val="18"/>
              </w:rPr>
            </w:pPr>
            <w:r>
              <w:rPr>
                <w:rFonts w:ascii="宋体" w:hAnsi="宋体" w:cs="宋体" w:eastAsia="宋体" w:hint="default"/>
                <w:sz w:val="18"/>
                <w:szCs w:val="18"/>
              </w:rPr>
              <w:t>金的批复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号）核准，公司向九泰基金管理有限公司、深圳前海瑞联一号投资中心（有限合伙</w:t>
            </w:r>
            <w:r>
              <w:rPr>
                <w:rFonts w:ascii="宋体" w:hAnsi="宋体" w:cs="宋体" w:eastAsia="宋体" w:hint="default"/>
                <w:spacing w:val="-90"/>
                <w:sz w:val="18"/>
                <w:szCs w:val="18"/>
              </w:rPr>
              <w:t>）</w:t>
            </w:r>
            <w:r>
              <w:rPr>
                <w:rFonts w:ascii="宋体" w:hAnsi="宋体" w:cs="宋体" w:eastAsia="宋体" w:hint="default"/>
                <w:sz w:val="18"/>
                <w:szCs w:val="18"/>
              </w:rPr>
              <w:t>、冯</w:t>
            </w:r>
            <w:r>
              <w:rPr>
                <w:rFonts w:ascii="宋体" w:hAnsi="宋体" w:cs="宋体" w:eastAsia="宋体" w:hint="default"/>
                <w:sz w:val="18"/>
                <w:szCs w:val="18"/>
              </w:rPr>
              <w:t> 滨和白斌非公开发行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2,574,7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发</w:t>
            </w:r>
            <w:r>
              <w:rPr>
                <w:rFonts w:ascii="宋体" w:hAnsi="宋体" w:cs="宋体" w:eastAsia="宋体" w:hint="default"/>
                <w:sz w:val="18"/>
                <w:szCs w:val="18"/>
              </w:rPr>
              <w:t>行价格为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209,999,953.96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扣</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除发行费用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万元，公司实际募集资金净额为人民币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208,799,953.96</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208,799,953.96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元已经</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汇入公司在中国民生银行国贸支行开立的账户，以上募集资金已由北京中证天通会计师事务所（特殊普通合伙）于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日出具的验资报告（中证天通</w:t>
            </w:r>
            <w:r>
              <w:rPr>
                <w:rFonts w:ascii="Times New Roman" w:hAnsi="Times New Roman" w:cs="Times New Roman" w:eastAsia="Times New Roman" w:hint="default"/>
                <w:sz w:val="18"/>
                <w:szCs w:val="18"/>
              </w:rPr>
              <w:t>[2015]</w:t>
            </w:r>
            <w:r>
              <w:rPr>
                <w:rFonts w:ascii="宋体" w:hAnsi="宋体" w:cs="宋体" w:eastAsia="宋体" w:hint="default"/>
                <w:sz w:val="18"/>
                <w:szCs w:val="18"/>
              </w:rPr>
              <w:t>验字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1-1062 </w:t>
            </w:r>
            <w:r>
              <w:rPr>
                <w:rFonts w:ascii="宋体" w:hAnsi="宋体" w:cs="宋体" w:eastAsia="宋体" w:hint="default"/>
                <w:sz w:val="18"/>
                <w:szCs w:val="18"/>
              </w:rPr>
              <w:t>号）进行了审验（此次发行费用总额为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202,499,9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38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）本年度使用金额及当前余额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日，公司已实际累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17,180.79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3"/>
              <w:ind w:left="3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年发行可转换公司债券</w:t>
            </w:r>
            <w:r>
              <w:rPr>
                <w:rFonts w:ascii="宋体" w:hAnsi="宋体" w:cs="宋体" w:eastAsia="宋体" w:hint="default"/>
                <w:sz w:val="18"/>
                <w:szCs w:val="18"/>
              </w:rPr>
            </w:r>
          </w:p>
          <w:p>
            <w:pPr>
              <w:pStyle w:val="TableParagraph"/>
              <w:spacing w:line="300" w:lineRule="auto" w:before="63"/>
              <w:ind w:left="380" w:right="4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）实际募集资金金额、资金到位情况 </w:t>
            </w:r>
            <w:r>
              <w:rPr>
                <w:rFonts w:ascii="宋体" w:hAnsi="宋体" w:cs="宋体" w:eastAsia="宋体" w:hint="default"/>
                <w:spacing w:val="-2"/>
                <w:sz w:val="18"/>
                <w:szCs w:val="18"/>
              </w:rPr>
              <w:t>经中国证券监督管理委员会《关于核准众信旅游集团股份有限公司公开发行可转换公司债券的批复》（证监许可</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1973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21"/>
                <w:sz w:val="18"/>
                <w:szCs w:val="18"/>
              </w:rPr>
              <w:t>）</w:t>
            </w:r>
            <w:r>
              <w:rPr>
                <w:rFonts w:ascii="宋体" w:hAnsi="宋体" w:cs="宋体" w:eastAsia="宋体" w:hint="default"/>
                <w:sz w:val="18"/>
                <w:szCs w:val="18"/>
              </w:rPr>
              <w:t>核准</w:t>
            </w:r>
            <w:r>
              <w:rPr>
                <w:rFonts w:ascii="宋体" w:hAnsi="宋体" w:cs="宋体" w:eastAsia="宋体" w:hint="default"/>
                <w:spacing w:val="-22"/>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日向社会公开发行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张</w:t>
            </w:r>
            <w:r>
              <w:rPr>
                <w:rFonts w:ascii="宋体" w:hAnsi="宋体" w:cs="宋体" w:eastAsia="宋体" w:hint="default"/>
                <w:sz w:val="18"/>
                <w:szCs w:val="18"/>
              </w:rPr>
              <w:t>可转换公司债</w:t>
            </w:r>
            <w:r>
              <w:rPr>
                <w:rFonts w:ascii="宋体" w:hAnsi="宋体" w:cs="宋体" w:eastAsia="宋体" w:hint="default"/>
                <w:spacing w:val="-22"/>
                <w:sz w:val="18"/>
                <w:szCs w:val="18"/>
              </w:rPr>
              <w:t>券</w:t>
            </w:r>
            <w:r>
              <w:rPr>
                <w:rFonts w:ascii="宋体" w:hAnsi="宋体" w:cs="宋体" w:eastAsia="宋体" w:hint="default"/>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可转债</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每</w:t>
            </w:r>
            <w:r>
              <w:rPr>
                <w:rFonts w:ascii="宋体" w:hAnsi="宋体" w:cs="宋体" w:eastAsia="宋体" w:hint="default"/>
                <w:spacing w:val="-2"/>
                <w:sz w:val="18"/>
                <w:szCs w:val="18"/>
              </w:rPr>
              <w:t>张</w:t>
            </w:r>
            <w:r>
              <w:rPr>
                <w:rFonts w:ascii="宋体" w:hAnsi="宋体" w:cs="宋体" w:eastAsia="宋体" w:hint="default"/>
                <w:spacing w:val="1"/>
                <w:sz w:val="18"/>
                <w:szCs w:val="18"/>
              </w:rPr>
              <w:t>面</w:t>
            </w:r>
            <w:r>
              <w:rPr>
                <w:rFonts w:ascii="宋体" w:hAnsi="宋体" w:cs="宋体" w:eastAsia="宋体" w:hint="default"/>
                <w:sz w:val="18"/>
                <w:szCs w:val="18"/>
              </w:rPr>
              <w:t>值</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发行总额人民币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亿</w:t>
            </w:r>
            <w:r>
              <w:rPr>
                <w:rFonts w:ascii="宋体" w:hAnsi="宋体" w:cs="宋体" w:eastAsia="宋体" w:hint="default"/>
                <w:spacing w:val="-2"/>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本次公开发行可转债募集资金总额为人民币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实际募集资金总额为人民币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70,000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万元，扣除承销保荐费用等发行费用人民币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987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万元后，实际募集资金净额为人民币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69,013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万元。上述募集资金已于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日到达公司指定账户，并经北京中证天通会计师事务所（特殊普通合伙）出具的中证天通（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）证验字第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04008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号《验证报告》验证。</w:t>
            </w:r>
          </w:p>
          <w:p>
            <w:pPr>
              <w:pStyle w:val="TableParagraph"/>
              <w:spacing w:line="240" w:lineRule="auto" w:before="76"/>
              <w:ind w:left="38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）本年度使用金额及当前余额由于本次发行可转债募集资金到位时间较短，截至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日，公司尚未实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际使用可转债募集资金。截至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w:t>
            </w:r>
            <w:r>
              <w:rPr>
                <w:rFonts w:ascii="宋体" w:hAnsi="宋体" w:cs="宋体" w:eastAsia="宋体" w:hint="default"/>
                <w:spacing w:val="1"/>
                <w:sz w:val="18"/>
                <w:szCs w:val="18"/>
              </w:rPr>
              <w:t>未</w:t>
            </w:r>
            <w:r>
              <w:rPr>
                <w:rFonts w:ascii="宋体" w:hAnsi="宋体" w:cs="宋体" w:eastAsia="宋体" w:hint="default"/>
                <w:sz w:val="18"/>
                <w:szCs w:val="18"/>
              </w:rPr>
              <w:t>使用的募集资金余额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69,013.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竹园国旅电子商务运 营建设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1,834.72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1,947.39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出境游业务平台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55,033.64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55,033.64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出境云</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大数据管理 分析平台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14,966.36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14,966.36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17,180.79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17,180.79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31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日公司第三届董事会第三十四次会议审议通过了《关于部分募投项目调整的议</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竹园</w:t>
            </w:r>
            <w:r>
              <w:rPr>
                <w:rFonts w:ascii="宋体" w:hAnsi="宋体" w:cs="宋体" w:eastAsia="宋体" w:hint="default"/>
                <w:spacing w:val="1"/>
                <w:sz w:val="18"/>
                <w:szCs w:val="18"/>
              </w:rPr>
              <w:t>国</w:t>
            </w:r>
            <w:r>
              <w:rPr>
                <w:rFonts w:ascii="宋体" w:hAnsi="宋体" w:cs="宋体" w:eastAsia="宋体" w:hint="default"/>
                <w:sz w:val="18"/>
                <w:szCs w:val="18"/>
              </w:rPr>
              <w:t>旅电子商务运营建设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项目资金使用计划进度由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月前使用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月前投入使用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月前投入使用</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万元。本次调整不涉及募集资金用途变更。</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日公司第三届董事会第四十八次会议审议通过了《关于调整募投项目投资进度的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将</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竹</w:t>
            </w:r>
            <w:r>
              <w:rPr>
                <w:rFonts w:ascii="宋体" w:hAnsi="宋体" w:cs="宋体" w:eastAsia="宋体" w:hint="default"/>
                <w:spacing w:val="1"/>
                <w:sz w:val="18"/>
                <w:szCs w:val="18"/>
              </w:rPr>
              <w:t>园</w:t>
            </w:r>
            <w:r>
              <w:rPr>
                <w:rFonts w:ascii="宋体" w:hAnsi="宋体" w:cs="宋体" w:eastAsia="宋体" w:hint="default"/>
                <w:sz w:val="18"/>
                <w:szCs w:val="18"/>
              </w:rPr>
              <w:t>国旅电子商务运营建设</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项目资金使用计划进度调整为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w:t>
            </w:r>
            <w:r>
              <w:rPr>
                <w:rFonts w:ascii="宋体" w:hAnsi="宋体" w:cs="宋体" w:eastAsia="宋体" w:hint="default"/>
                <w:spacing w:val="1"/>
                <w:sz w:val="18"/>
                <w:szCs w:val="18"/>
              </w:rPr>
              <w:t>使</w:t>
            </w: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月前投入使用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万元。本次调整不涉及募集资金用途变更。</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1"/>
                <w:sz w:val="18"/>
                <w:szCs w:val="18"/>
              </w:rPr>
              <w:t>第</w:t>
            </w:r>
            <w:r>
              <w:rPr>
                <w:rFonts w:ascii="宋体" w:hAnsi="宋体" w:cs="宋体" w:eastAsia="宋体" w:hint="default"/>
                <w:sz w:val="18"/>
                <w:szCs w:val="18"/>
              </w:rPr>
              <w:t>三届董事会第七十一次会议审议通过</w:t>
            </w:r>
            <w:r>
              <w:rPr>
                <w:rFonts w:ascii="宋体" w:hAnsi="宋体" w:cs="宋体" w:eastAsia="宋体" w:hint="default"/>
                <w:spacing w:val="-88"/>
                <w:sz w:val="18"/>
                <w:szCs w:val="18"/>
              </w:rPr>
              <w:t>，</w:t>
            </w:r>
            <w:r>
              <w:rPr>
                <w:rFonts w:ascii="宋体" w:hAnsi="宋体" w:cs="宋体" w:eastAsia="宋体" w:hint="default"/>
                <w:sz w:val="18"/>
                <w:szCs w:val="18"/>
              </w:rPr>
              <w:t>公司使用可转债闲置募集资金人</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亿元用于暂时补充流动资金，使用期限自本次董事会审议通过之日起不超过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个月，截至</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日，实际尚未使用募集资金补流。</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剩余尚未使用的募集资金仍存放于募集资金专用户。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849" w:space="4070"/>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631"/>
        <w:gridCol w:w="635"/>
        <w:gridCol w:w="1091"/>
        <w:gridCol w:w="1181"/>
        <w:gridCol w:w="1181"/>
        <w:gridCol w:w="1316"/>
        <w:gridCol w:w="1175"/>
        <w:gridCol w:w="1181"/>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0" w:right="38"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1" w:right="4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竹园国际旅行 社有限公司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13,704,171.00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863,659,808.28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482,815,015.70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4,958,631,084.96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166,981,511.79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124,665,749.43</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众信博睿整合 营销咨询股份 有限公司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整合营 销服务</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363,421,755.99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174,253,706.68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877,410,113.42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54,460,410.72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42,294,019.53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KAYTRIP </w:t>
            </w:r>
            <w:r>
              <w:rPr>
                <w:rFonts w:ascii="Times New Roman"/>
                <w:sz w:val="18"/>
              </w:rPr>
              <w:t>DE MEXICO SA DE</w:t>
            </w:r>
            <w:r>
              <w:rPr>
                <w:rFonts w:ascii="Times New Roman"/>
                <w:spacing w:val="-25"/>
                <w:sz w:val="18"/>
              </w:rPr>
              <w:t> </w:t>
            </w:r>
            <w:r>
              <w:rPr>
                <w:rFonts w:ascii="Times New Roman"/>
                <w:sz w:val="18"/>
              </w:rPr>
              <w:t>CV</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北京优泰科网络科技有限公司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九江中国旅行社有限公司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影响较小</w:t>
            </w:r>
          </w:p>
        </w:tc>
      </w:tr>
    </w:tbl>
    <w:p>
      <w:pPr>
        <w:spacing w:after="0" w:line="240" w:lineRule="auto"/>
        <w:jc w:val="center"/>
        <w:rPr>
          <w:rFonts w:ascii="宋体" w:hAnsi="宋体" w:cs="宋体" w:eastAsia="宋体" w:hint="default"/>
          <w:sz w:val="18"/>
          <w:szCs w:val="18"/>
        </w:rPr>
        <w:sectPr>
          <w:type w:val="continuous"/>
          <w:pgSz w:w="11910" w:h="16840"/>
          <w:pgMar w:top="14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苏州众信星舟国际旅行社有限公司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0"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Activo Travel</w:t>
            </w:r>
            <w:r>
              <w:rPr>
                <w:rFonts w:ascii="Times New Roman"/>
                <w:spacing w:val="-15"/>
                <w:sz w:val="18"/>
              </w:rPr>
              <w:t> </w:t>
            </w:r>
            <w:r>
              <w:rPr>
                <w:rFonts w:ascii="Times New Roman"/>
                <w:sz w:val="18"/>
              </w:rPr>
              <w:t>GmbH</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0"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中企信商业保理有限公司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0"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北京九州联合国际旅行社有限公司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0" w:right="0"/>
              <w:jc w:val="left"/>
              <w:rPr>
                <w:rFonts w:ascii="宋体" w:hAnsi="宋体" w:cs="宋体" w:eastAsia="宋体" w:hint="default"/>
                <w:sz w:val="18"/>
                <w:szCs w:val="18"/>
              </w:rPr>
            </w:pPr>
            <w:r>
              <w:rPr>
                <w:rFonts w:ascii="宋体" w:hAnsi="宋体" w:cs="宋体" w:eastAsia="宋体" w:hint="default"/>
                <w:sz w:val="18"/>
                <w:szCs w:val="18"/>
              </w:rPr>
              <w:t>影响较小</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90"/>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298" w:firstLine="480"/>
        <w:jc w:val="left"/>
      </w:pPr>
      <w:r>
        <w:rPr>
          <w:spacing w:val="-2"/>
        </w:rPr>
        <w:t>公司董事会认真分析了未来出境游与出境服务业务的发展趋势，结合公司战略规划和实际情况，对公</w:t>
      </w:r>
      <w:r>
        <w:rPr/>
        <w:t> 司未来发展及</w:t>
      </w:r>
      <w:r>
        <w:rPr>
          <w:rFonts w:ascii="Times New Roman" w:hAnsi="Times New Roman" w:cs="Times New Roman" w:eastAsia="Times New Roman" w:hint="default"/>
        </w:rPr>
        <w:t>2018</w:t>
      </w:r>
      <w:r>
        <w:rPr/>
        <w:t>年经营计划规划如下：</w:t>
      </w:r>
    </w:p>
    <w:p>
      <w:pPr>
        <w:pStyle w:val="Heading6"/>
        <w:spacing w:line="240" w:lineRule="auto" w:before="14"/>
        <w:ind w:left="634" w:right="90"/>
        <w:jc w:val="left"/>
        <w:rPr>
          <w:b w:val="0"/>
          <w:bCs w:val="0"/>
        </w:rPr>
      </w:pPr>
      <w:r>
        <w:rPr>
          <w:rFonts w:ascii="Times New Roman" w:hAnsi="Times New Roman" w:cs="Times New Roman" w:eastAsia="Times New Roman" w:hint="default"/>
        </w:rPr>
        <w:t>1</w:t>
      </w:r>
      <w:r>
        <w:rPr/>
        <w:t>、行业发展趋势与格局</w:t>
      </w:r>
      <w:r>
        <w:rPr>
          <w:b w:val="0"/>
          <w:bCs w:val="0"/>
        </w:rPr>
      </w:r>
    </w:p>
    <w:p>
      <w:pPr>
        <w:spacing w:line="386" w:lineRule="auto" w:before="177"/>
        <w:ind w:left="636" w:right="29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）多重利好因素推动出境旅游及出境服务市场蓬勃发展</w:t>
      </w:r>
      <w:r>
        <w:rPr>
          <w:rFonts w:ascii="宋体" w:hAnsi="宋体" w:cs="宋体" w:eastAsia="宋体" w:hint="default"/>
          <w:b/>
          <w:bCs/>
          <w:w w:val="99"/>
          <w:sz w:val="21"/>
          <w:szCs w:val="21"/>
        </w:rPr>
        <w:t> </w:t>
      </w:r>
      <w:r>
        <w:rPr>
          <w:rFonts w:ascii="宋体" w:hAnsi="宋体" w:cs="宋体" w:eastAsia="宋体" w:hint="default"/>
          <w:spacing w:val="-2"/>
          <w:sz w:val="21"/>
          <w:szCs w:val="21"/>
        </w:rPr>
        <w:t>党的十九大报告指出，中国特色社会主义进入新时代即将踏上决胜全面建成小康社会的新征程。旅游</w:t>
      </w:r>
    </w:p>
    <w:p>
      <w:pPr>
        <w:pStyle w:val="BodyText"/>
        <w:spacing w:line="408" w:lineRule="auto" w:before="65"/>
        <w:ind w:right="90"/>
        <w:jc w:val="left"/>
      </w:pPr>
      <w:r>
        <w:rPr>
          <w:spacing w:val="-1"/>
        </w:rPr>
        <w:t>是美好生活的风向标，是人民日常生活的重要组成部分，是衡量人民生活水平的重要指标，成为人民幸福</w:t>
      </w:r>
      <w:r>
        <w:rPr>
          <w:spacing w:val="-83"/>
        </w:rPr>
        <w:t> </w:t>
      </w:r>
      <w:r>
        <w:rPr>
          <w:spacing w:val="-83"/>
        </w:rPr>
      </w:r>
      <w:r>
        <w:rPr/>
        <w:t>生活的刚需，旅游业列</w:t>
      </w:r>
      <w:r>
        <w:rPr>
          <w:rFonts w:ascii="Times New Roman" w:hAnsi="Times New Roman" w:cs="Times New Roman" w:eastAsia="Times New Roman" w:hint="default"/>
        </w:rPr>
        <w:t>“</w:t>
      </w:r>
      <w:r>
        <w:rPr/>
        <w:t>五大幸福产业</w:t>
      </w:r>
      <w:r>
        <w:rPr>
          <w:rFonts w:ascii="Times New Roman" w:hAnsi="Times New Roman" w:cs="Times New Roman" w:eastAsia="Times New Roman" w:hint="default"/>
        </w:rPr>
        <w:t>”</w:t>
      </w:r>
      <w:r>
        <w:rPr/>
        <w:t>之首。</w:t>
      </w:r>
    </w:p>
    <w:p>
      <w:pPr>
        <w:pStyle w:val="BodyText"/>
        <w:spacing w:line="400" w:lineRule="auto" w:before="14"/>
        <w:ind w:right="101" w:firstLine="482"/>
        <w:jc w:val="left"/>
      </w:pPr>
      <w:r>
        <w:rPr>
          <w:spacing w:val="-2"/>
        </w:rPr>
        <w:t>随着人民可支配收入的提高和愿意为优质产品和服务付费的消费观念提升，消费升级的红利逐渐到来。</w:t>
      </w:r>
      <w:r>
        <w:rPr/>
        <w:t> 基于我国庞大的人口基数，</w:t>
      </w:r>
      <w:r>
        <w:rPr>
          <w:rFonts w:ascii="Times New Roman" w:hAnsi="Times New Roman" w:cs="Times New Roman" w:eastAsia="Times New Roman" w:hint="default"/>
        </w:rPr>
        <w:t>30</w:t>
      </w:r>
      <w:r>
        <w:rPr/>
        <w:t>年改革开放积累的大量的国民财富，出境游行业的潜力不断释放，目前中国 持有护照人数不到总人口的</w:t>
      </w:r>
      <w:r>
        <w:rPr>
          <w:rFonts w:ascii="Times New Roman" w:hAnsi="Times New Roman" w:cs="Times New Roman" w:eastAsia="Times New Roman" w:hint="default"/>
        </w:rPr>
        <w:t>10%</w:t>
      </w:r>
      <w:r>
        <w:rPr/>
        <w:t>，而欧美发达国家此数据比例在</w:t>
      </w:r>
      <w:r>
        <w:rPr>
          <w:rFonts w:ascii="Times New Roman" w:hAnsi="Times New Roman" w:cs="Times New Roman" w:eastAsia="Times New Roman" w:hint="default"/>
        </w:rPr>
        <w:t>40%-70%</w:t>
      </w:r>
      <w:r>
        <w:rPr/>
        <w:t>以上，相当于我国尚有</w:t>
      </w:r>
      <w:r>
        <w:rPr>
          <w:rFonts w:ascii="Times New Roman" w:hAnsi="Times New Roman" w:cs="Times New Roman" w:eastAsia="Times New Roman" w:hint="default"/>
        </w:rPr>
        <w:t>90%</w:t>
      </w:r>
      <w:r>
        <w:rPr/>
        <w:t>的人 口尚未进入出境旅游市场，出境旅游市场拥有巨大的发展潜力。另一方面，我国的国际影响力和话语权的 </w:t>
      </w:r>
      <w:r>
        <w:rPr>
          <w:spacing w:val="-3"/>
        </w:rPr>
        <w:t>提升，旅游业发挥着进一步推动形成全面开放新格局的作用。我国已连续多年成为世界第一大旅游客源国，</w:t>
      </w:r>
      <w:r>
        <w:rPr>
          <w:spacing w:val="-92"/>
        </w:rPr>
        <w:t> </w:t>
      </w:r>
      <w:r>
        <w:rPr>
          <w:spacing w:val="-92"/>
        </w:rPr>
      </w:r>
      <w:r>
        <w:rPr/>
        <w:t>在很多国家占据着主要客源国的地位，旅游在国家外交中扮演更为积极的角色，成为促进</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倡议 人文交流的载体，出境游推动着中国与世界各国民间文化的融合和交往，促进人民币的国际化进程，如根 </w:t>
      </w:r>
      <w:r>
        <w:rPr>
          <w:spacing w:val="-4"/>
        </w:rPr>
        <w:t>据中国旅游研究院的报告，以中国银联为例，目前银联卡可以在境外</w:t>
      </w:r>
      <w:r>
        <w:rPr>
          <w:rFonts w:ascii="Times New Roman" w:hAnsi="Times New Roman" w:cs="Times New Roman" w:eastAsia="Times New Roman" w:hint="default"/>
          <w:spacing w:val="-4"/>
        </w:rPr>
        <w:t>1800</w:t>
      </w:r>
      <w:r>
        <w:rPr>
          <w:spacing w:val="-4"/>
        </w:rPr>
        <w:t>万商家和</w:t>
      </w:r>
      <w:r>
        <w:rPr>
          <w:rFonts w:ascii="Times New Roman" w:hAnsi="Times New Roman" w:cs="Times New Roman" w:eastAsia="Times New Roman" w:hint="default"/>
          <w:spacing w:val="-4"/>
        </w:rPr>
        <w:t>130</w:t>
      </w:r>
      <w:r>
        <w:rPr>
          <w:spacing w:val="-4"/>
        </w:rPr>
        <w:t>万台</w:t>
      </w:r>
      <w:r>
        <w:rPr>
          <w:rFonts w:ascii="Times New Roman" w:hAnsi="Times New Roman" w:cs="Times New Roman" w:eastAsia="Times New Roman" w:hint="default"/>
          <w:spacing w:val="-4"/>
        </w:rPr>
        <w:t>ATM</w:t>
      </w:r>
      <w:r>
        <w:rPr>
          <w:spacing w:val="-4"/>
        </w:rPr>
        <w:t>机上使用。</w:t>
      </w:r>
      <w:r>
        <w:rPr>
          <w:spacing w:val="-81"/>
        </w:rPr>
        <w:t> </w:t>
      </w:r>
      <w:r>
        <w:rPr>
          <w:spacing w:val="-5"/>
        </w:rPr>
        <w:t>此外，签证条件的便利化，证照互认使得我国护照的含金量不断提升，可以免签和落地签的国家越来越多，</w:t>
      </w:r>
      <w:r>
        <w:rPr>
          <w:spacing w:val="-101"/>
        </w:rPr>
        <w:t> </w:t>
      </w:r>
      <w:r>
        <w:rPr>
          <w:spacing w:val="-101"/>
        </w:rPr>
      </w:r>
      <w:r>
        <w:rPr/>
        <w:t>再加上航权开放、人民币不断升值等多重利好因素都使得出境活动更为便利，进一步提升了国人出国的意</w:t>
      </w:r>
      <w:r>
        <w:rPr/>
        <w:t> 愿。</w:t>
      </w:r>
    </w:p>
    <w:p>
      <w:pPr>
        <w:pStyle w:val="BodyText"/>
        <w:spacing w:line="386" w:lineRule="auto" w:before="52"/>
        <w:ind w:right="311" w:firstLine="480"/>
        <w:jc w:val="both"/>
      </w:pPr>
      <w:r>
        <w:rPr/>
        <w:t>伴随着</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政策的落地，</w:t>
      </w:r>
      <w:r>
        <w:rPr>
          <w:rFonts w:ascii="Times New Roman" w:hAnsi="Times New Roman" w:cs="Times New Roman" w:eastAsia="Times New Roman" w:hint="default"/>
        </w:rPr>
        <w:t>“</w:t>
      </w:r>
      <w:r>
        <w:rPr/>
        <w:t>融合</w:t>
      </w:r>
      <w:r>
        <w:rPr>
          <w:rFonts w:ascii="Times New Roman" w:hAnsi="Times New Roman" w:cs="Times New Roman" w:eastAsia="Times New Roman" w:hint="default"/>
        </w:rPr>
        <w:t>”</w:t>
      </w:r>
      <w:r>
        <w:rPr/>
        <w:t>成为大国崛起背景下的新常态。互联互通，旅游先通，</w:t>
      </w:r>
      <w:r>
        <w:rPr>
          <w:rFonts w:ascii="Times New Roman" w:hAnsi="Times New Roman" w:cs="Times New Roman" w:eastAsia="Times New Roman" w:hint="default"/>
        </w:rPr>
        <w:t>“</w:t>
      </w:r>
      <w:r>
        <w:rPr/>
        <w:t>走出</w:t>
      </w:r>
      <w:r>
        <w:rPr>
          <w:spacing w:val="1"/>
        </w:rPr>
        <w:t> </w:t>
      </w:r>
      <w:r>
        <w:rPr/>
        <w:t>去</w:t>
      </w:r>
      <w:r>
        <w:rPr>
          <w:rFonts w:ascii="Times New Roman" w:hAnsi="Times New Roman" w:cs="Times New Roman" w:eastAsia="Times New Roman" w:hint="default"/>
        </w:rPr>
        <w:t>”</w:t>
      </w:r>
      <w:r>
        <w:rPr/>
        <w:t>以出境游的发展作为开端，未来将深入走向出境综合服务领域。伴随着中产阶级消费需求升级，单纯 </w:t>
      </w:r>
      <w:r>
        <w:rPr>
          <w:spacing w:val="-1"/>
        </w:rPr>
        <w:t>的观光、度假不再是出国旅游的唯一目的，游学及留学教育、移民置业、旅游金融、健康医疗等各类出境</w:t>
      </w:r>
    </w:p>
    <w:p>
      <w:pPr>
        <w:spacing w:after="0" w:line="386" w:lineRule="auto"/>
        <w:jc w:val="both"/>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08" w:lineRule="auto" w:before="35"/>
        <w:ind w:right="102"/>
        <w:jc w:val="left"/>
      </w:pPr>
      <w:r>
        <w:rPr>
          <w:spacing w:val="-1"/>
        </w:rPr>
        <w:t>服务需求将不断增加，出境服务市场将如目前的出境游市场一样在未来几年被持续打开扩大，具有广阔前</w:t>
      </w:r>
      <w:r>
        <w:rPr>
          <w:spacing w:val="-81"/>
        </w:rPr>
        <w:t> </w:t>
      </w:r>
      <w:r>
        <w:rPr>
          <w:spacing w:val="-81"/>
        </w:rPr>
      </w:r>
      <w:r>
        <w:rPr/>
        <w:t>景和发展空间。</w:t>
      </w:r>
    </w:p>
    <w:p>
      <w:pPr>
        <w:pStyle w:val="Heading6"/>
        <w:spacing w:line="386" w:lineRule="auto" w:before="46"/>
        <w:ind w:left="153" w:right="211" w:firstLine="480"/>
        <w:jc w:val="both"/>
        <w:rPr>
          <w:b w:val="0"/>
          <w:bCs w:val="0"/>
        </w:rPr>
      </w:pPr>
      <w:r>
        <w:rPr>
          <w:w w:val="95"/>
        </w:rPr>
        <w:t>（</w:t>
      </w:r>
      <w:r>
        <w:rPr>
          <w:rFonts w:ascii="Times New Roman" w:hAnsi="Times New Roman" w:cs="Times New Roman" w:eastAsia="Times New Roman" w:hint="default"/>
          <w:w w:val="95"/>
        </w:rPr>
        <w:t>2</w:t>
      </w:r>
      <w:r>
        <w:rPr>
          <w:w w:val="95"/>
        </w:rPr>
        <w:t>）市场竞争激烈，线上线下持续融合，突出的产品制造能力和良好的销售渠道才能使得旅行社发</w:t>
      </w:r>
      <w:r>
        <w:rPr>
          <w:w w:val="99"/>
        </w:rPr>
        <w:t> </w:t>
      </w:r>
      <w:r>
        <w:rPr/>
        <w:t>展空间持续扩展</w:t>
      </w:r>
      <w:r>
        <w:rPr>
          <w:b w:val="0"/>
          <w:bCs w:val="0"/>
        </w:rPr>
      </w:r>
    </w:p>
    <w:p>
      <w:pPr>
        <w:pStyle w:val="BodyText"/>
        <w:spacing w:line="405" w:lineRule="auto" w:before="65"/>
        <w:ind w:left="153" w:right="209" w:firstLine="480"/>
        <w:jc w:val="both"/>
      </w:pPr>
      <w:r>
        <w:rPr>
          <w:spacing w:val="-2"/>
        </w:rPr>
        <w:t>旅游行业是一个注重服务和运营的行业，旅游产品具有明显的虚拟性、区域化、非标准化特点，尤其</w:t>
      </w:r>
      <w:r>
        <w:rPr/>
        <w:t> </w:t>
      </w:r>
      <w:r>
        <w:rPr>
          <w:spacing w:val="-1"/>
        </w:rPr>
        <w:t>是出境旅游产品，消费者仍然有较强的线下服务需求。自</w:t>
      </w:r>
      <w:r>
        <w:rPr>
          <w:rFonts w:ascii="Times New Roman" w:hAnsi="Times New Roman" w:cs="Times New Roman" w:eastAsia="Times New Roman" w:hint="default"/>
          <w:spacing w:val="-1"/>
        </w:rPr>
        <w:t>2015</w:t>
      </w:r>
      <w:r>
        <w:rPr>
          <w:spacing w:val="-1"/>
        </w:rPr>
        <w:t>年以来，旅游业的并购整合不断加剧，携程</w:t>
      </w:r>
      <w:r>
        <w:rPr>
          <w:spacing w:val="-82"/>
        </w:rPr>
        <w:t> </w:t>
      </w:r>
      <w:r>
        <w:rPr>
          <w:spacing w:val="-82"/>
        </w:rPr>
      </w:r>
      <w:r>
        <w:rPr>
          <w:spacing w:val="-1"/>
        </w:rPr>
        <w:t>网通过并购艺龙网和去哪儿网成为最大的在线旅游运营商，公司也通过与竹园国旅的强强联合，成为最大</w:t>
      </w:r>
      <w:r>
        <w:rPr>
          <w:spacing w:val="-81"/>
        </w:rPr>
        <w:t> </w:t>
      </w:r>
      <w:r>
        <w:rPr>
          <w:spacing w:val="-81"/>
        </w:rPr>
      </w:r>
      <w:r>
        <w:rPr>
          <w:spacing w:val="-1"/>
        </w:rPr>
        <w:t>出境旅游运营商之一。线上线下持续融合，线下企业持续进行线上建设或通过并购方式获取线上渠道，拥</w:t>
      </w:r>
      <w:r>
        <w:rPr>
          <w:spacing w:val="-83"/>
        </w:rPr>
        <w:t> </w:t>
      </w:r>
      <w:r>
        <w:rPr>
          <w:spacing w:val="-83"/>
        </w:rPr>
      </w:r>
      <w:r>
        <w:rPr>
          <w:spacing w:val="-1"/>
        </w:rPr>
        <w:t>有线上优势的携程、途牛、同程网等则大举开拓零售门店渠道，获取不能转化为线上的客群。面对着激烈</w:t>
      </w:r>
      <w:r>
        <w:rPr>
          <w:spacing w:val="-82"/>
        </w:rPr>
        <w:t> </w:t>
      </w:r>
      <w:r>
        <w:rPr>
          <w:spacing w:val="-82"/>
        </w:rPr>
      </w:r>
      <w:r>
        <w:rPr>
          <w:spacing w:val="-1"/>
        </w:rPr>
        <w:t>的市场竞争，旅行社必须抓住产品制造的核心，强化资源端把控力度，不断进行产品升级和真正的产品本</w:t>
      </w:r>
      <w:r>
        <w:rPr>
          <w:spacing w:val="-83"/>
        </w:rPr>
        <w:t> </w:t>
      </w:r>
      <w:r>
        <w:rPr>
          <w:spacing w:val="-83"/>
        </w:rPr>
      </w:r>
      <w:r>
        <w:rPr/>
        <w:t>地化落地，不断扩大批发业务优势，批发零售结合，加强各类分销渠道建设，才能在竞争中胜出。</w:t>
      </w:r>
    </w:p>
    <w:p>
      <w:pPr>
        <w:pStyle w:val="Heading6"/>
        <w:spacing w:line="386" w:lineRule="auto" w:before="48"/>
        <w:ind w:right="211" w:firstLine="480"/>
        <w:jc w:val="both"/>
        <w:rPr>
          <w:b w:val="0"/>
          <w:bCs w:val="0"/>
        </w:rPr>
      </w:pPr>
      <w:r>
        <w:rPr>
          <w:w w:val="95"/>
        </w:rPr>
        <w:t>（</w:t>
      </w:r>
      <w:r>
        <w:rPr>
          <w:rFonts w:ascii="Times New Roman" w:hAnsi="Times New Roman" w:cs="Times New Roman" w:eastAsia="Times New Roman" w:hint="default"/>
          <w:w w:val="95"/>
        </w:rPr>
        <w:t>3</w:t>
      </w:r>
      <w:r>
        <w:rPr>
          <w:w w:val="95"/>
        </w:rPr>
        <w:t>）产品和服务能力日益成为行业的核心竞争力，大数据管理分析能力促进旅游企业深入相关领域</w:t>
      </w:r>
      <w:r>
        <w:rPr>
          <w:w w:val="99"/>
        </w:rPr>
        <w:t> </w:t>
      </w:r>
      <w:r>
        <w:rPr/>
        <w:t>并实现迭代升级</w:t>
      </w:r>
      <w:r>
        <w:rPr>
          <w:b w:val="0"/>
          <w:bCs w:val="0"/>
        </w:rPr>
      </w:r>
    </w:p>
    <w:p>
      <w:pPr>
        <w:pStyle w:val="BodyText"/>
        <w:spacing w:line="408" w:lineRule="auto" w:before="65"/>
        <w:ind w:right="209" w:firstLine="480"/>
        <w:jc w:val="both"/>
      </w:pPr>
      <w:r>
        <w:rPr>
          <w:spacing w:val="-2"/>
        </w:rPr>
        <w:t>在旅游产品的供给侧，随着国人出境游经验的丰富，消费观念的提升，越来愈多的消费者愿意为优质</w:t>
      </w:r>
      <w:r>
        <w:rPr/>
        <w:t> </w:t>
      </w:r>
      <w:r>
        <w:rPr>
          <w:spacing w:val="-1"/>
        </w:rPr>
        <w:t>产品服务买单，同时，个性化和定制化需求日益增长，出境游行业将进一步回归产品和服务本质。一方面</w:t>
      </w:r>
      <w:r>
        <w:rPr>
          <w:spacing w:val="-82"/>
        </w:rPr>
        <w:t> </w:t>
      </w:r>
      <w:r>
        <w:rPr>
          <w:spacing w:val="-82"/>
        </w:rPr>
      </w:r>
      <w:r>
        <w:rPr>
          <w:spacing w:val="-1"/>
        </w:rPr>
        <w:t>原有的产品需要不断优化升级，另一方面高性价比的定制服务将受到市场追捧，适销对路产品和优质服务</w:t>
      </w:r>
      <w:r>
        <w:rPr>
          <w:spacing w:val="-81"/>
        </w:rPr>
        <w:t> </w:t>
      </w:r>
      <w:r>
        <w:rPr>
          <w:spacing w:val="-81"/>
        </w:rPr>
      </w:r>
      <w:r>
        <w:rPr>
          <w:spacing w:val="-1"/>
        </w:rPr>
        <w:t>是提高消费者粘性的最好手段，是旅游企业赖以生存的根基和可持续发展的基本保障。智能手机、平板电</w:t>
      </w:r>
      <w:r>
        <w:rPr>
          <w:spacing w:val="-83"/>
        </w:rPr>
        <w:t> </w:t>
      </w:r>
      <w:r>
        <w:rPr>
          <w:spacing w:val="-83"/>
        </w:rPr>
      </w:r>
      <w:r>
        <w:rPr>
          <w:spacing w:val="-1"/>
        </w:rPr>
        <w:t>脑等便携通讯设备的普及使在线旅游渗透率不断提高。随着信息化和移动互联网技术在出境服务领域深度</w:t>
      </w:r>
      <w:r>
        <w:rPr>
          <w:spacing w:val="-81"/>
        </w:rPr>
        <w:t> </w:t>
      </w:r>
      <w:r>
        <w:rPr>
          <w:spacing w:val="-81"/>
        </w:rPr>
      </w:r>
      <w:r>
        <w:rPr>
          <w:spacing w:val="-1"/>
        </w:rPr>
        <w:t>运用，利用大数据管理分析来更好地理解消费需求，提供旅游延展服务，将促进企业深入旅游相关领域并</w:t>
      </w:r>
      <w:r>
        <w:rPr>
          <w:spacing w:val="-83"/>
        </w:rPr>
        <w:t> </w:t>
      </w:r>
      <w:r>
        <w:rPr>
          <w:spacing w:val="-83"/>
        </w:rPr>
      </w:r>
      <w:r>
        <w:rPr/>
        <w:t>实现迭代升级。</w:t>
      </w:r>
    </w:p>
    <w:p>
      <w:pPr>
        <w:pStyle w:val="BodyText"/>
        <w:spacing w:line="386" w:lineRule="auto"/>
        <w:ind w:left="574" w:right="102" w:firstLine="59"/>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spacing w:val="1"/>
          <w:w w:val="99"/>
        </w:rPr>
        <w:t> </w:t>
      </w:r>
      <w:r>
        <w:rPr>
          <w:spacing w:val="-1"/>
        </w:rPr>
        <w:t>公司坚持从旅游到旅行的发展路径，业务由出境游拓展至出境服务。在出境游批发、出境游零售、整</w:t>
      </w:r>
    </w:p>
    <w:p>
      <w:pPr>
        <w:pStyle w:val="BodyText"/>
        <w:spacing w:line="403" w:lineRule="auto" w:before="65"/>
        <w:ind w:right="102"/>
        <w:jc w:val="left"/>
      </w:pPr>
      <w:r>
        <w:rPr/>
        <w:t>合营销服务三大业务的基础上，向游学、移民置业、旅游金融、健康医疗等一系列出境综合服务延伸。围 绕出境游业务这一核心，在目的地资源、产品设计与服务、线上线下营销渠道三方面进行产业链一体化扩 张，不断巩固和加强出境游业务优势；并拓展包括游学、移民置业、旅游金融、健康医疗等一系列出境综 合服务，整体围绕用户、资源、渠道三要素，实现客户共享、资源共享、渠道共享，发挥业务协同作用，</w:t>
      </w:r>
      <w:r>
        <w:rPr>
          <w:spacing w:val="-34"/>
        </w:rPr>
        <w:t> </w:t>
      </w:r>
      <w:r>
        <w:rPr>
          <w:spacing w:val="-34"/>
        </w:rPr>
      </w:r>
      <w:r>
        <w:rPr/>
        <w:t>加强国内客源地渠道和海外目的地资源两端控制，建设全新的</w:t>
      </w:r>
      <w:r>
        <w:rPr>
          <w:rFonts w:ascii="Times New Roman" w:hAnsi="Times New Roman" w:cs="Times New Roman" w:eastAsia="Times New Roman" w:hint="default"/>
        </w:rPr>
        <w:t>“</w:t>
      </w:r>
      <w:r>
        <w:rPr/>
        <w:t>出境云</w:t>
      </w:r>
      <w:r>
        <w:rPr>
          <w:rFonts w:ascii="Times New Roman" w:hAnsi="Times New Roman" w:cs="Times New Roman" w:eastAsia="Times New Roman" w:hint="default"/>
        </w:rPr>
        <w:t>”</w:t>
      </w:r>
      <w:r>
        <w:rPr/>
        <w:t>大数据管理分析系统，在国内领先 的出境旅游运营商基础上实现战略升级，力争成为国内最具竞争力的全方位出境综合服务商。</w:t>
      </w:r>
    </w:p>
    <w:p>
      <w:pPr>
        <w:pStyle w:val="BodyText"/>
        <w:spacing w:line="408" w:lineRule="auto" w:before="50"/>
        <w:ind w:right="211" w:firstLine="420"/>
        <w:jc w:val="both"/>
      </w:pPr>
      <w:r>
        <w:rPr>
          <w:spacing w:val="-1"/>
        </w:rPr>
        <w:t>在出境游领域，公司将继续抓住市场快速发展的黄金时机，以服务品质为前提，以产品为核心，继续</w:t>
      </w:r>
      <w:r>
        <w:rPr/>
        <w:t> </w:t>
      </w:r>
      <w:r>
        <w:rPr>
          <w:spacing w:val="-1"/>
        </w:rPr>
        <w:t>强化批发零售一体，线上线下结合的多渠道运营的发展战略，促进出境游批发、出境游零售、整合营销服</w:t>
      </w:r>
    </w:p>
    <w:p>
      <w:pPr>
        <w:spacing w:after="0" w:line="408" w:lineRule="auto"/>
        <w:jc w:val="both"/>
        <w:sectPr>
          <w:footerReference w:type="default" r:id="rId10"/>
          <w:pgSz w:w="11910" w:h="16840"/>
          <w:pgMar w:footer="982" w:header="877" w:top="1100" w:bottom="1180" w:left="980" w:right="920"/>
          <w:pgNumType w:start="30"/>
        </w:sectPr>
      </w:pPr>
    </w:p>
    <w:p>
      <w:pPr>
        <w:spacing w:line="240" w:lineRule="auto" w:before="8"/>
        <w:rPr>
          <w:rFonts w:ascii="宋体" w:hAnsi="宋体" w:cs="宋体" w:eastAsia="宋体" w:hint="default"/>
          <w:sz w:val="26"/>
          <w:szCs w:val="26"/>
        </w:rPr>
      </w:pPr>
    </w:p>
    <w:p>
      <w:pPr>
        <w:pStyle w:val="BodyText"/>
        <w:spacing w:line="240" w:lineRule="auto" w:before="35"/>
        <w:ind w:right="6771"/>
        <w:jc w:val="left"/>
      </w:pPr>
      <w:r>
        <w:rPr/>
        <w:t>务业务相互促进、协同发展。</w:t>
      </w:r>
    </w:p>
    <w:p>
      <w:pPr>
        <w:spacing w:line="240" w:lineRule="auto" w:before="5"/>
        <w:rPr>
          <w:rFonts w:ascii="宋体" w:hAnsi="宋体" w:cs="宋体" w:eastAsia="宋体" w:hint="default"/>
          <w:sz w:val="21"/>
          <w:szCs w:val="21"/>
        </w:rPr>
      </w:pPr>
    </w:p>
    <w:p>
      <w:pPr>
        <w:spacing w:line="4365" w:lineRule="exact"/>
        <w:ind w:left="257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314927" cy="277234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3314927" cy="2772346"/>
                    </a:xfrm>
                    <a:prstGeom prst="rect">
                      <a:avLst/>
                    </a:prstGeom>
                  </pic:spPr>
                </pic:pic>
              </a:graphicData>
            </a:graphic>
          </wp:inline>
        </w:drawing>
      </w:r>
      <w:r>
        <w:rPr>
          <w:rFonts w:ascii="宋体" w:hAnsi="宋体" w:cs="宋体" w:eastAsia="宋体" w:hint="default"/>
          <w:position w:val="-86"/>
          <w:sz w:val="20"/>
          <w:szCs w:val="20"/>
        </w:rPr>
      </w:r>
    </w:p>
    <w:p>
      <w:pPr>
        <w:pStyle w:val="Heading5"/>
        <w:spacing w:line="240" w:lineRule="auto" w:before="142"/>
        <w:ind w:left="471" w:right="108"/>
        <w:jc w:val="center"/>
      </w:pPr>
      <w:r>
        <w:rPr/>
        <w:t>众信旅游出境综合服务示意图</w:t>
      </w:r>
    </w:p>
    <w:p>
      <w:pPr>
        <w:spacing w:line="240" w:lineRule="auto" w:before="8"/>
        <w:rPr>
          <w:rFonts w:ascii="宋体" w:hAnsi="宋体" w:cs="宋体" w:eastAsia="宋体" w:hint="default"/>
          <w:sz w:val="29"/>
          <w:szCs w:val="29"/>
        </w:rPr>
      </w:pPr>
    </w:p>
    <w:p>
      <w:pPr>
        <w:pStyle w:val="Heading6"/>
        <w:spacing w:line="240" w:lineRule="auto" w:before="35"/>
        <w:ind w:left="574" w:right="102"/>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年经营计划和主要目标</w:t>
      </w:r>
      <w:r>
        <w:rPr>
          <w:b w:val="0"/>
          <w:bCs w:val="0"/>
        </w:rPr>
      </w:r>
    </w:p>
    <w:p>
      <w:pPr>
        <w:pStyle w:val="BodyText"/>
        <w:spacing w:line="386" w:lineRule="auto" w:before="177"/>
        <w:ind w:left="153" w:right="102" w:firstLine="420"/>
        <w:jc w:val="left"/>
      </w:pPr>
      <w:r>
        <w:rPr>
          <w:rFonts w:ascii="Times New Roman" w:hAnsi="Times New Roman" w:cs="Times New Roman" w:eastAsia="Times New Roman" w:hint="default"/>
          <w:spacing w:val="-3"/>
        </w:rPr>
        <w:t>2018</w:t>
      </w:r>
      <w:r>
        <w:rPr>
          <w:spacing w:val="-3"/>
        </w:rPr>
        <w:t>年，公司将继续实施以服务品质为前提，以产品为核心的产品服务理念，打造众信系列品牌（</w:t>
      </w:r>
      <w:r>
        <w:rPr>
          <w:rFonts w:ascii="Times New Roman" w:hAnsi="Times New Roman" w:cs="Times New Roman" w:eastAsia="Times New Roman" w:hint="default"/>
          <w:spacing w:val="-3"/>
        </w:rPr>
        <w:t>“</w:t>
      </w:r>
      <w:r>
        <w:rPr>
          <w:spacing w:val="-3"/>
        </w:rPr>
        <w:t>众</w:t>
      </w:r>
      <w:r>
        <w:rPr/>
        <w:t> 信旅游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全景旅游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优耐德旅游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众信博睿</w:t>
      </w:r>
      <w:r>
        <w:rPr>
          <w:rFonts w:ascii="Times New Roman" w:hAnsi="Times New Roman" w:cs="Times New Roman" w:eastAsia="Times New Roman" w:hint="default"/>
        </w:rPr>
        <w:t>”</w:t>
      </w:r>
      <w:r>
        <w:rPr/>
        <w:t>等）的信誉度和美誉度，依托核心竞争力，创新思维，</w:t>
      </w:r>
      <w:r>
        <w:rPr>
          <w:spacing w:val="-58"/>
        </w:rPr>
        <w:t> </w:t>
      </w:r>
      <w:r>
        <w:rPr>
          <w:spacing w:val="-3"/>
        </w:rPr>
        <w:t>在保持出境游业务快速增长的基础上，进一步完善出境综合服务平台，为未来持续稳健发展奠定坚实基础。</w:t>
      </w:r>
    </w:p>
    <w:p>
      <w:pPr>
        <w:spacing w:line="386" w:lineRule="auto" w:before="65"/>
        <w:ind w:left="594" w:right="197" w:hanging="1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）出境游批发业务，双品牌运营，通过区域化、产品本地化，进一步扩大批发业务市场份额</w:t>
      </w:r>
      <w:r>
        <w:rPr>
          <w:rFonts w:ascii="宋体" w:hAnsi="宋体" w:cs="宋体" w:eastAsia="宋体" w:hint="default"/>
          <w:b/>
          <w:bCs/>
          <w:w w:val="99"/>
          <w:sz w:val="21"/>
          <w:szCs w:val="21"/>
        </w:rPr>
        <w:t> </w:t>
      </w:r>
      <w:r>
        <w:rPr>
          <w:rFonts w:ascii="宋体" w:hAnsi="宋体" w:cs="宋体" w:eastAsia="宋体" w:hint="default"/>
          <w:sz w:val="21"/>
          <w:szCs w:val="21"/>
        </w:rPr>
        <w:t>正式推出</w:t>
      </w:r>
      <w:r>
        <w:rPr>
          <w:rFonts w:ascii="Times New Roman" w:hAnsi="Times New Roman" w:cs="Times New Roman" w:eastAsia="Times New Roman" w:hint="default"/>
          <w:sz w:val="21"/>
          <w:szCs w:val="21"/>
        </w:rPr>
        <w:t>“</w:t>
      </w:r>
      <w:r>
        <w:rPr>
          <w:rFonts w:ascii="宋体" w:hAnsi="宋体" w:cs="宋体" w:eastAsia="宋体" w:hint="default"/>
          <w:sz w:val="21"/>
          <w:szCs w:val="21"/>
        </w:rPr>
        <w:t>优耐德旅游</w:t>
      </w:r>
      <w:r>
        <w:rPr>
          <w:rFonts w:ascii="Times New Roman" w:hAnsi="Times New Roman" w:cs="Times New Roman" w:eastAsia="Times New Roman" w:hint="default"/>
          <w:sz w:val="21"/>
          <w:szCs w:val="21"/>
        </w:rPr>
        <w:t>”</w:t>
      </w:r>
      <w:r>
        <w:rPr>
          <w:rFonts w:ascii="宋体" w:hAnsi="宋体" w:cs="宋体" w:eastAsia="宋体" w:hint="default"/>
          <w:sz w:val="21"/>
          <w:szCs w:val="21"/>
        </w:rPr>
        <w:t>作为众信下属批发业务新品牌，独立公司运营，与竹园国旅</w:t>
      </w:r>
      <w:r>
        <w:rPr>
          <w:rFonts w:ascii="Times New Roman" w:hAnsi="Times New Roman" w:cs="Times New Roman" w:eastAsia="Times New Roman" w:hint="default"/>
          <w:sz w:val="21"/>
          <w:szCs w:val="21"/>
        </w:rPr>
        <w:t>“</w:t>
      </w:r>
      <w:r>
        <w:rPr>
          <w:rFonts w:ascii="宋体" w:hAnsi="宋体" w:cs="宋体" w:eastAsia="宋体" w:hint="default"/>
          <w:sz w:val="21"/>
          <w:szCs w:val="21"/>
        </w:rPr>
        <w:t>全景旅游</w:t>
      </w:r>
      <w:r>
        <w:rPr>
          <w:rFonts w:ascii="Times New Roman" w:hAnsi="Times New Roman" w:cs="Times New Roman" w:eastAsia="Times New Roman" w:hint="default"/>
          <w:sz w:val="21"/>
          <w:szCs w:val="21"/>
        </w:rPr>
        <w:t>”</w:t>
      </w:r>
      <w:r>
        <w:rPr>
          <w:rFonts w:ascii="宋体" w:hAnsi="宋体" w:cs="宋体" w:eastAsia="宋体" w:hint="default"/>
          <w:sz w:val="21"/>
          <w:szCs w:val="21"/>
        </w:rPr>
        <w:t>品牌在</w:t>
      </w:r>
    </w:p>
    <w:p>
      <w:pPr>
        <w:pStyle w:val="BodyText"/>
        <w:spacing w:line="408" w:lineRule="auto" w:before="35"/>
        <w:ind w:left="153" w:right="210"/>
        <w:jc w:val="both"/>
      </w:pPr>
      <w:r>
        <w:rPr>
          <w:spacing w:val="-1"/>
        </w:rPr>
        <w:t>出境游批发领域进行双品牌运营。实施目的地均衡策略，在长短线市场均努力扩大公司各区域口岸市场的</w:t>
      </w:r>
      <w:r>
        <w:rPr>
          <w:spacing w:val="-81"/>
        </w:rPr>
        <w:t> </w:t>
      </w:r>
      <w:r>
        <w:rPr>
          <w:spacing w:val="-81"/>
        </w:rPr>
      </w:r>
      <w:r>
        <w:rPr>
          <w:spacing w:val="-1"/>
        </w:rPr>
        <w:t>份额；发挥规模优势和业务协同效应，提高资源获取能力，降低资源采购成本；以省为单位进行产品本地</w:t>
      </w:r>
      <w:r>
        <w:rPr>
          <w:spacing w:val="-82"/>
        </w:rPr>
        <w:t> </w:t>
      </w:r>
      <w:r>
        <w:rPr>
          <w:spacing w:val="-82"/>
        </w:rPr>
      </w:r>
      <w:r>
        <w:rPr/>
        <w:t>化落地和产品升级，细分各区域消费偏好，进一步丰富直飞产品和国内国际联运航班产品。</w:t>
      </w:r>
    </w:p>
    <w:p>
      <w:pPr>
        <w:spacing w:line="386" w:lineRule="auto" w:before="46"/>
        <w:ind w:left="576"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）出境游零售业务，逐步实施募投项目，加快零售业务发展</w:t>
      </w:r>
      <w:r>
        <w:rPr>
          <w:rFonts w:ascii="宋体" w:hAnsi="宋体" w:cs="宋体" w:eastAsia="宋体" w:hint="default"/>
          <w:b/>
          <w:bCs/>
          <w:w w:val="99"/>
          <w:sz w:val="21"/>
          <w:szCs w:val="21"/>
        </w:rPr>
        <w:t> </w:t>
      </w:r>
      <w:r>
        <w:rPr>
          <w:rFonts w:ascii="宋体" w:hAnsi="宋体" w:cs="宋体" w:eastAsia="宋体" w:hint="default"/>
          <w:spacing w:val="-1"/>
          <w:sz w:val="21"/>
          <w:szCs w:val="21"/>
        </w:rPr>
        <w:t>逐步实施募投项目，根据募投计划建设零售网点。在新区域拓展中，探讨多种合作方式，拓展零售渠</w:t>
      </w:r>
    </w:p>
    <w:p>
      <w:pPr>
        <w:pStyle w:val="BodyText"/>
        <w:spacing w:line="408" w:lineRule="auto" w:before="65"/>
        <w:ind w:left="153" w:right="211"/>
        <w:jc w:val="both"/>
      </w:pPr>
      <w:r>
        <w:rPr>
          <w:spacing w:val="-1"/>
        </w:rPr>
        <w:t>道建设。对批发零售渠道产品进行区分，强化零售产品的差异化研发和服务。加强与公司其他业务的协调</w:t>
      </w:r>
      <w:r>
        <w:rPr>
          <w:spacing w:val="-83"/>
        </w:rPr>
        <w:t> </w:t>
      </w:r>
      <w:r>
        <w:rPr>
          <w:spacing w:val="-83"/>
        </w:rPr>
      </w:r>
      <w:r>
        <w:rPr>
          <w:spacing w:val="-1"/>
        </w:rPr>
        <w:t>布局、共促共进。积极在零售重点城市引入货币兑换、代理退税、移民置业、众信游学、高端旅游等产品</w:t>
      </w:r>
      <w:r>
        <w:rPr>
          <w:spacing w:val="-83"/>
        </w:rPr>
        <w:t> </w:t>
      </w:r>
      <w:r>
        <w:rPr>
          <w:spacing w:val="-83"/>
        </w:rPr>
      </w:r>
      <w:r>
        <w:rPr>
          <w:spacing w:val="-1"/>
        </w:rPr>
        <w:t>服务，丰富门店功能，建立线上线下结合的服务体系。建立较为完善的培训体系，加快各区域零售队伍培</w:t>
      </w:r>
      <w:r>
        <w:rPr>
          <w:spacing w:val="-82"/>
        </w:rPr>
        <w:t> </w:t>
      </w:r>
      <w:r>
        <w:rPr>
          <w:spacing w:val="-82"/>
        </w:rPr>
      </w:r>
      <w:r>
        <w:rPr/>
        <w:t>养。</w:t>
      </w:r>
    </w:p>
    <w:p>
      <w:pPr>
        <w:spacing w:line="386" w:lineRule="auto" w:before="46"/>
        <w:ind w:left="576"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）加强产品建设、领队管理，进一步提高服务品质</w:t>
      </w:r>
      <w:r>
        <w:rPr>
          <w:rFonts w:ascii="宋体" w:hAnsi="宋体" w:cs="宋体" w:eastAsia="宋体" w:hint="default"/>
          <w:b/>
          <w:bCs/>
          <w:spacing w:val="1"/>
          <w:w w:val="99"/>
          <w:sz w:val="21"/>
          <w:szCs w:val="21"/>
        </w:rPr>
        <w:t> </w:t>
      </w:r>
      <w:r>
        <w:rPr>
          <w:rFonts w:ascii="宋体" w:hAnsi="宋体" w:cs="宋体" w:eastAsia="宋体" w:hint="default"/>
          <w:sz w:val="21"/>
          <w:szCs w:val="21"/>
        </w:rPr>
        <w:t>继续实施以服务品质为前提，以产品为核心的产品服务准则，进行产品本地化落地、提高产品品质，</w:t>
      </w:r>
    </w:p>
    <w:p>
      <w:pPr>
        <w:spacing w:after="0" w:line="38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102"/>
        <w:jc w:val="left"/>
      </w:pPr>
      <w:r>
        <w:rPr>
          <w:spacing w:val="-1"/>
        </w:rPr>
        <w:t>完善采购管理和操作手册，不断细化服务标准及评价机制，促进产品服务质量更加标准、稳定。强化领队</w:t>
      </w:r>
      <w:r>
        <w:rPr>
          <w:spacing w:val="-82"/>
        </w:rPr>
        <w:t> </w:t>
      </w:r>
      <w:r>
        <w:rPr>
          <w:spacing w:val="-82"/>
        </w:rPr>
      </w:r>
      <w:r>
        <w:rPr/>
        <w:t>培训，开办领队培训班，进行培训分级（通识</w:t>
      </w:r>
      <w:r>
        <w:rPr>
          <w:rFonts w:ascii="Times New Roman" w:hAnsi="Times New Roman" w:cs="Times New Roman" w:eastAsia="Times New Roman" w:hint="default"/>
        </w:rPr>
        <w:t>/</w:t>
      </w:r>
      <w:r>
        <w:rPr/>
        <w:t>专业技能</w:t>
      </w:r>
      <w:r>
        <w:rPr>
          <w:rFonts w:ascii="Times New Roman" w:hAnsi="Times New Roman" w:cs="Times New Roman" w:eastAsia="Times New Roman" w:hint="default"/>
        </w:rPr>
        <w:t>/</w:t>
      </w:r>
      <w:r>
        <w:rPr/>
        <w:t>服务技巧），储备领队人才。</w:t>
      </w:r>
    </w:p>
    <w:p>
      <w:pPr>
        <w:spacing w:line="386" w:lineRule="auto" w:before="14"/>
        <w:ind w:left="633" w:right="199" w:hanging="5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）向上游资源端拓展，加强资源掌控能力，落地目的地服务，扩大目的地优势</w:t>
      </w:r>
      <w:r>
        <w:rPr>
          <w:rFonts w:ascii="宋体" w:hAnsi="宋体" w:cs="宋体" w:eastAsia="宋体" w:hint="default"/>
          <w:b/>
          <w:bCs/>
          <w:w w:val="99"/>
          <w:sz w:val="21"/>
          <w:szCs w:val="21"/>
        </w:rPr>
        <w:t> </w:t>
      </w:r>
      <w:r>
        <w:rPr>
          <w:rFonts w:ascii="宋体" w:hAnsi="宋体" w:cs="宋体" w:eastAsia="宋体" w:hint="default"/>
          <w:spacing w:val="-2"/>
          <w:sz w:val="21"/>
          <w:szCs w:val="21"/>
        </w:rPr>
        <w:t>向上游资源端拓展，通过直接投资和战略合作等方式，布局世界主要旅游目的地资源，直接掌控重要</w:t>
      </w:r>
    </w:p>
    <w:p>
      <w:pPr>
        <w:pStyle w:val="BodyText"/>
        <w:spacing w:line="408" w:lineRule="auto" w:before="65"/>
        <w:ind w:right="102"/>
        <w:jc w:val="left"/>
      </w:pPr>
      <w:r>
        <w:rPr/>
        <w:t>的目的地资源。加强与航空公司的合作，结合公司的产品设计，通过包机、定期航班深度合作参与航线设 计乃至创新性开设航线。尽可能多地进入海外目的地服务市场，参与上游资源运营，加强资源掌控能力，</w:t>
      </w:r>
      <w:r>
        <w:rPr>
          <w:spacing w:val="-34"/>
        </w:rPr>
        <w:t> </w:t>
      </w:r>
      <w:r>
        <w:rPr>
          <w:spacing w:val="-34"/>
        </w:rPr>
      </w:r>
      <w:r>
        <w:rPr/>
        <w:t>提升出境游业务及其他出境服务业务竞争力。</w:t>
      </w:r>
    </w:p>
    <w:p>
      <w:pPr>
        <w:pStyle w:val="Heading6"/>
        <w:spacing w:line="386" w:lineRule="auto" w:before="46"/>
        <w:ind w:right="206" w:firstLine="422"/>
        <w:jc w:val="both"/>
        <w:rPr>
          <w:b w:val="0"/>
          <w:bCs w:val="0"/>
        </w:rPr>
      </w:pPr>
      <w:r>
        <w:rPr/>
        <w:t>（</w:t>
      </w:r>
      <w:r>
        <w:rPr>
          <w:rFonts w:ascii="Times New Roman" w:hAnsi="Times New Roman" w:cs="Times New Roman" w:eastAsia="Times New Roman" w:hint="default"/>
        </w:rPr>
        <w:t>5</w:t>
      </w:r>
      <w:r>
        <w:rPr/>
        <w:t>）继续推进公司信息化与电子商务建设，实施</w:t>
      </w:r>
      <w:r>
        <w:rPr>
          <w:rFonts w:ascii="Times New Roman" w:hAnsi="Times New Roman" w:cs="Times New Roman" w:eastAsia="Times New Roman" w:hint="default"/>
        </w:rPr>
        <w:t>“</w:t>
      </w:r>
      <w:r>
        <w:rPr/>
        <w:t>出境云</w:t>
      </w:r>
      <w:r>
        <w:rPr>
          <w:rFonts w:ascii="Times New Roman" w:hAnsi="Times New Roman" w:cs="Times New Roman" w:eastAsia="Times New Roman" w:hint="default"/>
        </w:rPr>
        <w:t>”</w:t>
      </w:r>
      <w:r>
        <w:rPr/>
        <w:t>大数据管理分析平台建设，构建前台与后</w:t>
      </w:r>
      <w:r>
        <w:rPr>
          <w:spacing w:val="2"/>
          <w:w w:val="99"/>
        </w:rPr>
        <w:t> </w:t>
      </w:r>
      <w:r>
        <w:rPr/>
        <w:t>台、线上线下相结合的管理与服务、销售体系</w:t>
      </w:r>
      <w:r>
        <w:rPr>
          <w:b w:val="0"/>
          <w:bCs w:val="0"/>
        </w:rPr>
      </w:r>
    </w:p>
    <w:p>
      <w:pPr>
        <w:pStyle w:val="BodyText"/>
        <w:spacing w:line="400" w:lineRule="auto" w:before="65"/>
        <w:ind w:right="211" w:firstLine="423"/>
        <w:jc w:val="both"/>
      </w:pPr>
      <w:r>
        <w:rPr>
          <w:spacing w:val="-1"/>
        </w:rPr>
        <w:t>兼顾现行信息系统与电子商务系统建设的现实需要，推进公司的信息化建设与电子商务网络建设，推</w:t>
      </w:r>
      <w:r>
        <w:rPr/>
        <w:t> 进</w:t>
      </w:r>
      <w:r>
        <w:rPr>
          <w:rFonts w:ascii="Times New Roman" w:hAnsi="Times New Roman" w:cs="Times New Roman" w:eastAsia="Times New Roman" w:hint="default"/>
        </w:rPr>
        <w:t>“</w:t>
      </w:r>
      <w:r>
        <w:rPr/>
        <w:t>出境云</w:t>
      </w:r>
      <w:r>
        <w:rPr>
          <w:rFonts w:ascii="Times New Roman" w:hAnsi="Times New Roman" w:cs="Times New Roman" w:eastAsia="Times New Roman" w:hint="default"/>
        </w:rPr>
        <w:t>”</w:t>
      </w:r>
      <w:r>
        <w:rPr/>
        <w:t>大数据管理分析平台建设，打通线上线下流程，持续优化数据，提升资源利用效率，整体围绕 </w:t>
      </w:r>
      <w:r>
        <w:rPr>
          <w:spacing w:val="-1"/>
        </w:rPr>
        <w:t>用户、资源、渠道三要素，实现客户共享、资源共享、渠道共享，构建前台与后台、线上线下相结合的管</w:t>
      </w:r>
      <w:r>
        <w:rPr>
          <w:spacing w:val="-85"/>
        </w:rPr>
        <w:t> </w:t>
      </w:r>
      <w:r>
        <w:rPr>
          <w:spacing w:val="-85"/>
        </w:rPr>
      </w:r>
      <w:r>
        <w:rPr/>
        <w:t>理与服务、销售体系，发挥各类业务协同作用，为各类出境服务提供全方位的系统支持。</w:t>
      </w:r>
    </w:p>
    <w:p>
      <w:pPr>
        <w:spacing w:line="386" w:lineRule="auto" w:before="52"/>
        <w:ind w:left="574" w:right="1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）促进高端旅游、游学、健康医疗、移民置业、旅游金融等出境服务的发展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高端旅游继续保持产品的独创性，维护老客户，加大北京以外地区渠道开拓力度；在游学产品上结合</w:t>
      </w:r>
    </w:p>
    <w:p>
      <w:pPr>
        <w:pStyle w:val="BodyText"/>
        <w:spacing w:line="400" w:lineRule="auto" w:before="65"/>
        <w:ind w:right="205"/>
        <w:jc w:val="both"/>
      </w:pPr>
      <w:r>
        <w:rPr>
          <w:spacing w:val="-1"/>
        </w:rPr>
        <w:t>校内课程推出多主题的国内社会实践课程，如红色研学线路、植物多样性研学线路、科学考察等；开发健</w:t>
      </w:r>
      <w:r>
        <w:rPr>
          <w:spacing w:val="-82"/>
        </w:rPr>
        <w:t> </w:t>
      </w:r>
      <w:r>
        <w:rPr>
          <w:spacing w:val="-82"/>
        </w:rPr>
      </w:r>
      <w:r>
        <w:rPr>
          <w:spacing w:val="-1"/>
        </w:rPr>
        <w:t>康医疗产品，包括海外体检、海外医疗、辅助生育、医疗美容等，扩大细分市场份额；移民置业项目继续</w:t>
      </w:r>
      <w:r>
        <w:rPr>
          <w:spacing w:val="-83"/>
        </w:rPr>
        <w:t> </w:t>
      </w:r>
      <w:r>
        <w:rPr>
          <w:spacing w:val="-83"/>
        </w:rPr>
      </w:r>
      <w:r>
        <w:rPr/>
        <w:t>推出精品项目，并在热点地区扩大落地海外置业服务规模。悠联货币配合零售门店的拓展，加大</w:t>
      </w:r>
      <w:r>
        <w:rPr>
          <w:rFonts w:ascii="Times New Roman" w:hAnsi="Times New Roman" w:cs="Times New Roman" w:eastAsia="Times New Roman" w:hint="default"/>
        </w:rPr>
        <w:t>“</w:t>
      </w:r>
      <w:r>
        <w:rPr/>
        <w:t>线上下</w:t>
      </w:r>
      <w:r>
        <w:rPr>
          <w:spacing w:val="-23"/>
        </w:rPr>
        <w:t> </w:t>
      </w:r>
      <w:r>
        <w:rPr/>
        <w:t>单、线下提取</w:t>
      </w:r>
      <w:r>
        <w:rPr>
          <w:rFonts w:ascii="Times New Roman" w:hAnsi="Times New Roman" w:cs="Times New Roman" w:eastAsia="Times New Roman" w:hint="default"/>
        </w:rPr>
        <w:t>”O2O</w:t>
      </w:r>
      <w:r>
        <w:rPr/>
        <w:t>业务拓展力度，在其他主要出境口岸设立货币兑换网点。</w:t>
      </w:r>
    </w:p>
    <w:p>
      <w:pPr>
        <w:spacing w:line="240" w:lineRule="auto" w:before="12"/>
        <w:rPr>
          <w:rFonts w:ascii="宋体" w:hAnsi="宋体" w:cs="宋体" w:eastAsia="宋体" w:hint="default"/>
          <w:sz w:val="16"/>
          <w:szCs w:val="16"/>
        </w:rPr>
      </w:pPr>
    </w:p>
    <w:p>
      <w:pPr>
        <w:pStyle w:val="Heading2"/>
        <w:spacing w:line="240" w:lineRule="auto"/>
        <w:ind w:right="102"/>
        <w:jc w:val="left"/>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2"/>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6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843"/>
        <w:gridCol w:w="4846"/>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7"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见巨潮资讯</w:t>
            </w:r>
            <w:r>
              <w:rPr>
                <w:rFonts w:ascii="宋体" w:hAnsi="宋体" w:cs="宋体" w:eastAsia="宋体" w:hint="default"/>
                <w:spacing w:val="-14"/>
                <w:sz w:val="18"/>
                <w:szCs w:val="18"/>
              </w:rPr>
              <w:t>网</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104"/>
                <w:sz w:val="18"/>
                <w:szCs w:val="18"/>
              </w:rPr>
              <w:t>）</w:t>
            </w:r>
            <w:r>
              <w:rPr>
                <w:rFonts w:ascii="宋体" w:hAnsi="宋体" w:cs="宋体" w:eastAsia="宋体" w:hint="default"/>
                <w:sz w:val="18"/>
                <w:szCs w:val="18"/>
              </w:rPr>
              <w:t>《众信旅游</w:t>
            </w:r>
            <w:r>
              <w:rPr>
                <w:rFonts w:ascii="宋体" w:hAnsi="宋体" w:cs="宋体" w:eastAsia="宋体" w:hint="default"/>
                <w:spacing w:val="-14"/>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425"/>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154" w:right="82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无</w:t>
      </w:r>
    </w:p>
    <w:tbl>
      <w:tblPr>
        <w:tblW w:w="0" w:type="auto"/>
        <w:jc w:val="left"/>
        <w:tblInd w:w="121" w:type="dxa"/>
        <w:tblLayout w:type="fixed"/>
        <w:tblCellMar>
          <w:top w:w="0" w:type="dxa"/>
          <w:left w:w="0" w:type="dxa"/>
          <w:bottom w:w="0" w:type="dxa"/>
          <w:right w:w="0" w:type="dxa"/>
        </w:tblCellMar>
        <w:tblLook w:val="01E0"/>
      </w:tblPr>
      <w:tblGrid>
        <w:gridCol w:w="5274"/>
        <w:gridCol w:w="4420"/>
      </w:tblGrid>
      <w:tr>
        <w:trPr>
          <w:trHeight w:val="402" w:hRule="exact"/>
        </w:trPr>
        <w:tc>
          <w:tcPr>
            <w:tcW w:w="96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5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1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3"/>
              <w:ind w:left="22" w:right="23"/>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 了充分保护：</w:t>
            </w:r>
          </w:p>
        </w:tc>
        <w:tc>
          <w:tcPr>
            <w:tcW w:w="44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10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1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69"/>
        <w:ind w:left="154" w:right="0" w:firstLine="0"/>
        <w:jc w:val="left"/>
        <w:rPr>
          <w:rFonts w:ascii="宋体" w:hAnsi="宋体" w:cs="宋体" w:eastAsia="宋体" w:hint="default"/>
          <w:sz w:val="20"/>
          <w:szCs w:val="20"/>
        </w:rPr>
      </w:pPr>
      <w:r>
        <w:rPr>
          <w:rFonts w:ascii="宋体" w:hAnsi="宋体" w:cs="宋体" w:eastAsia="宋体" w:hint="default"/>
          <w:b/>
          <w:bCs/>
          <w:w w:val="105"/>
          <w:sz w:val="20"/>
          <w:szCs w:val="20"/>
        </w:rPr>
        <w:t>公司近</w:t>
      </w:r>
      <w:r>
        <w:rPr>
          <w:rFonts w:ascii="Times New Roman" w:hAnsi="Times New Roman" w:cs="Times New Roman" w:eastAsia="Times New Roman" w:hint="default"/>
          <w:b/>
          <w:bCs/>
          <w:w w:val="105"/>
          <w:sz w:val="21"/>
          <w:szCs w:val="21"/>
        </w:rPr>
        <w:t>3</w:t>
      </w:r>
      <w:r>
        <w:rPr>
          <w:rFonts w:ascii="宋体" w:hAnsi="宋体" w:cs="宋体" w:eastAsia="宋体" w:hint="default"/>
          <w:b/>
          <w:bCs/>
          <w:w w:val="105"/>
          <w:sz w:val="20"/>
          <w:szCs w:val="20"/>
        </w:rPr>
        <w:t>年（包括本报告期）的普通股股利分配方案（预案）、资本公积金转增股本方案（预案）情况</w:t>
      </w:r>
      <w:r>
        <w:rPr>
          <w:rFonts w:ascii="宋体" w:hAnsi="宋体" w:cs="宋体" w:eastAsia="宋体" w:hint="default"/>
          <w:sz w:val="20"/>
          <w:szCs w:val="20"/>
        </w:rPr>
      </w:r>
    </w:p>
    <w:p>
      <w:pPr>
        <w:pStyle w:val="BodyText"/>
        <w:spacing w:line="240" w:lineRule="auto" w:before="175"/>
        <w:ind w:left="574" w:right="0"/>
        <w:jc w:val="left"/>
      </w:pPr>
      <w:r>
        <w:rPr>
          <w:rFonts w:ascii="Times New Roman" w:hAnsi="Times New Roman" w:cs="Times New Roman" w:eastAsia="Times New Roman" w:hint="default"/>
        </w:rPr>
        <w:t>2015</w:t>
      </w:r>
      <w:r>
        <w:rPr/>
        <w:t>年半年度权益分派方案为：以公司现有总股本</w:t>
      </w:r>
      <w:r>
        <w:rPr>
          <w:rFonts w:ascii="Times New Roman" w:hAnsi="Times New Roman" w:cs="Times New Roman" w:eastAsia="Times New Roman" w:hint="default"/>
        </w:rPr>
        <w:t>208,767,495</w:t>
      </w:r>
      <w:r>
        <w:rPr/>
        <w:t>股为基数，以资本公积金向全体股东每</w:t>
      </w:r>
    </w:p>
    <w:p>
      <w:pPr>
        <w:pStyle w:val="BodyText"/>
        <w:spacing w:line="240" w:lineRule="auto" w:before="177"/>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86" w:lineRule="auto" w:before="177"/>
        <w:ind w:right="235" w:firstLine="419"/>
        <w:jc w:val="both"/>
      </w:pPr>
      <w:r>
        <w:rPr>
          <w:rFonts w:ascii="Times New Roman" w:hAnsi="Times New Roman" w:cs="Times New Roman" w:eastAsia="Times New Roman" w:hint="default"/>
          <w:spacing w:val="-1"/>
        </w:rPr>
        <w:t>2015</w:t>
      </w:r>
      <w:r>
        <w:rPr>
          <w:spacing w:val="-1"/>
        </w:rPr>
        <w:t>年度权益分派方案为：以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日公司总股本</w:t>
      </w:r>
      <w:r>
        <w:rPr>
          <w:rFonts w:ascii="Times New Roman" w:hAnsi="Times New Roman" w:cs="Times New Roman" w:eastAsia="Times New Roman" w:hint="default"/>
          <w:spacing w:val="-1"/>
        </w:rPr>
        <w:t>417,484,590</w:t>
      </w:r>
      <w:r>
        <w:rPr>
          <w:spacing w:val="-1"/>
        </w:rPr>
        <w:t>股为基数，向全体股东每</w:t>
      </w:r>
      <w:r>
        <w:rPr>
          <w:rFonts w:ascii="Times New Roman" w:hAnsi="Times New Roman" w:cs="Times New Roman" w:eastAsia="Times New Roman" w:hint="default"/>
          <w:spacing w:val="-1"/>
        </w:rPr>
        <w:t>10</w:t>
      </w:r>
      <w:r>
        <w:rPr>
          <w:spacing w:val="-1"/>
        </w:rPr>
        <w:t>股派</w:t>
      </w:r>
      <w:r>
        <w:rPr/>
        <w:t> 发现金股利人民币</w:t>
      </w:r>
      <w:r>
        <w:rPr>
          <w:rFonts w:ascii="Times New Roman" w:hAnsi="Times New Roman" w:cs="Times New Roman" w:eastAsia="Times New Roman" w:hint="default"/>
        </w:rPr>
        <w:t>0.5</w:t>
      </w:r>
      <w:r>
        <w:rPr/>
        <w:t>元（含税），共计分配现金股利</w:t>
      </w:r>
      <w:r>
        <w:rPr>
          <w:rFonts w:ascii="Times New Roman" w:hAnsi="Times New Roman" w:cs="Times New Roman" w:eastAsia="Times New Roman" w:hint="default"/>
        </w:rPr>
        <w:t>20,874,229.50</w:t>
      </w:r>
      <w:r>
        <w:rPr>
          <w:rFonts w:ascii="Times New Roman" w:hAnsi="Times New Roman" w:cs="Times New Roman" w:eastAsia="Times New Roman" w:hint="default"/>
          <w:spacing w:val="25"/>
        </w:rPr>
        <w:t> </w:t>
      </w:r>
      <w:r>
        <w:rPr/>
        <w:t>元，以资本公积向全体股东每</w:t>
      </w:r>
      <w:r>
        <w:rPr>
          <w:rFonts w:ascii="Times New Roman" w:hAnsi="Times New Roman" w:cs="Times New Roman" w:eastAsia="Times New Roman" w:hint="default"/>
        </w:rPr>
        <w:t>10</w:t>
      </w:r>
      <w:r>
        <w:rPr/>
        <w:t>股转 增</w:t>
      </w:r>
      <w:r>
        <w:rPr>
          <w:rFonts w:ascii="Times New Roman" w:hAnsi="Times New Roman" w:cs="Times New Roman" w:eastAsia="Times New Roman" w:hint="default"/>
        </w:rPr>
        <w:t>10</w:t>
      </w:r>
      <w:r>
        <w:rPr/>
        <w:t>股。</w:t>
      </w:r>
    </w:p>
    <w:p>
      <w:pPr>
        <w:pStyle w:val="BodyText"/>
        <w:spacing w:line="386" w:lineRule="auto" w:before="35"/>
        <w:ind w:right="149" w:firstLine="420"/>
        <w:jc w:val="both"/>
      </w:pPr>
      <w:r>
        <w:rPr>
          <w:rFonts w:ascii="Times New Roman" w:hAnsi="Times New Roman" w:cs="Times New Roman" w:eastAsia="Times New Roman" w:hint="default"/>
          <w:spacing w:val="-1"/>
        </w:rPr>
        <w:t>2016</w:t>
      </w:r>
      <w:r>
        <w:rPr>
          <w:spacing w:val="-1"/>
        </w:rPr>
        <w:t>年度权益分配方案为：以公司总股本</w:t>
      </w:r>
      <w:r>
        <w:rPr>
          <w:rFonts w:ascii="Times New Roman" w:hAnsi="Times New Roman" w:cs="Times New Roman" w:eastAsia="Times New Roman" w:hint="default"/>
          <w:spacing w:val="-1"/>
        </w:rPr>
        <w:t>843,529,420</w:t>
      </w:r>
      <w:r>
        <w:rPr>
          <w:spacing w:val="-1"/>
        </w:rPr>
        <w:t>股为基数，向全体股东每</w:t>
      </w:r>
      <w:r>
        <w:rPr>
          <w:rFonts w:ascii="Times New Roman" w:hAnsi="Times New Roman" w:cs="Times New Roman" w:eastAsia="Times New Roman" w:hint="default"/>
          <w:spacing w:val="-1"/>
        </w:rPr>
        <w:t>10</w:t>
      </w:r>
      <w:r>
        <w:rPr>
          <w:spacing w:val="-1"/>
        </w:rPr>
        <w:t>股派发现金股利人民</w:t>
      </w:r>
      <w:r>
        <w:rPr/>
        <w:t> 币</w:t>
      </w:r>
      <w:r>
        <w:rPr>
          <w:rFonts w:ascii="Times New Roman" w:hAnsi="Times New Roman" w:cs="Times New Roman" w:eastAsia="Times New Roman" w:hint="default"/>
        </w:rPr>
        <w:t>0.25</w:t>
      </w:r>
      <w:r>
        <w:rPr/>
        <w:t>元（含税），共分配利润</w:t>
      </w:r>
      <w:r>
        <w:rPr>
          <w:rFonts w:ascii="Times New Roman" w:hAnsi="Times New Roman" w:cs="Times New Roman" w:eastAsia="Times New Roman" w:hint="default"/>
        </w:rPr>
        <w:t>21,088,235.50</w:t>
      </w:r>
      <w:r>
        <w:rPr/>
        <w:t>元。</w:t>
      </w:r>
    </w:p>
    <w:p>
      <w:pPr>
        <w:pStyle w:val="BodyText"/>
        <w:spacing w:line="386" w:lineRule="auto" w:before="35"/>
        <w:ind w:right="149" w:firstLine="419"/>
        <w:jc w:val="both"/>
      </w:pPr>
      <w:r>
        <w:rPr>
          <w:rFonts w:ascii="Times New Roman" w:hAnsi="Times New Roman" w:cs="Times New Roman" w:eastAsia="Times New Roman" w:hint="default"/>
          <w:spacing w:val="-1"/>
        </w:rPr>
        <w:t>2017</w:t>
      </w:r>
      <w:r>
        <w:rPr>
          <w:spacing w:val="-1"/>
        </w:rPr>
        <w:t>年度权益分配方案为：以公司回购注销后的股本总额</w:t>
      </w:r>
      <w:r>
        <w:rPr>
          <w:rFonts w:ascii="Times New Roman" w:hAnsi="Times New Roman" w:cs="Times New Roman" w:eastAsia="Times New Roman" w:hint="default"/>
          <w:spacing w:val="-1"/>
        </w:rPr>
        <w:t>849,642,820</w:t>
      </w:r>
      <w:r>
        <w:rPr>
          <w:spacing w:val="-1"/>
        </w:rPr>
        <w:t>股为基数，拟向全体股东每</w:t>
      </w:r>
      <w:r>
        <w:rPr>
          <w:rFonts w:ascii="Times New Roman" w:hAnsi="Times New Roman" w:cs="Times New Roman" w:eastAsia="Times New Roman" w:hint="default"/>
          <w:spacing w:val="-1"/>
        </w:rPr>
        <w:t>10</w:t>
      </w:r>
      <w:r>
        <w:rPr>
          <w:spacing w:val="-1"/>
        </w:rPr>
        <w:t>股</w:t>
      </w:r>
      <w:r>
        <w:rPr/>
        <w:t> 派发现金股利人民币</w:t>
      </w:r>
      <w:r>
        <w:rPr>
          <w:rFonts w:ascii="Times New Roman" w:hAnsi="Times New Roman" w:cs="Times New Roman" w:eastAsia="Times New Roman" w:hint="default"/>
        </w:rPr>
        <w:t>0.28</w:t>
      </w:r>
      <w:r>
        <w:rPr/>
        <w:t>元（含税），共分配利润</w:t>
      </w:r>
      <w:r>
        <w:rPr>
          <w:rFonts w:ascii="Times New Roman" w:hAnsi="Times New Roman" w:cs="Times New Roman" w:eastAsia="Times New Roman" w:hint="default"/>
        </w:rPr>
        <w:t>23,789,998.96</w:t>
      </w:r>
      <w:r>
        <w:rPr/>
        <w:t>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23,789,998.96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232,624,021.32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21,088,235.50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214,864,942.83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20,874,229.50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186,704,704.40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849,642,820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23,789,998.96</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351,111,555.00</w:t>
            </w:r>
          </w:p>
        </w:tc>
      </w:tr>
      <w:tr>
        <w:trPr>
          <w:trHeight w:val="403"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947"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75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22" w:firstLine="42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根据北京中证天通会计师事务所（特殊普通合伙）出具的《众信旅游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w:t>
            </w:r>
            <w:r>
              <w:rPr>
                <w:rFonts w:ascii="宋体" w:hAnsi="宋体" w:cs="宋体" w:eastAsia="宋体" w:hint="default"/>
                <w:spacing w:val="-90"/>
                <w:sz w:val="18"/>
                <w:szCs w:val="18"/>
              </w:rPr>
              <w:t>》</w:t>
            </w:r>
            <w:r>
              <w:rPr>
                <w:rFonts w:ascii="宋体" w:hAnsi="宋体" w:cs="宋体" w:eastAsia="宋体" w:hint="default"/>
                <w:sz w:val="18"/>
                <w:szCs w:val="18"/>
              </w:rPr>
              <w:t>（中证天通</w:t>
            </w:r>
            <w:r>
              <w:rPr>
                <w:rFonts w:ascii="Times New Roman" w:hAnsi="Times New Roman" w:cs="Times New Roman" w:eastAsia="Times New Roman" w:hint="default"/>
                <w:sz w:val="18"/>
                <w:szCs w:val="18"/>
              </w:rPr>
              <w:t>[2017]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证审字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50"/>
                <w:sz w:val="18"/>
                <w:szCs w:val="18"/>
              </w:rPr>
              <w:t>，</w:t>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度实现归属于上市公司股东的净利</w:t>
            </w:r>
            <w:r>
              <w:rPr>
                <w:rFonts w:ascii="宋体" w:hAnsi="宋体" w:cs="宋体" w:eastAsia="宋体" w:hint="default"/>
                <w:spacing w:val="-51"/>
                <w:sz w:val="18"/>
                <w:szCs w:val="18"/>
              </w:rPr>
              <w:t>润</w:t>
            </w:r>
            <w:r>
              <w:rPr>
                <w:rFonts w:ascii="宋体" w:hAnsi="宋体" w:cs="宋体" w:eastAsia="宋体" w:hint="default"/>
                <w:sz w:val="18"/>
                <w:szCs w:val="18"/>
              </w:rPr>
              <w:t>（合并数</w:t>
            </w:r>
            <w:r>
              <w:rPr>
                <w:rFonts w:ascii="宋体" w:hAnsi="宋体" w:cs="宋体" w:eastAsia="宋体" w:hint="default"/>
                <w:spacing w:val="-51"/>
                <w:sz w:val="18"/>
                <w:szCs w:val="18"/>
              </w:rPr>
              <w:t>）</w:t>
            </w:r>
            <w:r>
              <w:rPr>
                <w:rFonts w:ascii="Times New Roman" w:hAnsi="Times New Roman" w:cs="Times New Roman" w:eastAsia="Times New Roman" w:hint="default"/>
                <w:sz w:val="18"/>
                <w:szCs w:val="18"/>
              </w:rPr>
              <w:t>232,624,02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51"/>
                <w:sz w:val="18"/>
                <w:szCs w:val="18"/>
              </w:rPr>
              <w:t>，</w:t>
            </w:r>
            <w:r>
              <w:rPr>
                <w:rFonts w:ascii="宋体" w:hAnsi="宋体" w:cs="宋体" w:eastAsia="宋体" w:hint="default"/>
                <w:sz w:val="18"/>
                <w:szCs w:val="18"/>
              </w:rPr>
              <w:t>母公司净利润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3,944,0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元。依据《公司法》及公司章程的有关规定，拟定公司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年度利润分配方案如下：</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）母公司净利润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3,944,003.11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元，提取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394,400.31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）提取法定盈余公积金后母公司剩余利润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3,549,602.80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元，加以前年度累计未分配利润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347,561,952.20</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年度可</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t>1,555.00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0"/>
                <w:sz w:val="18"/>
                <w:szCs w:val="18"/>
              </w:rPr>
              <w:t>）</w:t>
            </w:r>
            <w:r>
              <w:rPr>
                <w:rFonts w:ascii="宋体" w:hAnsi="宋体" w:cs="宋体" w:eastAsia="宋体" w:hint="default"/>
                <w:sz w:val="18"/>
                <w:szCs w:val="18"/>
              </w:rPr>
              <w:t>以公司回购注销后的股本总额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849,642,8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r>
              <w:rPr>
                <w:rFonts w:ascii="宋体" w:hAnsi="宋体" w:cs="宋体" w:eastAsia="宋体" w:hint="default"/>
                <w:spacing w:val="-10"/>
                <w:sz w:val="18"/>
                <w:szCs w:val="18"/>
              </w:rPr>
              <w:t>数</w:t>
            </w:r>
            <w:r>
              <w:rPr>
                <w:rFonts w:ascii="宋体" w:hAnsi="宋体" w:cs="宋体" w:eastAsia="宋体" w:hint="default"/>
                <w:sz w:val="18"/>
                <w:szCs w:val="18"/>
              </w:rPr>
              <w:t>（</w:t>
            </w:r>
            <w:r>
              <w:rPr>
                <w:rFonts w:ascii="Times New Roman" w:hAnsi="Times New Roman" w:cs="Times New Roman" w:eastAsia="Times New Roman" w:hint="default"/>
                <w:sz w:val="18"/>
                <w:szCs w:val="18"/>
              </w:rPr>
              <w:t>850,060,820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，拟向全体股东每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23,789,998.96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利润分配后，母公司剩余未分配</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327,321,556.04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元转入下一年度。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pStyle w:val="Heading2"/>
        <w:spacing w:line="240" w:lineRule="auto" w:before="30"/>
        <w:ind w:left="139" w:right="0"/>
        <w:jc w:val="left"/>
        <w:rPr>
          <w:b w:val="0"/>
          <w:bCs w:val="0"/>
        </w:rPr>
      </w:pPr>
      <w:r>
        <w:rPr/>
        <w:pict>
          <v:shape style="position:absolute;margin-left:554.871704pt;margin-top:369.540009pt;width:69.8pt;height:162pt;mso-position-horizontal-relative:page;mso-position-vertical-relative:page;z-index:-1092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490997pt;margin-top:2.25562pt;width:700.95pt;height:.1pt;mso-position-horizontal-relative:page;mso-position-vertical-relative:paragraph;z-index:-1092232" coordorigin="1410,45" coordsize="14019,2">
            <v:shape style="position:absolute;left:1410;top:45;width:14019;height:2" coordorigin="1410,45" coordsize="14019,0" path="m1410,45l15428,45e" filled="false" stroked="true" strokeweight=".72pt" strokecolor="#000000">
              <v:path arrowok="t"/>
            </v:shape>
            <w10:wrap type="none"/>
          </v:group>
        </w:pict>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39"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39" w:right="0" w:firstLine="0"/>
        <w:jc w:val="left"/>
        <w:rPr>
          <w:rFonts w:ascii="宋体" w:hAnsi="宋体" w:cs="宋体" w:eastAsia="宋体" w:hint="default"/>
          <w:sz w:val="18"/>
          <w:szCs w:val="18"/>
        </w:rPr>
      </w:pPr>
      <w:r>
        <w:rPr/>
        <w:pict>
          <v:shape style="position:absolute;margin-left:410.990509pt;margin-top:53.231724pt;width:213.7pt;height:197.2pt;mso-position-horizontal-relative:page;mso-position-vertical-relative:paragraph;z-index:-10922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不存在来源于众信旅游及其现任董事、</w:t>
                  </w:r>
                </w:p>
              </w:txbxContent>
            </v:textbox>
            <w10:wrap type="none"/>
          </v:shape>
        </w:pict>
      </w:r>
      <w:r>
        <w:rPr/>
        <w:pict>
          <v:group style="position:absolute;margin-left:561.109985pt;margin-top:53.231724pt;width:63.55pt;height:359.7pt;mso-position-horizontal-relative:page;mso-position-vertical-relative:paragraph;z-index:-1092208" coordorigin="11222,1065" coordsize="1271,7194">
            <v:group style="position:absolute;left:11222;top:1065;width:1271;height:3944" coordorigin="11222,1065" coordsize="1271,3944">
              <v:shape style="position:absolute;left:11222;top:1065;width:1271;height:3944" coordorigin="11222,1065" coordsize="1271,3944" path="m11222,1065l11222,5008,12493,5008,12493,1065,11222,1065xe" filled="true" fillcolor="#ffffff" stroked="false">
                <v:path arrowok="t"/>
                <v:fill type="solid"/>
              </v:shape>
            </v:group>
            <v:group style="position:absolute;left:11245;top:2685;width:1226;height:352" coordorigin="11245,2685" coordsize="1226,352">
              <v:shape style="position:absolute;left:11245;top:2685;width:1226;height:352" coordorigin="11245,2685" coordsize="1226,352" path="m11245,2685l11245,3036,12470,3036,12470,2685,11245,2685xe" filled="true" fillcolor="#ffffff" stroked="false">
                <v:path arrowok="t"/>
                <v:fill type="solid"/>
              </v:shape>
            </v:group>
            <v:group style="position:absolute;left:11245;top:3036;width:1226;height:352" coordorigin="11245,3036" coordsize="1226,352">
              <v:shape style="position:absolute;left:11245;top:3036;width:1226;height:352" coordorigin="11245,3036" coordsize="1226,352" path="m11245,3036l11245,3388,12470,3388,12470,3036,11245,3036xe" filled="true" fillcolor="#ffffff" stroked="false">
                <v:path arrowok="t"/>
                <v:fill type="solid"/>
              </v:shape>
            </v:group>
            <v:group style="position:absolute;left:11222;top:5019;width:1271;height:3240" coordorigin="11222,5019" coordsize="1271,3240">
              <v:shape style="position:absolute;left:11222;top:5019;width:1271;height:3240" coordorigin="11222,5019" coordsize="1271,3240" path="m11222,5019l11222,8259,12493,8259,12493,5019,11222,5019xe" filled="true" fillcolor="#ffffff" stroked="false">
                <v:path arrowok="t"/>
                <v:fill type="solid"/>
              </v:shape>
            </v:group>
            <v:group style="position:absolute;left:11245;top:6286;width:1226;height:353" coordorigin="11245,6286" coordsize="1226,353">
              <v:shape style="position:absolute;left:11245;top:6286;width:1226;height:353" coordorigin="11245,6286" coordsize="1226,353" path="m11245,6286l11245,6639,12470,6639,12470,6286,11245,6286xe" filled="true" fillcolor="#ffffff" stroked="false">
                <v:path arrowok="t"/>
                <v:fill type="solid"/>
              </v:shape>
            </v:group>
            <v:group style="position:absolute;left:11245;top:6639;width:1226;height:352" coordorigin="11245,6639" coordsize="1226,352">
              <v:shape style="position:absolute;left:11245;top:6639;width:1226;height:352" coordorigin="11245,6639" coordsize="1226,352" path="m11245,6639l11245,6990,12470,6990,12470,6639,11245,6639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162" w:hRule="exact"/>
        </w:trPr>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41" w:right="59" w:hanging="180"/>
              <w:jc w:val="left"/>
              <w:rPr>
                <w:rFonts w:ascii="宋体" w:hAnsi="宋体" w:cs="宋体" w:eastAsia="宋体" w:hint="default"/>
                <w:sz w:val="18"/>
                <w:szCs w:val="18"/>
              </w:rPr>
            </w:pPr>
            <w:r>
              <w:rPr>
                <w:rFonts w:ascii="宋体" w:hAnsi="宋体" w:cs="宋体" w:eastAsia="宋体" w:hint="default"/>
                <w:sz w:val="18"/>
                <w:szCs w:val="18"/>
              </w:rPr>
              <w:t>承诺事 由</w:t>
            </w:r>
          </w:p>
        </w:tc>
        <w:tc>
          <w:tcPr>
            <w:tcW w:w="11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5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6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1"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80" w:type="dxa"/>
            <w:vMerge/>
            <w:tcBorders>
              <w:left w:val="single" w:sz="4" w:space="0" w:color="000000"/>
              <w:right w:val="single" w:sz="4" w:space="0" w:color="000000"/>
            </w:tcBorders>
            <w:shd w:val="clear" w:color="auto" w:fill="D3D3D3"/>
          </w:tcPr>
          <w:p>
            <w:pPr/>
          </w:p>
        </w:tc>
        <w:tc>
          <w:tcPr>
            <w:tcW w:w="1272" w:type="dxa"/>
            <w:vMerge/>
            <w:tcBorders>
              <w:left w:val="single" w:sz="4" w:space="0" w:color="000000"/>
              <w:right w:val="single" w:sz="4" w:space="0" w:color="000000"/>
            </w:tcBorders>
            <w:shd w:val="clear" w:color="auto" w:fill="D3D3D3"/>
          </w:tcPr>
          <w:p>
            <w:pPr/>
          </w:p>
        </w:tc>
        <w:tc>
          <w:tcPr>
            <w:tcW w:w="1656" w:type="dxa"/>
            <w:vMerge/>
            <w:tcBorders>
              <w:left w:val="single" w:sz="4" w:space="0" w:color="000000"/>
              <w:right w:val="single" w:sz="4" w:space="0" w:color="000000"/>
            </w:tcBorders>
            <w:shd w:val="clear" w:color="auto" w:fill="D3D3D3"/>
          </w:tcPr>
          <w:p>
            <w:pPr/>
          </w:p>
        </w:tc>
      </w:tr>
      <w:tr>
        <w:trPr>
          <w:trHeight w:val="161"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65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0" w:type="dxa"/>
            <w:vMerge/>
            <w:tcBorders>
              <w:left w:val="single" w:sz="4" w:space="0" w:color="000000"/>
              <w:bottom w:val="single" w:sz="4" w:space="0" w:color="000000"/>
              <w:right w:val="single" w:sz="4" w:space="0" w:color="000000"/>
            </w:tcBorders>
            <w:shd w:val="clear" w:color="auto" w:fill="D3D3D3"/>
          </w:tcPr>
          <w:p>
            <w:pPr/>
          </w:p>
        </w:tc>
        <w:tc>
          <w:tcPr>
            <w:tcW w:w="1272" w:type="dxa"/>
            <w:vMerge/>
            <w:tcBorders>
              <w:left w:val="single" w:sz="4" w:space="0" w:color="000000"/>
              <w:bottom w:val="single" w:sz="4" w:space="0" w:color="000000"/>
              <w:right w:val="single" w:sz="4" w:space="0" w:color="000000"/>
            </w:tcBorders>
            <w:shd w:val="clear" w:color="auto" w:fill="D3D3D3"/>
          </w:tcPr>
          <w:p>
            <w:pPr/>
          </w:p>
        </w:tc>
        <w:tc>
          <w:tcPr>
            <w:tcW w:w="1656" w:type="dxa"/>
            <w:vMerge/>
            <w:tcBorders>
              <w:left w:val="single" w:sz="4" w:space="0" w:color="000000"/>
              <w:bottom w:val="single" w:sz="4" w:space="0" w:color="000000"/>
              <w:right w:val="single" w:sz="4" w:space="0" w:color="000000"/>
            </w:tcBorders>
            <w:shd w:val="clear" w:color="auto" w:fill="D3D3D3"/>
          </w:tcPr>
          <w:p>
            <w:pPr/>
          </w:p>
        </w:tc>
      </w:tr>
      <w:tr>
        <w:trPr>
          <w:trHeight w:val="3954" w:hRule="exact"/>
        </w:trPr>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2" w:right="98"/>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九泰基金管理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鉴于北京众信国际旅行社股份有限公司（以下简称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众信旅游</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）拟通过向竹园国际 旅行社有限公司（以下简称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）全体股东发行新股的方式，收购竹园国旅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股权，同时向九泰基金管理有限公司（以下简称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）拟设立的资产管理 </w:t>
            </w:r>
            <w:r>
              <w:rPr>
                <w:rFonts w:ascii="宋体" w:hAnsi="宋体" w:cs="宋体" w:eastAsia="宋体" w:hint="default"/>
                <w:spacing w:val="-5"/>
                <w:sz w:val="18"/>
                <w:szCs w:val="18"/>
              </w:rPr>
              <w:t>计划定向发行股份募集配套资金（以下简称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本次重组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）。本次重组完成后，本公司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将成为众信旅游股东，现作出如下确认和承诺：</w:t>
            </w:r>
          </w:p>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一、本公司拟设立资产管理计划认购本次交易中众信旅游锁价发行的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1,471,309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28" w:lineRule="auto" w:before="64"/>
              <w:ind w:left="22" w:right="21"/>
              <w:jc w:val="left"/>
              <w:rPr>
                <w:rFonts w:ascii="宋体" w:hAnsi="宋体" w:cs="宋体" w:eastAsia="宋体" w:hint="default"/>
                <w:sz w:val="18"/>
                <w:szCs w:val="18"/>
              </w:rPr>
            </w:pPr>
            <w:r>
              <w:rPr>
                <w:rFonts w:ascii="宋体" w:hAnsi="宋体" w:cs="宋体" w:eastAsia="宋体" w:hint="default"/>
                <w:sz w:val="18"/>
                <w:szCs w:val="18"/>
              </w:rPr>
              <w:t>股票，认购金额为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1"/>
                <w:sz w:val="18"/>
                <w:szCs w:val="18"/>
              </w:rPr>
              <w:t>二、本公司拟设立的资产管理计划的资金来源为认购方自有资金，最终出资不存在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任何杠杆融资结构化设计产品，不存在代持，</w:t>
            </w:r>
          </w:p>
          <w:p>
            <w:pPr>
              <w:pStyle w:val="TableParagraph"/>
              <w:spacing w:line="338"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监事和高级管理人员的情况。 </w:t>
            </w:r>
            <w:r>
              <w:rPr>
                <w:rFonts w:ascii="宋体" w:hAnsi="宋体" w:cs="宋体" w:eastAsia="宋体" w:hint="default"/>
                <w:spacing w:val="-1"/>
                <w:sz w:val="18"/>
                <w:szCs w:val="18"/>
              </w:rPr>
              <w:t>三、本公司及本公司董事、监事、高级管理人员不存在泄露本次重组事宜的相关内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幕信息及利用该内幕信息进行内幕交易的情形。</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251"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9" w:lineRule="auto"/>
              <w:ind w:left="2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深圳前海瑞联 一号投资中心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鉴于北京众信国际旅行社股份有限公司（以下简称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众信旅游</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）拟通过向竹园国际 旅行社有限公司（以下简称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竹园国旅</w:t>
            </w:r>
            <w:r>
              <w:rPr>
                <w:rFonts w:ascii="Times New Roman" w:hAnsi="Times New Roman" w:cs="Times New Roman" w:eastAsia="Times New Roman" w:hint="default"/>
                <w:sz w:val="18"/>
                <w:szCs w:val="18"/>
              </w:rPr>
              <w:t>"</w:t>
            </w:r>
            <w:r>
              <w:rPr>
                <w:rFonts w:ascii="宋体" w:hAnsi="宋体" w:cs="宋体" w:eastAsia="宋体" w:hint="default"/>
                <w:sz w:val="18"/>
                <w:szCs w:val="18"/>
              </w:rPr>
              <w:t>）全体股东发行新股的方式，收购竹园国旅 </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股权，同时向深圳前海瑞联一号投资中心（有限合伙）（以下简称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本合伙企业</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pacing w:val="-5"/>
                <w:sz w:val="18"/>
                <w:szCs w:val="18"/>
              </w:rPr>
              <w:t>定向发行股份募集配套资金（以下简称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本次重组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）。本次重组完成后，本合伙企业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将成为众信旅游股东，现做出如下确认和承诺：</w:t>
            </w:r>
          </w:p>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一、 本公司拟认购本次交易中众信旅游锁价发行的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股股票，认购金额为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9" w:lineRule="auto" w:before="102"/>
              <w:ind w:left="22" w:right="23"/>
              <w:jc w:val="left"/>
              <w:rPr>
                <w:rFonts w:ascii="宋体" w:hAnsi="宋体" w:cs="宋体" w:eastAsia="宋体" w:hint="default"/>
                <w:sz w:val="18"/>
                <w:szCs w:val="18"/>
              </w:rPr>
            </w:pPr>
            <w:r>
              <w:rPr>
                <w:rFonts w:ascii="宋体" w:hAnsi="宋体" w:cs="宋体" w:eastAsia="宋体" w:hint="default"/>
                <w:sz w:val="18"/>
                <w:szCs w:val="18"/>
              </w:rPr>
              <w:t>二、 本合伙企业拥有认购上市公司非公开发行股份的资金实力。本合伙企业由华 </w:t>
            </w:r>
            <w:r>
              <w:rPr>
                <w:rFonts w:ascii="宋体" w:hAnsi="宋体" w:cs="宋体" w:eastAsia="宋体" w:hint="default"/>
                <w:spacing w:val="-5"/>
                <w:sz w:val="18"/>
                <w:szCs w:val="18"/>
              </w:rPr>
              <w:t>泰瑞联基金管理有限公司（以下简称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华泰瑞联</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）及北京华泰瑞联并购基金中心（有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限合伙）（以下简称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华泰瑞联并购基金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）发起设立，认缴出资额合计为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2"/>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bl>
    <w:p>
      <w:pPr>
        <w:spacing w:after="0" w:line="319" w:lineRule="auto"/>
        <w:jc w:val="left"/>
        <w:rPr>
          <w:rFonts w:ascii="宋体" w:hAnsi="宋体" w:cs="宋体" w:eastAsia="宋体" w:hint="default"/>
          <w:sz w:val="18"/>
          <w:szCs w:val="18"/>
        </w:rPr>
        <w:sectPr>
          <w:headerReference w:type="default" r:id="rId13"/>
          <w:footerReference w:type="default" r:id="rId14"/>
          <w:pgSz w:w="16840" w:h="11910" w:orient="landscape"/>
          <w:pgMar w:header="867" w:footer="978" w:top="1060" w:bottom="1160" w:left="1300" w:right="1300"/>
          <w:pgNumType w:start="35"/>
        </w:sectPr>
      </w:pPr>
    </w:p>
    <w:p>
      <w:pPr>
        <w:spacing w:line="240" w:lineRule="auto" w:before="4"/>
        <w:rPr>
          <w:rFonts w:ascii="Times New Roman" w:hAnsi="Times New Roman" w:cs="Times New Roman" w:eastAsia="Times New Roman" w:hint="default"/>
          <w:sz w:val="3"/>
          <w:szCs w:val="3"/>
        </w:rPr>
      </w:pPr>
      <w:r>
        <w:rPr/>
        <w:pict>
          <v:shape style="position:absolute;margin-left:554.990479pt;margin-top:337.380005pt;width:69.7pt;height:160.050pt;mso-position-horizontal-relative:page;mso-position-vertical-relative:page;z-index:-1092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1.109985pt;margin-top:337.380005pt;width:63.55pt;height:160.050pt;mso-position-horizontal-relative:page;mso-position-vertical-relative:page;z-index:-1092160" coordorigin="11222,6748" coordsize="1271,3201">
            <v:group style="position:absolute;left:11222;top:6748;width:1271;height:3201" coordorigin="11222,6748" coordsize="1271,3201">
              <v:shape style="position:absolute;left:11222;top:6748;width:1271;height:3201" coordorigin="11222,6748" coordsize="1271,3201" path="m11222,6748l11222,9948,12493,9948,12493,6748,11222,6748xe" filled="true" fillcolor="#ffffff" stroked="false">
                <v:path arrowok="t"/>
                <v:fill type="solid"/>
              </v:shape>
            </v:group>
            <v:group style="position:absolute;left:11245;top:7996;width:1226;height:353" coordorigin="11245,7996" coordsize="1226,353">
              <v:shape style="position:absolute;left:11245;top:7996;width:1226;height:353" coordorigin="11245,7996" coordsize="1226,353" path="m11245,7996l11245,8348,12470,8348,12470,7996,11245,7996xe" filled="true" fillcolor="#ffffff" stroked="false">
                <v:path arrowok="t"/>
                <v:fill type="solid"/>
              </v:shape>
            </v:group>
            <v:group style="position:absolute;left:11245;top:8348;width:1226;height:352" coordorigin="11245,8348" coordsize="1226,352">
              <v:shape style="position:absolute;left:11245;top:8348;width:1226;height:352" coordorigin="11245,8348" coordsize="1226,352" path="m11245,8348l11245,8700,12470,8700,12470,8348,11245,8348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6"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元，其中，华泰瑞联认缴出资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万元，华泰瑞联并购基金认缴出资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华泰瑞联并购基金的合伙人认缴出资额合计为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亿元，目前已完成了第一期出资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亿元。华泰瑞联及华泰瑞联并购基金将在众信旅游本次交易获得中国证监会</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核准时实缴不低于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万元出资，以使本合伙企业有足够资金履行认购合同。</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2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三、 本合伙企业本次认购资金来源于自有资金，不存在代持，不存在任何杠杆融</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资结构化设计产品，不存在来源于众信旅游及其现任董事、监事和高级管理人员的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1"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四、 本合伙企业及本合伙企业普通合伙人、执行事务合伙人、董事、监事、高级</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管理人员不存在泄露本次重组事宜的相关内幕信息及利用该内幕信息进行内幕交</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易的情形。</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1"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五、 本合伙企业及本合伙企业普通合伙人、执行事务合伙人、董事、监事、高级</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管理人员与众信旅游、众信旅游实际控制人、众信旅游董事、监事、高级管理人员</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不存在任何形式的关联关系，本合伙企业不存在被认定为众信旅游关联方的情形。</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6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募集配套资金认购对象关于本次认购事宜的承诺：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654"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0" w:lineRule="auto" w:before="4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日，冯滨、白斌分别出具《关于本次认购事宜的承诺函》，确认其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认购本次募集配套资金的资金来源为自有资金，不存在通过认购本次募集配套资金</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5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形成为他人代持股份的情形。</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履行完毕。郭洪斌所</w:t>
            </w: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持股份已满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关于本次发行股份锁定期的承诺：</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3"/>
                <w:sz w:val="18"/>
                <w:szCs w:val="18"/>
              </w:rPr>
              <w:t>的锁定期，竹园国旅</w:t>
            </w:r>
          </w:p>
        </w:tc>
      </w:tr>
      <w:tr>
        <w:trPr>
          <w:trHeight w:val="32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郭洪斌承诺其持有的竹园国旅股权在本次发行完成前已满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个月，其股份锁定期</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已实现各期业绩承</w:t>
            </w:r>
          </w:p>
        </w:tc>
      </w:tr>
      <w:tr>
        <w:trPr>
          <w:trHeight w:val="624"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个月，在法定锁定期满后，通过本次收购取得的上市公司股票中的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2,113,340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股）自动解禁，余下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未解锁股票（</w:t>
            </w:r>
            <w:r>
              <w:rPr>
                <w:rFonts w:ascii="Times New Roman" w:hAnsi="Times New Roman" w:cs="Times New Roman" w:eastAsia="Times New Roman" w:hint="default"/>
                <w:sz w:val="18"/>
                <w:szCs w:val="18"/>
              </w:rPr>
              <w:t>3,924,775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股）按业绩实现进度</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诺并经会计师出具 </w:t>
            </w:r>
            <w:r>
              <w:rPr>
                <w:rFonts w:ascii="宋体" w:hAnsi="宋体" w:cs="宋体" w:eastAsia="宋体" w:hint="default"/>
                <w:spacing w:val="-3"/>
                <w:sz w:val="18"/>
                <w:szCs w:val="18"/>
              </w:rPr>
              <w:t>相关报告。公司为其</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在满足条件后分三次解禁，股份解锁比例在竹园国旅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分两次办理了解锁，</w:t>
            </w: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年度《专项审核报告》出具后，每期最多可解锁比例为：</w:t>
            </w:r>
            <w:r>
              <w:rPr>
                <w:rFonts w:ascii="Times New Roman" w:hAnsi="Times New Roman" w:cs="Times New Roman" w:eastAsia="Times New Roman" w:hint="default"/>
                <w:spacing w:val="-4"/>
                <w:sz w:val="18"/>
                <w:szCs w:val="18"/>
              </w:rPr>
              <w:t>17.05%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21.31%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26.64%</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其股份已于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w:t>
            </w:r>
          </w:p>
        </w:tc>
      </w:tr>
      <w:tr>
        <w:trPr>
          <w:trHeight w:val="30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日全部上市流</w:t>
            </w:r>
          </w:p>
        </w:tc>
      </w:tr>
      <w:tr>
        <w:trPr>
          <w:trHeight w:val="35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通。</w:t>
            </w:r>
          </w:p>
        </w:tc>
      </w:tr>
      <w:tr>
        <w:trPr>
          <w:trHeight w:val="714"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 </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关于本次发行股份锁定期的承诺：</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本企业通过本次重组获得的众信旅游的新增股份，自新增股份上市之日起 </w:t>
            </w:r>
            <w:r>
              <w:rPr>
                <w:rFonts w:ascii="Times New Roman" w:hAnsi="Times New Roman" w:cs="Times New Roman" w:eastAsia="Times New Roman" w:hint="default"/>
                <w:sz w:val="18"/>
                <w:szCs w:val="18"/>
              </w:rPr>
              <w:t>36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pacing w:val="-3"/>
                <w:sz w:val="18"/>
                <w:szCs w:val="18"/>
              </w:rPr>
              <w:t>履行完毕，承诺人无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违反承诺的情况。本</w:t>
            </w:r>
          </w:p>
        </w:tc>
      </w:tr>
    </w:tbl>
    <w:p>
      <w:pPr>
        <w:spacing w:after="0" w:line="316"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0"/>
        <w:rPr>
          <w:rFonts w:ascii="Times New Roman" w:hAnsi="Times New Roman" w:cs="Times New Roman" w:eastAsia="Times New Roman" w:hint="default"/>
          <w:sz w:val="20"/>
          <w:szCs w:val="20"/>
        </w:rPr>
      </w:pPr>
      <w:r>
        <w:rPr/>
        <w:pict>
          <v:shape style="position:absolute;margin-left:70.371002pt;margin-top:55.259998pt;width:701.4pt;height:465.8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6"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上海祥禾</w:t>
                        </w: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个月内将不以任何方式进行转让，包括但不限于通过证券市场公开转让或通过协</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次发行股份已于</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8"/>
                          <w:jc w:val="center"/>
                          <w:rPr>
                            <w:rFonts w:ascii="宋体" w:hAnsi="宋体" w:cs="宋体" w:eastAsia="宋体" w:hint="default"/>
                            <w:sz w:val="18"/>
                            <w:szCs w:val="18"/>
                          </w:rPr>
                        </w:pPr>
                        <w:r>
                          <w:rPr>
                            <w:rFonts w:ascii="宋体" w:hAnsi="宋体" w:cs="宋体" w:eastAsia="宋体" w:hint="default"/>
                            <w:sz w:val="18"/>
                            <w:szCs w:val="18"/>
                          </w:rPr>
                          <w:t>泓安股权投资</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议方式转让，也不委托他人管理本公司持有的众信旅游股份。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日上市</w:t>
                        </w:r>
                      </w:p>
                    </w:tc>
                  </w:tr>
                  <w:tr>
                    <w:trPr>
                      <w:trHeight w:val="30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8"/>
                          <w:jc w:val="center"/>
                          <w:rPr>
                            <w:rFonts w:ascii="宋体" w:hAnsi="宋体" w:cs="宋体" w:eastAsia="宋体" w:hint="default"/>
                            <w:sz w:val="18"/>
                            <w:szCs w:val="18"/>
                          </w:rPr>
                        </w:pPr>
                        <w:r>
                          <w:rPr>
                            <w:rFonts w:ascii="宋体" w:hAnsi="宋体" w:cs="宋体" w:eastAsia="宋体" w:hint="default"/>
                            <w:sz w:val="18"/>
                            <w:szCs w:val="18"/>
                          </w:rPr>
                          <w:t>合伙企业（有</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流通。</w:t>
                        </w:r>
                      </w:p>
                    </w:tc>
                  </w:tr>
                  <w:tr>
                    <w:trPr>
                      <w:trHeight w:val="31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8"/>
                          <w:jc w:val="center"/>
                          <w:rPr>
                            <w:rFonts w:ascii="宋体" w:hAnsi="宋体" w:cs="宋体" w:eastAsia="宋体" w:hint="default"/>
                            <w:sz w:val="18"/>
                            <w:szCs w:val="18"/>
                          </w:rPr>
                        </w:pPr>
                        <w:r>
                          <w:rPr>
                            <w:rFonts w:ascii="宋体" w:hAnsi="宋体" w:cs="宋体" w:eastAsia="宋体" w:hint="default"/>
                            <w:sz w:val="18"/>
                            <w:szCs w:val="18"/>
                          </w:rPr>
                          <w:t>富德伟业企业</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8"/>
                          <w:jc w:val="center"/>
                          <w:rPr>
                            <w:rFonts w:ascii="宋体" w:hAnsi="宋体" w:cs="宋体" w:eastAsia="宋体" w:hint="default"/>
                            <w:sz w:val="18"/>
                            <w:szCs w:val="18"/>
                          </w:rPr>
                        </w:pPr>
                        <w:r>
                          <w:rPr>
                            <w:rFonts w:ascii="宋体" w:hAnsi="宋体" w:cs="宋体" w:eastAsia="宋体" w:hint="default"/>
                            <w:sz w:val="18"/>
                            <w:szCs w:val="18"/>
                          </w:rPr>
                          <w:t>管理咨询中心</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58"/>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九泰基金管理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前海瑞联一号 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 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57"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关于本次发行股份锁定期的承诺：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本企业通过本次发行获得的众信旅游的新增股份，自该等股份上市之日起 </w:t>
                        </w:r>
                        <w:r>
                          <w:rPr>
                            <w:rFonts w:ascii="Times New Roman" w:hAnsi="Times New Roman" w:cs="Times New Roman" w:eastAsia="Times New Roman" w:hint="default"/>
                            <w:sz w:val="18"/>
                            <w:szCs w:val="18"/>
                          </w:rPr>
                          <w:t>36</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个月内将不以任何方式进行转让，包括但不限于通过证券市场公开转让或通过协议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方式转让。</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履行完毕，承诺人无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违反承诺的情况。本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次发行股份已于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日上市 流通。</w:t>
                        </w:r>
                      </w:p>
                    </w:tc>
                  </w:tr>
                  <w:tr>
                    <w:trPr>
                      <w:trHeight w:val="37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关于竹园国旅业绩的承诺及补偿措施：</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竹园国旅原股东承诺竹园国旅扣除非经常性损益后归属母公司所有者的净利润</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8,828</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履行完毕。</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万元。补偿义务人为：郭洪斌、陆勇、何静蔚、苏杰、张一满、李爽合计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名自然</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年竹</w:t>
                        </w: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人交易对方。标的公司专项审核报告出具后，如实现净利润数低于承诺净利润数而</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园国旅的业绩承诺</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需要补偿义务人进行补偿的情形，众信旅游应在需补偿当年年报公告后按照协议规</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完成率分别为</w:t>
                        </w:r>
                      </w:p>
                    </w:tc>
                  </w:tr>
                  <w:tr>
                    <w:trPr>
                      <w:trHeight w:val="124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3" w:right="161"/>
                          <w:jc w:val="both"/>
                          <w:rPr>
                            <w:rFonts w:ascii="宋体" w:hAnsi="宋体" w:cs="宋体" w:eastAsia="宋体"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 </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 </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业绩承诺及补偿 安排</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7" w:lineRule="auto" w:before="31"/>
                          <w:ind w:left="22" w:right="21"/>
                          <w:jc w:val="both"/>
                          <w:rPr>
                            <w:rFonts w:ascii="宋体" w:hAnsi="宋体" w:cs="宋体" w:eastAsia="宋体" w:hint="default"/>
                            <w:sz w:val="18"/>
                            <w:szCs w:val="18"/>
                          </w:rPr>
                        </w:pPr>
                        <w:r>
                          <w:rPr>
                            <w:rFonts w:ascii="宋体" w:hAnsi="宋体" w:cs="宋体" w:eastAsia="宋体" w:hint="default"/>
                            <w:spacing w:val="-1"/>
                            <w:sz w:val="18"/>
                            <w:szCs w:val="18"/>
                          </w:rPr>
                          <w:t>定的公式计算并确定补偿义务人当年应补偿金额，同时根据当年应补偿金额确定补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偿义务人当年应补偿的股份数量（以下简称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应补偿股份</w:t>
                        </w:r>
                        <w:r>
                          <w:rPr>
                            <w:rFonts w:ascii="Times New Roman" w:hAnsi="Times New Roman" w:cs="Times New Roman" w:eastAsia="Times New Roman" w:hint="default"/>
                            <w:sz w:val="18"/>
                            <w:szCs w:val="18"/>
                          </w:rPr>
                          <w:t>"</w:t>
                        </w:r>
                        <w:r>
                          <w:rPr>
                            <w:rFonts w:ascii="宋体" w:hAnsi="宋体" w:cs="宋体" w:eastAsia="宋体" w:hint="default"/>
                            <w:sz w:val="18"/>
                            <w:szCs w:val="18"/>
                          </w:rPr>
                          <w:t>）及应补偿的现金数（以 </w:t>
                        </w:r>
                        <w:r>
                          <w:rPr>
                            <w:rFonts w:ascii="宋体" w:hAnsi="宋体" w:cs="宋体" w:eastAsia="宋体" w:hint="default"/>
                            <w:spacing w:val="-5"/>
                            <w:sz w:val="18"/>
                            <w:szCs w:val="18"/>
                          </w:rPr>
                          <w:t>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应补偿现金数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），向补偿义务人就承担补偿义务事宜发出书面通知，并在需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补偿当年的众信旅游年度报告公告后一个月内由董事会审议股份补偿相关事宜，并</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102.25%</w:t>
                        </w:r>
                        <w:r>
                          <w:rPr>
                            <w:rFonts w:ascii="宋体" w:hAnsi="宋体" w:cs="宋体" w:eastAsia="宋体" w:hint="default"/>
                            <w:sz w:val="18"/>
                            <w:szCs w:val="18"/>
                          </w:rPr>
                          <w:t>、</w:t>
                        </w:r>
                        <w:r>
                          <w:rPr>
                            <w:rFonts w:ascii="Times New Roman" w:hAnsi="Times New Roman" w:cs="Times New Roman" w:eastAsia="Times New Roman" w:hint="default"/>
                            <w:sz w:val="18"/>
                            <w:szCs w:val="18"/>
                          </w:rPr>
                          <w:t>102.40%</w:t>
                        </w:r>
                        <w:r>
                          <w:rPr>
                            <w:rFonts w:ascii="宋体" w:hAnsi="宋体" w:cs="宋体" w:eastAsia="宋体" w:hint="default"/>
                            <w:sz w:val="18"/>
                            <w:szCs w:val="18"/>
                          </w:rPr>
                          <w:t>，</w:t>
                        </w:r>
                      </w:p>
                      <w:p>
                        <w:pPr>
                          <w:pStyle w:val="TableParagraph"/>
                          <w:spacing w:line="309"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104.90%</w:t>
                        </w:r>
                        <w:r>
                          <w:rPr>
                            <w:rFonts w:ascii="宋体" w:hAnsi="宋体" w:cs="宋体" w:eastAsia="宋体" w:hint="default"/>
                            <w:sz w:val="18"/>
                            <w:szCs w:val="18"/>
                          </w:rPr>
                          <w:t>，已实现三 年业绩承诺，截至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日竹</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全权办理对应补偿股份的回购及注销事宜。补偿期限内每个会计年度应补偿金额的</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园国旅资产未发生</w:t>
                        </w: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计算公式如下：当年应补偿金额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（截至当期期末累积承诺净利润数－截至当期期</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减值，补偿义务人无</w:t>
                        </w: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末累积实现净利润数）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标的股权的交易价</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需对众信旅游进行</w:t>
                        </w: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格－已补偿金额上述公式所称补偿期限为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年和</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补偿。</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在逐年补偿的情况下，各年计算的应补偿金额小于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时，按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取值，即已经补偿的</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金额不冲回。补偿义务发生时，补偿义务人应当首先以其通过本次交易获得的众信</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before="44"/>
        <w:ind w:left="0" w:right="116" w:firstLine="0"/>
        <w:jc w:val="right"/>
        <w:rPr>
          <w:rFonts w:ascii="宋体" w:hAnsi="宋体" w:cs="宋体" w:eastAsia="宋体" w:hint="default"/>
          <w:sz w:val="18"/>
          <w:szCs w:val="18"/>
        </w:rPr>
      </w:pPr>
      <w:r>
        <w:rPr/>
        <w:pict>
          <v:shape style="position:absolute;margin-left:491.990509pt;margin-top:-31.568279pt;width:132.7pt;height:253.65pt;mso-position-horizontal-relative:page;mso-position-vertical-relative:paragraph;z-index:-10921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2"/>
                    <w:ind w:left="0" w:right="0" w:firstLine="0"/>
                    <w:jc w:val="left"/>
                    <w:rPr>
                      <w:rFonts w:ascii="宋体" w:hAnsi="宋体" w:cs="宋体" w:eastAsia="宋体" w:hint="default"/>
                      <w:sz w:val="18"/>
                      <w:szCs w:val="18"/>
                    </w:rPr>
                  </w:pPr>
                  <w:r>
                    <w:rPr>
                      <w:rFonts w:ascii="宋体" w:hAnsi="宋体" w:cs="宋体" w:eastAsia="宋体" w:hint="default"/>
                      <w:sz w:val="18"/>
                      <w:szCs w:val="18"/>
                    </w:rPr>
                    <w:t>年三个会计年度。</w:t>
                  </w:r>
                </w:p>
              </w:txbxContent>
            </v:textbox>
            <w10:wrap type="none"/>
          </v:shape>
        </w:pict>
      </w:r>
      <w:r>
        <w:rPr/>
        <w:pict>
          <v:group style="position:absolute;margin-left:561.109985pt;margin-top:-31.568279pt;width:63.55pt;height:253.65pt;mso-position-horizontal-relative:page;mso-position-vertical-relative:paragraph;z-index:1360" coordorigin="11222,-631" coordsize="1271,5073">
            <v:group style="position:absolute;left:11222;top:-631;width:1271;height:5073" coordorigin="11222,-631" coordsize="1271,5073">
              <v:shape style="position:absolute;left:11222;top:-631;width:1271;height:5073" coordorigin="11222,-631" coordsize="1271,5073" path="m11222,-631l11222,4441,12493,4441,12493,-631,11222,-631xe" filled="true" fillcolor="#ffffff" stroked="false">
                <v:path arrowok="t"/>
                <v:fill type="solid"/>
              </v:shape>
            </v:group>
            <v:group style="position:absolute;left:11245;top:1553;width:1226;height:352" coordorigin="11245,1553" coordsize="1226,352">
              <v:shape style="position:absolute;left:11245;top:1553;width:1226;height:352" coordorigin="11245,1553" coordsize="1226,352" path="m11245,1553l11245,1904,12470,1904,12470,1553,11245,1553xe" filled="true" fillcolor="#ffffff" stroked="false">
                <v:path arrowok="t"/>
                <v:fill type="solid"/>
              </v:shape>
            </v:group>
            <v:group style="position:absolute;left:11245;top:1904;width:1226;height:353" coordorigin="11245,1904" coordsize="1226,353">
              <v:shape style="position:absolute;left:11245;top:1904;width:1226;height:353" coordorigin="11245,1904" coordsize="1226,353" path="m11245,1904l11245,2257,12470,2257,12470,1904,11245,1904xe" filled="true" fillcolor="#ffffff" stroked="false">
                <v:path arrowok="t"/>
                <v:fill type="solid"/>
              </v:shape>
            </v:group>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160" w:left="1300" w:right="126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1"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旅游新增股份进行股份补偿，补偿义务人按照本协议的约定履行股份补偿义务后仍</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不足弥补应补偿金额的，补偿义务人应当就差额部分以现金方式向众信旅游进行补</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偿，并应当按照众信旅游发出的付款通知要求向其支付现金补偿价款。每名补偿义</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务人应补偿股份数的计算公式如下：应补偿股份数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当年应补偿金额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本次发行价格</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（本次交易前该名补偿义务人持有竹园国旅股份数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本次交易前全体补偿义务人持</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有竹园国旅股份数）－该补偿义务人已补偿股份数。各补偿义务人应补偿股份的总</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数不超过其通过本次收购获得的新增股份总数</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0"/>
                <w:sz w:val="18"/>
                <w:szCs w:val="18"/>
              </w:rPr>
              <w:t>）</w:t>
            </w:r>
            <w:r>
              <w:rPr>
                <w:rFonts w:ascii="宋体" w:hAnsi="宋体" w:cs="宋体" w:eastAsia="宋体" w:hint="default"/>
                <w:sz w:val="18"/>
                <w:szCs w:val="18"/>
              </w:rPr>
              <w:t>资产减值测试及补偿补偿期限</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届满后，众信旅游应当聘请会计师事务所在出具当年度竹园国旅审计报告时对标的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股权进行减值测试，并在出具竹园国旅年度审计报告时出具减值测试报告。经减值</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测试如：标的股权期末减值额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补偿期限内已补偿股份总数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现金数，则补偿义务人应当参照本协议第四条约定的补偿程序另行进行补偿。补偿</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义务人另需补偿的金额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期末减值额－（补偿期限内已补偿股份总数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本次发行价格</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已补偿现金数</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0"/>
                <w:sz w:val="18"/>
                <w:szCs w:val="18"/>
              </w:rPr>
              <w:t>）</w:t>
            </w:r>
            <w:r>
              <w:rPr>
                <w:rFonts w:ascii="宋体" w:hAnsi="宋体" w:cs="宋体" w:eastAsia="宋体" w:hint="default"/>
                <w:sz w:val="18"/>
                <w:szCs w:val="18"/>
              </w:rPr>
              <w:t>补偿</w:t>
            </w:r>
            <w:r>
              <w:rPr>
                <w:rFonts w:ascii="宋体" w:hAnsi="宋体" w:cs="宋体" w:eastAsia="宋体" w:hint="default"/>
                <w:spacing w:val="-2"/>
                <w:sz w:val="18"/>
                <w:szCs w:val="18"/>
              </w:rPr>
              <w:t>股</w:t>
            </w:r>
            <w:r>
              <w:rPr>
                <w:rFonts w:ascii="宋体" w:hAnsi="宋体" w:cs="宋体" w:eastAsia="宋体" w:hint="default"/>
                <w:sz w:val="18"/>
                <w:szCs w:val="18"/>
              </w:rPr>
              <w:t>份的调整各方同意</w:t>
            </w:r>
            <w:r>
              <w:rPr>
                <w:rFonts w:ascii="宋体" w:hAnsi="宋体" w:cs="宋体" w:eastAsia="宋体" w:hint="default"/>
                <w:spacing w:val="-10"/>
                <w:sz w:val="18"/>
                <w:szCs w:val="18"/>
              </w:rPr>
              <w:t>，</w:t>
            </w:r>
            <w:r>
              <w:rPr>
                <w:rFonts w:ascii="宋体" w:hAnsi="宋体" w:cs="宋体" w:eastAsia="宋体" w:hint="default"/>
                <w:sz w:val="18"/>
                <w:szCs w:val="18"/>
              </w:rPr>
              <w:t>若众</w:t>
            </w:r>
            <w:r>
              <w:rPr>
                <w:rFonts w:ascii="宋体" w:hAnsi="宋体" w:cs="宋体" w:eastAsia="宋体" w:hint="default"/>
                <w:spacing w:val="-2"/>
                <w:sz w:val="18"/>
                <w:szCs w:val="18"/>
              </w:rPr>
              <w:t>信</w:t>
            </w:r>
            <w:r>
              <w:rPr>
                <w:rFonts w:ascii="宋体" w:hAnsi="宋体" w:cs="宋体" w:eastAsia="宋体" w:hint="default"/>
                <w:sz w:val="18"/>
                <w:szCs w:val="18"/>
              </w:rPr>
              <w:t>旅游在补偿期限内有现金</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分红的，其按协议约定公式计算的应补偿股份数在回购股份实施前上述年度累积获</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得的分红收益，应随之赠送给众信旅游；若众信旅游在补偿期限内实施送股、公积</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金转增股本的，则补偿股份的数量应调整为：按协议约定公式计算的应补偿股份数</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送股或</w:t>
            </w:r>
            <w:r>
              <w:rPr>
                <w:rFonts w:ascii="宋体" w:hAnsi="宋体" w:cs="宋体" w:eastAsia="宋体" w:hint="default"/>
                <w:spacing w:val="-2"/>
                <w:sz w:val="18"/>
                <w:szCs w:val="18"/>
              </w:rPr>
              <w:t>转</w:t>
            </w:r>
            <w:r>
              <w:rPr>
                <w:rFonts w:ascii="宋体" w:hAnsi="宋体" w:cs="宋体" w:eastAsia="宋体" w:hint="default"/>
                <w:sz w:val="18"/>
                <w:szCs w:val="18"/>
              </w:rPr>
              <w:t>增比例</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6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关于避免与上市公司同业竞争的承诺：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pacing w:val="-2"/>
                <w:sz w:val="18"/>
                <w:szCs w:val="18"/>
              </w:rPr>
              <w:t>本次重组前，除竹园国旅外，本人及本人控制的其他企业（如有）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本合伙企业不存</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2"/>
                <w:sz w:val="18"/>
                <w:szCs w:val="18"/>
              </w:rPr>
              <w:t>在直接或间接经营与竹园国旅或上市公司相同或相似业务的情形。本人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本合伙企业</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承诺：本次重组完成后，在作为上市公司股东期间，本人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上海祥禾泓安 股权投资合伙 企业（有限合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2" w:right="22"/>
              <w:jc w:val="left"/>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联交易及资金占 用方面的承诺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3"/>
              <w:jc w:val="left"/>
              <w:rPr>
                <w:rFonts w:ascii="宋体" w:hAnsi="宋体" w:cs="宋体" w:eastAsia="宋体" w:hint="default"/>
                <w:sz w:val="18"/>
                <w:szCs w:val="18"/>
              </w:rPr>
            </w:pPr>
            <w:r>
              <w:rPr>
                <w:rFonts w:ascii="宋体" w:hAnsi="宋体" w:cs="宋体" w:eastAsia="宋体" w:hint="default"/>
                <w:sz w:val="18"/>
                <w:szCs w:val="18"/>
              </w:rPr>
              <w:t>伙企业控制的其他企业不会直接或间接从事任何与上市公司及其下属公司主要经 </w:t>
            </w:r>
            <w:r>
              <w:rPr>
                <w:rFonts w:ascii="宋体" w:hAnsi="宋体" w:cs="宋体" w:eastAsia="宋体" w:hint="default"/>
                <w:spacing w:val="-1"/>
                <w:sz w:val="18"/>
                <w:szCs w:val="18"/>
              </w:rPr>
              <w:t>营业务构成同业竞争或潜在同业竞争关系的生产与经营，亦不会投资任何与上市公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司及其下属公司主要经营业务构成同业竞争或潜在同业竞争关系的其他企业；如在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上述期间，本人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本合伙企业控制的其他企业获得的商业机会与</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伟业企业管理</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2"/>
                <w:sz w:val="18"/>
                <w:szCs w:val="18"/>
              </w:rPr>
              <w:t>上市公司及其下属公司主营业务发生同业竞争或可能发生同业竞争的，本人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咨询中心（有</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企业将立即通知上市公司，并尽力将该商业机会给予上市公司，以避免与上市公司</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及下属公司形成同业竞争或潜在同业竞争，以确保上市公司及上市公司其他股东利</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益不受损害。</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92"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tcBorders>
              <w:top w:val="single" w:sz="15" w:space="0" w:color="000000"/>
              <w:left w:val="single" w:sz="4" w:space="0" w:color="000000"/>
              <w:bottom w:val="nil" w:sz="6" w:space="0" w:color="auto"/>
              <w:right w:val="single" w:sz="4" w:space="0" w:color="000000"/>
            </w:tcBorders>
          </w:tcPr>
          <w:p>
            <w:pPr/>
          </w:p>
        </w:tc>
        <w:tc>
          <w:tcPr>
            <w:tcW w:w="1418" w:type="dxa"/>
            <w:tcBorders>
              <w:top w:val="single" w:sz="15" w:space="0" w:color="000000"/>
              <w:left w:val="single" w:sz="4" w:space="0" w:color="000000"/>
              <w:bottom w:val="nil" w:sz="6" w:space="0" w:color="auto"/>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关于避免与上市公司同业竞争的承诺：</w:t>
            </w:r>
          </w:p>
        </w:tc>
        <w:tc>
          <w:tcPr>
            <w:tcW w:w="1280" w:type="dxa"/>
            <w:tcBorders>
              <w:top w:val="single" w:sz="15" w:space="0" w:color="000000"/>
              <w:left w:val="single" w:sz="4" w:space="0" w:color="000000"/>
              <w:bottom w:val="nil" w:sz="6" w:space="0" w:color="auto"/>
              <w:right w:val="single" w:sz="4" w:space="0" w:color="000000"/>
            </w:tcBorders>
          </w:tcPr>
          <w:p>
            <w:pPr/>
          </w:p>
        </w:tc>
        <w:tc>
          <w:tcPr>
            <w:tcW w:w="1272" w:type="dxa"/>
            <w:tcBorders>
              <w:top w:val="single" w:sz="15" w:space="0" w:color="000000"/>
              <w:left w:val="single" w:sz="4" w:space="0" w:color="000000"/>
              <w:bottom w:val="nil" w:sz="6" w:space="0" w:color="auto"/>
              <w:right w:val="single" w:sz="4" w:space="0" w:color="000000"/>
            </w:tcBorders>
          </w:tcPr>
          <w:p>
            <w:pPr/>
          </w:p>
        </w:tc>
        <w:tc>
          <w:tcPr>
            <w:tcW w:w="1656" w:type="dxa"/>
            <w:tcBorders>
              <w:top w:val="single" w:sz="15" w:space="0" w:color="000000"/>
              <w:left w:val="single" w:sz="4" w:space="0" w:color="000000"/>
              <w:bottom w:val="nil" w:sz="6" w:space="0" w:color="auto"/>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本次交易完成后，作为众信旅游本次配套融资过程中非公开发行股份的股份认购</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方，冯滨就避免与众信旅游同业竞争事宜出具了《关于避免同业竞争的承诺函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本次重组完成后，在作为众信旅游实际控制人期间，本人及本人控制的其</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联交易及资金占 用方面的承诺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1"/>
              <w:jc w:val="left"/>
              <w:rPr>
                <w:rFonts w:ascii="宋体" w:hAnsi="宋体" w:cs="宋体" w:eastAsia="宋体" w:hint="default"/>
                <w:sz w:val="18"/>
                <w:szCs w:val="18"/>
              </w:rPr>
            </w:pPr>
            <w:r>
              <w:rPr>
                <w:rFonts w:ascii="宋体" w:hAnsi="宋体" w:cs="宋体" w:eastAsia="宋体" w:hint="default"/>
                <w:sz w:val="18"/>
                <w:szCs w:val="18"/>
              </w:rPr>
              <w:t>他企业不会直接或间接从事任何与众信旅游及其下属公司主要经营业务构成同业 </w:t>
            </w:r>
            <w:r>
              <w:rPr>
                <w:rFonts w:ascii="宋体" w:hAnsi="宋体" w:cs="宋体" w:eastAsia="宋体" w:hint="default"/>
                <w:spacing w:val="-1"/>
                <w:sz w:val="18"/>
                <w:szCs w:val="18"/>
              </w:rPr>
              <w:t>竞争或潜在同业竞争关系的生产与经营，亦不会投资任何与众信旅游及其下属公司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主要经营业务构成同业竞争或潜在同业竞争关系的其他企业；如在上述期间，本人</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或本人控制的其他企业获得的商业机会与众信旅游及其下属公司主营业务发生同</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业竞争或可能发生同业竞争的，本人将立即通知众信旅游，并尽力将该商业机会给</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予众信旅游，以避免与众信旅游及下属公司形成同业竞争或潜在同业竞争，以确保</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众信旅游及众信旅游其他股东利益不受损害。</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关于避免与上市公司同业竞争的承诺：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本次交易完成后，作为众信旅游本次配套融资过程中非公开发行股份的股份认购</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方，白斌就避免与众信旅游同业竞争事宜出具了《关于避免同业竞争的承诺函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本次重组完成后，在作为众信旅游股东期间，本人及本人控制的其他企业</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白斌</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联交易及资金占 用方面的承诺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1"/>
              <w:jc w:val="left"/>
              <w:rPr>
                <w:rFonts w:ascii="宋体" w:hAnsi="宋体" w:cs="宋体" w:eastAsia="宋体" w:hint="default"/>
                <w:sz w:val="18"/>
                <w:szCs w:val="18"/>
              </w:rPr>
            </w:pPr>
            <w:r>
              <w:rPr>
                <w:rFonts w:ascii="宋体" w:hAnsi="宋体" w:cs="宋体" w:eastAsia="宋体" w:hint="default"/>
                <w:sz w:val="18"/>
                <w:szCs w:val="18"/>
              </w:rPr>
              <w:t>不会直接或间接从事任何与众信旅游及其下属公司主要经营业务构成同业竞争或 </w:t>
            </w:r>
            <w:r>
              <w:rPr>
                <w:rFonts w:ascii="宋体" w:hAnsi="宋体" w:cs="宋体" w:eastAsia="宋体" w:hint="default"/>
                <w:spacing w:val="-1"/>
                <w:sz w:val="18"/>
                <w:szCs w:val="18"/>
              </w:rPr>
              <w:t>潜在同业竞争关系的生产与经营，亦不会投资任何与众信旅游及其下属公司主要经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营业务构成同业竞争或潜在同业竞争关系的其他企业；如在上述期间，本人或本人</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控制的其他企业获得的商业机会与众信旅游及其下属公司主营业务发生同业竞争</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或可能发生同业竞争的，本人将立即通知众信旅游，并尽力将该商业机会给予众信</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旅游，以避免与众信旅游及下属公司形成同业竞争或潜在同业竞争，以确保众信旅</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游及众信旅游其他股东利益不受损害。</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82"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为减少和规范可能与众信旅游发生的关联交易，充分保护重组完成后上市公司的利</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95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82"/>
              <w:jc w:val="left"/>
              <w:rPr>
                <w:rFonts w:ascii="宋体" w:hAnsi="宋体" w:cs="宋体" w:eastAsia="宋体"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 </w:t>
            </w:r>
            <w:r>
              <w:rPr>
                <w:rFonts w:ascii="宋体" w:hAnsi="宋体" w:cs="宋体" w:eastAsia="宋体" w:hint="default"/>
                <w:sz w:val="18"/>
                <w:szCs w:val="18"/>
              </w:rPr>
              <w:t>上海祥禾泓安 股权投资合伙</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联交易及资金占 用方面的承诺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9" w:lineRule="auto" w:before="30"/>
              <w:ind w:left="22" w:right="20"/>
              <w:jc w:val="left"/>
              <w:rPr>
                <w:rFonts w:ascii="宋体" w:hAnsi="宋体" w:cs="宋体" w:eastAsia="宋体" w:hint="default"/>
                <w:sz w:val="18"/>
                <w:szCs w:val="18"/>
              </w:rPr>
            </w:pPr>
            <w:r>
              <w:rPr>
                <w:rFonts w:ascii="宋体" w:hAnsi="宋体" w:cs="宋体" w:eastAsia="宋体" w:hint="default"/>
                <w:sz w:val="18"/>
                <w:szCs w:val="18"/>
              </w:rPr>
              <w:t>益，郭洪斌、陆勇、何静蔚、苏杰、张一满、李爽、上海祥禾和天津富德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名交易 </w:t>
            </w:r>
            <w:r>
              <w:rPr>
                <w:rFonts w:ascii="宋体" w:hAnsi="宋体" w:cs="宋体" w:eastAsia="宋体" w:hint="default"/>
                <w:spacing w:val="-3"/>
                <w:sz w:val="18"/>
                <w:szCs w:val="18"/>
              </w:rPr>
              <w:t>对方出具了《关于规范关联交易的承诺函》，就规范与众信旅游关联交易事宜作出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如下确认和承诺：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在本次重组完成后，本人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本合伙企业及本人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本合伙企业控制的</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146"/>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企业将尽可能避免和减少与上市公司的关联交易，对于无法避免或有合理理由存在</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本合伙企业控制的企业将与上市公司按照公</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1"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伟业企业管理</w:t>
            </w: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平、公允、等价有偿等原则依法签订协议，履行合法程序，并将按照有关法律、法</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咨询中心（有</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规、其他规范性文件以及《北京众信国际旅行社股份有限公司章程》等的规定，依</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法履行相关内部决策批准程序并及时履行信息披露义务，保证不以与市场价格相比</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显失公允的条件与上市公司进行交易，保证不利用关联交易非法转移上市公司的资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金、利润，亦不利用该类交易从事任何损害上市公司及其他股东合法权益的行为。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若出现违反上述承诺而损害上市公司利益的情形，本人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本合伙企业将对前述行为而</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给上市公司造成的损失向上市公司进行赔偿。</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7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九泰基金（九泰基金慧通定增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r>
              <w:rPr>
                <w:rFonts w:ascii="宋体" w:hAnsi="宋体" w:cs="宋体" w:eastAsia="宋体" w:hint="default"/>
                <w:spacing w:val="1"/>
                <w:sz w:val="18"/>
                <w:szCs w:val="18"/>
              </w:rPr>
              <w:t>管</w:t>
            </w:r>
            <w:r>
              <w:rPr>
                <w:rFonts w:ascii="宋体" w:hAnsi="宋体" w:cs="宋体" w:eastAsia="宋体" w:hint="default"/>
                <w:sz w:val="18"/>
                <w:szCs w:val="18"/>
              </w:rPr>
              <w:t>理计划</w:t>
            </w:r>
            <w:r>
              <w:rPr>
                <w:rFonts w:ascii="宋体" w:hAnsi="宋体" w:cs="宋体" w:eastAsia="宋体" w:hint="default"/>
                <w:spacing w:val="-90"/>
                <w:sz w:val="18"/>
                <w:szCs w:val="18"/>
              </w:rPr>
              <w:t>）</w:t>
            </w:r>
            <w:r>
              <w:rPr>
                <w:rFonts w:ascii="宋体" w:hAnsi="宋体" w:cs="宋体" w:eastAsia="宋体" w:hint="default"/>
                <w:sz w:val="18"/>
                <w:szCs w:val="18"/>
              </w:rPr>
              <w:t>、瑞联投资、冯滨、白斌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名募</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集配套资金认购方出具了《关于规范关联交易的承诺函</w:t>
            </w:r>
            <w:r>
              <w:rPr>
                <w:rFonts w:ascii="宋体" w:hAnsi="宋体" w:cs="宋体" w:eastAsia="宋体" w:hint="default"/>
                <w:spacing w:val="-90"/>
                <w:sz w:val="18"/>
                <w:szCs w:val="18"/>
              </w:rPr>
              <w:t>》</w:t>
            </w:r>
            <w:r>
              <w:rPr>
                <w:rFonts w:ascii="宋体" w:hAnsi="宋体" w:cs="宋体" w:eastAsia="宋体" w:hint="default"/>
                <w:sz w:val="18"/>
                <w:szCs w:val="18"/>
              </w:rPr>
              <w:t>，就规范与众信旅游关联</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交易事宜作出如下确认和承诺：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7" w:lineRule="auto" w:before="142"/>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 泰基金管理有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 海瑞联一号投 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联交易及资金占 用方面的承诺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20"/>
              <w:jc w:val="left"/>
              <w:rPr>
                <w:rFonts w:ascii="宋体" w:hAnsi="宋体" w:cs="宋体" w:eastAsia="宋体" w:hint="default"/>
                <w:sz w:val="18"/>
                <w:szCs w:val="18"/>
              </w:rPr>
            </w:pP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本合伙企业控制的企业与上市公司的交易（如有）定价公允、合理，决策程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序合法、有效，不存在显失公平的关联交易；</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、在本次交易完成后，本人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本合伙企业及本人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本合伙企业控制的企业将尽可能避免和减少与上市公司 的关联交易，对于无法避免或有合理理由存在的关联交易，本人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 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本合伙企业控制的企业将与上市公司依法签订协议，履行合法程 </w:t>
            </w:r>
            <w:r>
              <w:rPr>
                <w:rFonts w:ascii="宋体" w:hAnsi="宋体" w:cs="宋体" w:eastAsia="宋体" w:hint="default"/>
                <w:spacing w:val="-1"/>
                <w:sz w:val="18"/>
                <w:szCs w:val="18"/>
              </w:rPr>
              <w:t>序，并将按照有关法律、法规、其他规范性文件以及上市公司章程等的规定，依法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履行相关内部决策批准程序并及时履行信息披露义务，保证关联交易定价公允、合</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理，交易条件公平，保证不利用关联交易非法转移上市公司的资金、利润，亦不利</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用该类交易从事任何损害上市公司及其他股东合法权益的行为；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本合伙企业违反上述承诺给上市公司造成损失的，本人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本合伙企业将赔偿</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上市公司由此遭受的损失。</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29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95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9" w:lineRule="auto" w:before="25"/>
              <w:ind w:left="23" w:right="82"/>
              <w:jc w:val="left"/>
              <w:rPr>
                <w:rFonts w:ascii="宋体" w:hAnsi="宋体" w:cs="宋体" w:eastAsia="宋体"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 </w:t>
            </w:r>
            <w:r>
              <w:rPr>
                <w:rFonts w:ascii="宋体" w:hAnsi="宋体" w:cs="宋体" w:eastAsia="宋体" w:hint="default"/>
                <w:sz w:val="18"/>
                <w:szCs w:val="18"/>
              </w:rPr>
              <w:t>上海祥禾泓安 股权投资合伙</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关于不存在内幕交易行为的承诺：</w:t>
            </w:r>
          </w:p>
          <w:p>
            <w:pPr>
              <w:pStyle w:val="TableParagraph"/>
              <w:spacing w:line="302" w:lineRule="auto" w:before="116"/>
              <w:ind w:left="22" w:right="132"/>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本企业不存在泄露本次重组事宜的相关内幕信息或利用该内幕信息进行内幕 交易的情形。若违反上述承诺，将承担因此而给上市公司造成的一切损失。</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1"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伟业企业管理</w:t>
            </w:r>
          </w:p>
        </w:tc>
        <w:tc>
          <w:tcPr>
            <w:tcW w:w="1418" w:type="dxa"/>
            <w:vMerge w:val="restart"/>
            <w:tcBorders>
              <w:top w:val="single" w:sz="15" w:space="0" w:color="000000"/>
              <w:left w:val="single" w:sz="4" w:space="0" w:color="000000"/>
              <w:right w:val="single" w:sz="4" w:space="0" w:color="000000"/>
            </w:tcBorders>
          </w:tcPr>
          <w:p>
            <w:pPr/>
          </w:p>
        </w:tc>
        <w:tc>
          <w:tcPr>
            <w:tcW w:w="6517" w:type="dxa"/>
            <w:vMerge w:val="restart"/>
            <w:tcBorders>
              <w:top w:val="single" w:sz="15" w:space="0" w:color="000000"/>
              <w:left w:val="single" w:sz="4" w:space="0" w:color="000000"/>
              <w:right w:val="single" w:sz="4" w:space="0" w:color="000000"/>
            </w:tcBorders>
          </w:tcPr>
          <w:p>
            <w:pP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咨询中心（有</w:t>
            </w:r>
          </w:p>
        </w:tc>
        <w:tc>
          <w:tcPr>
            <w:tcW w:w="1418" w:type="dxa"/>
            <w:vMerge/>
            <w:tcBorders>
              <w:left w:val="single" w:sz="4" w:space="0" w:color="000000"/>
              <w:right w:val="single" w:sz="4" w:space="0" w:color="000000"/>
            </w:tcBorders>
          </w:tcPr>
          <w:p>
            <w:pPr/>
          </w:p>
        </w:tc>
        <w:tc>
          <w:tcPr>
            <w:tcW w:w="6517" w:type="dxa"/>
            <w:vMerge/>
            <w:tcBorders>
              <w:left w:val="single" w:sz="4" w:space="0" w:color="000000"/>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限合伙）</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冯滨</w:t>
            </w:r>
            <w:r>
              <w:rPr>
                <w:rFonts w:ascii="Times New Roman" w:hAnsi="Times New Roman" w:cs="Times New Roman" w:eastAsia="Times New Roman" w:hint="default"/>
                <w:spacing w:val="-5"/>
                <w:sz w:val="18"/>
                <w:szCs w:val="18"/>
              </w:rPr>
              <w:t>;</w:t>
            </w:r>
          </w:p>
        </w:tc>
        <w:tc>
          <w:tcPr>
            <w:tcW w:w="1418" w:type="dxa"/>
            <w:vMerge/>
            <w:tcBorders>
              <w:left w:val="single" w:sz="4" w:space="0" w:color="000000"/>
              <w:right w:val="single" w:sz="4" w:space="0" w:color="000000"/>
            </w:tcBorders>
          </w:tcPr>
          <w:p>
            <w:pPr/>
          </w:p>
        </w:tc>
        <w:tc>
          <w:tcPr>
            <w:tcW w:w="6517" w:type="dxa"/>
            <w:vMerge/>
            <w:tcBorders>
              <w:left w:val="single" w:sz="4" w:space="0" w:color="000000"/>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九泰基金</w:t>
            </w:r>
          </w:p>
        </w:tc>
        <w:tc>
          <w:tcPr>
            <w:tcW w:w="1418" w:type="dxa"/>
            <w:vMerge/>
            <w:tcBorders>
              <w:left w:val="single" w:sz="4" w:space="0" w:color="000000"/>
              <w:right w:val="single" w:sz="4" w:space="0" w:color="000000"/>
            </w:tcBorders>
          </w:tcPr>
          <w:p>
            <w:pPr/>
          </w:p>
        </w:tc>
        <w:tc>
          <w:tcPr>
            <w:tcW w:w="6517" w:type="dxa"/>
            <w:vMerge/>
            <w:tcBorders>
              <w:left w:val="single" w:sz="4" w:space="0" w:color="000000"/>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管理有限公司</w:t>
            </w:r>
            <w:r>
              <w:rPr>
                <w:rFonts w:ascii="Times New Roman" w:hAnsi="Times New Roman" w:cs="Times New Roman" w:eastAsia="Times New Roman" w:hint="default"/>
                <w:sz w:val="18"/>
                <w:szCs w:val="18"/>
              </w:rPr>
              <w:t>;</w:t>
            </w:r>
          </w:p>
        </w:tc>
        <w:tc>
          <w:tcPr>
            <w:tcW w:w="1418" w:type="dxa"/>
            <w:vMerge/>
            <w:tcBorders>
              <w:left w:val="single" w:sz="4" w:space="0" w:color="000000"/>
              <w:right w:val="single" w:sz="4" w:space="0" w:color="000000"/>
            </w:tcBorders>
          </w:tcPr>
          <w:p>
            <w:pPr/>
          </w:p>
        </w:tc>
        <w:tc>
          <w:tcPr>
            <w:tcW w:w="6517" w:type="dxa"/>
            <w:vMerge/>
            <w:tcBorders>
              <w:left w:val="single" w:sz="4" w:space="0" w:color="000000"/>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深圳前海瑞联</w:t>
            </w:r>
          </w:p>
        </w:tc>
        <w:tc>
          <w:tcPr>
            <w:tcW w:w="1418" w:type="dxa"/>
            <w:vMerge/>
            <w:tcBorders>
              <w:left w:val="single" w:sz="4" w:space="0" w:color="000000"/>
              <w:right w:val="single" w:sz="4" w:space="0" w:color="000000"/>
            </w:tcBorders>
          </w:tcPr>
          <w:p>
            <w:pPr/>
          </w:p>
        </w:tc>
        <w:tc>
          <w:tcPr>
            <w:tcW w:w="6517" w:type="dxa"/>
            <w:vMerge/>
            <w:tcBorders>
              <w:left w:val="single" w:sz="4" w:space="0" w:color="000000"/>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一号投资中心</w:t>
            </w:r>
          </w:p>
        </w:tc>
        <w:tc>
          <w:tcPr>
            <w:tcW w:w="1418" w:type="dxa"/>
            <w:vMerge/>
            <w:tcBorders>
              <w:left w:val="single" w:sz="4" w:space="0" w:color="000000"/>
              <w:right w:val="single" w:sz="4" w:space="0" w:color="000000"/>
            </w:tcBorders>
          </w:tcPr>
          <w:p>
            <w:pPr/>
          </w:p>
        </w:tc>
        <w:tc>
          <w:tcPr>
            <w:tcW w:w="6517" w:type="dxa"/>
            <w:vMerge/>
            <w:tcBorders>
              <w:left w:val="single" w:sz="4" w:space="0" w:color="000000"/>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418" w:type="dxa"/>
            <w:vMerge/>
            <w:tcBorders>
              <w:left w:val="single" w:sz="4" w:space="0" w:color="000000"/>
              <w:bottom w:val="single" w:sz="4" w:space="0" w:color="000000"/>
              <w:right w:val="single" w:sz="4" w:space="0" w:color="000000"/>
            </w:tcBorders>
          </w:tcPr>
          <w:p>
            <w:pPr/>
          </w:p>
        </w:tc>
        <w:tc>
          <w:tcPr>
            <w:tcW w:w="6517"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62"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关于保证上市公司独立性的承诺：</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上海祥禾泓安</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本次交易全体交易对方承诺：本次重组前，竹园国旅一直在业务、资产、机构、人</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股权投资合伙 企业（有限合</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0"/>
              <w:jc w:val="left"/>
              <w:rPr>
                <w:rFonts w:ascii="宋体" w:hAnsi="宋体" w:cs="宋体" w:eastAsia="宋体" w:hint="default"/>
                <w:sz w:val="18"/>
                <w:szCs w:val="18"/>
              </w:rPr>
            </w:pPr>
            <w:r>
              <w:rPr>
                <w:rFonts w:ascii="宋体" w:hAnsi="宋体" w:cs="宋体" w:eastAsia="宋体" w:hint="default"/>
                <w:spacing w:val="-1"/>
                <w:sz w:val="18"/>
                <w:szCs w:val="18"/>
              </w:rPr>
              <w:t>员、财务等方面与本合伙企业及本合伙企业控制的其他企业完全分开，竹园国旅的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业务、资产、人员、财务和机构独立。本次重组完成后，本合伙企业承诺不会利用</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上市公司股东的身份影响上市公司独立性，并尽可能保证上市公司在业务、资产、</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伟业企业管理</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机构、人员、财务的独立性。</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咨询中心（有</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关于保证上市公司独立性的承诺：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九泰基金（九泰基金慧通定增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r>
              <w:rPr>
                <w:rFonts w:ascii="宋体" w:hAnsi="宋体" w:cs="宋体" w:eastAsia="宋体" w:hint="default"/>
                <w:spacing w:val="1"/>
                <w:sz w:val="18"/>
                <w:szCs w:val="18"/>
              </w:rPr>
              <w:t>管</w:t>
            </w:r>
            <w:r>
              <w:rPr>
                <w:rFonts w:ascii="宋体" w:hAnsi="宋体" w:cs="宋体" w:eastAsia="宋体" w:hint="default"/>
                <w:sz w:val="18"/>
                <w:szCs w:val="18"/>
              </w:rPr>
              <w:t>理计划</w:t>
            </w:r>
            <w:r>
              <w:rPr>
                <w:rFonts w:ascii="宋体" w:hAnsi="宋体" w:cs="宋体" w:eastAsia="宋体" w:hint="default"/>
                <w:spacing w:val="-90"/>
                <w:sz w:val="18"/>
                <w:szCs w:val="18"/>
              </w:rPr>
              <w:t>）</w:t>
            </w:r>
            <w:r>
              <w:rPr>
                <w:rFonts w:ascii="宋体" w:hAnsi="宋体" w:cs="宋体" w:eastAsia="宋体" w:hint="default"/>
                <w:sz w:val="18"/>
                <w:szCs w:val="18"/>
              </w:rPr>
              <w:t>、瑞联投资、冯滨、白斌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名募</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泰基金管理有</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集配套资金认购方出具</w:t>
            </w:r>
            <w:r>
              <w:rPr>
                <w:rFonts w:ascii="宋体" w:hAnsi="宋体" w:cs="宋体" w:eastAsia="宋体" w:hint="default"/>
                <w:spacing w:val="-2"/>
                <w:sz w:val="18"/>
                <w:szCs w:val="18"/>
              </w:rPr>
              <w:t>了</w:t>
            </w:r>
            <w:r>
              <w:rPr>
                <w:rFonts w:ascii="宋体" w:hAnsi="宋体" w:cs="宋体" w:eastAsia="宋体" w:hint="default"/>
                <w:sz w:val="18"/>
                <w:szCs w:val="18"/>
              </w:rPr>
              <w:t>《关于保证上市公司独立性的承诺函</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承诺</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本次重组</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31"/>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 海瑞联一号投</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2" w:right="21"/>
              <w:jc w:val="left"/>
              <w:rPr>
                <w:rFonts w:ascii="宋体" w:hAnsi="宋体" w:cs="宋体" w:eastAsia="宋体" w:hint="default"/>
                <w:sz w:val="18"/>
                <w:szCs w:val="18"/>
              </w:rPr>
            </w:pPr>
            <w:r>
              <w:rPr>
                <w:rFonts w:ascii="宋体" w:hAnsi="宋体" w:cs="宋体" w:eastAsia="宋体" w:hint="default"/>
                <w:spacing w:val="-3"/>
                <w:sz w:val="18"/>
                <w:szCs w:val="18"/>
              </w:rPr>
              <w:t>前，众信旅游一直在业务、资产、机构、人员、财务等方面与本人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本企业控制的其</w:t>
            </w:r>
            <w:r>
              <w:rPr>
                <w:rFonts w:ascii="宋体" w:hAnsi="宋体" w:cs="宋体" w:eastAsia="宋体" w:hint="default"/>
                <w:spacing w:val="-54"/>
                <w:sz w:val="18"/>
                <w:szCs w:val="18"/>
              </w:rPr>
              <w:t> </w:t>
            </w:r>
            <w:r>
              <w:rPr>
                <w:rFonts w:ascii="宋体" w:hAnsi="宋体" w:cs="宋体" w:eastAsia="宋体" w:hint="default"/>
                <w:spacing w:val="-1"/>
                <w:sz w:val="18"/>
                <w:szCs w:val="18"/>
              </w:rPr>
              <w:t>他企业（如有）完全分开，众信旅游的业务、资产、人员、财务和机构独立。本次</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重组完成后，本人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本企业控制其他企业不会利用上市公司股东的身</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份影响上市公司的独立性，并尽可能保证众信旅游在业务、资产、机构、人员、财</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务的独立性。</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161"/>
              <w:jc w:val="both"/>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 </w:t>
            </w: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 </w:t>
            </w: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关于无违法行为的承诺：</w:t>
            </w:r>
          </w:p>
          <w:p>
            <w:pPr>
              <w:pStyle w:val="TableParagraph"/>
              <w:spacing w:line="300" w:lineRule="auto" w:before="116"/>
              <w:ind w:left="22" w:right="21"/>
              <w:jc w:val="left"/>
              <w:rPr>
                <w:rFonts w:ascii="宋体" w:hAnsi="宋体" w:cs="宋体" w:eastAsia="宋体" w:hint="default"/>
                <w:sz w:val="18"/>
                <w:szCs w:val="18"/>
              </w:rPr>
            </w:pPr>
            <w:r>
              <w:rPr>
                <w:rFonts w:ascii="宋体" w:hAnsi="宋体" w:cs="宋体" w:eastAsia="宋体" w:hint="default"/>
                <w:sz w:val="18"/>
                <w:szCs w:val="18"/>
              </w:rPr>
              <w:t>本次交易全体交易对方确认：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本合伙企业主 </w:t>
            </w:r>
            <w:r>
              <w:rPr>
                <w:rFonts w:ascii="宋体" w:hAnsi="宋体" w:cs="宋体" w:eastAsia="宋体" w:hint="default"/>
                <w:spacing w:val="-1"/>
                <w:sz w:val="18"/>
                <w:szCs w:val="18"/>
              </w:rPr>
              <w:t>要管理人员最近五年未受过与证券市场相关的行政处罚、刑事处罚，没有涉及与经</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bl>
    <w:p>
      <w:pPr>
        <w:spacing w:after="0" w:line="319"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91.990509pt;margin-top:246.899994pt;width:132.7pt;height:238.05pt;mso-position-horizontal-relative:page;mso-position-vertical-relative:page;z-index:-1092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准确性和完整性，</w:t>
                  </w:r>
                </w:p>
              </w:txbxContent>
            </v:textbox>
            <w10:wrap type="none"/>
          </v:shape>
        </w:pict>
      </w:r>
      <w:r>
        <w:rPr/>
        <w:pict>
          <v:group style="position:absolute;margin-left:561.109985pt;margin-top:246.899994pt;width:63.55pt;height:238.05pt;mso-position-horizontal-relative:page;mso-position-vertical-relative:page;z-index:-1092040" coordorigin="11222,4938" coordsize="1271,4761">
            <v:group style="position:absolute;left:11222;top:4938;width:1271;height:4761" coordorigin="11222,4938" coordsize="1271,4761">
              <v:shape style="position:absolute;left:11222;top:4938;width:1271;height:4761" coordorigin="11222,4938" coordsize="1271,4761" path="m11222,4938l11222,9698,12493,9698,12493,4938,11222,4938xe" filled="true" fillcolor="#ffffff" stroked="false">
                <v:path arrowok="t"/>
                <v:fill type="solid"/>
              </v:shape>
            </v:group>
            <v:group style="position:absolute;left:11245;top:6966;width:1226;height:352" coordorigin="11245,6966" coordsize="1226,352">
              <v:shape style="position:absolute;left:11245;top:6966;width:1226;height:352" coordorigin="11245,6966" coordsize="1226,352" path="m11245,6966l11245,7318,12470,7318,12470,6966,11245,6966xe" filled="true" fillcolor="#ffffff" stroked="false">
                <v:path arrowok="t"/>
                <v:fill type="solid"/>
              </v:shape>
            </v:group>
            <v:group style="position:absolute;left:11245;top:7318;width:1226;height:353" coordorigin="11245,7318" coordsize="1226,353">
              <v:shape style="position:absolute;left:11245;top:7318;width:1226;height:353" coordorigin="11245,7318" coordsize="1226,353" path="m11245,7318l11245,7670,12470,7670,12470,7318,11245,7318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6"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上海祥禾泓安</w:t>
            </w: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济纠纷有关的重大民事诉讼或者仲裁。</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本合伙企业符合作为上市公</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股权投资合伙</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司非公开发行股票发行对象的条件，不存在法律、法规、规章或规范性文件规定的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不得作为上市公司非公开发行股票发行对象的情形。</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本合伙企业不</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存在《上市公司收购管理办法》第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w:t>
            </w:r>
            <w:r>
              <w:rPr>
                <w:rFonts w:ascii="宋体" w:hAnsi="宋体" w:cs="宋体" w:eastAsia="宋体" w:hint="default"/>
                <w:spacing w:val="1"/>
                <w:sz w:val="18"/>
                <w:szCs w:val="18"/>
              </w:rPr>
              <w:t>规</w:t>
            </w:r>
            <w:r>
              <w:rPr>
                <w:rFonts w:ascii="宋体" w:hAnsi="宋体" w:cs="宋体" w:eastAsia="宋体" w:hint="default"/>
                <w:sz w:val="18"/>
                <w:szCs w:val="18"/>
              </w:rPr>
              <w:t>定的如下不得收购上市公司的情形</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伟业企业管理</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负有数额较大债务</w:t>
            </w:r>
            <w:r>
              <w:rPr>
                <w:rFonts w:ascii="宋体" w:hAnsi="宋体" w:cs="宋体" w:eastAsia="宋体" w:hint="default"/>
                <w:spacing w:val="-5"/>
                <w:sz w:val="18"/>
                <w:szCs w:val="18"/>
              </w:rPr>
              <w:t>，</w:t>
            </w:r>
            <w:r>
              <w:rPr>
                <w:rFonts w:ascii="宋体" w:hAnsi="宋体" w:cs="宋体" w:eastAsia="宋体" w:hint="default"/>
                <w:sz w:val="18"/>
                <w:szCs w:val="18"/>
              </w:rPr>
              <w:t>到期未清偿</w:t>
            </w:r>
            <w:r>
              <w:rPr>
                <w:rFonts w:ascii="宋体" w:hAnsi="宋体" w:cs="宋体" w:eastAsia="宋体" w:hint="default"/>
                <w:spacing w:val="-5"/>
                <w:sz w:val="18"/>
                <w:szCs w:val="18"/>
              </w:rPr>
              <w:t>，</w:t>
            </w:r>
            <w:r>
              <w:rPr>
                <w:rFonts w:ascii="宋体" w:hAnsi="宋体" w:cs="宋体" w:eastAsia="宋体" w:hint="default"/>
                <w:sz w:val="18"/>
                <w:szCs w:val="18"/>
              </w:rPr>
              <w:t>且处于持续状态</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有</w:t>
            </w:r>
            <w:r>
              <w:rPr>
                <w:rFonts w:ascii="宋体" w:hAnsi="宋体" w:cs="宋体" w:eastAsia="宋体" w:hint="default"/>
                <w:sz w:val="18"/>
                <w:szCs w:val="18"/>
              </w:rPr>
              <w:t>重大违法行为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咨询中心（有</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或者涉嫌有重大违法行为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有</w:t>
            </w:r>
            <w:r>
              <w:rPr>
                <w:rFonts w:ascii="宋体" w:hAnsi="宋体" w:cs="宋体" w:eastAsia="宋体" w:hint="default"/>
                <w:sz w:val="18"/>
                <w:szCs w:val="18"/>
              </w:rPr>
              <w:t>严重的证券市场失信行为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）法律、</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限合伙）</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冯滨</w:t>
            </w:r>
            <w:r>
              <w:rPr>
                <w:rFonts w:ascii="Times New Roman" w:hAnsi="Times New Roman" w:cs="Times New Roman" w:eastAsia="Times New Roman" w:hint="default"/>
                <w:spacing w:val="-5"/>
                <w:sz w:val="18"/>
                <w:szCs w:val="18"/>
              </w:rPr>
              <w:t>;</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行政法规规定以及中国证监会认定的不得收购上市公司的其他情形。</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白斌</w:t>
            </w:r>
            <w:r>
              <w:rPr>
                <w:rFonts w:ascii="Times New Roman" w:hAnsi="Times New Roman" w:cs="Times New Roman" w:eastAsia="Times New Roman" w:hint="default"/>
                <w:sz w:val="18"/>
                <w:szCs w:val="18"/>
              </w:rPr>
              <w:t>;</w:t>
            </w:r>
            <w:r>
              <w:rPr>
                <w:rFonts w:ascii="宋体" w:hAnsi="宋体" w:cs="宋体" w:eastAsia="宋体" w:hint="default"/>
                <w:sz w:val="18"/>
                <w:szCs w:val="18"/>
              </w:rPr>
              <w:t>九泰基金</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管理有限公司</w:t>
            </w:r>
            <w:r>
              <w:rPr>
                <w:rFonts w:ascii="Times New Roman" w:hAnsi="Times New Roman" w:cs="Times New Roman" w:eastAsia="Times New Roman" w:hint="default"/>
                <w:sz w:val="18"/>
                <w:szCs w:val="18"/>
              </w:rPr>
              <w:t>;</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深圳前海瑞联</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一号投资中心</w:t>
            </w: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62"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郭洪斌</w:t>
            </w:r>
            <w:r>
              <w:rPr>
                <w:rFonts w:ascii="Times New Roman" w:hAnsi="Times New Roman" w:cs="Times New Roman" w:eastAsia="Times New Roman" w:hint="default"/>
                <w:sz w:val="18"/>
                <w:szCs w:val="18"/>
              </w:rPr>
              <w:t>;</w:t>
            </w:r>
            <w:r>
              <w:rPr>
                <w:rFonts w:ascii="宋体" w:hAnsi="宋体" w:cs="宋体" w:eastAsia="宋体" w:hint="default"/>
                <w:sz w:val="18"/>
                <w:szCs w:val="18"/>
              </w:rPr>
              <w:t>陆勇</w:t>
            </w:r>
            <w:r>
              <w:rPr>
                <w:rFonts w:ascii="Times New Roman" w:hAnsi="Times New Roman" w:cs="Times New Roman" w:eastAsia="Times New Roman" w:hint="default"/>
                <w:sz w:val="18"/>
                <w:szCs w:val="18"/>
              </w:rPr>
              <w:t>;</w:t>
            </w: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何静蔚</w:t>
            </w:r>
            <w:r>
              <w:rPr>
                <w:rFonts w:ascii="Times New Roman" w:hAnsi="Times New Roman" w:cs="Times New Roman" w:eastAsia="Times New Roman" w:hint="default"/>
                <w:sz w:val="18"/>
                <w:szCs w:val="18"/>
              </w:rPr>
              <w:t>;</w:t>
            </w:r>
            <w:r>
              <w:rPr>
                <w:rFonts w:ascii="宋体" w:hAnsi="宋体" w:cs="宋体" w:eastAsia="宋体" w:hint="default"/>
                <w:sz w:val="18"/>
                <w:szCs w:val="18"/>
              </w:rPr>
              <w:t>苏杰</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张一满</w:t>
            </w:r>
            <w:r>
              <w:rPr>
                <w:rFonts w:ascii="Times New Roman" w:hAnsi="Times New Roman" w:cs="Times New Roman" w:eastAsia="Times New Roman" w:hint="default"/>
                <w:sz w:val="18"/>
                <w:szCs w:val="18"/>
              </w:rPr>
              <w:t>;</w:t>
            </w:r>
            <w:r>
              <w:rPr>
                <w:rFonts w:ascii="宋体" w:hAnsi="宋体" w:cs="宋体" w:eastAsia="宋体" w:hint="default"/>
                <w:sz w:val="18"/>
                <w:szCs w:val="18"/>
              </w:rPr>
              <w:t>李爽</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关于提供信息真实、准确和完整的承诺：</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上海祥禾泓安</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机构已向上市公司及为本次重大资产重组提供审计、评估、法律及财务顾问专</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股权投资合伙</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业服务的中介机构提供了本人有关本次重大资产重组的相关信息和文件（包括但不</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限于原始书面材料、副本材料或口头证言等</w:t>
            </w:r>
            <w:r>
              <w:rPr>
                <w:rFonts w:ascii="宋体" w:hAnsi="宋体" w:cs="宋体" w:eastAsia="宋体" w:hint="default"/>
                <w:spacing w:val="-90"/>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机构保证所提供的文件资料的</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9" w:lineRule="auto"/>
              <w:ind w:left="23" w:right="31"/>
              <w:jc w:val="both"/>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天津富德 伟业企业管理 咨询中心（有</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
              <w:jc w:val="both"/>
              <w:rPr>
                <w:rFonts w:ascii="宋体" w:hAnsi="宋体" w:cs="宋体" w:eastAsia="宋体" w:hint="default"/>
                <w:sz w:val="18"/>
                <w:szCs w:val="18"/>
              </w:rPr>
            </w:pPr>
            <w:r>
              <w:rPr>
                <w:rFonts w:ascii="宋体" w:hAnsi="宋体" w:cs="宋体" w:eastAsia="宋体" w:hint="default"/>
                <w:sz w:val="18"/>
                <w:szCs w:val="18"/>
              </w:rPr>
              <w:t>副本或复印件与正本或原件一致，且该等文件资料的签字与印章都是真实的，该等 文件的签署人业经合法授权并有效签署该文件；保证所提供信息和文件真实、准确 和完整，不存在虚假记载、误导性陈述或者重大遗漏，并对所提供信息的真实性、</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正常履行，承诺人无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违反承诺的情况。</w:t>
            </w: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九泰</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2"/>
                <w:sz w:val="18"/>
                <w:szCs w:val="18"/>
              </w:rPr>
              <w:t>准确性和完整性承担相应的法律责任。在参与本次重大资产重组期间，本人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机构将</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基金管理有限</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依照相关法律、法规、规章、中国证监会和证券交易所的有关规定，及时向上市公</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司披露有关本次重大资产重组的信息，并保证该等信息的真实性、</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瑞联一号投资</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保证该等信息不存在虚假记载、误导性陈述或者重大遗漏。</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白斌</w:t>
            </w: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首次公 开发行 或再融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57" w:lineRule="auto"/>
              <w:ind w:left="22" w:right="21"/>
              <w:jc w:val="left"/>
              <w:rPr>
                <w:rFonts w:ascii="宋体" w:hAnsi="宋体" w:cs="宋体" w:eastAsia="宋体" w:hint="default"/>
                <w:sz w:val="18"/>
                <w:szCs w:val="18"/>
              </w:rPr>
            </w:pPr>
            <w:r>
              <w:rPr>
                <w:rFonts w:ascii="宋体" w:hAnsi="宋体" w:cs="宋体" w:eastAsia="宋体" w:hint="default"/>
                <w:sz w:val="18"/>
                <w:szCs w:val="18"/>
              </w:rPr>
              <w:t>股份限售承诺： </w:t>
            </w:r>
            <w:r>
              <w:rPr>
                <w:rFonts w:ascii="宋体" w:hAnsi="宋体" w:cs="宋体" w:eastAsia="宋体" w:hint="default"/>
                <w:spacing w:val="-1"/>
                <w:sz w:val="18"/>
                <w:szCs w:val="18"/>
              </w:rPr>
              <w:t>本人所持公司股票扣除公开发售后（如有）的部分自公司上市之日起三十六个月内</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正常履行，未发生违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反承诺情形。截至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22"/>
                <w:sz w:val="18"/>
                <w:szCs w:val="18"/>
              </w:rPr>
              <w:t>日，冯</w:t>
            </w:r>
          </w:p>
        </w:tc>
      </w:tr>
    </w:tbl>
    <w:p>
      <w:pPr>
        <w:spacing w:after="0" w:line="316"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73.990509pt;margin-top:57.18pt;width:150.7pt;height:173.65pt;mso-position-horizontal-relative:page;mso-position-vertical-relative:page;z-index:-109199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在前述锁定期期满后，</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1" w:hRule="exact"/>
        </w:trPr>
        <w:tc>
          <w:tcPr>
            <w:tcW w:w="673" w:type="dxa"/>
            <w:tcBorders>
              <w:top w:val="single" w:sz="15"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资时所</w:t>
            </w: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不转让或者委托他人管理，也不由公司回购本人持有的股份；</w:t>
            </w:r>
          </w:p>
        </w:tc>
        <w:tc>
          <w:tcPr>
            <w:tcW w:w="1280" w:type="dxa"/>
            <w:vMerge w:val="restart"/>
            <w:tcBorders>
              <w:top w:val="single" w:sz="15" w:space="0" w:color="000000"/>
              <w:left w:val="single" w:sz="4" w:space="0" w:color="000000"/>
              <w:right w:val="single" w:sz="4" w:space="0" w:color="000000"/>
            </w:tcBorders>
          </w:tcPr>
          <w:p>
            <w:pPr>
              <w:pStyle w:val="TableParagraph"/>
              <w:spacing w:line="347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63.55pt;height:173.65pt;mso-position-horizontal-relative:char;mso-position-vertical-relative:line" coordorigin="0,0" coordsize="1271,3473">
                  <v:group style="position:absolute;left:0;top:0;width:1271;height:3473" coordorigin="0,0" coordsize="1271,3473">
                    <v:shape style="position:absolute;left:0;top:0;width:1271;height:3473" coordorigin="0,0" coordsize="1271,3473" path="m0,0l0,3473,1271,3473,1271,0,0,0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1272" w:type="dxa"/>
            <w:vMerge w:val="restart"/>
            <w:tcBorders>
              <w:top w:val="single" w:sz="15" w:space="0" w:color="000000"/>
              <w:left w:val="single" w:sz="4" w:space="0" w:color="000000"/>
              <w:right w:val="single" w:sz="4" w:space="0" w:color="000000"/>
            </w:tcBorders>
          </w:tcPr>
          <w:p>
            <w:pPr/>
          </w:p>
        </w:tc>
        <w:tc>
          <w:tcPr>
            <w:tcW w:w="165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滨先生所持首发前</w:t>
            </w:r>
          </w:p>
        </w:tc>
      </w:tr>
      <w:tr>
        <w:trPr>
          <w:trHeight w:val="313"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在任职期间内每年通过集中竞价、大宗交易、协议转让等方式转让的股份不超过本</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限售股已上市流通。</w:t>
            </w:r>
          </w:p>
        </w:tc>
      </w:tr>
      <w:tr>
        <w:trPr>
          <w:trHeight w:val="316"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人所持公司股份总数的</w:t>
            </w:r>
            <w:r>
              <w:rPr>
                <w:rFonts w:ascii="宋体" w:hAnsi="宋体" w:cs="宋体" w:eastAsia="宋体" w:hint="default"/>
                <w:spacing w:val="-25"/>
                <w:sz w:val="18"/>
                <w:szCs w:val="18"/>
              </w:rPr>
              <w:t>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；在离任后六个月内，不转让所持公司股份，离任六个</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月后的十二个月内转让的股份不超过所持公司股份总数的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。本人所持公司股票</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在锁定期满后两年内减持的，减持价格不低于发行价；公司上市后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个月内如公司</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发行价，本人持有公司股票的锁定期限自动延长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个月。上述减持价格和股份锁定</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承诺不因本人不再作为公司控股股东或者职务变更、离职而终止。上述发行价指公</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司首次公开发行股票的发行价格，如果公司上市后因派发现金红利、送股、转增股</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本、增发新股等原因进行除权、除息的，则按照证券交易所的有关规定作除权除息</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处理。</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担任公司董事、监事、高级管理人员的股东承诺（首发上市时担任董事、监事、高</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管股东</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本人所持公司股票扣除公开发售后（如有）的部分自公司上市之日起十二个月内不</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转让或者委托他人管理，也不由公司回购本人持有的股份；在前述锁定期期满后，</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在任职期间内每年通过集中竞价、大宗交易、协议转让等方式转让的股份不超过本</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951"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111"/>
              <w:jc w:val="both"/>
              <w:rPr>
                <w:rFonts w:ascii="宋体" w:hAnsi="宋体" w:cs="宋体" w:eastAsia="宋体" w:hint="default"/>
                <w:sz w:val="18"/>
                <w:szCs w:val="18"/>
              </w:rPr>
            </w:pP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r>
              <w:rPr>
                <w:rFonts w:ascii="宋体" w:hAnsi="宋体" w:cs="宋体" w:eastAsia="宋体" w:hint="default"/>
                <w:sz w:val="18"/>
                <w:szCs w:val="18"/>
              </w:rPr>
              <w:t>韩 丽</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张磊</w:t>
            </w:r>
            <w:r>
              <w:rPr>
                <w:rFonts w:ascii="Times New Roman" w:hAnsi="Times New Roman" w:cs="Times New Roman" w:eastAsia="Times New Roman" w:hint="default"/>
                <w:sz w:val="18"/>
                <w:szCs w:val="18"/>
              </w:rPr>
              <w:t>; </w:t>
            </w:r>
            <w:r>
              <w:rPr>
                <w:rFonts w:ascii="宋体" w:hAnsi="宋体" w:cs="宋体" w:eastAsia="宋体" w:hint="default"/>
                <w:sz w:val="18"/>
                <w:szCs w:val="18"/>
              </w:rPr>
              <w:t>赵锐</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20"/>
              <w:jc w:val="both"/>
              <w:rPr>
                <w:rFonts w:ascii="宋体" w:hAnsi="宋体" w:cs="宋体" w:eastAsia="宋体" w:hint="default"/>
                <w:sz w:val="18"/>
                <w:szCs w:val="18"/>
              </w:rPr>
            </w:pPr>
            <w:r>
              <w:rPr>
                <w:rFonts w:ascii="宋体" w:hAnsi="宋体" w:cs="宋体" w:eastAsia="宋体" w:hint="default"/>
                <w:sz w:val="18"/>
                <w:szCs w:val="18"/>
              </w:rPr>
              <w:t>人所持公司股份总数的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；在离任后六个月内，不转让所持公司股份，离任六个 月后的十二个月内转让的股份不超过所持公司股份总数的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。本人所持公司股票</w:t>
            </w:r>
            <w:r>
              <w:rPr>
                <w:rFonts w:ascii="宋体" w:hAnsi="宋体" w:cs="宋体" w:eastAsia="宋体" w:hint="default"/>
                <w:sz w:val="18"/>
                <w:szCs w:val="18"/>
              </w:rPr>
              <w:t> 在锁定期满后两年内减持的，减持价格不低于发行价；公司上市后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个月内如公司</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正常履行，未发生违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反承诺情形。</w:t>
            </w: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个交易日的收盘价均低于发行价，或者上市后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发行价，本人持有公司股票的锁定期限自动延长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个月。上述减持价格和股份锁定</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承诺不因本人职务变更、离职而终止。上述发行价指公司首次公开发行股票的发行</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价格，如果公司上市后因派发现金红利、送股、转增股本、增发新股等原因进行除</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权、除息的，则按照证券交易所的有关规定作除权除息处理。</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8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以上股东持股意向及减持意向承诺：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698"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公司控股股东冯滨的持股意向及减持意向如下</w:t>
            </w:r>
            <w:r>
              <w:rPr>
                <w:rFonts w:ascii="宋体" w:hAnsi="宋体" w:cs="宋体" w:eastAsia="宋体" w:hint="default"/>
                <w:spacing w:val="-90"/>
                <w:sz w:val="18"/>
                <w:szCs w:val="18"/>
              </w:rPr>
              <w:t>：</w:t>
            </w:r>
            <w:r>
              <w:rPr>
                <w:rFonts w:ascii="宋体" w:hAnsi="宋体" w:cs="宋体" w:eastAsia="宋体" w:hint="default"/>
                <w:sz w:val="18"/>
                <w:szCs w:val="18"/>
              </w:rPr>
              <w:t>（一）本人拟长期持有公司股票；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（二）如果在锁定期满后，本人拟减持股票的，将认真遵守证监会、交易所关于股</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67"/>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正常履行，未发生违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反承诺情形。</w:t>
            </w:r>
          </w:p>
        </w:tc>
      </w:tr>
      <w:tr>
        <w:trPr>
          <w:trHeight w:val="253"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东减持的相关规定，结合公司稳定股价、开展经营、资本运作的需要，审慎制定股</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票减持计划，在股票锁定期满后逐步减持</w:t>
            </w:r>
            <w:r>
              <w:rPr>
                <w:rFonts w:ascii="宋体" w:hAnsi="宋体" w:cs="宋体" w:eastAsia="宋体" w:hint="default"/>
                <w:spacing w:val="-90"/>
                <w:sz w:val="18"/>
                <w:szCs w:val="18"/>
              </w:rPr>
              <w:t>；</w:t>
            </w:r>
            <w:r>
              <w:rPr>
                <w:rFonts w:ascii="宋体" w:hAnsi="宋体" w:cs="宋体" w:eastAsia="宋体" w:hint="default"/>
                <w:sz w:val="18"/>
                <w:szCs w:val="18"/>
              </w:rPr>
              <w:t>（三）本人减持公司股份应符合相关法</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1"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律、法规、规章的规定，具体方式包括但不限于交易所集中竞价交易方式、大宗交</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易方式、协议转让方式等</w:t>
            </w:r>
            <w:r>
              <w:rPr>
                <w:rFonts w:ascii="宋体" w:hAnsi="宋体" w:cs="宋体" w:eastAsia="宋体" w:hint="default"/>
                <w:spacing w:val="-90"/>
                <w:sz w:val="18"/>
                <w:szCs w:val="18"/>
              </w:rPr>
              <w:t>；</w:t>
            </w:r>
            <w:r>
              <w:rPr>
                <w:rFonts w:ascii="宋体" w:hAnsi="宋体" w:cs="宋体" w:eastAsia="宋体" w:hint="default"/>
                <w:sz w:val="18"/>
                <w:szCs w:val="18"/>
              </w:rPr>
              <w:t>（四）本人减持公司股份前，应提前三个交易日予以公</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告，并按照证券交易所的规则及时、准确地履行信息披露义务；本人持有公司股份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r>
              <w:rPr>
                <w:rFonts w:ascii="宋体" w:hAnsi="宋体" w:cs="宋体" w:eastAsia="宋体" w:hint="default"/>
                <w:spacing w:val="-99"/>
                <w:sz w:val="18"/>
                <w:szCs w:val="18"/>
              </w:rPr>
              <w:t>；</w:t>
            </w:r>
            <w:r>
              <w:rPr>
                <w:rFonts w:ascii="宋体" w:hAnsi="宋体" w:cs="宋体" w:eastAsia="宋体" w:hint="default"/>
                <w:sz w:val="18"/>
                <w:szCs w:val="18"/>
              </w:rPr>
              <w:t>（五</w:t>
            </w:r>
            <w:r>
              <w:rPr>
                <w:rFonts w:ascii="宋体" w:hAnsi="宋体" w:cs="宋体" w:eastAsia="宋体" w:hint="default"/>
                <w:spacing w:val="-9"/>
                <w:sz w:val="18"/>
                <w:szCs w:val="18"/>
              </w:rPr>
              <w:t>）</w:t>
            </w:r>
            <w:r>
              <w:rPr>
                <w:rFonts w:ascii="宋体" w:hAnsi="宋体" w:cs="宋体" w:eastAsia="宋体" w:hint="default"/>
                <w:sz w:val="18"/>
                <w:szCs w:val="18"/>
              </w:rPr>
              <w:t>如果在锁定期满后两年内</w:t>
            </w:r>
            <w:r>
              <w:rPr>
                <w:rFonts w:ascii="宋体" w:hAnsi="宋体" w:cs="宋体" w:eastAsia="宋体" w:hint="default"/>
                <w:spacing w:val="-9"/>
                <w:sz w:val="18"/>
                <w:szCs w:val="18"/>
              </w:rPr>
              <w:t>，</w:t>
            </w:r>
            <w:r>
              <w:rPr>
                <w:rFonts w:ascii="宋体" w:hAnsi="宋体" w:cs="宋体" w:eastAsia="宋体" w:hint="default"/>
                <w:sz w:val="18"/>
                <w:szCs w:val="18"/>
              </w:rPr>
              <w:t>本人拟减持股票的</w:t>
            </w:r>
            <w:r>
              <w:rPr>
                <w:rFonts w:ascii="宋体" w:hAnsi="宋体" w:cs="宋体" w:eastAsia="宋体" w:hint="default"/>
                <w:spacing w:val="-9"/>
                <w:sz w:val="18"/>
                <w:szCs w:val="18"/>
              </w:rPr>
              <w:t>，</w:t>
            </w:r>
            <w:r>
              <w:rPr>
                <w:rFonts w:ascii="宋体" w:hAnsi="宋体" w:cs="宋体" w:eastAsia="宋体" w:hint="default"/>
                <w:sz w:val="18"/>
                <w:szCs w:val="18"/>
              </w:rPr>
              <w:t>减持价</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格不低于发行价（指发行人首次公开发行股票的发行价格，如果因公司上市后派发</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现金红利、送股、转增股本、增发新股等原因进行除权、除息的，则按照证券交易</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所的有关规定作除权除息处理</w:t>
            </w:r>
            <w:r>
              <w:rPr>
                <w:rFonts w:ascii="宋体" w:hAnsi="宋体" w:cs="宋体" w:eastAsia="宋体" w:hint="default"/>
                <w:spacing w:val="-90"/>
                <w:sz w:val="18"/>
                <w:szCs w:val="18"/>
              </w:rPr>
              <w:t>）</w:t>
            </w:r>
            <w:r>
              <w:rPr>
                <w:rFonts w:ascii="宋体" w:hAnsi="宋体" w:cs="宋体" w:eastAsia="宋体" w:hint="default"/>
                <w:sz w:val="18"/>
                <w:szCs w:val="18"/>
              </w:rPr>
              <w:t>。锁定期满后两年内，本人每年减持所持有的公司</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股份数量合计不超过上一年度最后一个交易日登记在本人名下的股份总数的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因公司进行权益分派、减资缩股等导致本人所持公司股份变化的，相应年度可转让</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股份额度做相应变更</w:t>
            </w:r>
            <w:r>
              <w:rPr>
                <w:rFonts w:ascii="宋体" w:hAnsi="宋体" w:cs="宋体" w:eastAsia="宋体" w:hint="default"/>
                <w:spacing w:val="-90"/>
                <w:sz w:val="18"/>
                <w:szCs w:val="18"/>
              </w:rPr>
              <w:t>；</w:t>
            </w:r>
            <w:r>
              <w:rPr>
                <w:rFonts w:ascii="宋体" w:hAnsi="宋体" w:cs="宋体" w:eastAsia="宋体" w:hint="default"/>
                <w:sz w:val="18"/>
                <w:szCs w:val="18"/>
              </w:rPr>
              <w:t>（六）如果本人未履行上述减持意向，本人将在股东大会及</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中国证监会指定的披露媒体上公开说明未履行承诺的具体原因并向公司股东和社</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会公众投资者道歉</w:t>
            </w:r>
            <w:r>
              <w:rPr>
                <w:rFonts w:ascii="宋体" w:hAnsi="宋体" w:cs="宋体" w:eastAsia="宋体" w:hint="default"/>
                <w:spacing w:val="-90"/>
                <w:sz w:val="18"/>
                <w:szCs w:val="18"/>
              </w:rPr>
              <w:t>；</w:t>
            </w:r>
            <w:r>
              <w:rPr>
                <w:rFonts w:ascii="宋体" w:hAnsi="宋体" w:cs="宋体" w:eastAsia="宋体" w:hint="default"/>
                <w:sz w:val="18"/>
                <w:szCs w:val="18"/>
              </w:rPr>
              <w:t>（七）如果本人未履行上述减持意向，本人持有的公司股份自</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本人未履行上述减持意向之日起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82"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以上股东持股意向及减持意向承诺：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2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（一）如果在锁定期满后，本人拟减持股票的，将认真遵守证监会、交易所关于股</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东减持的相关规定，结合公司稳定股价、开展经营、资本运作的需要，审慎制定股</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票减持计划，在股票锁定期满后逐步减持</w:t>
            </w:r>
            <w:r>
              <w:rPr>
                <w:rFonts w:ascii="宋体" w:hAnsi="宋体" w:cs="宋体" w:eastAsia="宋体" w:hint="default"/>
                <w:spacing w:val="-90"/>
                <w:sz w:val="18"/>
                <w:szCs w:val="18"/>
              </w:rPr>
              <w:t>；</w:t>
            </w:r>
            <w:r>
              <w:rPr>
                <w:rFonts w:ascii="宋体" w:hAnsi="宋体" w:cs="宋体" w:eastAsia="宋体" w:hint="default"/>
                <w:sz w:val="18"/>
                <w:szCs w:val="18"/>
              </w:rPr>
              <w:t>（二）本人减持公司股份应符合相关法</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律、法规、规章的规定，具体方式包括但不限于交易所集中竞价交易方式、大宗交</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易方式、协议转让方式等</w:t>
            </w:r>
            <w:r>
              <w:rPr>
                <w:rFonts w:ascii="宋体" w:hAnsi="宋体" w:cs="宋体" w:eastAsia="宋体" w:hint="default"/>
                <w:spacing w:val="-90"/>
                <w:sz w:val="18"/>
                <w:szCs w:val="18"/>
              </w:rPr>
              <w:t>；</w:t>
            </w:r>
            <w:r>
              <w:rPr>
                <w:rFonts w:ascii="宋体" w:hAnsi="宋体" w:cs="宋体" w:eastAsia="宋体" w:hint="default"/>
                <w:sz w:val="18"/>
                <w:szCs w:val="18"/>
              </w:rPr>
              <w:t>（三）本人减持公司股份前，应提前三个交易日予以公</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告，并按照证券交易所的规则及时、准确地履行信息披露义务；本人持有公司股份</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3"/>
                <w:sz w:val="18"/>
                <w:szCs w:val="18"/>
              </w:rPr>
              <w:t>履行完毕，承诺人未</w:t>
            </w:r>
          </w:p>
        </w:tc>
      </w:tr>
      <w:tr>
        <w:trPr>
          <w:trHeight w:val="93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林岩、曹建</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2" w:right="20"/>
              <w:jc w:val="both"/>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以下时除外；（四）如果在锁定期满后两年内，本人拟减持股票的，减持价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格不低于发行价（指发行人首次公开发行股票的发行价格，如果因公司上市后派发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现金红利、送股、转增股本、增发新股等原因进行除权、除息的，则按照证券交易</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3"/>
                <w:sz w:val="18"/>
                <w:szCs w:val="18"/>
              </w:rPr>
              <w:t>违反相关承诺。截至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目前林岩、曹建不再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为公司持股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r>
      <w:tr>
        <w:trPr>
          <w:trHeight w:val="32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所的有关规定作除权除息处理</w:t>
            </w:r>
            <w:r>
              <w:rPr>
                <w:rFonts w:ascii="宋体" w:hAnsi="宋体" w:cs="宋体" w:eastAsia="宋体" w:hint="default"/>
                <w:spacing w:val="-90"/>
                <w:sz w:val="18"/>
                <w:szCs w:val="18"/>
              </w:rPr>
              <w:t>）</w:t>
            </w:r>
            <w:r>
              <w:rPr>
                <w:rFonts w:ascii="宋体" w:hAnsi="宋体" w:cs="宋体" w:eastAsia="宋体" w:hint="default"/>
                <w:sz w:val="18"/>
                <w:szCs w:val="18"/>
              </w:rPr>
              <w:t>。锁定期满后两年内，本人每年减持所持有的公司</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股份数量合计不超过上一年度最后一个交易日登记在本人名下的股份总数的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因公司进行权益分派、减资缩股等导致本人所持公司股份变化的，相应年度可转让</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股份额度做相应变更</w:t>
            </w:r>
            <w:r>
              <w:rPr>
                <w:rFonts w:ascii="宋体" w:hAnsi="宋体" w:cs="宋体" w:eastAsia="宋体" w:hint="default"/>
                <w:spacing w:val="-90"/>
                <w:sz w:val="18"/>
                <w:szCs w:val="18"/>
              </w:rPr>
              <w:t>；</w:t>
            </w:r>
            <w:r>
              <w:rPr>
                <w:rFonts w:ascii="宋体" w:hAnsi="宋体" w:cs="宋体" w:eastAsia="宋体" w:hint="default"/>
                <w:sz w:val="18"/>
                <w:szCs w:val="18"/>
              </w:rPr>
              <w:t>（五）如果本人未履行上述减持意向，本人将在股东大会及</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中国证监会指定的披露媒体上公开说明未履行承诺的具体原因并向公司股东和社</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会公众投资者道歉</w:t>
            </w:r>
            <w:r>
              <w:rPr>
                <w:rFonts w:ascii="宋体" w:hAnsi="宋体" w:cs="宋体" w:eastAsia="宋体" w:hint="default"/>
                <w:spacing w:val="-90"/>
                <w:sz w:val="18"/>
                <w:szCs w:val="18"/>
              </w:rPr>
              <w:t>；</w:t>
            </w:r>
            <w:r>
              <w:rPr>
                <w:rFonts w:ascii="宋体" w:hAnsi="宋体" w:cs="宋体" w:eastAsia="宋体" w:hint="default"/>
                <w:sz w:val="18"/>
                <w:szCs w:val="18"/>
              </w:rPr>
              <w:t>（六）如果本人未履行上述减持意向，本人持有的公司股份自</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本人未履行上述减持意向之日起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54.930176pt;margin-top:204.119995pt;width:69.75pt;height:316pt;mso-position-horizontal-relative:page;mso-position-vertical-relative:page;z-index:-1091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1.109985pt;margin-top:204.119995pt;width:63.55pt;height:316pt;mso-position-horizontal-relative:page;mso-position-vertical-relative:page;z-index:-1091944" coordorigin="11222,4082" coordsize="1271,6320">
            <v:group style="position:absolute;left:11222;top:4082;width:1271;height:6320" coordorigin="11222,4082" coordsize="1271,6320">
              <v:shape style="position:absolute;left:11222;top:4082;width:1271;height:6320" coordorigin="11222,4082" coordsize="1271,6320" path="m11222,4082l11222,10402,12493,10402,12493,4082,11222,4082xe" filled="true" fillcolor="#ffffff" stroked="false">
                <v:path arrowok="t"/>
                <v:fill type="solid"/>
              </v:shape>
            </v:group>
            <v:group style="position:absolute;left:11245;top:6890;width:1226;height:352" coordorigin="11245,6890" coordsize="1226,352">
              <v:shape style="position:absolute;left:11245;top:6890;width:1226;height:352" coordorigin="11245,6890" coordsize="1226,352" path="m11245,6890l11245,7242,12470,7242,12470,6890,11245,6890xe" filled="true" fillcolor="#ffffff" stroked="false">
                <v:path arrowok="t"/>
                <v:fill type="solid"/>
              </v:shape>
            </v:group>
            <v:group style="position:absolute;left:11245;top:7242;width:1226;height:352" coordorigin="11245,7242" coordsize="1226,352">
              <v:shape style="position:absolute;left:11245;top:7242;width:1226;height:352" coordorigin="11245,7242" coordsize="1226,352" path="m11245,7242l11245,7594,12470,7594,12470,7242,11245,7242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92"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tcBorders>
              <w:top w:val="single" w:sz="15" w:space="0" w:color="000000"/>
              <w:left w:val="single" w:sz="4" w:space="0" w:color="000000"/>
              <w:bottom w:val="nil" w:sz="6" w:space="0" w:color="auto"/>
              <w:right w:val="single" w:sz="4" w:space="0" w:color="000000"/>
            </w:tcBorders>
          </w:tcPr>
          <w:p>
            <w:pPr/>
          </w:p>
        </w:tc>
        <w:tc>
          <w:tcPr>
            <w:tcW w:w="1418" w:type="dxa"/>
            <w:tcBorders>
              <w:top w:val="single" w:sz="15" w:space="0" w:color="000000"/>
              <w:left w:val="single" w:sz="4" w:space="0" w:color="000000"/>
              <w:bottom w:val="nil" w:sz="6" w:space="0" w:color="auto"/>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公司实际控制人对上市后公司的股利分配政策和现金分红比例规定的承诺：</w:t>
            </w:r>
          </w:p>
        </w:tc>
        <w:tc>
          <w:tcPr>
            <w:tcW w:w="1280" w:type="dxa"/>
            <w:tcBorders>
              <w:top w:val="single" w:sz="15" w:space="0" w:color="000000"/>
              <w:left w:val="single" w:sz="4" w:space="0" w:color="000000"/>
              <w:bottom w:val="nil" w:sz="6" w:space="0" w:color="auto"/>
              <w:right w:val="single" w:sz="4" w:space="0" w:color="000000"/>
            </w:tcBorders>
          </w:tcPr>
          <w:p>
            <w:pPr/>
          </w:p>
        </w:tc>
        <w:tc>
          <w:tcPr>
            <w:tcW w:w="1272" w:type="dxa"/>
            <w:tcBorders>
              <w:top w:val="single" w:sz="15" w:space="0" w:color="000000"/>
              <w:left w:val="single" w:sz="4" w:space="0" w:color="000000"/>
              <w:bottom w:val="nil" w:sz="6" w:space="0" w:color="auto"/>
              <w:right w:val="single" w:sz="4" w:space="0" w:color="000000"/>
            </w:tcBorders>
          </w:tcPr>
          <w:p>
            <w:pPr/>
          </w:p>
        </w:tc>
        <w:tc>
          <w:tcPr>
            <w:tcW w:w="1656" w:type="dxa"/>
            <w:tcBorders>
              <w:top w:val="single" w:sz="15" w:space="0" w:color="000000"/>
              <w:left w:val="single" w:sz="4" w:space="0" w:color="000000"/>
              <w:bottom w:val="nil" w:sz="6" w:space="0" w:color="auto"/>
              <w:right w:val="single" w:sz="4" w:space="0" w:color="000000"/>
            </w:tcBorders>
          </w:tcPr>
          <w:p>
            <w:pPr/>
          </w:p>
        </w:tc>
      </w:tr>
      <w:tr>
        <w:trPr>
          <w:trHeight w:val="33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公司实际控制人冯滨先生承诺：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严格遵守《北京众信国际旅行社股份有限公司章</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程（草案</w:t>
            </w:r>
            <w:r>
              <w:rPr>
                <w:rFonts w:ascii="宋体" w:hAnsi="宋体" w:cs="宋体" w:eastAsia="宋体" w:hint="default"/>
                <w:spacing w:val="-90"/>
                <w:sz w:val="18"/>
                <w:szCs w:val="18"/>
              </w:rPr>
              <w:t>）》</w:t>
            </w:r>
            <w:r>
              <w:rPr>
                <w:rFonts w:ascii="宋体" w:hAnsi="宋体" w:cs="宋体" w:eastAsia="宋体" w:hint="default"/>
                <w:sz w:val="18"/>
                <w:szCs w:val="18"/>
              </w:rPr>
              <w:t>（注：指公司上市后适用的现行有效的公司章程，以下简称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《公司章</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0"/>
              <w:jc w:val="both"/>
              <w:rPr>
                <w:rFonts w:ascii="宋体" w:hAnsi="宋体" w:cs="宋体" w:eastAsia="宋体" w:hint="default"/>
                <w:sz w:val="18"/>
                <w:szCs w:val="18"/>
              </w:rPr>
            </w:pPr>
            <w:r>
              <w:rPr>
                <w:rFonts w:ascii="宋体" w:hAnsi="宋体" w:cs="宋体" w:eastAsia="宋体" w:hint="default"/>
                <w:spacing w:val="-3"/>
                <w:sz w:val="18"/>
                <w:szCs w:val="18"/>
              </w:rPr>
              <w:t>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）中关于公司利润分配政策的相关规定，积极支持与配合公司董事会根据《公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司章程》相关规定制订公司利润分配方案，确保董事会在制订公司利润分配方案时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能综合考虑公司所处行业特点、发展阶段、公司经营模式、盈利水平以及是否有重</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正常履行，未发生违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反承诺情形。</w:t>
            </w: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大资金支出安排等因素，且现金分红在本次利润分配中所占比例最低应达到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同时，本人承诺在公司董事会及股东大会审议符合相关法律、法规、规范性文件以</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及《公司章程》规定的相关利润分配议案时投赞成票。</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有关股东及实际控制人避免同业竞争的承诺：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（一）为避免未来发生同业竞争，更好地维护中小股东的利益，公司控股股东冯滨</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股份以上的自然人股东林岩、曹建分别出具了《关于避免同业</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竞争的承诺函</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所做出的承诺如下</w:t>
            </w:r>
            <w:r>
              <w:rPr>
                <w:rFonts w:ascii="宋体" w:hAnsi="宋体" w:cs="宋体" w:eastAsia="宋体" w:hint="default"/>
                <w:spacing w:val="-6"/>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人目前没有直接或间接地从事任何与北</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京众信国际旅行社股份有限公司业务相同或类似的经营活动；</w:t>
            </w:r>
            <w:r>
              <w:rPr>
                <w:rFonts w:ascii="Times New Roman" w:hAnsi="Times New Roman" w:cs="Times New Roman" w:eastAsia="Times New Roman" w:hint="default"/>
                <w:sz w:val="18"/>
                <w:szCs w:val="18"/>
              </w:rPr>
              <w:t>2</w:t>
            </w:r>
            <w:r>
              <w:rPr>
                <w:rFonts w:ascii="宋体" w:hAnsi="宋体" w:cs="宋体" w:eastAsia="宋体" w:hint="default"/>
                <w:sz w:val="18"/>
                <w:szCs w:val="18"/>
              </w:rPr>
              <w:t>、将来不以任何方</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式从事，包括与他人合作直接或间接从事与公司相同、类似或在任何方面构成竞争</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、将尽一切可能之努力使本人不从事与公司相同、类似或在任何方面构</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29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、不投资控股或参股于业务与公司相同、类似或在任何方面构成</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126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冯滨</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w:t>
            </w:r>
          </w:p>
          <w:p>
            <w:pPr>
              <w:pStyle w:val="TableParagraph"/>
              <w:spacing w:line="300" w:lineRule="auto" w:before="61"/>
              <w:ind w:left="23" w:right="31"/>
              <w:jc w:val="left"/>
              <w:rPr>
                <w:rFonts w:ascii="宋体" w:hAnsi="宋体" w:cs="宋体" w:eastAsia="宋体" w:hint="default"/>
                <w:sz w:val="18"/>
                <w:szCs w:val="18"/>
              </w:rPr>
            </w:pPr>
            <w:r>
              <w:rPr>
                <w:rFonts w:ascii="宋体" w:hAnsi="宋体" w:cs="宋体" w:eastAsia="宋体" w:hint="default"/>
                <w:sz w:val="18"/>
                <w:szCs w:val="18"/>
              </w:rPr>
              <w:t>建</w:t>
            </w:r>
            <w:r>
              <w:rPr>
                <w:rFonts w:ascii="Times New Roman" w:hAnsi="Times New Roman" w:cs="Times New Roman" w:eastAsia="Times New Roman" w:hint="default"/>
                <w:sz w:val="18"/>
                <w:szCs w:val="18"/>
              </w:rPr>
              <w:t>;</w:t>
            </w:r>
            <w:r>
              <w:rPr>
                <w:rFonts w:ascii="宋体" w:hAnsi="宋体" w:cs="宋体" w:eastAsia="宋体" w:hint="default"/>
                <w:sz w:val="18"/>
                <w:szCs w:val="18"/>
              </w:rPr>
              <w:t>北京嘉俪九 鼎投资中心</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联交易、资金占用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7" w:lineRule="auto" w:before="24"/>
              <w:ind w:left="22" w:right="21"/>
              <w:jc w:val="left"/>
              <w:rPr>
                <w:rFonts w:ascii="宋体" w:hAnsi="宋体" w:cs="宋体" w:eastAsia="宋体" w:hint="default"/>
                <w:sz w:val="18"/>
                <w:szCs w:val="18"/>
              </w:rPr>
            </w:pPr>
            <w:r>
              <w:rPr>
                <w:rFonts w:ascii="宋体" w:hAnsi="宋体" w:cs="宋体" w:eastAsia="宋体" w:hint="default"/>
                <w:sz w:val="18"/>
                <w:szCs w:val="18"/>
              </w:rPr>
              <w:t>竞争的公司、企业或其他机构、组织；</w:t>
            </w:r>
            <w:r>
              <w:rPr>
                <w:rFonts w:ascii="Times New Roman" w:hAnsi="Times New Roman" w:cs="Times New Roman" w:eastAsia="Times New Roman" w:hint="default"/>
                <w:sz w:val="18"/>
                <w:szCs w:val="18"/>
              </w:rPr>
              <w:t>5</w:t>
            </w:r>
            <w:r>
              <w:rPr>
                <w:rFonts w:ascii="宋体" w:hAnsi="宋体" w:cs="宋体" w:eastAsia="宋体" w:hint="default"/>
                <w:sz w:val="18"/>
                <w:szCs w:val="18"/>
              </w:rPr>
              <w:t>、不向其他业务与公司相同、类似或在任 </w:t>
            </w:r>
            <w:r>
              <w:rPr>
                <w:rFonts w:ascii="宋体" w:hAnsi="宋体" w:cs="宋体" w:eastAsia="宋体" w:hint="default"/>
                <w:spacing w:val="-1"/>
                <w:sz w:val="18"/>
                <w:szCs w:val="18"/>
              </w:rPr>
              <w:t>何方面构成竞争的公司、企业或其他机构、组织或个人提供专有技术或提供销售管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道、客户信息等商业机密；</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、如果未来本人拟从事的业务可能与公司构成同业竞 争，本人将本着公司优先的原则与公司协商解决；</w:t>
            </w:r>
            <w:r>
              <w:rPr>
                <w:rFonts w:ascii="Times New Roman" w:hAnsi="Times New Roman" w:cs="Times New Roman" w:eastAsia="Times New Roman" w:hint="default"/>
                <w:sz w:val="18"/>
                <w:szCs w:val="18"/>
              </w:rPr>
              <w:t>7</w:t>
            </w:r>
            <w:r>
              <w:rPr>
                <w:rFonts w:ascii="宋体" w:hAnsi="宋体" w:cs="宋体" w:eastAsia="宋体" w:hint="default"/>
                <w:sz w:val="18"/>
                <w:szCs w:val="18"/>
              </w:rPr>
              <w:t>、本人确认本承诺书所载的每</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严格履行，未违反。</w:t>
            </w: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一项承诺均为可独立执行之承诺，任何一项承诺若被认定无效或终止将不影响其他</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各项承诺的有效性；</w:t>
            </w:r>
            <w:r>
              <w:rPr>
                <w:rFonts w:ascii="Times New Roman" w:hAnsi="Times New Roman" w:cs="Times New Roman" w:eastAsia="Times New Roman" w:hint="default"/>
                <w:sz w:val="18"/>
                <w:szCs w:val="18"/>
              </w:rPr>
              <w:t>8</w:t>
            </w:r>
            <w:r>
              <w:rPr>
                <w:rFonts w:ascii="宋体" w:hAnsi="宋体" w:cs="宋体" w:eastAsia="宋体" w:hint="default"/>
                <w:sz w:val="18"/>
                <w:szCs w:val="18"/>
              </w:rPr>
              <w:t>、上述各项承诺在本人作为公司实际控制人或主要股东期间</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及转让全部股份之日起一年内均持续有效且不可变更或撤销</w:t>
            </w:r>
            <w:r>
              <w:rPr>
                <w:rFonts w:ascii="宋体" w:hAnsi="宋体" w:cs="宋体" w:eastAsia="宋体" w:hint="default"/>
                <w:spacing w:val="-107"/>
                <w:sz w:val="18"/>
                <w:szCs w:val="18"/>
              </w:rPr>
              <w:t>。</w:t>
            </w:r>
            <w:r>
              <w:rPr>
                <w:rFonts w:ascii="宋体" w:hAnsi="宋体" w:cs="宋体" w:eastAsia="宋体" w:hint="default"/>
                <w:sz w:val="18"/>
                <w:szCs w:val="18"/>
              </w:rPr>
              <w:t>（二</w:t>
            </w:r>
            <w:r>
              <w:rPr>
                <w:rFonts w:ascii="宋体" w:hAnsi="宋体" w:cs="宋体" w:eastAsia="宋体" w:hint="default"/>
                <w:spacing w:val="-17"/>
                <w:sz w:val="18"/>
                <w:szCs w:val="18"/>
              </w:rPr>
              <w:t>）</w:t>
            </w:r>
            <w:r>
              <w:rPr>
                <w:rFonts w:ascii="宋体" w:hAnsi="宋体" w:cs="宋体" w:eastAsia="宋体" w:hint="default"/>
                <w:sz w:val="18"/>
                <w:szCs w:val="18"/>
              </w:rPr>
              <w:t>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份以上的法人股东北京嘉俪九鼎投资中心（有限合伙）出具了《关于避免同业竞争</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所做出的承诺如下</w:t>
            </w:r>
            <w:r>
              <w:rPr>
                <w:rFonts w:ascii="宋体" w:hAnsi="宋体" w:cs="宋体" w:eastAsia="宋体" w:hint="default"/>
                <w:spacing w:val="-6"/>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
                <w:sz w:val="18"/>
                <w:szCs w:val="18"/>
              </w:rPr>
              <w:t>、</w:t>
            </w:r>
            <w:r>
              <w:rPr>
                <w:rFonts w:ascii="宋体" w:hAnsi="宋体" w:cs="宋体" w:eastAsia="宋体" w:hint="default"/>
                <w:sz w:val="18"/>
                <w:szCs w:val="18"/>
              </w:rPr>
              <w:t>本中</w:t>
            </w:r>
            <w:r>
              <w:rPr>
                <w:rFonts w:ascii="宋体" w:hAnsi="宋体" w:cs="宋体" w:eastAsia="宋体" w:hint="default"/>
                <w:spacing w:val="-2"/>
                <w:sz w:val="18"/>
                <w:szCs w:val="18"/>
              </w:rPr>
              <w:t>心</w:t>
            </w:r>
            <w:r>
              <w:rPr>
                <w:rFonts w:ascii="宋体" w:hAnsi="宋体" w:cs="宋体" w:eastAsia="宋体" w:hint="default"/>
                <w:sz w:val="18"/>
                <w:szCs w:val="18"/>
              </w:rPr>
              <w:t>及其控制的其他企业目前没有直接或间</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接地从事任何与北京众信国际旅行社股份有限公司业务相同或类似的经营活动；</w:t>
            </w:r>
            <w:r>
              <w:rPr>
                <w:rFonts w:ascii="Times New Roman" w:hAnsi="Times New Roman" w:cs="Times New Roman" w:eastAsia="Times New Roman" w:hint="default"/>
                <w:sz w:val="18"/>
                <w:szCs w:val="18"/>
              </w:rPr>
              <w:t>2</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将来不以任何方式从事，包括与他人合作直接或间接从事与公司相同、类似或在任</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何方面构成竞争的业务；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、将尽一切可能之努力使本中心其他关联企业不从事与</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19.990509pt;margin-top:200.100006pt;width:204.7pt;height:162pt;mso-position-horizontal-relative:page;mso-position-vertical-relative:page;z-index:-1091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承诺杜绝一切非法占用公司的资金、</w:t>
                  </w:r>
                </w:p>
                <w:p>
                  <w:pPr>
                    <w:spacing w:before="76"/>
                    <w:ind w:left="2698"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1.109985pt;margin-top:200.100006pt;width:63.55pt;height:162pt;mso-position-horizontal-relative:page;mso-position-vertical-relative:page;z-index:-1091896" coordorigin="11222,4002" coordsize="1271,3240">
            <v:group style="position:absolute;left:11222;top:4002;width:1271;height:3240" coordorigin="11222,4002" coordsize="1271,3240">
              <v:shape style="position:absolute;left:11222;top:4002;width:1271;height:3240" coordorigin="11222,4002" coordsize="1271,3240" path="m11222,4002l11222,7242,12493,7242,12493,4002,11222,4002xe" filled="true" fillcolor="#ffffff" stroked="false">
                <v:path arrowok="t"/>
                <v:fill type="solid"/>
              </v:shape>
            </v:group>
            <v:group style="position:absolute;left:11245;top:5270;width:1226;height:352" coordorigin="11245,5270" coordsize="1226,352">
              <v:shape style="position:absolute;left:11245;top:5270;width:1226;height:352" coordorigin="11245,5270" coordsize="1226,352" path="m11245,5270l11245,5622,12470,5622,12470,5270,11245,5270xe" filled="true" fillcolor="#ffffff" stroked="false">
                <v:path arrowok="t"/>
                <v:fill type="solid"/>
              </v:shape>
            </v:group>
            <v:group style="position:absolute;left:11245;top:5622;width:1226;height:352" coordorigin="11245,5622" coordsize="1226,352">
              <v:shape style="position:absolute;left:11245;top:5622;width:1226;height:352" coordorigin="11245,5622" coordsize="1226,352" path="m11245,5622l11245,5974,12470,5974,12470,5622,11245,5622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6"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公司相同、类似或在任何方面构成竞争的业务；</w:t>
            </w:r>
            <w:r>
              <w:rPr>
                <w:rFonts w:ascii="Times New Roman" w:hAnsi="Times New Roman" w:cs="Times New Roman" w:eastAsia="Times New Roman" w:hint="default"/>
                <w:sz w:val="18"/>
                <w:szCs w:val="18"/>
              </w:rPr>
              <w:t>4</w:t>
            </w:r>
            <w:r>
              <w:rPr>
                <w:rFonts w:ascii="宋体" w:hAnsi="宋体" w:cs="宋体" w:eastAsia="宋体" w:hint="default"/>
                <w:sz w:val="18"/>
                <w:szCs w:val="18"/>
              </w:rPr>
              <w:t>、不投资控股或参股于业务与公</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司相同、类似或在任何方面构成竞争的公司、企业或其他机构、组织；</w:t>
            </w:r>
            <w:r>
              <w:rPr>
                <w:rFonts w:ascii="Times New Roman" w:hAnsi="Times New Roman" w:cs="Times New Roman" w:eastAsia="Times New Roman" w:hint="default"/>
                <w:sz w:val="18"/>
                <w:szCs w:val="18"/>
              </w:rPr>
              <w:t>5</w:t>
            </w:r>
            <w:r>
              <w:rPr>
                <w:rFonts w:ascii="宋体" w:hAnsi="宋体" w:cs="宋体" w:eastAsia="宋体" w:hint="default"/>
                <w:sz w:val="18"/>
                <w:szCs w:val="18"/>
              </w:rPr>
              <w:t>、不向其</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他业务与公司相同、类似或在任何方面构成竞争的公司、企业或其他机构、组织或</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个人提供专有技术或提供销售管道、客户信息等商业机密；</w:t>
            </w:r>
            <w:r>
              <w:rPr>
                <w:rFonts w:ascii="Times New Roman" w:hAnsi="Times New Roman" w:cs="Times New Roman" w:eastAsia="Times New Roman" w:hint="default"/>
                <w:sz w:val="18"/>
                <w:szCs w:val="18"/>
              </w:rPr>
              <w:t>6</w:t>
            </w:r>
            <w:r>
              <w:rPr>
                <w:rFonts w:ascii="宋体" w:hAnsi="宋体" w:cs="宋体" w:eastAsia="宋体" w:hint="default"/>
                <w:sz w:val="18"/>
                <w:szCs w:val="18"/>
              </w:rPr>
              <w:t>、如果未来本中心拟</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从事的业务可能与公司构成同业竞争，本中心将本着公司优先的原则与公司协商解</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w:t>
            </w:r>
            <w:r>
              <w:rPr>
                <w:rFonts w:ascii="Times New Roman" w:hAnsi="Times New Roman" w:cs="Times New Roman" w:eastAsia="Times New Roman" w:hint="default"/>
                <w:sz w:val="18"/>
                <w:szCs w:val="18"/>
              </w:rPr>
              <w:t>7</w:t>
            </w:r>
            <w:r>
              <w:rPr>
                <w:rFonts w:ascii="宋体" w:hAnsi="宋体" w:cs="宋体" w:eastAsia="宋体" w:hint="default"/>
                <w:sz w:val="18"/>
                <w:szCs w:val="18"/>
              </w:rPr>
              <w:t>、本中心确认本承诺书所载的每一项承诺均为可独立执行之承诺，任何一项</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承诺若被认定无效或终止将不影响其他各项承诺的有效性；</w:t>
            </w:r>
            <w:r>
              <w:rPr>
                <w:rFonts w:ascii="Times New Roman" w:hAnsi="Times New Roman" w:cs="Times New Roman" w:eastAsia="Times New Roman" w:hint="default"/>
                <w:sz w:val="18"/>
                <w:szCs w:val="18"/>
              </w:rPr>
              <w:t>8</w:t>
            </w:r>
            <w:r>
              <w:rPr>
                <w:rFonts w:ascii="宋体" w:hAnsi="宋体" w:cs="宋体" w:eastAsia="宋体" w:hint="default"/>
                <w:sz w:val="18"/>
                <w:szCs w:val="18"/>
              </w:rPr>
              <w:t>、上述各项承诺在本</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8"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中心作为公司主要股东期间及转让全部股份之日起一年内均持续有效且不可变更</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或撤销。</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7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控股股东、实际控制人关于减少和规范关联交易的承诺：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控股股东、实际控制人冯滨承诺：将继续严格按照《中华人民共和国公司法》等法</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律法规以及《公司章程》的有关规定行使股东权利；在股东大会对有关涉及其事项</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联交易、资金占用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3"/>
                <w:sz w:val="18"/>
                <w:szCs w:val="18"/>
              </w:rPr>
              <w:t>的关联交易进行表决时，履行回避表决的义务；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资产的行为，不与发行人发生资金拆借行为（正常经营活动中预支的备用金除外）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在任何情况下，不要求发行人向其提供任何形式的担保；在双方的关联交易上，严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格遵循市场原则，尽量避免不必要的关联交易发生，对持续经营所发生的必要的关</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严格履行，未违反。</w:t>
            </w: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联交易，应以双方协议规定的方式进行处理，遵循市场化的定价原则，避免损害广</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大中小股东权益的情况发生。如出现因其或其控制的其他企业或组织违反上述承诺</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而导致发行人的权益受到损害的情况，其将依法承担相应的赔偿责任。</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（一）公司稳定股价的承诺：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如果公司首次公开发行人民币普通股（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股）并上市后三年内股价出现低于每股净</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资产（指公司上一年度经审计的每股净资产，如果公司因派发现金红利、送股、转</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众信旅游</w:t>
            </w:r>
            <w:r>
              <w:rPr>
                <w:rFonts w:ascii="Times New Roman" w:hAnsi="Times New Roman" w:cs="Times New Roman" w:eastAsia="Times New Roman" w:hint="default"/>
                <w:sz w:val="18"/>
                <w:szCs w:val="18"/>
              </w:rPr>
              <w:t>;  </w:t>
            </w:r>
            <w:r>
              <w:rPr>
                <w:rFonts w:ascii="宋体" w:hAnsi="宋体" w:cs="宋体" w:eastAsia="宋体" w:hint="default"/>
                <w:sz w:val="18"/>
                <w:szCs w:val="18"/>
              </w:rPr>
              <w:t>冯</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增股本、增发新股等原因进行除权、除息的，则相关的计算对比方法按照深圳证券</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滨</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交易所的有关规定作除权除息处理，下同）的情况时，公司将启动以下稳定股价预</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履行完毕，未触发履</w:t>
            </w:r>
          </w:p>
        </w:tc>
      </w:tr>
      <w:tr>
        <w:trPr>
          <w:trHeight w:val="318"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3" w:right="0"/>
              <w:jc w:val="left"/>
              <w:rPr>
                <w:rFonts w:ascii="宋体" w:hAnsi="宋体" w:cs="宋体" w:eastAsia="宋体" w:hint="default"/>
                <w:sz w:val="18"/>
                <w:szCs w:val="18"/>
              </w:rPr>
            </w:pP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 </w:t>
            </w:r>
            <w:r>
              <w:rPr>
                <w:rFonts w:ascii="Times New Roman" w:hAnsi="Times New Roman" w:cs="Times New Roman" w:eastAsia="Times New Roman" w:hint="default"/>
                <w:sz w:val="18"/>
                <w:szCs w:val="18"/>
              </w:rPr>
              <w:t>1</w:t>
            </w:r>
            <w:r>
              <w:rPr>
                <w:rFonts w:ascii="宋体" w:hAnsi="宋体" w:cs="宋体" w:eastAsia="宋体" w:hint="default"/>
                <w:sz w:val="18"/>
                <w:szCs w:val="18"/>
              </w:rPr>
              <w:t>、启动股价稳定措施的具体条件和程序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行本承诺的条件。</w:t>
            </w:r>
          </w:p>
        </w:tc>
      </w:tr>
      <w:tr>
        <w:trPr>
          <w:trHeight w:val="331"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磊</w:t>
            </w:r>
            <w:r>
              <w:rPr>
                <w:rFonts w:ascii="Times New Roman" w:hAnsi="Times New Roman" w:cs="Times New Roman" w:eastAsia="Times New Roman" w:hint="default"/>
                <w:sz w:val="18"/>
                <w:szCs w:val="18"/>
              </w:rPr>
              <w:t>;</w:t>
            </w:r>
            <w:r>
              <w:rPr>
                <w:rFonts w:ascii="宋体" w:hAnsi="宋体" w:cs="宋体" w:eastAsia="宋体" w:hint="default"/>
                <w:sz w:val="18"/>
                <w:szCs w:val="18"/>
              </w:rPr>
              <w:t>赵锐</w:t>
            </w: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个交易日的收盘价低于每股净资产的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120%</w:t>
            </w:r>
            <w:r>
              <w:rPr>
                <w:rFonts w:ascii="宋体" w:hAnsi="宋体" w:cs="宋体" w:eastAsia="宋体" w:hint="default"/>
                <w:spacing w:val="-4"/>
                <w:sz w:val="18"/>
                <w:szCs w:val="18"/>
              </w:rPr>
              <w:t>时，公司将在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个交易日内召开投资者</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见面会</w:t>
            </w:r>
            <w:r>
              <w:rPr>
                <w:rFonts w:ascii="宋体" w:hAnsi="宋体" w:cs="宋体" w:eastAsia="宋体" w:hint="default"/>
                <w:spacing w:val="-4"/>
                <w:sz w:val="18"/>
                <w:szCs w:val="18"/>
              </w:rPr>
              <w:t>，</w:t>
            </w:r>
            <w:r>
              <w:rPr>
                <w:rFonts w:ascii="宋体" w:hAnsi="宋体" w:cs="宋体" w:eastAsia="宋体" w:hint="default"/>
                <w:sz w:val="18"/>
                <w:szCs w:val="18"/>
              </w:rPr>
              <w:t>与投资者就公司经营状况</w:t>
            </w:r>
            <w:r>
              <w:rPr>
                <w:rFonts w:ascii="宋体" w:hAnsi="宋体" w:cs="宋体" w:eastAsia="宋体" w:hint="default"/>
                <w:spacing w:val="-4"/>
                <w:sz w:val="18"/>
                <w:szCs w:val="18"/>
              </w:rPr>
              <w:t>、</w:t>
            </w:r>
            <w:r>
              <w:rPr>
                <w:rFonts w:ascii="宋体" w:hAnsi="宋体" w:cs="宋体" w:eastAsia="宋体" w:hint="default"/>
                <w:sz w:val="18"/>
                <w:szCs w:val="18"/>
              </w:rPr>
              <w:t>财务指标</w:t>
            </w:r>
            <w:r>
              <w:rPr>
                <w:rFonts w:ascii="宋体" w:hAnsi="宋体" w:cs="宋体" w:eastAsia="宋体" w:hint="default"/>
                <w:spacing w:val="-4"/>
                <w:sz w:val="18"/>
                <w:szCs w:val="18"/>
              </w:rPr>
              <w:t>、</w:t>
            </w:r>
            <w:r>
              <w:rPr>
                <w:rFonts w:ascii="宋体" w:hAnsi="宋体" w:cs="宋体" w:eastAsia="宋体" w:hint="default"/>
                <w:sz w:val="18"/>
                <w:szCs w:val="18"/>
              </w:rPr>
              <w:t>发展战略进行深入沟通</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4"/>
                <w:sz w:val="18"/>
                <w:szCs w:val="18"/>
              </w:rPr>
              <w:t>）</w:t>
            </w:r>
            <w:r>
              <w:rPr>
                <w:rFonts w:ascii="宋体" w:hAnsi="宋体" w:cs="宋体" w:eastAsia="宋体" w:hint="default"/>
                <w:sz w:val="18"/>
                <w:szCs w:val="18"/>
              </w:rPr>
              <w:t>启动</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条件及程序：当公司股票连续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个交易日的收盘价低于每股净资产时，应当在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日内召开董事会、</w:t>
            </w:r>
            <w:r>
              <w:rPr>
                <w:rFonts w:ascii="Times New Roman" w:hAnsi="Times New Roman" w:cs="Times New Roman" w:eastAsia="Times New Roman" w:hint="default"/>
                <w:spacing w:val="-3"/>
                <w:sz w:val="18"/>
                <w:szCs w:val="18"/>
              </w:rPr>
              <w:t>25</w:t>
            </w:r>
            <w:r>
              <w:rPr>
                <w:rFonts w:ascii="Times New Roman" w:hAnsi="Times New Roman" w:cs="Times New Roman" w:eastAsia="Times New Roman" w:hint="default"/>
                <w:spacing w:val="18"/>
                <w:sz w:val="18"/>
                <w:szCs w:val="18"/>
              </w:rPr>
              <w:t> </w:t>
            </w:r>
            <w:r>
              <w:rPr>
                <w:rFonts w:ascii="宋体" w:hAnsi="宋体" w:cs="宋体" w:eastAsia="宋体" w:hint="default"/>
                <w:spacing w:val="-2"/>
                <w:sz w:val="18"/>
                <w:szCs w:val="18"/>
              </w:rPr>
              <w:t>日内召开股东大会，审议稳定股价具体方案，明确该等具体方</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19.990509pt;margin-top:57.18pt;width:204.7pt;height:470.05pt;mso-position-horizontal-relative:page;mso-position-vertical-relative:page;z-index:-1091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316" w:lineRule="auto" w:before="115"/>
                    <w:ind w:left="718" w:right="1211" w:hanging="719"/>
                    <w:jc w:val="left"/>
                    <w:rPr>
                      <w:rFonts w:ascii="宋体" w:hAnsi="宋体" w:cs="宋体" w:eastAsia="宋体" w:hint="default"/>
                      <w:sz w:val="18"/>
                      <w:szCs w:val="18"/>
                    </w:rPr>
                  </w:pPr>
                  <w:r>
                    <w:rPr>
                      <w:rFonts w:ascii="宋体" w:hAnsi="宋体" w:cs="宋体" w:eastAsia="宋体" w:hint="default"/>
                      <w:sz w:val="18"/>
                      <w:szCs w:val="18"/>
                    </w:rPr>
                    <w:t>项稳定股价具体方案的实施期间内， 将停止实施股价稳定措施。</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5"/>
                      <w:szCs w:val="25"/>
                    </w:rPr>
                  </w:pPr>
                </w:p>
                <w:p>
                  <w:pPr>
                    <w:spacing w:before="0"/>
                    <w:ind w:left="718" w:right="0" w:firstLine="901"/>
                    <w:jc w:val="left"/>
                    <w:rPr>
                      <w:rFonts w:ascii="宋体" w:hAnsi="宋体" w:cs="宋体" w:eastAsia="宋体" w:hint="default"/>
                      <w:sz w:val="18"/>
                      <w:szCs w:val="18"/>
                    </w:rPr>
                  </w:pPr>
                  <w:r>
                    <w:rPr>
                      <w:rFonts w:ascii="宋体" w:hAnsi="宋体" w:cs="宋体" w:eastAsia="宋体" w:hint="default"/>
                      <w:sz w:val="18"/>
                      <w:szCs w:val="18"/>
                    </w:rPr>
                    <w:t>公司控股股东、</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718" w:right="0" w:firstLine="0"/>
                    <w:jc w:val="left"/>
                    <w:rPr>
                      <w:rFonts w:ascii="宋体" w:hAnsi="宋体" w:cs="宋体" w:eastAsia="宋体" w:hint="default"/>
                      <w:sz w:val="18"/>
                      <w:szCs w:val="18"/>
                    </w:rPr>
                  </w:pPr>
                  <w:r>
                    <w:rPr>
                      <w:rFonts w:ascii="宋体" w:hAnsi="宋体" w:cs="宋体" w:eastAsia="宋体" w:hint="default"/>
                      <w:sz w:val="18"/>
                      <w:szCs w:val="18"/>
                    </w:rPr>
                    <w:t>与投资者就公司经营状况、</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6"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案的实施期间，并在股东大会审议通过该等方案后的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个交易日内启动稳定股价具</w:t>
            </w:r>
          </w:p>
        </w:tc>
        <w:tc>
          <w:tcPr>
            <w:tcW w:w="1280" w:type="dxa"/>
            <w:vMerge w:val="restart"/>
            <w:tcBorders>
              <w:top w:val="single" w:sz="15" w:space="0" w:color="000000"/>
              <w:left w:val="single" w:sz="4" w:space="0" w:color="000000"/>
              <w:right w:val="single" w:sz="4" w:space="0" w:color="000000"/>
            </w:tcBorders>
          </w:tcPr>
          <w:p>
            <w:pPr>
              <w:pStyle w:val="TableParagraph"/>
              <w:spacing w:line="94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63.55pt;height:470.05pt;mso-position-horizontal-relative:char;mso-position-vertical-relative:line" coordorigin="0,0" coordsize="1271,9401">
                  <v:group style="position:absolute;left:0;top:0;width:1271;height:9401" coordorigin="0,0" coordsize="1271,9401">
                    <v:shape style="position:absolute;left:0;top:0;width:1271;height:9401" coordorigin="0,0" coordsize="1271,9401" path="m0,0l0,9401,1271,9401,1271,0,0,0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体方案的实施</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4"/>
                <w:sz w:val="18"/>
                <w:szCs w:val="18"/>
              </w:rPr>
              <w:t>）</w:t>
            </w:r>
            <w:r>
              <w:rPr>
                <w:rFonts w:ascii="宋体" w:hAnsi="宋体" w:cs="宋体" w:eastAsia="宋体" w:hint="default"/>
                <w:sz w:val="18"/>
                <w:szCs w:val="18"/>
              </w:rPr>
              <w:t>停止条件</w:t>
            </w:r>
            <w:r>
              <w:rPr>
                <w:rFonts w:ascii="宋体" w:hAnsi="宋体" w:cs="宋体" w:eastAsia="宋体" w:hint="default"/>
                <w:spacing w:val="-4"/>
                <w:sz w:val="18"/>
                <w:szCs w:val="18"/>
              </w:rPr>
              <w:t>：</w:t>
            </w:r>
            <w:r>
              <w:rPr>
                <w:rFonts w:ascii="宋体" w:hAnsi="宋体" w:cs="宋体" w:eastAsia="宋体" w:hint="default"/>
                <w:sz w:val="18"/>
                <w:szCs w:val="18"/>
              </w:rPr>
              <w:t>在上述</w:t>
            </w:r>
            <w:r>
              <w:rPr>
                <w:rFonts w:ascii="宋体" w:hAnsi="宋体" w:cs="宋体" w:eastAsia="宋体" w:hint="default"/>
                <w:spacing w:val="-4"/>
                <w:sz w:val="18"/>
                <w:szCs w:val="18"/>
              </w:rPr>
              <w:t>第</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个交易日收盘价高于每股净资产时，</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）项稳定股价具体方案实施期满后，如再次发生上述第（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）项的启动条</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件，则再次启动稳定股价措施。</w:t>
            </w:r>
            <w:r>
              <w:rPr>
                <w:rFonts w:ascii="Times New Roman" w:hAnsi="Times New Roman" w:cs="Times New Roman" w:eastAsia="Times New Roman" w:hint="default"/>
                <w:sz w:val="18"/>
                <w:szCs w:val="18"/>
              </w:rPr>
              <w:t>2</w:t>
            </w:r>
            <w:r>
              <w:rPr>
                <w:rFonts w:ascii="宋体" w:hAnsi="宋体" w:cs="宋体" w:eastAsia="宋体" w:hint="default"/>
                <w:sz w:val="18"/>
                <w:szCs w:val="18"/>
              </w:rPr>
              <w:t>、稳定股价的具体措施  当触发前述股价稳定措</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施的启动条件时，公司应依照法律、法规、规范性文件、公司章程及公司内部治理</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制度的规定，及时履行相关法定程序后采取以下部分或全部措施稳定公司股价，并</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保证股价稳定措施实施后，公司的股权分布仍符合上市条件：</w:t>
            </w:r>
            <w:r>
              <w:rPr>
                <w:rFonts w:ascii="Times New Roman" w:hAnsi="Times New Roman" w:cs="Times New Roman" w:eastAsia="Times New Roman" w:hint="default"/>
                <w:sz w:val="18"/>
                <w:szCs w:val="18"/>
              </w:rPr>
              <w:t>1</w:t>
            </w:r>
            <w:r>
              <w:rPr>
                <w:rFonts w:ascii="宋体" w:hAnsi="宋体" w:cs="宋体" w:eastAsia="宋体" w:hint="default"/>
                <w:sz w:val="18"/>
                <w:szCs w:val="18"/>
              </w:rPr>
              <w:t>）在不影响公司正</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常生产经营的情况下，经董事会、股东大会审议同意，通过交易所集中竞价交易方</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式回购公司股票</w:t>
            </w:r>
            <w:r>
              <w:rPr>
                <w:rFonts w:ascii="宋体" w:hAnsi="宋体" w:cs="宋体" w:eastAsia="宋体" w:hint="default"/>
                <w:spacing w:val="-4"/>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4"/>
                <w:sz w:val="18"/>
                <w:szCs w:val="18"/>
              </w:rPr>
              <w:t>）</w:t>
            </w:r>
            <w:r>
              <w:rPr>
                <w:rFonts w:ascii="宋体" w:hAnsi="宋体" w:cs="宋体" w:eastAsia="宋体" w:hint="default"/>
                <w:sz w:val="18"/>
                <w:szCs w:val="18"/>
              </w:rPr>
              <w:t>要求控股股东及时任公司董</w:t>
            </w:r>
            <w:r>
              <w:rPr>
                <w:rFonts w:ascii="宋体" w:hAnsi="宋体" w:cs="宋体" w:eastAsia="宋体" w:hint="default"/>
                <w:spacing w:val="-4"/>
                <w:sz w:val="18"/>
                <w:szCs w:val="18"/>
              </w:rPr>
              <w:t>事</w:t>
            </w:r>
            <w:r>
              <w:rPr>
                <w:rFonts w:ascii="宋体" w:hAnsi="宋体" w:cs="宋体" w:eastAsia="宋体" w:hint="default"/>
                <w:sz w:val="18"/>
                <w:szCs w:val="18"/>
              </w:rPr>
              <w:t>（独立董事除外</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监事</w:t>
            </w:r>
            <w:r>
              <w:rPr>
                <w:rFonts w:ascii="宋体" w:hAnsi="宋体" w:cs="宋体" w:eastAsia="宋体" w:hint="default"/>
                <w:spacing w:val="-4"/>
                <w:sz w:val="18"/>
                <w:szCs w:val="18"/>
              </w:rPr>
              <w:t>、</w:t>
            </w:r>
            <w:r>
              <w:rPr>
                <w:rFonts w:ascii="宋体" w:hAnsi="宋体" w:cs="宋体" w:eastAsia="宋体" w:hint="default"/>
                <w:sz w:val="18"/>
                <w:szCs w:val="18"/>
              </w:rPr>
              <w:t>高级</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管理人员的人员以增持公司股票的方式稳定公司股价，并明确增持的金额和期间。</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）在保证公司经营资金需求的前提下，经董事会、股东大会审议同意，通过实施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利润分配或资本公积金转增股本的方式稳定公司股价。</w:t>
            </w:r>
            <w:r>
              <w:rPr>
                <w:rFonts w:ascii="Times New Roman" w:hAnsi="Times New Roman" w:cs="Times New Roman" w:eastAsia="Times New Roman" w:hint="default"/>
                <w:sz w:val="18"/>
                <w:szCs w:val="18"/>
              </w:rPr>
              <w:t>4</w:t>
            </w:r>
            <w:r>
              <w:rPr>
                <w:rFonts w:ascii="宋体" w:hAnsi="宋体" w:cs="宋体" w:eastAsia="宋体" w:hint="default"/>
                <w:sz w:val="18"/>
                <w:szCs w:val="18"/>
              </w:rPr>
              <w:t>）通过削减开支、限制高</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级管理人员薪酬、暂停股权激励计划等方式提升公司业绩、稳定公司股价。</w:t>
            </w:r>
            <w:r>
              <w:rPr>
                <w:rFonts w:ascii="Times New Roman" w:hAnsi="Times New Roman" w:cs="Times New Roman" w:eastAsia="Times New Roman" w:hint="default"/>
                <w:sz w:val="18"/>
                <w:szCs w:val="18"/>
              </w:rPr>
              <w:t>5</w:t>
            </w:r>
            <w:r>
              <w:rPr>
                <w:rFonts w:ascii="宋体" w:hAnsi="宋体" w:cs="宋体" w:eastAsia="宋体" w:hint="default"/>
                <w:sz w:val="18"/>
                <w:szCs w:val="18"/>
              </w:rPr>
              <w:t>）法</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律、行政法规、规范性文件规定以及中国证监会认可的其他方式。公司在未来聘任</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新的董事、监事、高级管理人员前，将要求其签署承诺书，保证其履行公司首次公</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开发行上市时董事、监事、高级管理人员已做出的稳定股价承诺，并要求其按照公</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司首次公开发行上市时董事、监事、高级管理人员的承诺提出未履行承诺的约束措</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3"/>
                <w:sz w:val="18"/>
                <w:szCs w:val="18"/>
              </w:rPr>
              <w:t>（二）公司控股股东、董事、监事、高级管理人员稳定股价的承诺：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董事、监事、高级管理人员承诺，如果公司首次公开发行人民币普通股（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股）并</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上市后三年内股价出现低于每股净资产（指公司上一年度经审计的每股净资产，如</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果公司因派发现金红利、送股、转增股本、增发新股等原因进行除权、除息的，则</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相关的计算对比方法按照深圳证券交易所的有关规定作除权除息处理，下同）的情</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况时，本人将积极配合公司启动以下稳定股价预案：</w:t>
            </w:r>
            <w:r>
              <w:rPr>
                <w:rFonts w:ascii="Times New Roman" w:hAnsi="Times New Roman" w:cs="Times New Roman" w:eastAsia="Times New Roman" w:hint="default"/>
                <w:sz w:val="18"/>
                <w:szCs w:val="18"/>
              </w:rPr>
              <w:t>1</w:t>
            </w:r>
            <w:r>
              <w:rPr>
                <w:rFonts w:ascii="宋体" w:hAnsi="宋体" w:cs="宋体" w:eastAsia="宋体" w:hint="default"/>
                <w:sz w:val="18"/>
                <w:szCs w:val="18"/>
              </w:rPr>
              <w:t>、启动股价稳定措施的具体</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条件和程序（</w:t>
            </w: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个交易日的收盘价低于每股净资产</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120%</w:t>
            </w:r>
            <w:r>
              <w:rPr>
                <w:rFonts w:ascii="宋体" w:hAnsi="宋体" w:cs="宋体" w:eastAsia="宋体" w:hint="default"/>
                <w:spacing w:val="-7"/>
                <w:sz w:val="18"/>
                <w:szCs w:val="18"/>
              </w:rPr>
              <w:t>时，公司将在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个交易日内召开投资者见面会，</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财务指标、发展战略进行深入沟通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）启动条件及程序：当公司股票连续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交易日的收盘价低于每股净资产时，应当在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日内召开董事会、</w:t>
            </w:r>
            <w:r>
              <w:rPr>
                <w:rFonts w:ascii="Times New Roman" w:hAnsi="Times New Roman" w:cs="Times New Roman" w:eastAsia="Times New Roman" w:hint="default"/>
                <w:spacing w:val="-4"/>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日内召开股东大</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会，审议稳定股价具体方案，明确该等具体方案的实施期间，并在股东大会审议通</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36.990479pt;margin-top:57.18pt;width:87.7pt;height:329.65pt;mso-position-horizontal-relative:page;mso-position-vertical-relative:page;z-index:-1091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16" w:lineRule="auto" w:before="118"/>
                    <w:ind w:left="0" w:right="1211" w:firstLine="360"/>
                    <w:jc w:val="left"/>
                    <w:rPr>
                      <w:rFonts w:ascii="宋体" w:hAnsi="宋体" w:cs="宋体" w:eastAsia="宋体" w:hint="default"/>
                      <w:sz w:val="18"/>
                      <w:szCs w:val="18"/>
                    </w:rPr>
                  </w:pPr>
                  <w:r>
                    <w:rPr>
                      <w:rFonts w:ascii="宋体" w:hAnsi="宋体" w:cs="宋体" w:eastAsia="宋体" w:hint="default"/>
                      <w:sz w:val="18"/>
                      <w:szCs w:val="18"/>
                    </w:rPr>
                    <w:t>、 董事、</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6"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过该等方案后的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1"/>
                <w:sz w:val="18"/>
                <w:szCs w:val="18"/>
              </w:rPr>
              <w:t>日</w:t>
            </w:r>
            <w:r>
              <w:rPr>
                <w:rFonts w:ascii="宋体" w:hAnsi="宋体" w:cs="宋体" w:eastAsia="宋体" w:hint="default"/>
                <w:sz w:val="18"/>
                <w:szCs w:val="18"/>
              </w:rPr>
              <w:t>内启动稳定股价具体方案的实施</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6"/>
                <w:sz w:val="18"/>
                <w:szCs w:val="18"/>
              </w:rPr>
              <w:t>）</w:t>
            </w:r>
            <w:r>
              <w:rPr>
                <w:rFonts w:ascii="宋体" w:hAnsi="宋体" w:cs="宋体" w:eastAsia="宋体" w:hint="default"/>
                <w:spacing w:val="-2"/>
                <w:sz w:val="18"/>
                <w:szCs w:val="18"/>
              </w:rPr>
              <w:t>停</w:t>
            </w:r>
            <w:r>
              <w:rPr>
                <w:rFonts w:ascii="宋体" w:hAnsi="宋体" w:cs="宋体" w:eastAsia="宋体" w:hint="default"/>
                <w:sz w:val="18"/>
                <w:szCs w:val="18"/>
              </w:rPr>
              <w:t>止条件</w:t>
            </w:r>
            <w:r>
              <w:rPr>
                <w:rFonts w:ascii="宋体" w:hAnsi="宋体" w:cs="宋体" w:eastAsia="宋体" w:hint="default"/>
                <w:spacing w:val="-6"/>
                <w:sz w:val="18"/>
                <w:szCs w:val="18"/>
              </w:rPr>
              <w:t>：</w:t>
            </w:r>
            <w:r>
              <w:rPr>
                <w:rFonts w:ascii="宋体" w:hAnsi="宋体" w:cs="宋体" w:eastAsia="宋体" w:hint="default"/>
                <w:sz w:val="18"/>
                <w:szCs w:val="18"/>
              </w:rPr>
              <w:t>在上</w:t>
            </w:r>
          </w:p>
        </w:tc>
        <w:tc>
          <w:tcPr>
            <w:tcW w:w="1280" w:type="dxa"/>
            <w:vMerge w:val="restart"/>
            <w:tcBorders>
              <w:top w:val="single" w:sz="15" w:space="0" w:color="000000"/>
              <w:left w:val="single" w:sz="4" w:space="0" w:color="000000"/>
              <w:right w:val="single" w:sz="4" w:space="0" w:color="000000"/>
            </w:tcBorders>
          </w:tcPr>
          <w:p>
            <w:pPr>
              <w:pStyle w:val="TableParagraph"/>
              <w:spacing w:line="65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63.55pt;height:329.65pt;mso-position-horizontal-relative:char;mso-position-vertical-relative:line" coordorigin="0,0" coordsize="1271,6593">
                  <v:group style="position:absolute;left:0;top:0;width:1271;height:6593" coordorigin="0,0" coordsize="1271,6593">
                    <v:shape style="position:absolute;left:0;top:0;width:1271;height:6593" coordorigin="0,0" coordsize="1271,6593" path="m0,0l0,6593,1271,6593,1271,0,0,0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）项稳定股价具体方案的实施期间内，如公司股票连续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个交易日收盘价</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高于每股净资产时，将停止实施股价稳定措施。上述第（</w:t>
            </w:r>
            <w:r>
              <w:rPr>
                <w:rFonts w:ascii="Times New Roman" w:hAnsi="Times New Roman" w:cs="Times New Roman" w:eastAsia="Times New Roman" w:hint="default"/>
                <w:sz w:val="18"/>
                <w:szCs w:val="18"/>
              </w:rPr>
              <w:t>2</w:t>
            </w:r>
            <w:r>
              <w:rPr>
                <w:rFonts w:ascii="宋体" w:hAnsi="宋体" w:cs="宋体" w:eastAsia="宋体" w:hint="default"/>
                <w:sz w:val="18"/>
                <w:szCs w:val="18"/>
              </w:rPr>
              <w:t>）项稳定股价具体方案</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实施期满后，如再次发生上述第（</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）项的启动条件，则再次启动稳定股价措施。</w:t>
            </w:r>
            <w:r>
              <w:rPr>
                <w:rFonts w:ascii="Times New Roman" w:hAnsi="Times New Roman" w:cs="Times New Roman" w:eastAsia="Times New Roman" w:hint="default"/>
                <w:spacing w:val="-3"/>
                <w:sz w:val="18"/>
                <w:szCs w:val="18"/>
              </w:rPr>
              <w:t>2</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稳定股价的具体措施当触发前述股价稳定措施的启动条件时，公司控股股东、</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监事、高级管理人员应依照法律、法规、规范性文件和公司章程的规定，积极配合</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并保证公司按照要求制定并启动稳定股价的预案。控股股东、公司董事（独立董事</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监事</w:t>
            </w:r>
            <w:r>
              <w:rPr>
                <w:rFonts w:ascii="宋体" w:hAnsi="宋体" w:cs="宋体" w:eastAsia="宋体" w:hint="default"/>
                <w:spacing w:val="-32"/>
                <w:sz w:val="18"/>
                <w:szCs w:val="18"/>
              </w:rPr>
              <w:t>、</w:t>
            </w:r>
            <w:r>
              <w:rPr>
                <w:rFonts w:ascii="宋体" w:hAnsi="宋体" w:cs="宋体" w:eastAsia="宋体" w:hint="default"/>
                <w:sz w:val="18"/>
                <w:szCs w:val="18"/>
              </w:rPr>
              <w:t>高级管理人员应在不迟于股东大会审议通过稳定股价具体方案后的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个交易日内，根据股东大会审议通过的稳定股价具体方案，积极采取下述措施以稳</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定公司股价，并保证股价稳定措施实施后，公司的股权分布仍符合上市条件</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在符合股票交易相关规定的前提下，按照公司关于稳定股价具体方案中确定的增持</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金额和期间，通过交易所集中竞价交易方式增持公司股票。购买所增持股票的总金</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额不低于其上年度初至董事会审议通过稳定股价具体方案日期间，从公司获取的税</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后薪酬及税后现金分红总额的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1"/>
                <w:sz w:val="18"/>
                <w:szCs w:val="18"/>
              </w:rPr>
              <w:t>）</w:t>
            </w:r>
            <w:r>
              <w:rPr>
                <w:rFonts w:ascii="宋体" w:hAnsi="宋体" w:cs="宋体" w:eastAsia="宋体" w:hint="default"/>
                <w:sz w:val="18"/>
                <w:szCs w:val="18"/>
              </w:rPr>
              <w:t>除因继承</w:t>
            </w:r>
            <w:r>
              <w:rPr>
                <w:rFonts w:ascii="宋体" w:hAnsi="宋体" w:cs="宋体" w:eastAsia="宋体" w:hint="default"/>
                <w:spacing w:val="-11"/>
                <w:sz w:val="18"/>
                <w:szCs w:val="18"/>
              </w:rPr>
              <w:t>、</w:t>
            </w:r>
            <w:r>
              <w:rPr>
                <w:rFonts w:ascii="宋体" w:hAnsi="宋体" w:cs="宋体" w:eastAsia="宋体" w:hint="default"/>
                <w:sz w:val="18"/>
                <w:szCs w:val="18"/>
              </w:rPr>
              <w:t>被强制执行或上市公司重组等</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情形必须转股或触发前述股价稳定措施的停止条件外，在股东大会审议稳定股价具</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体方案及方案实施期间，不转让其持有的公司股份。除经股东大会非关联股东同意</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4"/>
                <w:sz w:val="18"/>
                <w:szCs w:val="18"/>
              </w:rPr>
              <w:t>，</w:t>
            </w:r>
            <w:r>
              <w:rPr>
                <w:rFonts w:ascii="宋体" w:hAnsi="宋体" w:cs="宋体" w:eastAsia="宋体" w:hint="default"/>
                <w:sz w:val="18"/>
                <w:szCs w:val="18"/>
              </w:rPr>
              <w:t>不由公司回购其持有的股份</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4"/>
                <w:sz w:val="18"/>
                <w:szCs w:val="18"/>
              </w:rPr>
              <w:t>）</w:t>
            </w:r>
            <w:r>
              <w:rPr>
                <w:rFonts w:ascii="宋体" w:hAnsi="宋体" w:cs="宋体" w:eastAsia="宋体" w:hint="default"/>
                <w:sz w:val="18"/>
                <w:szCs w:val="18"/>
              </w:rPr>
              <w:t>法律</w:t>
            </w:r>
            <w:r>
              <w:rPr>
                <w:rFonts w:ascii="宋体" w:hAnsi="宋体" w:cs="宋体" w:eastAsia="宋体" w:hint="default"/>
                <w:spacing w:val="-4"/>
                <w:sz w:val="18"/>
                <w:szCs w:val="18"/>
              </w:rPr>
              <w:t>、</w:t>
            </w:r>
            <w:r>
              <w:rPr>
                <w:rFonts w:ascii="宋体" w:hAnsi="宋体" w:cs="宋体" w:eastAsia="宋体" w:hint="default"/>
                <w:sz w:val="18"/>
                <w:szCs w:val="18"/>
              </w:rPr>
              <w:t>行政法规</w:t>
            </w:r>
            <w:r>
              <w:rPr>
                <w:rFonts w:ascii="宋体" w:hAnsi="宋体" w:cs="宋体" w:eastAsia="宋体" w:hint="default"/>
                <w:spacing w:val="-4"/>
                <w:sz w:val="18"/>
                <w:szCs w:val="18"/>
              </w:rPr>
              <w:t>、</w:t>
            </w:r>
            <w:r>
              <w:rPr>
                <w:rFonts w:ascii="宋体" w:hAnsi="宋体" w:cs="宋体" w:eastAsia="宋体" w:hint="default"/>
                <w:sz w:val="18"/>
                <w:szCs w:val="18"/>
              </w:rPr>
              <w:t>规范性文件规定以及中国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证监会认可的其他方式。触发前述股价稳定措施的启动条件时公司的控股股东、董</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事（独立董事除外</w:t>
            </w:r>
            <w:r>
              <w:rPr>
                <w:rFonts w:ascii="宋体" w:hAnsi="宋体" w:cs="宋体" w:eastAsia="宋体" w:hint="default"/>
                <w:spacing w:val="-90"/>
                <w:sz w:val="18"/>
                <w:szCs w:val="18"/>
              </w:rPr>
              <w:t>）</w:t>
            </w:r>
            <w:r>
              <w:rPr>
                <w:rFonts w:ascii="宋体" w:hAnsi="宋体" w:cs="宋体" w:eastAsia="宋体" w:hint="default"/>
                <w:sz w:val="18"/>
                <w:szCs w:val="18"/>
              </w:rPr>
              <w:t>、监事、高级管理人员，不因在股东大会审议稳定股价具体方</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8"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案及方案实施期间内不再作为控股股东和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或职务变更、离职等情形而拒绝实施上述</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稳定股价的措施。</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6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未履行承诺的约束措施：</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一、公司承诺：</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3"/>
                <w:sz w:val="18"/>
                <w:szCs w:val="18"/>
              </w:rPr>
              <w:t>履行完毕。承诺主体</w:t>
            </w:r>
          </w:p>
        </w:tc>
      </w:tr>
      <w:tr>
        <w:trPr>
          <w:trHeight w:val="1580"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300" w:lineRule="auto" w:before="157"/>
              <w:ind w:left="23" w:right="111"/>
              <w:jc w:val="both"/>
              <w:rPr>
                <w:rFonts w:ascii="宋体" w:hAnsi="宋体" w:cs="宋体" w:eastAsia="宋体" w:hint="default"/>
                <w:sz w:val="18"/>
                <w:szCs w:val="18"/>
              </w:rPr>
            </w:pPr>
            <w:r>
              <w:rPr>
                <w:rFonts w:ascii="宋体" w:hAnsi="宋体" w:cs="宋体" w:eastAsia="宋体" w:hint="default"/>
                <w:sz w:val="18"/>
                <w:szCs w:val="18"/>
              </w:rPr>
              <w:t>众信旅游</w:t>
            </w:r>
            <w:r>
              <w:rPr>
                <w:rFonts w:ascii="Times New Roman" w:hAnsi="Times New Roman" w:cs="Times New Roman" w:eastAsia="Times New Roman" w:hint="default"/>
                <w:sz w:val="18"/>
                <w:szCs w:val="18"/>
              </w:rPr>
              <w:t>; </w:t>
            </w:r>
            <w:r>
              <w:rPr>
                <w:rFonts w:ascii="宋体" w:hAnsi="宋体" w:cs="宋体" w:eastAsia="宋体" w:hint="default"/>
                <w:sz w:val="18"/>
                <w:szCs w:val="18"/>
              </w:rPr>
              <w:t>冯 滨</w:t>
            </w:r>
            <w:r>
              <w:rPr>
                <w:rFonts w:ascii="Times New Roman" w:hAnsi="Times New Roman" w:cs="Times New Roman" w:eastAsia="Times New Roman" w:hint="default"/>
                <w:sz w:val="18"/>
                <w:szCs w:val="18"/>
              </w:rPr>
              <w:t>;</w:t>
            </w:r>
            <w:r>
              <w:rPr>
                <w:rFonts w:ascii="宋体" w:hAnsi="宋体" w:cs="宋体" w:eastAsia="宋体" w:hint="default"/>
                <w:sz w:val="18"/>
                <w:szCs w:val="18"/>
              </w:rPr>
              <w:t>林岩</w:t>
            </w:r>
            <w:r>
              <w:rPr>
                <w:rFonts w:ascii="Times New Roman" w:hAnsi="Times New Roman" w:cs="Times New Roman" w:eastAsia="Times New Roman" w:hint="default"/>
                <w:sz w:val="18"/>
                <w:szCs w:val="18"/>
              </w:rPr>
              <w:t>;</w:t>
            </w:r>
            <w:r>
              <w:rPr>
                <w:rFonts w:ascii="宋体" w:hAnsi="宋体" w:cs="宋体" w:eastAsia="宋体" w:hint="default"/>
                <w:sz w:val="18"/>
                <w:szCs w:val="18"/>
              </w:rPr>
              <w:t>曹建</w:t>
            </w:r>
            <w:r>
              <w:rPr>
                <w:rFonts w:ascii="Times New Roman" w:hAnsi="Times New Roman" w:cs="Times New Roman" w:eastAsia="Times New Roman" w:hint="default"/>
                <w:sz w:val="18"/>
                <w:szCs w:val="18"/>
              </w:rPr>
              <w:t>; </w:t>
            </w:r>
            <w:r>
              <w:rPr>
                <w:rFonts w:ascii="宋体" w:hAnsi="宋体" w:cs="宋体" w:eastAsia="宋体" w:hint="default"/>
                <w:sz w:val="18"/>
                <w:szCs w:val="18"/>
              </w:rPr>
              <w:t>韩丽</w:t>
            </w:r>
            <w:r>
              <w:rPr>
                <w:rFonts w:ascii="Times New Roman" w:hAnsi="Times New Roman" w:cs="Times New Roman" w:eastAsia="Times New Roman" w:hint="default"/>
                <w:sz w:val="18"/>
                <w:szCs w:val="18"/>
              </w:rPr>
              <w:t>;</w:t>
            </w:r>
            <w:r>
              <w:rPr>
                <w:rFonts w:ascii="宋体" w:hAnsi="宋体" w:cs="宋体" w:eastAsia="宋体" w:hint="default"/>
                <w:sz w:val="18"/>
                <w:szCs w:val="18"/>
              </w:rPr>
              <w:t>何静</w:t>
            </w:r>
            <w:r>
              <w:rPr>
                <w:rFonts w:ascii="Times New Roman" w:hAnsi="Times New Roman" w:cs="Times New Roman" w:eastAsia="Times New Roman" w:hint="default"/>
                <w:sz w:val="18"/>
                <w:szCs w:val="18"/>
              </w:rPr>
              <w:t>;</w:t>
            </w:r>
            <w:r>
              <w:rPr>
                <w:rFonts w:ascii="宋体" w:hAnsi="宋体" w:cs="宋体" w:eastAsia="宋体" w:hint="default"/>
                <w:sz w:val="18"/>
                <w:szCs w:val="18"/>
              </w:rPr>
              <w:t>张 磊</w:t>
            </w:r>
            <w:r>
              <w:rPr>
                <w:rFonts w:ascii="Times New Roman" w:hAnsi="Times New Roman" w:cs="Times New Roman" w:eastAsia="Times New Roman" w:hint="default"/>
                <w:sz w:val="18"/>
                <w:szCs w:val="18"/>
              </w:rPr>
              <w:t>;</w:t>
            </w:r>
            <w:r>
              <w:rPr>
                <w:rFonts w:ascii="宋体" w:hAnsi="宋体" w:cs="宋体" w:eastAsia="宋体" w:hint="default"/>
                <w:sz w:val="18"/>
                <w:szCs w:val="18"/>
              </w:rPr>
              <w:t>赵锐</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4" w:lineRule="auto" w:before="59"/>
              <w:ind w:left="22" w:right="2"/>
              <w:jc w:val="left"/>
              <w:rPr>
                <w:rFonts w:ascii="宋体" w:hAnsi="宋体" w:cs="宋体" w:eastAsia="宋体" w:hint="default"/>
                <w:sz w:val="18"/>
                <w:szCs w:val="18"/>
              </w:rPr>
            </w:pPr>
            <w:r>
              <w:rPr>
                <w:rFonts w:ascii="宋体" w:hAnsi="宋体" w:cs="宋体" w:eastAsia="宋体" w:hint="default"/>
                <w:sz w:val="18"/>
                <w:szCs w:val="18"/>
              </w:rPr>
              <w:t>本公司将严格履行本公司就首次公开发行股票并上市所作出的所有公开承诺事项， </w:t>
            </w:r>
            <w:r>
              <w:rPr>
                <w:rFonts w:ascii="宋体" w:hAnsi="宋体" w:cs="宋体" w:eastAsia="宋体" w:hint="default"/>
                <w:spacing w:val="-3"/>
                <w:sz w:val="18"/>
                <w:szCs w:val="18"/>
              </w:rPr>
              <w:t>积极接受社会监督。（一）如本公司非因不可抗力原因导致未能履行公开承诺事项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的，需提出新的承诺（相关承诺需按法律、法规、公司章程的规定履行相关审批程</w:t>
            </w:r>
            <w:r>
              <w:rPr>
                <w:rFonts w:ascii="宋体" w:hAnsi="宋体" w:cs="宋体" w:eastAsia="宋体" w:hint="default"/>
                <w:sz w:val="18"/>
                <w:szCs w:val="18"/>
              </w:rPr>
              <w:t> 序）并接受如下约束措施，直至新的承诺履行完毕或相应补救措施实施完毕：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 在股东大会及中国证监会指定的披露媒体上公开说明未履行的具体原因并向股东</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未出现未履行承诺 </w:t>
            </w:r>
            <w:r>
              <w:rPr>
                <w:rFonts w:ascii="宋体" w:hAnsi="宋体" w:cs="宋体" w:eastAsia="宋体" w:hint="default"/>
                <w:spacing w:val="-3"/>
                <w:sz w:val="18"/>
                <w:szCs w:val="18"/>
              </w:rPr>
              <w:t>的情况，未触发履行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此承诺的条件。公司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上市后新任董事、监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事及新聘高管均已</w:t>
            </w:r>
          </w:p>
        </w:tc>
      </w:tr>
      <w:tr>
        <w:trPr>
          <w:trHeight w:val="346"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、不得进行公开再融资；</w:t>
            </w:r>
            <w:r>
              <w:rPr>
                <w:rFonts w:ascii="Times New Roman" w:hAnsi="Times New Roman" w:cs="Times New Roman" w:eastAsia="Times New Roman" w:hint="default"/>
                <w:sz w:val="18"/>
                <w:szCs w:val="18"/>
              </w:rPr>
              <w:t>3</w:t>
            </w:r>
            <w:r>
              <w:rPr>
                <w:rFonts w:ascii="宋体" w:hAnsi="宋体" w:cs="宋体" w:eastAsia="宋体" w:hint="default"/>
                <w:sz w:val="18"/>
                <w:szCs w:val="18"/>
              </w:rPr>
              <w:t>、对公司该等未履行承诺的行</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签署相关承诺</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为负有个人责任的董事、监事、高级管理人员调减或停发薪酬或津贴；</w:t>
            </w:r>
            <w:r>
              <w:rPr>
                <w:rFonts w:ascii="Times New Roman" w:hAnsi="Times New Roman" w:cs="Times New Roman" w:eastAsia="Times New Roman" w:hint="default"/>
                <w:sz w:val="18"/>
                <w:szCs w:val="18"/>
              </w:rPr>
              <w:t>4</w:t>
            </w:r>
            <w:r>
              <w:rPr>
                <w:rFonts w:ascii="宋体" w:hAnsi="宋体" w:cs="宋体" w:eastAsia="宋体" w:hint="default"/>
                <w:sz w:val="18"/>
                <w:szCs w:val="18"/>
              </w:rPr>
              <w:t>、不得批</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338.931091pt;margin-top:57.18pt;width:285.75pt;height:476.05pt;mso-position-horizontal-relative:page;mso-position-vertical-relative:page;z-index:-1091752" type="#_x0000_t202" filled="false" stroked="false">
            <v:textbox inset="0,0,0,0">
              <w:txbxContent>
                <w:p>
                  <w:pPr>
                    <w:spacing w:before="10"/>
                    <w:ind w:left="2699" w:right="0" w:firstLine="0"/>
                    <w:jc w:val="left"/>
                    <w:rPr>
                      <w:rFonts w:ascii="宋体" w:hAnsi="宋体" w:cs="宋体" w:eastAsia="宋体" w:hint="default"/>
                      <w:sz w:val="18"/>
                      <w:szCs w:val="18"/>
                    </w:rPr>
                  </w:pPr>
                  <w:r>
                    <w:rPr>
                      <w:rFonts w:ascii="宋体" w:hAnsi="宋体" w:cs="宋体" w:eastAsia="宋体" w:hint="default"/>
                      <w:sz w:val="18"/>
                      <w:szCs w:val="18"/>
                    </w:rPr>
                    <w:t>但可以进行职务变更；</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2701"/>
                    <w:jc w:val="left"/>
                    <w:rPr>
                      <w:rFonts w:ascii="宋体" w:hAnsi="宋体" w:cs="宋体" w:eastAsia="宋体" w:hint="default"/>
                      <w:sz w:val="18"/>
                      <w:szCs w:val="18"/>
                    </w:rPr>
                  </w:pPr>
                  <w:r>
                    <w:rPr>
                      <w:rFonts w:ascii="宋体" w:hAnsi="宋体" w:cs="宋体" w:eastAsia="宋体" w:hint="default"/>
                      <w:sz w:val="18"/>
                      <w:szCs w:val="18"/>
                    </w:rPr>
                    <w:t>（相关承诺需按法律、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如本人非因不可抗力原因导致未能履行公开承诺事项的，</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如本人非因不可抗力原因导致未能履行公开承诺事项的，</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1"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准未履行承诺的董事、监事、高级管理人员的主动离职申请，</w:t>
            </w:r>
          </w:p>
        </w:tc>
        <w:tc>
          <w:tcPr>
            <w:tcW w:w="1280" w:type="dxa"/>
            <w:vMerge w:val="restart"/>
            <w:tcBorders>
              <w:top w:val="single" w:sz="15" w:space="0" w:color="000000"/>
              <w:left w:val="single" w:sz="4" w:space="0" w:color="000000"/>
              <w:right w:val="single" w:sz="4" w:space="0" w:color="000000"/>
            </w:tcBorders>
          </w:tcPr>
          <w:p>
            <w:pPr>
              <w:pStyle w:val="TableParagraph"/>
              <w:spacing w:line="952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9"/>
                <w:sz w:val="20"/>
                <w:szCs w:val="20"/>
              </w:rPr>
              <w:pict>
                <v:group style="width:63.55pt;height:476.05pt;mso-position-horizontal-relative:char;mso-position-vertical-relative:line" coordorigin="0,0" coordsize="1271,9521">
                  <v:group style="position:absolute;left:0;top:0;width:1271;height:9521" coordorigin="0,0" coordsize="1271,9521">
                    <v:shape style="position:absolute;left:0;top:0;width:1271;height:9521" coordorigin="0,0" coordsize="1271,9521" path="m0,0l0,9521,1271,9521,1271,0,0,0xe" filled="true" fillcolor="#ffffff" stroked="false">
                      <v:path arrowok="t"/>
                      <v:fill type="solid"/>
                    </v:shape>
                  </v:group>
                </v:group>
              </w:pict>
            </w:r>
            <w:r>
              <w:rPr>
                <w:rFonts w:ascii="Times New Roman" w:hAnsi="Times New Roman" w:cs="Times New Roman" w:eastAsia="Times New Roman" w:hint="default"/>
                <w:position w:val="-189"/>
                <w:sz w:val="20"/>
                <w:szCs w:val="20"/>
              </w:rPr>
            </w: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给投资者造成损失的</w:t>
            </w:r>
            <w:r>
              <w:rPr>
                <w:rFonts w:ascii="宋体" w:hAnsi="宋体" w:cs="宋体" w:eastAsia="宋体" w:hint="default"/>
                <w:spacing w:val="-5"/>
                <w:sz w:val="18"/>
                <w:szCs w:val="18"/>
              </w:rPr>
              <w:t>，</w:t>
            </w:r>
            <w:r>
              <w:rPr>
                <w:rFonts w:ascii="宋体" w:hAnsi="宋体" w:cs="宋体" w:eastAsia="宋体" w:hint="default"/>
                <w:sz w:val="18"/>
                <w:szCs w:val="18"/>
              </w:rPr>
              <w:t>本公司将向投资者依法承担赔偿责任</w:t>
            </w:r>
            <w:r>
              <w:rPr>
                <w:rFonts w:ascii="宋体" w:hAnsi="宋体" w:cs="宋体" w:eastAsia="宋体" w:hint="default"/>
                <w:spacing w:val="-95"/>
                <w:sz w:val="18"/>
                <w:szCs w:val="18"/>
              </w:rPr>
              <w:t>。</w:t>
            </w:r>
            <w:r>
              <w:rPr>
                <w:rFonts w:ascii="宋体" w:hAnsi="宋体" w:cs="宋体" w:eastAsia="宋体" w:hint="default"/>
                <w:sz w:val="18"/>
                <w:szCs w:val="18"/>
              </w:rPr>
              <w:t>（二</w:t>
            </w:r>
            <w:r>
              <w:rPr>
                <w:rFonts w:ascii="宋体" w:hAnsi="宋体" w:cs="宋体" w:eastAsia="宋体" w:hint="default"/>
                <w:spacing w:val="-5"/>
                <w:sz w:val="18"/>
                <w:szCs w:val="18"/>
              </w:rPr>
              <w:t>）</w:t>
            </w:r>
            <w:r>
              <w:rPr>
                <w:rFonts w:ascii="宋体" w:hAnsi="宋体" w:cs="宋体" w:eastAsia="宋体" w:hint="default"/>
                <w:sz w:val="18"/>
                <w:szCs w:val="18"/>
              </w:rPr>
              <w:t>如本公司因</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不可抗力原因导致未能履行公开承诺事项的，需提出新的承诺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法规、公司章程的规定履行相关审批程序）并接受如下约束措施，直至新的承诺履</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公开说明未履行的具体原因并向股东和社会公众投资者道歉；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8"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者利益损失降低到最小的处理方案，并提交股东大会审议，尽可能地保护本公司投</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资者利益。</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二、公司控股股东、持有股份的董事、监事、高级管理人员承诺：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1"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本人将严格履行本人就公司首次公开发行股票并上市所作出的所有公开承诺事项，</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积极接受社会监督</w:t>
            </w:r>
            <w:r>
              <w:rPr>
                <w:rFonts w:ascii="宋体" w:hAnsi="宋体" w:cs="宋体" w:eastAsia="宋体" w:hint="default"/>
                <w:spacing w:val="-100"/>
                <w:sz w:val="18"/>
                <w:szCs w:val="18"/>
              </w:rPr>
              <w:t>。</w:t>
            </w:r>
            <w:r>
              <w:rPr>
                <w:rFonts w:ascii="宋体" w:hAnsi="宋体" w:cs="宋体" w:eastAsia="宋体" w:hint="default"/>
                <w:sz w:val="18"/>
                <w:szCs w:val="18"/>
              </w:rPr>
              <w:t>（一）</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需提出新的承诺并接受如下约束措施，直至新的承诺履行完毕或相应补救措施实施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、在股东大会及中国证监会指定的披露媒体上公开说明未履行的具体原因</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、不得转让公司股份。因继承、被强制执行、</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上市公司重组、为履行保护投资者利益承诺等必须转股的情形除外；</w:t>
            </w:r>
            <w:r>
              <w:rPr>
                <w:rFonts w:ascii="Times New Roman" w:hAnsi="Times New Roman" w:cs="Times New Roman" w:eastAsia="Times New Roman" w:hint="default"/>
                <w:sz w:val="18"/>
                <w:szCs w:val="18"/>
              </w:rPr>
              <w:t>3</w:t>
            </w:r>
            <w:r>
              <w:rPr>
                <w:rFonts w:ascii="宋体" w:hAnsi="宋体" w:cs="宋体" w:eastAsia="宋体" w:hint="default"/>
                <w:sz w:val="18"/>
                <w:szCs w:val="18"/>
              </w:rPr>
              <w:t>、暂不领取</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公司分配利润中归属于本人的部分；</w:t>
            </w:r>
            <w:r>
              <w:rPr>
                <w:rFonts w:ascii="Times New Roman" w:hAnsi="Times New Roman" w:cs="Times New Roman" w:eastAsia="Times New Roman" w:hint="default"/>
                <w:sz w:val="18"/>
                <w:szCs w:val="18"/>
              </w:rPr>
              <w:t>4</w:t>
            </w:r>
            <w:r>
              <w:rPr>
                <w:rFonts w:ascii="宋体" w:hAnsi="宋体" w:cs="宋体" w:eastAsia="宋体" w:hint="default"/>
                <w:sz w:val="18"/>
                <w:szCs w:val="18"/>
              </w:rPr>
              <w:t>、可以职务变更但不得主动要求离职；</w:t>
            </w:r>
            <w:r>
              <w:rPr>
                <w:rFonts w:ascii="Times New Roman" w:hAnsi="Times New Roman" w:cs="Times New Roman" w:eastAsia="Times New Roman" w:hint="default"/>
                <w:sz w:val="18"/>
                <w:szCs w:val="18"/>
              </w:rPr>
              <w:t>5</w:t>
            </w:r>
            <w:r>
              <w:rPr>
                <w:rFonts w:ascii="宋体" w:hAnsi="宋体" w:cs="宋体" w:eastAsia="宋体" w:hint="default"/>
                <w:sz w:val="18"/>
                <w:szCs w:val="18"/>
              </w:rPr>
              <w:t>、主</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动申请调减或停发薪酬或津贴；</w:t>
            </w:r>
            <w:r>
              <w:rPr>
                <w:rFonts w:ascii="Times New Roman" w:hAnsi="Times New Roman" w:cs="Times New Roman" w:eastAsia="Times New Roman" w:hint="default"/>
                <w:sz w:val="18"/>
                <w:szCs w:val="18"/>
              </w:rPr>
              <w:t>6</w:t>
            </w:r>
            <w:r>
              <w:rPr>
                <w:rFonts w:ascii="宋体" w:hAnsi="宋体" w:cs="宋体" w:eastAsia="宋体" w:hint="default"/>
                <w:sz w:val="18"/>
                <w:szCs w:val="18"/>
              </w:rPr>
              <w:t>、如果因未履行相关承诺事项而获得收益的，所</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获收益归公司所有，并在获得收益的五个工作日内将所获收益支付给公司指定账</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、本人未履行招股说明书的公开承诺事项，给投资者造成损失的，依法赔偿</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投资者损失；</w:t>
            </w:r>
            <w:r>
              <w:rPr>
                <w:rFonts w:ascii="Times New Roman" w:hAnsi="Times New Roman" w:cs="Times New Roman" w:eastAsia="Times New Roman" w:hint="default"/>
                <w:sz w:val="18"/>
                <w:szCs w:val="18"/>
              </w:rPr>
              <w:t>8</w:t>
            </w:r>
            <w:r>
              <w:rPr>
                <w:rFonts w:ascii="宋体" w:hAnsi="宋体" w:cs="宋体" w:eastAsia="宋体" w:hint="default"/>
                <w:sz w:val="18"/>
                <w:szCs w:val="18"/>
              </w:rPr>
              <w:t>、公司未履行招股说明书的公开承诺事项，给投资者造成损失的，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本人依法承担连带赔偿责任</w:t>
            </w:r>
            <w:r>
              <w:rPr>
                <w:rFonts w:ascii="宋体" w:hAnsi="宋体" w:cs="宋体" w:eastAsia="宋体" w:hint="default"/>
                <w:spacing w:val="-90"/>
                <w:sz w:val="18"/>
                <w:szCs w:val="18"/>
              </w:rPr>
              <w:t>。</w:t>
            </w:r>
            <w:r>
              <w:rPr>
                <w:rFonts w:ascii="宋体" w:hAnsi="宋体" w:cs="宋体" w:eastAsia="宋体" w:hint="default"/>
                <w:sz w:val="18"/>
                <w:szCs w:val="18"/>
              </w:rPr>
              <w:t>（二）如本人因不可抗力原因导致未能履行公开承诺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事项的，需提出新的承诺并接受如下约束措施，直至新的承诺履行完毕或相应补救</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2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最小的处理方案，尽可能地保护公司投资者利益。</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三、未持有股份的董事（独立董事除外</w:t>
            </w:r>
            <w:r>
              <w:rPr>
                <w:rFonts w:ascii="宋体" w:hAnsi="宋体" w:cs="宋体" w:eastAsia="宋体" w:hint="default"/>
                <w:spacing w:val="-90"/>
                <w:sz w:val="18"/>
                <w:szCs w:val="18"/>
              </w:rPr>
              <w:t>）</w:t>
            </w:r>
            <w:r>
              <w:rPr>
                <w:rFonts w:ascii="宋体" w:hAnsi="宋体" w:cs="宋体" w:eastAsia="宋体" w:hint="default"/>
                <w:sz w:val="18"/>
                <w:szCs w:val="18"/>
              </w:rPr>
              <w:t>、监事、高级管理人员承诺：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3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本人将严格履行本人就公司首次公开发行股票并上市所作出的所有公开承诺事项，</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积极接受社会监督</w:t>
            </w:r>
            <w:r>
              <w:rPr>
                <w:rFonts w:ascii="宋体" w:hAnsi="宋体" w:cs="宋体" w:eastAsia="宋体" w:hint="default"/>
                <w:spacing w:val="-100"/>
                <w:sz w:val="18"/>
                <w:szCs w:val="18"/>
              </w:rPr>
              <w:t>。</w:t>
            </w:r>
            <w:r>
              <w:rPr>
                <w:rFonts w:ascii="宋体" w:hAnsi="宋体" w:cs="宋体" w:eastAsia="宋体" w:hint="default"/>
                <w:sz w:val="18"/>
                <w:szCs w:val="18"/>
              </w:rPr>
              <w:t>（一）</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需提出新的承诺并接受如下约束措施，直至新的承诺履行完毕或相应补救措施实施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、在股东大会及中国证监会指定的披露媒体上公开说明未履行的具体原因</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36"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vMerge w:val="restart"/>
            <w:tcBorders>
              <w:top w:val="single" w:sz="15" w:space="0" w:color="000000"/>
              <w:left w:val="single" w:sz="4" w:space="0" w:color="000000"/>
              <w:right w:val="single" w:sz="4" w:space="0" w:color="000000"/>
            </w:tcBorders>
          </w:tcPr>
          <w:p>
            <w:pPr/>
          </w:p>
        </w:tc>
        <w:tc>
          <w:tcPr>
            <w:tcW w:w="1418" w:type="dxa"/>
            <w:vMerge w:val="restart"/>
            <w:tcBorders>
              <w:top w:val="single" w:sz="15" w:space="0" w:color="000000"/>
              <w:left w:val="single" w:sz="4" w:space="0" w:color="000000"/>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、可以职务变更但不得主动要求离职；</w:t>
            </w:r>
            <w:r>
              <w:rPr>
                <w:rFonts w:ascii="Times New Roman" w:hAnsi="Times New Roman" w:cs="Times New Roman" w:eastAsia="Times New Roman" w:hint="default"/>
                <w:sz w:val="18"/>
                <w:szCs w:val="18"/>
              </w:rPr>
              <w:t>3</w:t>
            </w:r>
            <w:r>
              <w:rPr>
                <w:rFonts w:ascii="宋体" w:hAnsi="宋体" w:cs="宋体" w:eastAsia="宋体" w:hint="default"/>
                <w:sz w:val="18"/>
                <w:szCs w:val="18"/>
              </w:rPr>
              <w:t>、主动</w:t>
            </w:r>
          </w:p>
        </w:tc>
        <w:tc>
          <w:tcPr>
            <w:tcW w:w="1280" w:type="dxa"/>
            <w:vMerge w:val="restart"/>
            <w:tcBorders>
              <w:top w:val="single" w:sz="15" w:space="0" w:color="000000"/>
              <w:left w:val="single" w:sz="4" w:space="0" w:color="000000"/>
              <w:right w:val="single" w:sz="4" w:space="0" w:color="000000"/>
            </w:tcBorders>
          </w:tcPr>
          <w:p>
            <w:pPr/>
          </w:p>
        </w:tc>
        <w:tc>
          <w:tcPr>
            <w:tcW w:w="1272" w:type="dxa"/>
            <w:vMerge w:val="restart"/>
            <w:tcBorders>
              <w:top w:val="single" w:sz="15" w:space="0" w:color="000000"/>
              <w:left w:val="single" w:sz="4" w:space="0" w:color="000000"/>
              <w:right w:val="single" w:sz="4" w:space="0" w:color="000000"/>
            </w:tcBorders>
          </w:tcPr>
          <w:p>
            <w:pPr/>
          </w:p>
        </w:tc>
        <w:tc>
          <w:tcPr>
            <w:tcW w:w="1656" w:type="dxa"/>
            <w:vMerge w:val="restart"/>
            <w:tcBorders>
              <w:top w:val="single" w:sz="15" w:space="0" w:color="000000"/>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申请调减或停发薪酬或津贴；</w:t>
            </w:r>
            <w:r>
              <w:rPr>
                <w:rFonts w:ascii="Times New Roman" w:hAnsi="Times New Roman" w:cs="Times New Roman" w:eastAsia="Times New Roman" w:hint="default"/>
                <w:sz w:val="18"/>
                <w:szCs w:val="18"/>
              </w:rPr>
              <w:t>4</w:t>
            </w:r>
            <w:r>
              <w:rPr>
                <w:rFonts w:ascii="宋体" w:hAnsi="宋体" w:cs="宋体" w:eastAsia="宋体" w:hint="default"/>
                <w:sz w:val="18"/>
                <w:szCs w:val="18"/>
              </w:rPr>
              <w:t>、如果因未履行相关承诺事项而获得收益的，所获</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收益归公司所有，并在获得收益的五个工作日内将所获收益支付给公司指定账户；</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、本人未履行招股说明书的公开承诺事项，给投资者造成损失的，依法赔偿投资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者损失；</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、公司未履行招股说明书的公开承诺事项，给投资者造成损失的，本人</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依法承担连带赔偿责任</w:t>
            </w:r>
            <w:r>
              <w:rPr>
                <w:rFonts w:ascii="宋体" w:hAnsi="宋体" w:cs="宋体" w:eastAsia="宋体" w:hint="default"/>
                <w:spacing w:val="-90"/>
                <w:sz w:val="18"/>
                <w:szCs w:val="18"/>
              </w:rPr>
              <w:t>。</w:t>
            </w:r>
            <w:r>
              <w:rPr>
                <w:rFonts w:ascii="宋体" w:hAnsi="宋体" w:cs="宋体" w:eastAsia="宋体" w:hint="default"/>
                <w:sz w:val="18"/>
                <w:szCs w:val="18"/>
              </w:rPr>
              <w:t>（二）如本人因不可抗力原因导致未能履行公开承诺事项</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的，需提出新的承诺并接受如下约束措施，直至新的承诺履行完毕或相应补救措施</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、在股东大会及中国证监会指定的披露媒体上公开说明未履行的具体</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、尽快研究将投资者利益损失降低到最小</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的处理方案，尽可能地保护公司投资者利益。四、独立董事承诺：本人将严格履行</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本人就公司首次公开发行股票并上市所作出的所有公开承诺事项，积极接受社会监</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w:t>
            </w:r>
            <w:r>
              <w:rPr>
                <w:rFonts w:ascii="宋体" w:hAnsi="宋体" w:cs="宋体" w:eastAsia="宋体" w:hint="default"/>
                <w:spacing w:val="-90"/>
                <w:sz w:val="18"/>
                <w:szCs w:val="18"/>
              </w:rPr>
              <w:t>。</w:t>
            </w:r>
            <w:r>
              <w:rPr>
                <w:rFonts w:ascii="宋体" w:hAnsi="宋体" w:cs="宋体" w:eastAsia="宋体" w:hint="default"/>
                <w:sz w:val="18"/>
                <w:szCs w:val="18"/>
              </w:rPr>
              <w:t>（一）如本人非因不可抗力原因导致未能履行公开承诺事项的，需提出新的承</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诺并接受如下约束措施，直至新的承诺履行完毕或相应补救措施实施完毕：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股东大会及中国证监会指定的披露媒体上公开说明未履行的具体原因并向股东和</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、主动申请调减或停发津贴；</w:t>
            </w:r>
            <w:r>
              <w:rPr>
                <w:rFonts w:ascii="Times New Roman" w:hAnsi="Times New Roman" w:cs="Times New Roman" w:eastAsia="Times New Roman" w:hint="default"/>
                <w:sz w:val="18"/>
                <w:szCs w:val="18"/>
              </w:rPr>
              <w:t>3</w:t>
            </w:r>
            <w:r>
              <w:rPr>
                <w:rFonts w:ascii="宋体" w:hAnsi="宋体" w:cs="宋体" w:eastAsia="宋体" w:hint="default"/>
                <w:sz w:val="18"/>
                <w:szCs w:val="18"/>
              </w:rPr>
              <w:t>、如果因未履行相关承诺事</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项而获得收益的，所获收益归公司所有，并在获得收益的五个工作日内将所获收益</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支付给公司指定账户；</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、本人未履行招股说明书的公开承诺事项，给投资者造成</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损失的，依法赔偿投资者损失；</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、公司未履行招股说明书的公开承诺事项，给投</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0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资者造成损失的，本人依法承担连带赔偿责任</w:t>
            </w:r>
            <w:r>
              <w:rPr>
                <w:rFonts w:ascii="宋体" w:hAnsi="宋体" w:cs="宋体" w:eastAsia="宋体" w:hint="default"/>
                <w:spacing w:val="-90"/>
                <w:sz w:val="18"/>
                <w:szCs w:val="18"/>
              </w:rPr>
              <w:t>。</w:t>
            </w:r>
            <w:r>
              <w:rPr>
                <w:rFonts w:ascii="宋体" w:hAnsi="宋体" w:cs="宋体" w:eastAsia="宋体" w:hint="default"/>
                <w:sz w:val="18"/>
                <w:szCs w:val="18"/>
              </w:rPr>
              <w:t>（二）如本人因不可抗力原因导致</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未能履行公开承诺事项的，需提出新的承诺并接受如下约束措施，直至新的承诺履</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7"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行完毕或相应补救措施实施完毕：</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、在股东大会及中国证监会指定的披露媒体上</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公开说明未履行的具体原因并向股东和社会公众投资者道歉；</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352" w:hRule="exact"/>
        </w:trPr>
        <w:tc>
          <w:tcPr>
            <w:tcW w:w="673" w:type="dxa"/>
            <w:vMerge/>
            <w:tcBorders>
              <w:left w:val="single" w:sz="4" w:space="0" w:color="000000"/>
              <w:right w:val="single" w:sz="4" w:space="0" w:color="000000"/>
            </w:tcBorders>
            <w:shd w:val="clear" w:color="auto" w:fill="D3D3D3"/>
          </w:tcPr>
          <w:p>
            <w:pPr/>
          </w:p>
        </w:tc>
        <w:tc>
          <w:tcPr>
            <w:tcW w:w="119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者利益损失降低到最小的处理方案，尽可能地保护公司投资者利益。</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378" w:hRule="exact"/>
        </w:trPr>
        <w:tc>
          <w:tcPr>
            <w:tcW w:w="673" w:type="dxa"/>
            <w:vMerge/>
            <w:tcBorders>
              <w:left w:val="single" w:sz="4" w:space="0" w:color="000000"/>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实际控制人关于为员工补缴社会保险、住房公积金的承诺：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27"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公司实际控制人冯滨承诺：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如应有权部门的要求和决定，北京众信国际旅行社股</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23"/>
              <w:jc w:val="left"/>
              <w:rPr>
                <w:rFonts w:ascii="宋体" w:hAnsi="宋体" w:cs="宋体" w:eastAsia="宋体" w:hint="default"/>
                <w:sz w:val="18"/>
                <w:szCs w:val="18"/>
              </w:rPr>
            </w:pPr>
            <w:r>
              <w:rPr>
                <w:rFonts w:ascii="宋体" w:hAnsi="宋体" w:cs="宋体" w:eastAsia="宋体" w:hint="default"/>
                <w:spacing w:val="-1"/>
                <w:sz w:val="18"/>
                <w:szCs w:val="18"/>
              </w:rPr>
              <w:t>份有限公司需为员工补缴社会保险、住房公积金或因北京众信国际旅行社股份有限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公司未为部分员工办理或足额缴纳社会保险或住房公积金而被罚款或承担其他损</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正常履行，未发生违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反承诺情形。</w:t>
            </w: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失（包括直接损失或间接损失</w:t>
            </w:r>
            <w:r>
              <w:rPr>
                <w:rFonts w:ascii="宋体" w:hAnsi="宋体" w:cs="宋体" w:eastAsia="宋体" w:hint="default"/>
                <w:spacing w:val="-90"/>
                <w:sz w:val="18"/>
                <w:szCs w:val="18"/>
              </w:rPr>
              <w:t>）</w:t>
            </w:r>
            <w:r>
              <w:rPr>
                <w:rFonts w:ascii="宋体" w:hAnsi="宋体" w:cs="宋体" w:eastAsia="宋体" w:hint="default"/>
                <w:sz w:val="18"/>
                <w:szCs w:val="18"/>
              </w:rPr>
              <w:t>，本人承诺，将全额承担该部分补缴和被追偿的损</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失，保证北京众信国际旅行社股份有限公司不因此遭受任何损失。</w:t>
            </w:r>
            <w:r>
              <w:rPr>
                <w:rFonts w:ascii="Times New Roman" w:hAnsi="Times New Roman" w:cs="Times New Roman" w:eastAsia="Times New Roman" w:hint="default"/>
                <w:sz w:val="18"/>
                <w:szCs w:val="18"/>
              </w:rPr>
              <w:t>"</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7"/>
        <w:rPr>
          <w:rFonts w:ascii="Times New Roman" w:hAnsi="Times New Roman" w:cs="Times New Roman" w:eastAsia="Times New Roman" w:hint="default"/>
          <w:sz w:val="6"/>
          <w:szCs w:val="6"/>
        </w:rPr>
      </w:pPr>
      <w:r>
        <w:rPr/>
        <w:pict>
          <v:shape style="position:absolute;margin-left:554.930176pt;margin-top:57.18pt;width:69.75pt;height:99.6pt;mso-position-horizontal-relative:page;mso-position-vertical-relative:page;z-index:-10917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70.371002pt;margin-top:55.259998pt;width:701.4pt;height:456.1pt;mso-position-horizontal-relative:page;mso-position-vertical-relative:page;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3"/>
                    <w:gridCol w:w="1197"/>
                    <w:gridCol w:w="1418"/>
                    <w:gridCol w:w="6517"/>
                    <w:gridCol w:w="1280"/>
                    <w:gridCol w:w="1272"/>
                    <w:gridCol w:w="1656"/>
                  </w:tblGrid>
                  <w:tr>
                    <w:trPr>
                      <w:trHeight w:val="373" w:hRule="exact"/>
                    </w:trPr>
                    <w:tc>
                      <w:tcPr>
                        <w:tcW w:w="673" w:type="dxa"/>
                        <w:vMerge w:val="restart"/>
                        <w:tcBorders>
                          <w:top w:val="single" w:sz="15" w:space="0" w:color="000000"/>
                          <w:left w:val="single" w:sz="4" w:space="0" w:color="000000"/>
                          <w:right w:val="single" w:sz="4" w:space="0" w:color="000000"/>
                        </w:tcBorders>
                        <w:shd w:val="clear" w:color="auto" w:fill="D3D3D3"/>
                      </w:tcPr>
                      <w:p>
                        <w:pPr/>
                      </w:p>
                    </w:tc>
                    <w:tc>
                      <w:tcPr>
                        <w:tcW w:w="1197" w:type="dxa"/>
                        <w:tcBorders>
                          <w:top w:val="single" w:sz="15" w:space="0" w:color="000000"/>
                          <w:left w:val="single" w:sz="4" w:space="0" w:color="000000"/>
                          <w:bottom w:val="nil" w:sz="6" w:space="0" w:color="auto"/>
                          <w:right w:val="single" w:sz="4" w:space="0" w:color="000000"/>
                        </w:tcBorders>
                      </w:tcPr>
                      <w:p>
                        <w:pPr/>
                      </w:p>
                    </w:tc>
                    <w:tc>
                      <w:tcPr>
                        <w:tcW w:w="1418" w:type="dxa"/>
                        <w:tcBorders>
                          <w:top w:val="single" w:sz="15" w:space="0" w:color="000000"/>
                          <w:left w:val="single" w:sz="4" w:space="0" w:color="000000"/>
                          <w:bottom w:val="nil" w:sz="6" w:space="0" w:color="auto"/>
                          <w:right w:val="single" w:sz="4" w:space="0" w:color="000000"/>
                        </w:tcBorders>
                      </w:tcPr>
                      <w:p>
                        <w:pPr/>
                      </w:p>
                    </w:tc>
                    <w:tc>
                      <w:tcPr>
                        <w:tcW w:w="6517"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控股股东关于租赁房屋未取得房屋所有权人同意文件或授权文件可能存在潜在风</w:t>
                        </w:r>
                      </w:p>
                    </w:tc>
                    <w:tc>
                      <w:tcPr>
                        <w:tcW w:w="1280" w:type="dxa"/>
                        <w:tcBorders>
                          <w:top w:val="single" w:sz="15" w:space="0" w:color="000000"/>
                          <w:left w:val="single" w:sz="4" w:space="0" w:color="000000"/>
                          <w:bottom w:val="nil" w:sz="6" w:space="0" w:color="auto"/>
                          <w:right w:val="single" w:sz="4" w:space="0" w:color="000000"/>
                        </w:tcBorders>
                      </w:tcPr>
                      <w:p>
                        <w:pPr/>
                      </w:p>
                    </w:tc>
                    <w:tc>
                      <w:tcPr>
                        <w:tcW w:w="1272" w:type="dxa"/>
                        <w:tcBorders>
                          <w:top w:val="single" w:sz="15" w:space="0" w:color="000000"/>
                          <w:left w:val="single" w:sz="4" w:space="0" w:color="000000"/>
                          <w:bottom w:val="nil" w:sz="6" w:space="0" w:color="auto"/>
                          <w:right w:val="single" w:sz="4" w:space="0" w:color="000000"/>
                        </w:tcBorders>
                      </w:tcPr>
                      <w:p>
                        <w:pPr/>
                      </w:p>
                    </w:tc>
                    <w:tc>
                      <w:tcPr>
                        <w:tcW w:w="1656" w:type="dxa"/>
                        <w:tcBorders>
                          <w:top w:val="single" w:sz="15" w:space="0" w:color="000000"/>
                          <w:left w:val="single" w:sz="4" w:space="0" w:color="000000"/>
                          <w:bottom w:val="nil" w:sz="6" w:space="0" w:color="auto"/>
                          <w:right w:val="single" w:sz="4" w:space="0" w:color="000000"/>
                        </w:tcBorders>
                      </w:tcPr>
                      <w:p>
                        <w:pPr/>
                      </w:p>
                    </w:tc>
                  </w:tr>
                  <w:tr>
                    <w:trPr>
                      <w:trHeight w:val="322"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险的承诺：</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65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00" w:lineRule="auto" w:before="39"/>
                          <w:ind w:left="22" w:right="21"/>
                          <w:jc w:val="left"/>
                          <w:rPr>
                            <w:rFonts w:ascii="宋体" w:hAnsi="宋体" w:cs="宋体" w:eastAsia="宋体" w:hint="default"/>
                            <w:sz w:val="18"/>
                            <w:szCs w:val="18"/>
                          </w:rPr>
                        </w:pPr>
                        <w:r>
                          <w:rPr>
                            <w:rFonts w:ascii="宋体" w:hAnsi="宋体" w:cs="宋体" w:eastAsia="宋体" w:hint="default"/>
                            <w:sz w:val="18"/>
                            <w:szCs w:val="18"/>
                          </w:rPr>
                          <w:t>针对公司安定门、复兴门、安慧桥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家直营门店租用房屋未取得房屋所有权人同意 </w:t>
                        </w:r>
                        <w:r>
                          <w:rPr>
                            <w:rFonts w:ascii="宋体" w:hAnsi="宋体" w:cs="宋体" w:eastAsia="宋体" w:hint="default"/>
                            <w:spacing w:val="-1"/>
                            <w:sz w:val="18"/>
                            <w:szCs w:val="18"/>
                          </w:rPr>
                          <w:t>文件或授权文件可能存在的潜在风险，公司控股股东冯滨已向公司出具《承诺函》</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正常履行，未发生违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反承诺情形。</w:t>
                        </w:r>
                      </w:p>
                    </w:tc>
                  </w:tr>
                  <w:tr>
                    <w:trPr>
                      <w:trHeight w:val="313" w:hRule="exact"/>
                    </w:trPr>
                    <w:tc>
                      <w:tcPr>
                        <w:tcW w:w="673" w:type="dxa"/>
                        <w:vMerge/>
                        <w:tcBorders>
                          <w:left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如公司所租赁的房屋在租赁期间内因权属问题无法继续使用的，控股股东负责落实</w:t>
                        </w:r>
                      </w:p>
                    </w:tc>
                    <w:tc>
                      <w:tcPr>
                        <w:tcW w:w="128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vMerge/>
                        <w:tcBorders>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新的租赁房源，并承担由此造成的装修、搬迁损失及可能产生的其他全部损失。</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69" w:hRule="exact"/>
                    </w:trPr>
                    <w:tc>
                      <w:tcPr>
                        <w:tcW w:w="6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第一大股东、实际控制人不减持股份承诺：</w:t>
                        </w:r>
                      </w:p>
                    </w:tc>
                    <w:tc>
                      <w:tcPr>
                        <w:tcW w:w="128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658"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不减持承诺</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基于对公司未来发展前景的信心以及对公司价值的认可，冯滨先生承诺：自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个月内（即自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日）不减</w:t>
                        </w:r>
                      </w:p>
                    </w:tc>
                    <w:tc>
                      <w:tcPr>
                        <w:tcW w:w="1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22"/>
                          <w:jc w:val="left"/>
                          <w:rPr>
                            <w:rFonts w:ascii="宋体" w:hAnsi="宋体" w:cs="宋体" w:eastAsia="宋体" w:hint="default"/>
                            <w:sz w:val="18"/>
                            <w:szCs w:val="18"/>
                          </w:rPr>
                        </w:pPr>
                        <w:r>
                          <w:rPr>
                            <w:rFonts w:ascii="宋体" w:hAnsi="宋体" w:cs="宋体" w:eastAsia="宋体" w:hint="default"/>
                            <w:spacing w:val="-3"/>
                            <w:sz w:val="18"/>
                            <w:szCs w:val="18"/>
                          </w:rPr>
                          <w:t>履行完毕，未违反承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w:t>
                        </w:r>
                      </w:p>
                    </w:tc>
                  </w:tr>
                  <w:tr>
                    <w:trPr>
                      <w:trHeight w:val="35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280"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2675"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2" w:right="98"/>
                          <w:jc w:val="both"/>
                          <w:rPr>
                            <w:rFonts w:ascii="宋体" w:hAnsi="宋体" w:cs="宋体" w:eastAsia="宋体" w:hint="default"/>
                            <w:sz w:val="18"/>
                            <w:szCs w:val="18"/>
                          </w:rPr>
                        </w:pPr>
                        <w:r>
                          <w:rPr>
                            <w:rFonts w:ascii="宋体" w:hAnsi="宋体" w:cs="宋体" w:eastAsia="宋体" w:hint="default"/>
                            <w:sz w:val="18"/>
                            <w:szCs w:val="18"/>
                          </w:rPr>
                          <w:t>其他对 公司中 小股东 所作承 诺</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3" w:right="262"/>
                          <w:jc w:val="left"/>
                          <w:rPr>
                            <w:rFonts w:ascii="宋体" w:hAnsi="宋体" w:cs="宋体" w:eastAsia="宋体" w:hint="default"/>
                            <w:sz w:val="18"/>
                            <w:szCs w:val="18"/>
                          </w:rPr>
                        </w:pPr>
                        <w:r>
                          <w:rPr>
                            <w:rFonts w:ascii="宋体" w:hAnsi="宋体" w:cs="宋体" w:eastAsia="宋体" w:hint="default"/>
                            <w:sz w:val="18"/>
                            <w:szCs w:val="18"/>
                          </w:rPr>
                          <w:t>郭洪斌； 贺武；王锋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股份增持承诺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38" w:lineRule="auto"/>
                          <w:ind w:left="22" w:right="2"/>
                          <w:jc w:val="left"/>
                          <w:rPr>
                            <w:rFonts w:ascii="宋体" w:hAnsi="宋体" w:cs="宋体" w:eastAsia="宋体" w:hint="default"/>
                            <w:sz w:val="18"/>
                            <w:szCs w:val="18"/>
                          </w:rPr>
                        </w:pPr>
                        <w:r>
                          <w:rPr>
                            <w:rFonts w:ascii="宋体" w:hAnsi="宋体" w:cs="宋体" w:eastAsia="宋体" w:hint="default"/>
                            <w:sz w:val="18"/>
                            <w:szCs w:val="18"/>
                          </w:rPr>
                          <w:t>关于董事、高级管理人员增持公司股份计划： 基于对公司发展前景的信心及对公司价值的认可，在符合有关法律法规的前提下， 公司部分董事、高级管理人员计划以自身名义通过深圳证券交易所允许的方式，包</w:t>
                        </w:r>
                      </w:p>
                      <w:p>
                        <w:pPr>
                          <w:pStyle w:val="TableParagraph"/>
                          <w:spacing w:line="312" w:lineRule="auto" w:before="2"/>
                          <w:ind w:left="22" w:right="21"/>
                          <w:jc w:val="left"/>
                          <w:rPr>
                            <w:rFonts w:ascii="宋体" w:hAnsi="宋体" w:cs="宋体" w:eastAsia="宋体" w:hint="default"/>
                            <w:sz w:val="18"/>
                            <w:szCs w:val="18"/>
                          </w:rPr>
                        </w:pPr>
                        <w:r>
                          <w:rPr>
                            <w:rFonts w:ascii="宋体" w:hAnsi="宋体" w:cs="宋体" w:eastAsia="宋体" w:hint="default"/>
                            <w:sz w:val="18"/>
                            <w:szCs w:val="18"/>
                          </w:rPr>
                          <w:t>括但不限于集中竞价、连续竞价和大宗交易等方式或通过证券公司、 </w:t>
                        </w:r>
                        <w:r>
                          <w:rPr>
                            <w:rFonts w:ascii="宋体" w:hAnsi="宋体" w:cs="宋体" w:eastAsia="宋体" w:hint="default"/>
                            <w:spacing w:val="-1"/>
                            <w:sz w:val="18"/>
                            <w:szCs w:val="18"/>
                          </w:rPr>
                          <w:t>信托公司等定向资产管理、定向资金信托等方式增持公司股份，增持金额为人民币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万元。增持期间为：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日。增持人承诺： 在参与人个人增持期间及其增持行为完成后六个月内不转让所持有的公司股份。</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5"/>
                          <w:ind w:left="22" w:right="20"/>
                          <w:jc w:val="left"/>
                          <w:rPr>
                            <w:rFonts w:ascii="宋体" w:hAnsi="宋体" w:cs="宋体" w:eastAsia="宋体" w:hint="default"/>
                            <w:sz w:val="18"/>
                            <w:szCs w:val="18"/>
                          </w:rPr>
                        </w:pPr>
                        <w:r>
                          <w:rPr>
                            <w:rFonts w:ascii="宋体" w:hAnsi="宋体" w:cs="宋体" w:eastAsia="宋体" w:hint="default"/>
                            <w:spacing w:val="-3"/>
                            <w:sz w:val="18"/>
                            <w:szCs w:val="18"/>
                          </w:rPr>
                          <w:t>履行完毕。公司已于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日发 </w:t>
                        </w:r>
                        <w:r>
                          <w:rPr>
                            <w:rFonts w:ascii="宋体" w:hAnsi="宋体" w:cs="宋体" w:eastAsia="宋体" w:hint="default"/>
                            <w:spacing w:val="-3"/>
                            <w:sz w:val="18"/>
                            <w:szCs w:val="18"/>
                          </w:rPr>
                          <w:t>布《关于董事、高级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管理人员增持公司 股份计划完成公 </w:t>
                        </w:r>
                        <w:r>
                          <w:rPr>
                            <w:rFonts w:ascii="宋体" w:hAnsi="宋体" w:cs="宋体" w:eastAsia="宋体" w:hint="default"/>
                            <w:spacing w:val="-13"/>
                            <w:sz w:val="18"/>
                            <w:szCs w:val="18"/>
                          </w:rPr>
                          <w:t>告》，郭洪斌、林岩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贺武、王锋增持公司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78"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关于本次可转债发行募集资金到位后募集资金管理和使用事项，承诺如下：</w:t>
                        </w:r>
                      </w:p>
                    </w:tc>
                    <w:tc>
                      <w:tcPr>
                        <w:tcW w:w="1280" w:type="dxa"/>
                        <w:vMerge w:val="restart"/>
                        <w:tcBorders>
                          <w:top w:val="single" w:sz="4" w:space="0" w:color="000000"/>
                          <w:left w:val="single" w:sz="4" w:space="0" w:color="000000"/>
                          <w:right w:val="single" w:sz="4" w:space="0" w:color="000000"/>
                        </w:tcBorders>
                      </w:tcPr>
                      <w:p>
                        <w:pPr/>
                      </w:p>
                    </w:tc>
                    <w:tc>
                      <w:tcPr>
                        <w:tcW w:w="1272" w:type="dxa"/>
                        <w:vMerge w:val="restart"/>
                        <w:tcBorders>
                          <w:top w:val="single" w:sz="4" w:space="0" w:color="000000"/>
                          <w:left w:val="single" w:sz="4" w:space="0" w:color="000000"/>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r>
                  <w:tr>
                    <w:trPr>
                      <w:trHeight w:val="322"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本次可转债发行募集资金到位后，公司将严格按照相关法律法规及募集资金管理办</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众信旅游</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pacing w:val="-1"/>
                            <w:sz w:val="18"/>
                            <w:szCs w:val="18"/>
                          </w:rPr>
                          <w:t>法使用和管理募集资金，定期检查募集资金使用情况，保证募集资金得到合理合法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使用。公司本次发行募集的资金将由公司董事会设立专户存储，并按照相关要求对</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2"/>
                          <w:jc w:val="left"/>
                          <w:rPr>
                            <w:rFonts w:ascii="宋体" w:hAnsi="宋体" w:cs="宋体" w:eastAsia="宋体" w:hint="default"/>
                            <w:sz w:val="18"/>
                            <w:szCs w:val="18"/>
                          </w:rPr>
                        </w:pPr>
                        <w:r>
                          <w:rPr>
                            <w:rFonts w:ascii="宋体" w:hAnsi="宋体" w:cs="宋体" w:eastAsia="宋体" w:hint="default"/>
                            <w:spacing w:val="-3"/>
                            <w:sz w:val="18"/>
                            <w:szCs w:val="18"/>
                          </w:rPr>
                          <w:t>正常履行，未违反承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诺。</w:t>
                        </w:r>
                      </w:p>
                    </w:tc>
                  </w:tr>
                  <w:tr>
                    <w:trPr>
                      <w:trHeight w:val="313"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
                    </w:tc>
                    <w:tc>
                      <w:tcPr>
                        <w:tcW w:w="1197"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募集资金实施监管。公司确保不会变相通过本次募集资金以实施重大投资、资产购</w:t>
                        </w:r>
                      </w:p>
                    </w:tc>
                    <w:tc>
                      <w:tcPr>
                        <w:tcW w:w="1280" w:type="dxa"/>
                        <w:vMerge/>
                        <w:tcBorders>
                          <w:left w:val="single" w:sz="4" w:space="0" w:color="000000"/>
                          <w:right w:val="single" w:sz="4" w:space="0" w:color="000000"/>
                        </w:tcBorders>
                      </w:tcPr>
                      <w:p>
                        <w:pPr/>
                      </w:p>
                    </w:tc>
                    <w:tc>
                      <w:tcPr>
                        <w:tcW w:w="1272" w:type="dxa"/>
                        <w:vMerge/>
                        <w:tcBorders>
                          <w:left w:val="single" w:sz="4" w:space="0" w:color="000000"/>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6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买或类金融投资。</w:t>
                        </w:r>
                      </w:p>
                    </w:tc>
                    <w:tc>
                      <w:tcPr>
                        <w:tcW w:w="128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67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w:t>
                        </w:r>
                      </w:p>
                    </w:tc>
                    <w:tc>
                      <w:tcPr>
                        <w:tcW w:w="13341" w:type="dxa"/>
                        <w:gridSpan w:val="6"/>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6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否按时</w:t>
                        </w:r>
                      </w:p>
                    </w:tc>
                    <w:tc>
                      <w:tcPr>
                        <w:tcW w:w="1334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6" w:hRule="exact"/>
                    </w:trPr>
                    <w:tc>
                      <w:tcPr>
                        <w:tcW w:w="67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c>
                      <w:tcPr>
                        <w:tcW w:w="13341" w:type="dxa"/>
                        <w:gridSpan w:val="6"/>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1992" w:lineRule="exact"/>
        <w:ind w:left="992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63.55pt;height:99.6pt;mso-position-horizontal-relative:char;mso-position-vertical-relative:line" coordorigin="0,0" coordsize="1271,1992">
            <v:group style="position:absolute;left:0;top:0;width:1271;height:1992" coordorigin="0,0" coordsize="1271,1992">
              <v:shape style="position:absolute;left:0;top:0;width:1271;height:1992" coordorigin="0,0" coordsize="1271,1992" path="m0,0l0,1992,1271,1992,1271,0,0,0xe" filled="true" fillcolor="#ffffff" stroked="false">
                <v:path arrowok="t"/>
                <v:fill type="solid"/>
              </v:shape>
            </v:group>
            <v:group style="position:absolute;left:23;top:644;width:1226;height:352" coordorigin="23,644" coordsize="1226,352">
              <v:shape style="position:absolute;left:23;top:644;width:1226;height:352" coordorigin="23,644" coordsize="1226,352" path="m23,644l23,996,1248,996,1248,644,23,644xe" filled="true" fillcolor="#ffffff" stroked="false">
                <v:path arrowok="t"/>
                <v:fill type="solid"/>
              </v:shape>
            </v:group>
            <v:group style="position:absolute;left:23;top:996;width:1226;height:353" coordorigin="23,996" coordsize="1226,353">
              <v:shape style="position:absolute;left:23;top:996;width:1226;height:353" coordorigin="23,996" coordsize="1226,353" path="m23,996l23,1349,1248,1349,1248,996,23,996xe" filled="true" fillcolor="#ffffff" stroked="false">
                <v:path arrowok="t"/>
                <v:fill type="solid"/>
              </v:shape>
            </v:group>
          </v:group>
        </w:pict>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before="44"/>
        <w:ind w:left="0" w:right="112" w:firstLine="0"/>
        <w:jc w:val="right"/>
        <w:rPr>
          <w:rFonts w:ascii="宋体" w:hAnsi="宋体" w:cs="宋体" w:eastAsia="宋体" w:hint="default"/>
          <w:sz w:val="18"/>
          <w:szCs w:val="18"/>
        </w:rPr>
      </w:pPr>
      <w:r>
        <w:rPr/>
        <w:pict>
          <v:shape style="position:absolute;margin-left:140.210495pt;margin-top:-80.528282pt;width:94.6pt;height:133.3pt;mso-position-horizontal-relative:page;mso-position-vertical-relative:paragraph;z-index:-10916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林岩；</w:t>
                  </w:r>
                </w:p>
              </w:txbxContent>
            </v:textbox>
            <w10:wrap type="none"/>
          </v:shape>
        </w:pict>
      </w:r>
      <w:r>
        <w:rPr/>
        <w:pict>
          <v:shape style="position:absolute;margin-left:500.990509pt;margin-top:-80.528282pt;width:123.7pt;height:133.3pt;mso-position-horizontal-relative:page;mso-position-vertical-relative:paragraph;z-index:-1091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基金管理公司、</w:t>
                  </w:r>
                </w:p>
              </w:txbxContent>
            </v:textbox>
            <w10:wrap type="none"/>
          </v:shape>
        </w:pict>
      </w:r>
      <w:r>
        <w:rPr/>
        <w:pict>
          <v:group style="position:absolute;margin-left:164.330994pt;margin-top:-80.528282pt;width:70.45pt;height:133.3pt;mso-position-horizontal-relative:page;mso-position-vertical-relative:paragraph;z-index:1840" coordorigin="3287,-1611" coordsize="1409,2666">
            <v:group style="position:absolute;left:3287;top:-1611;width:1409;height:2666" coordorigin="3287,-1611" coordsize="1409,2666">
              <v:shape style="position:absolute;left:3287;top:-1611;width:1409;height:2666" coordorigin="3287,-1611" coordsize="1409,2666" path="m3287,-1611l3287,1055,4695,1055,4695,-1611,3287,-1611xe" filled="true" fillcolor="#ffffff" stroked="false">
                <v:path arrowok="t"/>
                <v:fill type="solid"/>
              </v:shape>
            </v:group>
            <v:group style="position:absolute;left:3309;top:-474;width:1362;height:393" coordorigin="3309,-474" coordsize="1362,393">
              <v:shape style="position:absolute;left:3309;top:-474;width:1362;height:393" coordorigin="3309,-474" coordsize="1362,393" path="m3309,-474l3309,-82,4671,-82,4671,-474,3309,-474xe" filled="true" fillcolor="#ffffff" stroked="false">
                <v:path arrowok="t"/>
                <v:fill type="solid"/>
              </v:shape>
            </v:group>
            <w10:wrap type="none"/>
          </v:group>
        </w:pict>
      </w:r>
      <w:r>
        <w:rPr/>
        <w:pict>
          <v:group style="position:absolute;margin-left:561.109985pt;margin-top:-80.528282pt;width:63.55pt;height:133.3pt;mso-position-horizontal-relative:page;mso-position-vertical-relative:paragraph;z-index:1864" coordorigin="11222,-1611" coordsize="1271,2666">
            <v:group style="position:absolute;left:11222;top:-1611;width:1271;height:2666" coordorigin="11222,-1611" coordsize="1271,2666">
              <v:shape style="position:absolute;left:11222;top:-1611;width:1271;height:2666" coordorigin="11222,-1611" coordsize="1271,2666" path="m11222,-1611l11222,1055,12493,1055,12493,-1611,11222,-1611xe" filled="true" fillcolor="#ffffff" stroked="false">
                <v:path arrowok="t"/>
                <v:fill type="solid"/>
              </v:shape>
            </v:group>
            <v:group style="position:absolute;left:11245;top:-630;width:1226;height:352" coordorigin="11245,-630" coordsize="1226,352">
              <v:shape style="position:absolute;left:11245;top:-630;width:1226;height:352" coordorigin="11245,-630" coordsize="1226,352" path="m11245,-630l11245,-279,12470,-279,12470,-630,11245,-630xe" filled="true" fillcolor="#ffffff" stroked="false">
                <v:path arrowok="t"/>
                <v:fill type="solid"/>
              </v:shape>
            </v:group>
            <v:group style="position:absolute;left:11245;top:-279;width:1226;height:353" coordorigin="11245,-279" coordsize="1226,353">
              <v:shape style="position:absolute;left:11245;top:-279;width:1226;height:353" coordorigin="11245,-279" coordsize="1226,353" path="m11245,-279l11245,74,12470,74,12470,-279,11245,-279xe" filled="true" fillcolor="#ffffff" stroked="false">
                <v:path arrowok="t"/>
                <v:fill type="solid"/>
              </v:shape>
            </v:group>
            <w10:wrap type="none"/>
          </v:group>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78" w:top="1060" w:bottom="1160" w:left="1300" w:right="1240"/>
        </w:sectPr>
      </w:pPr>
    </w:p>
    <w:p>
      <w:pPr>
        <w:spacing w:line="240" w:lineRule="auto" w:before="10"/>
        <w:rPr>
          <w:rFonts w:ascii="宋体" w:hAnsi="宋体" w:cs="宋体" w:eastAsia="宋体" w:hint="default"/>
          <w:sz w:val="20"/>
          <w:szCs w:val="20"/>
        </w:rPr>
      </w:pPr>
    </w:p>
    <w:p>
      <w:pPr>
        <w:pStyle w:val="Heading6"/>
        <w:spacing w:line="259" w:lineRule="auto" w:before="35"/>
        <w:ind w:right="9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1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5" w:right="90" w:firstLine="424"/>
        <w:jc w:val="left"/>
      </w:pP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10</w:t>
      </w:r>
      <w:r>
        <w:rPr>
          <w:spacing w:val="-6"/>
        </w:rPr>
        <w:t>日，财政部以财会</w:t>
      </w:r>
      <w:r>
        <w:rPr>
          <w:rFonts w:ascii="Times New Roman" w:hAnsi="Times New Roman" w:cs="Times New Roman" w:eastAsia="Times New Roman" w:hint="default"/>
          <w:spacing w:val="-6"/>
        </w:rPr>
        <w:t>[2017]15</w:t>
      </w:r>
      <w:r>
        <w:rPr>
          <w:spacing w:val="-6"/>
        </w:rPr>
        <w:t>号发布了《企业会计准则第</w:t>
      </w:r>
      <w:r>
        <w:rPr/>
        <w:t> </w:t>
      </w:r>
      <w:r>
        <w:rPr>
          <w:rFonts w:ascii="Times New Roman" w:hAnsi="Times New Roman" w:cs="Times New Roman" w:eastAsia="Times New Roman" w:hint="default"/>
        </w:rPr>
        <w:t>16</w:t>
      </w:r>
      <w:r>
        <w:rPr>
          <w:rFonts w:ascii="Times New Roman" w:hAnsi="Times New Roman" w:cs="Times New Roman" w:eastAsia="Times New Roman" w:hint="default"/>
          <w:spacing w:val="43"/>
        </w:rPr>
        <w:t> </w:t>
      </w:r>
      <w:r>
        <w:rPr>
          <w:spacing w:val="-15"/>
        </w:rPr>
        <w:t>号</w:t>
      </w:r>
      <w:r>
        <w:rPr>
          <w:rFonts w:ascii="Times New Roman" w:hAnsi="Times New Roman" w:cs="Times New Roman" w:eastAsia="Times New Roman" w:hint="default"/>
          <w:spacing w:val="-15"/>
        </w:rPr>
        <w:t>——</w:t>
      </w:r>
      <w:r>
        <w:rPr>
          <w:spacing w:val="-15"/>
        </w:rPr>
        <w:t>政府补助（</w:t>
      </w:r>
      <w:r>
        <w:rPr>
          <w:rFonts w:ascii="Times New Roman" w:hAnsi="Times New Roman" w:cs="Times New Roman" w:eastAsia="Times New Roman" w:hint="default"/>
          <w:spacing w:val="-15"/>
        </w:rPr>
        <w:t>2017</w:t>
      </w:r>
      <w:r>
        <w:rPr>
          <w:spacing w:val="-15"/>
        </w:rPr>
        <w:t>年修订）》，</w:t>
      </w:r>
      <w:r>
        <w:rPr/>
        <w:t>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日起实施。经本公司董事会于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 </w:t>
      </w:r>
      <w:r>
        <w:rPr/>
        <w:t>日决议通过，本公司按照财政部的要求时间开</w:t>
      </w:r>
      <w:r>
        <w:rPr>
          <w:spacing w:val="-41"/>
        </w:rPr>
        <w:t> </w:t>
      </w:r>
      <w:r>
        <w:rPr>
          <w:spacing w:val="-41"/>
        </w:rPr>
      </w:r>
      <w:r>
        <w:rPr/>
        <w:t>始执行前述会计准则。</w:t>
      </w:r>
    </w:p>
    <w:p>
      <w:pPr>
        <w:pStyle w:val="BodyText"/>
        <w:spacing w:line="398" w:lineRule="auto" w:before="65"/>
        <w:ind w:left="153" w:right="306" w:firstLine="480"/>
        <w:jc w:val="both"/>
      </w:pPr>
      <w:r>
        <w:rPr>
          <w:spacing w:val="-2"/>
        </w:rPr>
        <w:t>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年修订）》之前，本公司将取得的政府补助计入营业</w:t>
      </w:r>
      <w:r>
        <w:rPr/>
        <w:t> </w:t>
      </w:r>
      <w:r>
        <w:rPr>
          <w:spacing w:val="-1"/>
        </w:rPr>
        <w:t>外收入；与资产相关的政府补助确认为递延收益，在资产使用寿命内平均摊销计入当期损益。执行《企业</w:t>
      </w:r>
      <w:r>
        <w:rPr>
          <w:spacing w:val="-82"/>
        </w:rPr>
        <w:t> </w:t>
      </w:r>
      <w:r>
        <w:rPr>
          <w:spacing w:val="-82"/>
        </w:rPr>
      </w:r>
      <w:r>
        <w:rPr/>
        <w:t>会计准则第 </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年修订）》之后，对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日之后发生的与日常活动相关的政</w:t>
      </w:r>
      <w:r>
        <w:rPr>
          <w:spacing w:val="-38"/>
        </w:rPr>
        <w:t> </w:t>
      </w:r>
      <w:r>
        <w:rPr>
          <w:spacing w:val="-38"/>
        </w:rPr>
      </w:r>
      <w:r>
        <w:rPr>
          <w:spacing w:val="-1"/>
        </w:rPr>
        <w:t>府补助，计入其他收益或冲减相关成本费用；与日常活动无关的政府补助，计入营业外收入；与资产相关</w:t>
      </w:r>
      <w:r>
        <w:rPr>
          <w:spacing w:val="-82"/>
        </w:rPr>
        <w:t> </w:t>
      </w:r>
      <w:r>
        <w:rPr>
          <w:spacing w:val="-82"/>
        </w:rPr>
      </w:r>
      <w:r>
        <w:rPr/>
        <w:t>的政府补助确认为递延收益，在资产使用寿命内平均摊销计入当期损益。</w:t>
      </w:r>
    </w:p>
    <w:p>
      <w:pPr>
        <w:pStyle w:val="BodyText"/>
        <w:spacing w:line="240" w:lineRule="auto" w:before="54"/>
        <w:ind w:left="633" w:right="90"/>
        <w:jc w:val="left"/>
      </w:pPr>
      <w:r>
        <w:rPr/>
        <w:t>上述会计政策变更对本期财务报表无影响。</w:t>
      </w:r>
    </w:p>
    <w:p>
      <w:pPr>
        <w:spacing w:line="240" w:lineRule="auto" w:before="0"/>
        <w:rPr>
          <w:rFonts w:ascii="宋体" w:hAnsi="宋体" w:cs="宋体" w:eastAsia="宋体" w:hint="default"/>
          <w:sz w:val="20"/>
          <w:szCs w:val="20"/>
        </w:rPr>
      </w:pPr>
    </w:p>
    <w:p>
      <w:pPr>
        <w:pStyle w:val="Heading2"/>
        <w:spacing w:line="240" w:lineRule="auto" w:before="131"/>
        <w:ind w:right="9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5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33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报告期公司非同一控制下企业合并下属公司</w:t>
      </w:r>
      <w:r>
        <w:rPr>
          <w:rFonts w:ascii="Times New Roman" w:hAnsi="Times New Roman" w:cs="Times New Roman" w:eastAsia="Times New Roman" w:hint="default"/>
          <w:sz w:val="18"/>
          <w:szCs w:val="18"/>
        </w:rPr>
        <w:t>6</w:t>
      </w:r>
      <w:r>
        <w:rPr>
          <w:rFonts w:ascii="宋体" w:hAnsi="宋体" w:cs="宋体" w:eastAsia="宋体" w:hint="default"/>
          <w:sz w:val="18"/>
          <w:szCs w:val="18"/>
        </w:rPr>
        <w:t>家，新设子公司</w:t>
      </w:r>
      <w:r>
        <w:rPr>
          <w:rFonts w:ascii="Times New Roman" w:hAnsi="Times New Roman" w:cs="Times New Roman" w:eastAsia="Times New Roman" w:hint="default"/>
          <w:sz w:val="18"/>
          <w:szCs w:val="18"/>
        </w:rPr>
        <w:t>1</w:t>
      </w:r>
      <w:r>
        <w:rPr>
          <w:rFonts w:ascii="宋体" w:hAnsi="宋体" w:cs="宋体" w:eastAsia="宋体" w:hint="default"/>
          <w:sz w:val="18"/>
          <w:szCs w:val="18"/>
        </w:rPr>
        <w:t>家，注销子公司</w:t>
      </w:r>
      <w:r>
        <w:rPr>
          <w:rFonts w:ascii="Times New Roman" w:hAnsi="Times New Roman" w:cs="Times New Roman" w:eastAsia="Times New Roman" w:hint="default"/>
          <w:sz w:val="18"/>
          <w:szCs w:val="18"/>
        </w:rPr>
        <w:t>1</w:t>
      </w:r>
      <w:r>
        <w:rPr>
          <w:rFonts w:ascii="宋体" w:hAnsi="宋体" w:cs="宋体" w:eastAsia="宋体" w:hint="default"/>
          <w:sz w:val="18"/>
          <w:szCs w:val="18"/>
        </w:rPr>
        <w:t>家。</w:t>
      </w:r>
    </w:p>
    <w:p>
      <w:pPr>
        <w:spacing w:line="240" w:lineRule="auto" w:before="11"/>
        <w:rPr>
          <w:rFonts w:ascii="宋体" w:hAnsi="宋体" w:cs="宋体" w:eastAsia="宋体" w:hint="default"/>
          <w:sz w:val="17"/>
          <w:szCs w:val="17"/>
        </w:rPr>
      </w:pPr>
    </w:p>
    <w:p>
      <w:pPr>
        <w:pStyle w:val="Heading2"/>
        <w:spacing w:line="240" w:lineRule="auto"/>
        <w:ind w:right="9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after="0"/>
        <w:jc w:val="left"/>
        <w:rPr>
          <w:rFonts w:ascii="宋体" w:hAnsi="宋体" w:cs="宋体" w:eastAsia="宋体" w:hint="default"/>
          <w:sz w:val="18"/>
          <w:szCs w:val="18"/>
        </w:rPr>
        <w:sectPr>
          <w:headerReference w:type="default" r:id="rId15"/>
          <w:footerReference w:type="default" r:id="rId16"/>
          <w:pgSz w:w="11910" w:h="16840"/>
          <w:pgMar w:header="877" w:footer="982" w:top="1100" w:bottom="1180" w:left="980" w:right="820"/>
          <w:pgNumType w:start="52"/>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李朝辉、孙太宏</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bl>
    <w:p>
      <w:pPr>
        <w:spacing w:before="51"/>
        <w:ind w:left="154" w:right="6771"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53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6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5"/>
        <w:ind w:left="154" w:right="102" w:firstLine="0"/>
        <w:jc w:val="left"/>
        <w:rPr>
          <w:rFonts w:ascii="宋体" w:hAnsi="宋体" w:cs="宋体" w:eastAsia="宋体" w:hint="default"/>
          <w:sz w:val="20"/>
          <w:szCs w:val="20"/>
        </w:rPr>
      </w:pPr>
      <w:r>
        <w:rPr>
          <w:rFonts w:ascii="宋体" w:hAnsi="宋体" w:cs="宋体" w:eastAsia="宋体" w:hint="default"/>
          <w:sz w:val="20"/>
          <w:szCs w:val="20"/>
        </w:rPr>
        <w:t>报告期内，公司发行可转换公司债券事项，聘请华泰联合证券有限责任公司作为保荐机构。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2"/>
        <w:spacing w:line="240" w:lineRule="auto"/>
        <w:ind w:right="102"/>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6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6771"/>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6771"/>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6771"/>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9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2"/>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6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6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6"/>
        <w:spacing w:line="240" w:lineRule="auto" w:before="77"/>
        <w:ind w:left="574" w:right="102"/>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年限制性股票激励计划</w:t>
      </w:r>
      <w:r>
        <w:rPr>
          <w:b w:val="0"/>
          <w:bCs w:val="0"/>
        </w:rPr>
      </w:r>
    </w:p>
    <w:p>
      <w:pPr>
        <w:pStyle w:val="BodyText"/>
        <w:spacing w:line="386" w:lineRule="auto" w:before="99"/>
        <w:ind w:left="153" w:right="102" w:firstLine="39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日，公司分别召开第三届董事会第五十五次会议及</w:t>
      </w:r>
      <w:r>
        <w:rPr>
          <w:rFonts w:ascii="Times New Roman" w:hAnsi="Times New Roman" w:cs="Times New Roman" w:eastAsia="Times New Roman" w:hint="default"/>
        </w:rPr>
        <w:t>2017</w:t>
      </w:r>
      <w:r>
        <w:rPr/>
        <w:t>年第二次临时股</w:t>
      </w:r>
      <w:r>
        <w:rPr>
          <w:spacing w:val="2"/>
        </w:rPr>
        <w:t> </w:t>
      </w:r>
      <w:r>
        <w:rPr>
          <w:spacing w:val="-3"/>
        </w:rPr>
        <w:t>东大会审议通过了《关于回购注销已不符合激励条件的激励对象已获授但尚未解锁的限制性股票的议案》，</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206"/>
        <w:jc w:val="both"/>
      </w:pPr>
      <w:r>
        <w:rPr/>
        <w:t>对尹陆所持激励股份进行回购注销。详见公司于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日在巨潮资讯网上发布的《关于回购注销已</w:t>
      </w:r>
      <w:r>
        <w:rPr>
          <w:spacing w:val="-36"/>
        </w:rPr>
        <w:t> </w:t>
      </w:r>
      <w:r>
        <w:rPr>
          <w:spacing w:val="-36"/>
        </w:rPr>
      </w:r>
      <w:r>
        <w:rPr/>
        <w:t>不符合激励条件的激励对象已获授但尚未解锁的限制性股票的公告》（</w:t>
      </w:r>
      <w:r>
        <w:rPr>
          <w:rFonts w:ascii="Times New Roman" w:hAnsi="Times New Roman" w:cs="Times New Roman" w:eastAsia="Times New Roman" w:hint="default"/>
        </w:rPr>
        <w:t>2017-024</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r>
        <w:rPr>
          <w:spacing w:val="-101"/>
        </w:rPr>
        <w:t> </w:t>
      </w:r>
      <w:r>
        <w:rPr/>
        <w:t>在中国结算深圳分公司办理完成相关股份回购注销手续，并于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日发布了《关于部分限制性股</w:t>
      </w:r>
      <w:r>
        <w:rPr>
          <w:spacing w:val="-36"/>
        </w:rPr>
        <w:t> </w:t>
      </w:r>
      <w:r>
        <w:rPr>
          <w:spacing w:val="-36"/>
        </w:rPr>
      </w:r>
      <w:r>
        <w:rPr/>
        <w:t>票回购注销完成的公告》（</w:t>
      </w:r>
      <w:r>
        <w:rPr>
          <w:rFonts w:ascii="Times New Roman" w:hAnsi="Times New Roman" w:cs="Times New Roman" w:eastAsia="Times New Roman" w:hint="default"/>
        </w:rPr>
        <w:t>2017-049</w:t>
      </w:r>
      <w:r>
        <w:rPr/>
        <w:t>）。</w:t>
      </w:r>
    </w:p>
    <w:p>
      <w:pPr>
        <w:pStyle w:val="BodyText"/>
        <w:spacing w:line="391" w:lineRule="auto" w:before="35"/>
        <w:ind w:left="153" w:right="202" w:firstLine="39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日，公司召开第三届董事会第七十一次会议审议通过了《关于公司</w:t>
      </w:r>
      <w:r>
        <w:rPr>
          <w:rFonts w:ascii="Times New Roman" w:hAnsi="Times New Roman" w:cs="Times New Roman" w:eastAsia="Times New Roman" w:hint="default"/>
        </w:rPr>
        <w:t>2014</w:t>
      </w:r>
      <w:r>
        <w:rPr/>
        <w:t>年限制性</w:t>
      </w:r>
      <w:r>
        <w:rPr>
          <w:spacing w:val="3"/>
        </w:rPr>
        <w:t> 股票激励计划首次授予的限制性股票第三个解锁期及预留部分授予的限制性股票第二个解锁期解锁条件</w:t>
      </w:r>
      <w:r>
        <w:rPr>
          <w:spacing w:val="-78"/>
        </w:rPr>
        <w:t> </w:t>
      </w:r>
      <w:r>
        <w:rPr>
          <w:spacing w:val="-78"/>
        </w:rPr>
      </w:r>
      <w:r>
        <w:rPr>
          <w:spacing w:val="-1"/>
        </w:rPr>
        <w:t>成就的议案》，董事会同意为</w:t>
      </w:r>
      <w:r>
        <w:rPr>
          <w:rFonts w:ascii="Times New Roman" w:hAnsi="Times New Roman" w:cs="Times New Roman" w:eastAsia="Times New Roman" w:hint="default"/>
          <w:spacing w:val="-1"/>
        </w:rPr>
        <w:t>2014</w:t>
      </w:r>
      <w:r>
        <w:rPr>
          <w:spacing w:val="-1"/>
        </w:rPr>
        <w:t>年限制性股票激励计划首次授予限制性股票激励对象</w:t>
      </w:r>
      <w:r>
        <w:rPr>
          <w:rFonts w:ascii="Times New Roman" w:hAnsi="Times New Roman" w:cs="Times New Roman" w:eastAsia="Times New Roman" w:hint="default"/>
          <w:spacing w:val="-1"/>
        </w:rPr>
        <w:t>88</w:t>
      </w:r>
      <w:r>
        <w:rPr>
          <w:spacing w:val="-1"/>
        </w:rPr>
        <w:t>人及预留部分授</w:t>
      </w:r>
      <w:r>
        <w:rPr>
          <w:spacing w:val="-83"/>
        </w:rPr>
        <w:t> </w:t>
      </w:r>
      <w:r>
        <w:rPr>
          <w:spacing w:val="-83"/>
        </w:rPr>
      </w:r>
      <w:r>
        <w:rPr/>
        <w:t>予限制性股票激励对象</w:t>
      </w:r>
      <w:r>
        <w:rPr>
          <w:rFonts w:ascii="Times New Roman" w:hAnsi="Times New Roman" w:cs="Times New Roman" w:eastAsia="Times New Roman" w:hint="default"/>
        </w:rPr>
        <w:t>5</w:t>
      </w:r>
      <w:r>
        <w:rPr/>
        <w:t>人办理解锁。详见公司于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日在巨潮资讯网上发布的《关于</w:t>
      </w:r>
      <w:r>
        <w:rPr>
          <w:rFonts w:ascii="Times New Roman" w:hAnsi="Times New Roman" w:cs="Times New Roman" w:eastAsia="Times New Roman" w:hint="default"/>
        </w:rPr>
        <w:t>2014</w:t>
      </w:r>
      <w:r>
        <w:rPr/>
        <w:t>年限</w:t>
      </w:r>
      <w:r>
        <w:rPr>
          <w:spacing w:val="-38"/>
        </w:rPr>
        <w:t> </w:t>
      </w:r>
      <w:r>
        <w:rPr>
          <w:spacing w:val="3"/>
        </w:rPr>
        <w:t>制性股票激励计划首次授予的限制性股票第三个解锁期及预留部分授予的限制性股票第二个解锁期解锁</w:t>
      </w:r>
      <w:r>
        <w:rPr>
          <w:spacing w:val="-78"/>
        </w:rPr>
        <w:t> </w:t>
      </w:r>
      <w:r>
        <w:rPr>
          <w:spacing w:val="-78"/>
        </w:rPr>
      </w:r>
      <w:r>
        <w:rPr/>
        <w:t>条件成就的公告》（</w:t>
      </w:r>
      <w:r>
        <w:rPr>
          <w:rFonts w:ascii="Times New Roman" w:hAnsi="Times New Roman" w:cs="Times New Roman" w:eastAsia="Times New Roman" w:hint="default"/>
        </w:rPr>
        <w:t>2017-133</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日在中国结算深圳分公司办理完成相关股份解锁手 </w:t>
      </w:r>
      <w:r>
        <w:rPr>
          <w:spacing w:val="-1"/>
        </w:rPr>
        <w:t>续，并发布了《关于</w:t>
      </w:r>
      <w:r>
        <w:rPr>
          <w:rFonts w:ascii="Times New Roman" w:hAnsi="Times New Roman" w:cs="Times New Roman" w:eastAsia="Times New Roman" w:hint="default"/>
          <w:spacing w:val="-1"/>
        </w:rPr>
        <w:t>2014</w:t>
      </w:r>
      <w:r>
        <w:rPr>
          <w:spacing w:val="-1"/>
        </w:rPr>
        <w:t>年限制性股票激励计划首次授予的第三期限制性股票及预留部分授予的第二期限</w:t>
      </w:r>
      <w:r>
        <w:rPr>
          <w:spacing w:val="-84"/>
        </w:rPr>
        <w:t> </w:t>
      </w:r>
      <w:r>
        <w:rPr>
          <w:spacing w:val="-84"/>
        </w:rPr>
      </w:r>
      <w:r>
        <w:rPr/>
        <w:t>制性股票上市流通的提示性公告》（</w:t>
      </w:r>
      <w:r>
        <w:rPr>
          <w:rFonts w:ascii="Times New Roman" w:hAnsi="Times New Roman" w:cs="Times New Roman" w:eastAsia="Times New Roman" w:hint="default"/>
        </w:rPr>
        <w:t>2017-138</w:t>
      </w:r>
      <w:r>
        <w:rPr/>
        <w:t>），本次解锁股份上市流通日为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日，解锁股份数</w:t>
      </w:r>
      <w:r>
        <w:rPr>
          <w:spacing w:val="-102"/>
        </w:rPr>
        <w:t> </w:t>
      </w:r>
      <w:r>
        <w:rPr>
          <w:spacing w:val="-102"/>
        </w:rPr>
      </w:r>
      <w:r>
        <w:rPr/>
        <w:t>量为</w:t>
      </w:r>
      <w:r>
        <w:rPr>
          <w:rFonts w:ascii="Times New Roman" w:hAnsi="Times New Roman" w:cs="Times New Roman" w:eastAsia="Times New Roman" w:hint="default"/>
        </w:rPr>
        <w:t>4,820,640</w:t>
      </w:r>
      <w:r>
        <w:rPr/>
        <w:t>股。</w:t>
      </w:r>
    </w:p>
    <w:p>
      <w:pPr>
        <w:pStyle w:val="Heading6"/>
        <w:spacing w:line="240" w:lineRule="auto" w:before="30"/>
        <w:ind w:left="573" w:right="102"/>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年限制性股票激励计划</w:t>
      </w:r>
      <w:r>
        <w:rPr>
          <w:b w:val="0"/>
          <w:bCs w:val="0"/>
        </w:rPr>
      </w:r>
    </w:p>
    <w:p>
      <w:pPr>
        <w:pStyle w:val="BodyText"/>
        <w:spacing w:line="391" w:lineRule="auto" w:before="177"/>
        <w:ind w:left="153" w:right="105" w:firstLine="39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日，公司分别召开第三届董事会第五十五次会议及</w:t>
      </w:r>
      <w:r>
        <w:rPr>
          <w:rFonts w:ascii="Times New Roman" w:hAnsi="Times New Roman" w:cs="Times New Roman" w:eastAsia="Times New Roman" w:hint="default"/>
        </w:rPr>
        <w:t>2017</w:t>
      </w:r>
      <w:r>
        <w:rPr/>
        <w:t>年第二次临时股</w:t>
      </w:r>
      <w:r>
        <w:rPr>
          <w:spacing w:val="2"/>
        </w:rPr>
        <w:t> </w:t>
      </w:r>
      <w:r>
        <w:rPr>
          <w:spacing w:val="-3"/>
        </w:rPr>
        <w:t>东大会审议通过了《关于回购注销已不符合激励条件的激励对象已获授但尚未解锁的限制性股票的议案》，</w:t>
      </w:r>
      <w:r>
        <w:rPr>
          <w:spacing w:val="-92"/>
        </w:rPr>
        <w:t> </w:t>
      </w:r>
      <w:r>
        <w:rPr>
          <w:spacing w:val="-92"/>
        </w:rPr>
      </w:r>
      <w:r>
        <w:rPr/>
        <w:t>对胡丽丽等</w:t>
      </w:r>
      <w:r>
        <w:rPr>
          <w:rFonts w:ascii="Times New Roman" w:hAnsi="Times New Roman" w:cs="Times New Roman" w:eastAsia="Times New Roman" w:hint="default"/>
        </w:rPr>
        <w:t>16</w:t>
      </w:r>
      <w:r>
        <w:rPr/>
        <w:t>人所持激励股份进行回购注销。详见公司于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日在巨潮资讯网上发布的《关于回</w:t>
      </w:r>
      <w:r>
        <w:rPr>
          <w:spacing w:val="-36"/>
        </w:rPr>
        <w:t> </w:t>
      </w:r>
      <w:r>
        <w:rPr>
          <w:spacing w:val="-36"/>
        </w:rPr>
      </w:r>
      <w:r>
        <w:rPr/>
        <w:t>购注销已不符合激励条件的激励对象已获授但尚未解锁的限制性股票的公告》（</w:t>
      </w:r>
      <w:r>
        <w:rPr>
          <w:rFonts w:ascii="Times New Roman" w:hAnsi="Times New Roman" w:cs="Times New Roman" w:eastAsia="Times New Roman" w:hint="default"/>
        </w:rPr>
        <w:t>2017-024</w:t>
      </w:r>
      <w:r>
        <w:rPr/>
        <w:t>）。公司于</w:t>
      </w:r>
      <w:r>
        <w:rPr>
          <w:rFonts w:ascii="Times New Roman" w:hAnsi="Times New Roman" w:cs="Times New Roman" w:eastAsia="Times New Roman" w:hint="default"/>
        </w:rPr>
        <w:t>2017</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日在中国结算深圳分公司办理完成相关股份回购注销手续，并于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日发布了《关于部分</w:t>
      </w:r>
      <w:r>
        <w:rPr>
          <w:spacing w:val="-35"/>
        </w:rPr>
        <w:t> </w:t>
      </w:r>
      <w:r>
        <w:rPr>
          <w:spacing w:val="-35"/>
        </w:rPr>
      </w:r>
      <w:r>
        <w:rPr/>
        <w:t>限制性股票回购注销完成的公告》（</w:t>
      </w:r>
      <w:r>
        <w:rPr>
          <w:rFonts w:ascii="Times New Roman" w:hAnsi="Times New Roman" w:cs="Times New Roman" w:eastAsia="Times New Roman" w:hint="default"/>
        </w:rPr>
        <w:t>2017-049</w:t>
      </w:r>
      <w:r>
        <w:rPr/>
        <w:t>）。</w:t>
      </w:r>
    </w:p>
    <w:p>
      <w:pPr>
        <w:pStyle w:val="BodyText"/>
        <w:spacing w:line="391" w:lineRule="auto" w:before="30"/>
        <w:ind w:left="153" w:right="206" w:firstLine="39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日，公司分别召开第三届董事会第六十次会议及</w:t>
      </w:r>
      <w:r>
        <w:rPr>
          <w:rFonts w:ascii="Times New Roman" w:hAnsi="Times New Roman" w:cs="Times New Roman" w:eastAsia="Times New Roman" w:hint="default"/>
        </w:rPr>
        <w:t>2017</w:t>
      </w:r>
      <w:r>
        <w:rPr/>
        <w:t>年第四次临时股东 </w:t>
      </w:r>
      <w:r>
        <w:rPr>
          <w:spacing w:val="-1"/>
        </w:rPr>
        <w:t>大会审议通过了《关于回购注销已不符合激励条件的激励对象已获授但尚未解锁的限制性股票的议案》对</w:t>
      </w:r>
      <w:r>
        <w:rPr>
          <w:spacing w:val="-81"/>
        </w:rPr>
        <w:t> </w:t>
      </w:r>
      <w:r>
        <w:rPr>
          <w:spacing w:val="-81"/>
        </w:rPr>
      </w:r>
      <w:r>
        <w:rPr>
          <w:spacing w:val="-1"/>
        </w:rPr>
        <w:t>虞涛等</w:t>
      </w:r>
      <w:r>
        <w:rPr>
          <w:rFonts w:ascii="Times New Roman" w:hAnsi="Times New Roman" w:cs="Times New Roman" w:eastAsia="Times New Roman" w:hint="default"/>
          <w:spacing w:val="-1"/>
        </w:rPr>
        <w:t>9</w:t>
      </w:r>
      <w:r>
        <w:rPr>
          <w:spacing w:val="-1"/>
        </w:rPr>
        <w:t>人所持激励股份进行回购注销。详见公司于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日在巨潮资讯网上发布的《关于回购注销</w:t>
      </w:r>
      <w:r>
        <w:rPr>
          <w:spacing w:val="-85"/>
        </w:rPr>
        <w:t> </w:t>
      </w:r>
      <w:r>
        <w:rPr>
          <w:spacing w:val="-85"/>
        </w:rPr>
      </w:r>
      <w:r>
        <w:rPr>
          <w:spacing w:val="-2"/>
        </w:rPr>
        <w:t>已不符合激励条件的激励对象已获授但尚未解锁的限制性股票的公告》（</w:t>
      </w:r>
      <w:r>
        <w:rPr>
          <w:rFonts w:ascii="Times New Roman" w:hAnsi="Times New Roman" w:cs="Times New Roman" w:eastAsia="Times New Roman" w:hint="default"/>
          <w:spacing w:val="-2"/>
        </w:rPr>
        <w:t>2017-069</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spacing w:val="-47"/>
        </w:rPr>
        <w:t> </w:t>
      </w:r>
      <w:r>
        <w:rPr/>
        <w:t>日在中国证券登记结算有限公司深圳分公司办理完成相关股份回购注销手续，并于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日发布了</w:t>
      </w:r>
    </w:p>
    <w:p>
      <w:pPr>
        <w:pStyle w:val="BodyText"/>
        <w:spacing w:line="240" w:lineRule="auto" w:before="30"/>
        <w:ind w:left="153" w:right="0"/>
        <w:jc w:val="both"/>
      </w:pPr>
      <w:r>
        <w:rPr/>
        <w:t>《关于部分限制性股票回购注销完成的公告》（</w:t>
      </w:r>
      <w:r>
        <w:rPr>
          <w:rFonts w:ascii="Times New Roman" w:hAnsi="Times New Roman" w:cs="Times New Roman" w:eastAsia="Times New Roman" w:hint="default"/>
        </w:rPr>
        <w:t>2017-087</w:t>
      </w:r>
      <w:r>
        <w:rPr/>
        <w:t>）。</w:t>
      </w:r>
    </w:p>
    <w:p>
      <w:pPr>
        <w:pStyle w:val="BodyText"/>
        <w:spacing w:line="386" w:lineRule="auto" w:before="177"/>
        <w:ind w:left="153" w:right="205" w:firstLine="399"/>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日，公司召开第三届董事会第六十次会议审议通过了《关于公司</w:t>
      </w:r>
      <w:r>
        <w:rPr>
          <w:rFonts w:ascii="Times New Roman" w:hAnsi="Times New Roman" w:cs="Times New Roman" w:eastAsia="Times New Roman" w:hint="default"/>
        </w:rPr>
        <w:t>2016</w:t>
      </w:r>
      <w:r>
        <w:rPr/>
        <w:t>年限制性股票 </w:t>
      </w:r>
      <w:r>
        <w:rPr>
          <w:spacing w:val="-1"/>
        </w:rPr>
        <w:t>激励计划首次授予的限制性股票第一个解锁期解锁条件成就的议案》，董事会同意为</w:t>
      </w:r>
      <w:r>
        <w:rPr>
          <w:rFonts w:ascii="Times New Roman" w:hAnsi="Times New Roman" w:cs="Times New Roman" w:eastAsia="Times New Roman" w:hint="default"/>
          <w:spacing w:val="-1"/>
        </w:rPr>
        <w:t>2016</w:t>
      </w:r>
      <w:r>
        <w:rPr>
          <w:spacing w:val="-1"/>
        </w:rPr>
        <w:t>年限制性股票激</w:t>
      </w:r>
      <w:r>
        <w:rPr>
          <w:spacing w:val="-83"/>
        </w:rPr>
        <w:t> </w:t>
      </w:r>
      <w:r>
        <w:rPr>
          <w:spacing w:val="-83"/>
        </w:rPr>
      </w:r>
      <w:r>
        <w:rPr>
          <w:spacing w:val="-1"/>
        </w:rPr>
        <w:t>励计划首次授予限制性股票激励对象</w:t>
      </w:r>
      <w:r>
        <w:rPr>
          <w:rFonts w:ascii="Times New Roman" w:hAnsi="Times New Roman" w:cs="Times New Roman" w:eastAsia="Times New Roman" w:hint="default"/>
          <w:spacing w:val="-1"/>
        </w:rPr>
        <w:t>356</w:t>
      </w:r>
      <w:r>
        <w:rPr>
          <w:spacing w:val="-1"/>
        </w:rPr>
        <w:t>人办理第一期股份解锁。详见公司于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日在巨潮资讯网</w:t>
      </w:r>
      <w:r>
        <w:rPr>
          <w:spacing w:val="-84"/>
        </w:rPr>
        <w:t> </w:t>
      </w:r>
      <w:r>
        <w:rPr>
          <w:spacing w:val="-84"/>
        </w:rPr>
      </w:r>
      <w:r>
        <w:rPr>
          <w:spacing w:val="3"/>
        </w:rPr>
        <w:t>上发布的《关于</w:t>
      </w:r>
      <w:r>
        <w:rPr>
          <w:rFonts w:ascii="Times New Roman" w:hAnsi="Times New Roman" w:cs="Times New Roman" w:eastAsia="Times New Roman" w:hint="default"/>
          <w:spacing w:val="3"/>
        </w:rPr>
        <w:t>2016</w:t>
      </w:r>
      <w:r>
        <w:rPr>
          <w:spacing w:val="3"/>
        </w:rPr>
        <w:t>年限制性股票激励计划首次授予的限制性股票第一个解锁期解锁条件成就的公告》</w:t>
      </w:r>
      <w:r>
        <w:rPr/>
      </w:r>
    </w:p>
    <w:p>
      <w:pPr>
        <w:spacing w:after="0" w:line="386"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153" w:right="148"/>
        <w:jc w:val="both"/>
      </w:pPr>
      <w:r>
        <w:rPr>
          <w:spacing w:val="-2"/>
        </w:rPr>
        <w:t>（</w:t>
      </w:r>
      <w:r>
        <w:rPr>
          <w:rFonts w:ascii="Times New Roman" w:hAnsi="Times New Roman" w:cs="Times New Roman" w:eastAsia="Times New Roman" w:hint="default"/>
          <w:spacing w:val="-2"/>
        </w:rPr>
        <w:t>2017-070</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日在中国结算深圳分公司办理完成相关股份解锁手续，并发布了《关于</w:t>
      </w:r>
      <w:r>
        <w:rPr>
          <w:spacing w:val="-98"/>
        </w:rPr>
        <w:t> </w:t>
      </w:r>
      <w:r>
        <w:rPr>
          <w:spacing w:val="-98"/>
        </w:rPr>
      </w:r>
      <w:r>
        <w:rPr>
          <w:rFonts w:ascii="Times New Roman" w:hAnsi="Times New Roman" w:cs="Times New Roman" w:eastAsia="Times New Roman" w:hint="default"/>
          <w:spacing w:val="-4"/>
        </w:rPr>
        <w:t>2016</w:t>
      </w:r>
      <w:r>
        <w:rPr>
          <w:spacing w:val="-4"/>
        </w:rPr>
        <w:t>年限制性股票激励计划首次授予的限制性股票第一期解锁股份上市流通的提示性公告》（</w:t>
      </w:r>
      <w:r>
        <w:rPr>
          <w:rFonts w:ascii="Times New Roman" w:hAnsi="Times New Roman" w:cs="Times New Roman" w:eastAsia="Times New Roman" w:hint="default"/>
          <w:spacing w:val="-4"/>
        </w:rPr>
        <w:t>2017-073</w:t>
      </w:r>
      <w:r>
        <w:rPr>
          <w:spacing w:val="-4"/>
        </w:rPr>
        <w:t>），</w:t>
      </w:r>
      <w:r>
        <w:rPr>
          <w:spacing w:val="-95"/>
        </w:rPr>
        <w:t> </w:t>
      </w:r>
      <w:r>
        <w:rPr>
          <w:spacing w:val="-95"/>
        </w:rPr>
      </w:r>
      <w:r>
        <w:rPr/>
        <w:t>本次解锁股份上市流通日为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日，解锁股份数量为</w:t>
      </w:r>
      <w:r>
        <w:rPr>
          <w:rFonts w:ascii="Times New Roman" w:hAnsi="Times New Roman" w:cs="Times New Roman" w:eastAsia="Times New Roman" w:hint="default"/>
        </w:rPr>
        <w:t>2,489,700</w:t>
      </w:r>
      <w:r>
        <w:rPr/>
        <w:t>股。</w:t>
      </w:r>
    </w:p>
    <w:p>
      <w:pPr>
        <w:pStyle w:val="BodyText"/>
        <w:spacing w:line="386" w:lineRule="auto" w:before="35"/>
        <w:ind w:left="153" w:right="145" w:firstLine="39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日，公司召开第三届董事会第六十一次会议审议通过了《关于终止实施</w:t>
      </w:r>
      <w:r>
        <w:rPr>
          <w:rFonts w:ascii="Times New Roman" w:hAnsi="Times New Roman" w:cs="Times New Roman" w:eastAsia="Times New Roman" w:hint="default"/>
        </w:rPr>
        <w:t>2016</w:t>
      </w:r>
      <w:r>
        <w:rPr/>
        <w:t>年限制 </w:t>
      </w:r>
      <w:r>
        <w:rPr>
          <w:spacing w:val="-5"/>
        </w:rPr>
        <w:t>性股票激励计划的议案》、《关于回购注销</w:t>
      </w:r>
      <w:r>
        <w:rPr>
          <w:rFonts w:ascii="Times New Roman" w:hAnsi="Times New Roman" w:cs="Times New Roman" w:eastAsia="Times New Roman" w:hint="default"/>
          <w:spacing w:val="-5"/>
        </w:rPr>
        <w:t>2016</w:t>
      </w:r>
      <w:r>
        <w:rPr>
          <w:spacing w:val="-5"/>
        </w:rPr>
        <w:t>年限制性股票激励计划已获授但未解锁的全部限制性股票、</w:t>
      </w:r>
      <w:r>
        <w:rPr>
          <w:spacing w:val="-96"/>
        </w:rPr>
        <w:t> </w:t>
      </w:r>
      <w:r>
        <w:rPr>
          <w:spacing w:val="-96"/>
        </w:rPr>
      </w:r>
      <w:r>
        <w:rPr/>
        <w:t>减少公司注册资本、相应修改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并授权董事会办理工商变更登记的议案》。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w:t>
      </w:r>
      <w:r>
        <w:rPr>
          <w:spacing w:val="-62"/>
        </w:rPr>
        <w:t> </w:t>
      </w:r>
      <w:r>
        <w:rPr>
          <w:spacing w:val="-1"/>
        </w:rPr>
        <w:t>召开</w:t>
      </w:r>
      <w:r>
        <w:rPr>
          <w:rFonts w:ascii="Times New Roman" w:hAnsi="Times New Roman" w:cs="Times New Roman" w:eastAsia="Times New Roman" w:hint="default"/>
          <w:spacing w:val="-1"/>
        </w:rPr>
        <w:t>2017</w:t>
      </w:r>
      <w:r>
        <w:rPr>
          <w:spacing w:val="-1"/>
        </w:rPr>
        <w:t>年第五次临时股东大会审议通过了《关于回购注销</w:t>
      </w:r>
      <w:r>
        <w:rPr>
          <w:rFonts w:ascii="Times New Roman" w:hAnsi="Times New Roman" w:cs="Times New Roman" w:eastAsia="Times New Roman" w:hint="default"/>
          <w:spacing w:val="-1"/>
        </w:rPr>
        <w:t>2016</w:t>
      </w:r>
      <w:r>
        <w:rPr>
          <w:spacing w:val="-1"/>
        </w:rPr>
        <w:t>年限制性股票激励计划已获授但未解锁的</w:t>
      </w:r>
      <w:r>
        <w:rPr>
          <w:spacing w:val="-83"/>
        </w:rPr>
        <w:t> </w:t>
      </w:r>
      <w:r>
        <w:rPr>
          <w:spacing w:val="-83"/>
        </w:rPr>
      </w:r>
      <w:r>
        <w:rPr>
          <w:spacing w:val="-2"/>
        </w:rPr>
        <w:t>全部限制性股票、减少公司注册资本、相应修改</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并授权董事会办理工商变更登记的议案》。鉴</w:t>
      </w:r>
      <w:r>
        <w:rPr>
          <w:spacing w:val="-60"/>
        </w:rPr>
        <w:t> </w:t>
      </w:r>
      <w:r>
        <w:rPr>
          <w:spacing w:val="-60"/>
        </w:rPr>
      </w:r>
      <w:r>
        <w:rPr>
          <w:spacing w:val="-1"/>
        </w:rPr>
        <w:t>于公司</w:t>
      </w:r>
      <w:r>
        <w:rPr>
          <w:rFonts w:ascii="Times New Roman" w:hAnsi="Times New Roman" w:cs="Times New Roman" w:eastAsia="Times New Roman" w:hint="default"/>
          <w:spacing w:val="-1"/>
        </w:rPr>
        <w:t>2016</w:t>
      </w:r>
      <w:r>
        <w:rPr>
          <w:spacing w:val="-1"/>
        </w:rPr>
        <w:t>年限制性股票激励计划推出后，公司股票价格在二级市场发生了较大的变动，原激励计划较难</w:t>
      </w:r>
      <w:r>
        <w:rPr>
          <w:spacing w:val="-81"/>
        </w:rPr>
        <w:t> </w:t>
      </w:r>
      <w:r>
        <w:rPr>
          <w:spacing w:val="-81"/>
        </w:rPr>
      </w:r>
      <w:r>
        <w:rPr>
          <w:spacing w:val="-1"/>
        </w:rPr>
        <w:t>达到预期的激励效果，经审慎论证后公司决定终止实施</w:t>
      </w:r>
      <w:r>
        <w:rPr>
          <w:rFonts w:ascii="Times New Roman" w:hAnsi="Times New Roman" w:cs="Times New Roman" w:eastAsia="Times New Roman" w:hint="default"/>
          <w:spacing w:val="-1"/>
        </w:rPr>
        <w:t>2016</w:t>
      </w:r>
      <w:r>
        <w:rPr>
          <w:spacing w:val="-1"/>
        </w:rPr>
        <w:t>年限制性股票激励计划，并回购注销已获授但</w:t>
      </w:r>
      <w:r>
        <w:rPr>
          <w:spacing w:val="-83"/>
        </w:rPr>
        <w:t> </w:t>
      </w:r>
      <w:r>
        <w:rPr>
          <w:spacing w:val="-83"/>
        </w:rPr>
      </w:r>
      <w:r>
        <w:rPr>
          <w:spacing w:val="-1"/>
        </w:rPr>
        <w:t>未解锁的全部限制性股票，回购股份人数为</w:t>
      </w:r>
      <w:r>
        <w:rPr>
          <w:rFonts w:ascii="Times New Roman" w:hAnsi="Times New Roman" w:cs="Times New Roman" w:eastAsia="Times New Roman" w:hint="default"/>
          <w:spacing w:val="-1"/>
        </w:rPr>
        <w:t>361</w:t>
      </w:r>
      <w:r>
        <w:rPr>
          <w:spacing w:val="-1"/>
        </w:rPr>
        <w:t>人，回购数量为回购股份</w:t>
      </w:r>
      <w:r>
        <w:rPr>
          <w:rFonts w:ascii="Times New Roman" w:hAnsi="Times New Roman" w:cs="Times New Roman" w:eastAsia="Times New Roman" w:hint="default"/>
          <w:spacing w:val="-1"/>
        </w:rPr>
        <w:t>5,873,300</w:t>
      </w:r>
      <w:r>
        <w:rPr>
          <w:spacing w:val="-1"/>
        </w:rPr>
        <w:t>股。详见公司于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32"/>
        </w:rPr>
        <w:t> </w:t>
      </w:r>
      <w:r>
        <w:rPr/>
        <w:t>月</w:t>
      </w:r>
      <w:r>
        <w:rPr>
          <w:rFonts w:ascii="Times New Roman" w:hAnsi="Times New Roman" w:cs="Times New Roman" w:eastAsia="Times New Roman" w:hint="default"/>
        </w:rPr>
        <w:t>8</w:t>
      </w:r>
      <w:r>
        <w:rPr/>
        <w:t>日在巨潮资讯网上发布的《关于终止实施</w:t>
      </w:r>
      <w:r>
        <w:rPr>
          <w:rFonts w:ascii="Times New Roman" w:hAnsi="Times New Roman" w:cs="Times New Roman" w:eastAsia="Times New Roman" w:hint="default"/>
        </w:rPr>
        <w:t>2016</w:t>
      </w:r>
      <w:r>
        <w:rPr/>
        <w:t>年限制性股票激励计划并回购注销已获授但未解锁的全</w:t>
      </w:r>
      <w:r>
        <w:rPr>
          <w:spacing w:val="-34"/>
        </w:rPr>
        <w:t> </w:t>
      </w:r>
      <w:r>
        <w:rPr>
          <w:spacing w:val="-34"/>
        </w:rPr>
      </w:r>
      <w:r>
        <w:rPr/>
        <w:t>部限制性股票的公告》（</w:t>
      </w:r>
      <w:r>
        <w:rPr>
          <w:rFonts w:ascii="Times New Roman" w:hAnsi="Times New Roman" w:cs="Times New Roman" w:eastAsia="Times New Roman" w:hint="default"/>
        </w:rPr>
        <w:t>2017-078</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日在中国结算深圳分公司办理完成相关股份回 </w:t>
      </w:r>
      <w:r>
        <w:rPr>
          <w:spacing w:val="-1"/>
        </w:rPr>
        <w:t>购注销手续，并于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日发布了《关于</w:t>
      </w:r>
      <w:r>
        <w:rPr>
          <w:rFonts w:ascii="Times New Roman" w:hAnsi="Times New Roman" w:cs="Times New Roman" w:eastAsia="Times New Roman" w:hint="default"/>
          <w:spacing w:val="-1"/>
        </w:rPr>
        <w:t>2016</w:t>
      </w:r>
      <w:r>
        <w:rPr>
          <w:spacing w:val="-1"/>
        </w:rPr>
        <w:t>年限制性股票激励计划已获授但未解锁的全部限制性</w:t>
      </w:r>
      <w:r>
        <w:rPr>
          <w:spacing w:val="-84"/>
        </w:rPr>
        <w:t> </w:t>
      </w:r>
      <w:r>
        <w:rPr>
          <w:spacing w:val="-84"/>
        </w:rPr>
      </w:r>
      <w:r>
        <w:rPr/>
        <w:t>股票回购注销完成的公告》（</w:t>
      </w:r>
      <w:r>
        <w:rPr>
          <w:rFonts w:ascii="Times New Roman" w:hAnsi="Times New Roman" w:cs="Times New Roman" w:eastAsia="Times New Roman" w:hint="default"/>
        </w:rPr>
        <w:t>2017-104</w:t>
      </w:r>
      <w:r>
        <w:rPr/>
        <w:t>）。</w:t>
      </w:r>
    </w:p>
    <w:p>
      <w:pPr>
        <w:pStyle w:val="Heading6"/>
        <w:spacing w:line="240" w:lineRule="auto" w:before="35"/>
        <w:ind w:left="574"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年限制性股票激励计划</w:t>
      </w:r>
      <w:r>
        <w:rPr>
          <w:b w:val="0"/>
          <w:bCs w:val="0"/>
        </w:rPr>
      </w:r>
    </w:p>
    <w:p>
      <w:pPr>
        <w:pStyle w:val="BodyText"/>
        <w:spacing w:line="393" w:lineRule="auto" w:before="177"/>
        <w:ind w:left="153" w:right="148"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日，公司分别召开第三届董事会第六十五次会议及</w:t>
      </w:r>
      <w:r>
        <w:rPr>
          <w:rFonts w:ascii="Times New Roman" w:hAnsi="Times New Roman" w:cs="Times New Roman" w:eastAsia="Times New Roman" w:hint="default"/>
        </w:rPr>
        <w:t>2017</w:t>
      </w:r>
      <w:r>
        <w:rPr/>
        <w:t>年第七 次临时股东大会审议通过了《关于众信旅游集团股份有限公司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w:t>
      </w:r>
      <w:r>
        <w:rPr>
          <w:spacing w:val="-50"/>
        </w:rPr>
        <w:t> </w:t>
      </w:r>
      <w:r>
        <w:rPr>
          <w:spacing w:val="-1"/>
        </w:rPr>
        <w:t>摘要的议案》等相关议案，股东大会授权董事会确定限制性股票的授予日、在激励对象符合条件时向激励</w:t>
      </w:r>
      <w:r>
        <w:rPr>
          <w:spacing w:val="-83"/>
        </w:rPr>
        <w:t> </w:t>
      </w:r>
      <w:r>
        <w:rPr>
          <w:spacing w:val="-83"/>
        </w:rPr>
      </w:r>
      <w:r>
        <w:rPr/>
        <w:t>对象授予限制性股票并办理授予限制性股票手续所必须的相关事宜。</w:t>
      </w:r>
    </w:p>
    <w:p>
      <w:pPr>
        <w:pStyle w:val="BodyText"/>
        <w:spacing w:line="386" w:lineRule="auto" w:before="59"/>
        <w:ind w:left="153" w:right="150" w:firstLine="42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日，公司第三届董事会第六十八次会议审议通过了《关于向激励对象授予限制性股</w:t>
      </w:r>
      <w:r>
        <w:rPr/>
        <w:t> </w:t>
      </w:r>
      <w:r>
        <w:rPr>
          <w:spacing w:val="2"/>
        </w:rPr>
        <w:t>票的议案》，根据股东大会的授权，董事会同意以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日为授予日，向</w:t>
      </w:r>
      <w:r>
        <w:rPr>
          <w:rFonts w:ascii="Times New Roman" w:hAnsi="Times New Roman" w:cs="Times New Roman" w:eastAsia="Times New Roman" w:hint="default"/>
          <w:spacing w:val="2"/>
        </w:rPr>
        <w:t>393</w:t>
      </w:r>
      <w:r>
        <w:rPr>
          <w:spacing w:val="2"/>
        </w:rPr>
        <w:t>名激励对象授予</w:t>
      </w:r>
      <w:r>
        <w:rPr>
          <w:rFonts w:ascii="Times New Roman" w:hAnsi="Times New Roman" w:cs="Times New Roman" w:eastAsia="Times New Roman" w:hint="default"/>
          <w:spacing w:val="2"/>
        </w:rPr>
        <w:t>1,300</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万股限制性股票。</w:t>
      </w:r>
    </w:p>
    <w:p>
      <w:pPr>
        <w:pStyle w:val="BodyText"/>
        <w:spacing w:line="386" w:lineRule="auto" w:before="65"/>
        <w:ind w:left="153" w:right="148" w:firstLine="420"/>
        <w:jc w:val="both"/>
      </w:pPr>
      <w:r>
        <w:rPr>
          <w:spacing w:val="-2"/>
        </w:rPr>
        <w:t>（</w:t>
      </w:r>
      <w:r>
        <w:rPr>
          <w:rFonts w:ascii="Times New Roman" w:hAnsi="Times New Roman" w:cs="Times New Roman" w:eastAsia="Times New Roman" w:hint="default"/>
          <w:spacing w:val="-2"/>
        </w:rPr>
        <w:t>3</w:t>
      </w:r>
      <w:r>
        <w:rPr>
          <w:spacing w:val="-2"/>
        </w:rPr>
        <w:t>）在授予日后资金缴纳过程中</w:t>
      </w:r>
      <w:r>
        <w:rPr>
          <w:rFonts w:ascii="Times New Roman" w:hAnsi="Times New Roman" w:cs="Times New Roman" w:eastAsia="Times New Roman" w:hint="default"/>
          <w:spacing w:val="-2"/>
        </w:rPr>
        <w:t>25</w:t>
      </w:r>
      <w:r>
        <w:rPr>
          <w:spacing w:val="-2"/>
        </w:rPr>
        <w:t>名激励对象全部放弃认购，其股份数量为</w:t>
      </w:r>
      <w:r>
        <w:rPr>
          <w:rFonts w:ascii="Times New Roman" w:hAnsi="Times New Roman" w:cs="Times New Roman" w:eastAsia="Times New Roman" w:hint="default"/>
          <w:spacing w:val="-2"/>
        </w:rPr>
        <w:t>352,050</w:t>
      </w:r>
      <w:r>
        <w:rPr>
          <w:spacing w:val="-2"/>
        </w:rPr>
        <w:t>股，</w:t>
      </w:r>
      <w:r>
        <w:rPr>
          <w:rFonts w:ascii="Times New Roman" w:hAnsi="Times New Roman" w:cs="Times New Roman" w:eastAsia="Times New Roman" w:hint="default"/>
          <w:spacing w:val="-2"/>
        </w:rPr>
        <w:t>1</w:t>
      </w:r>
      <w:r>
        <w:rPr>
          <w:spacing w:val="-2"/>
        </w:rPr>
        <w:t>名激励对象</w:t>
      </w:r>
      <w:r>
        <w:rPr/>
        <w:t> 部分放弃认购，其放弃认购的股份数量为</w:t>
      </w:r>
      <w:r>
        <w:rPr>
          <w:rFonts w:ascii="Times New Roman" w:hAnsi="Times New Roman" w:cs="Times New Roman" w:eastAsia="Times New Roman" w:hint="default"/>
        </w:rPr>
        <w:t>4,250</w:t>
      </w:r>
      <w:r>
        <w:rPr/>
        <w:t>股，</w:t>
      </w:r>
      <w:r>
        <w:rPr>
          <w:rFonts w:ascii="Times New Roman" w:hAnsi="Times New Roman" w:cs="Times New Roman" w:eastAsia="Times New Roman" w:hint="default"/>
        </w:rPr>
        <w:t>26</w:t>
      </w:r>
      <w:r>
        <w:rPr/>
        <w:t>人合计放弃认购股份共</w:t>
      </w:r>
      <w:r>
        <w:rPr>
          <w:rFonts w:ascii="Times New Roman" w:hAnsi="Times New Roman" w:cs="Times New Roman" w:eastAsia="Times New Roman" w:hint="default"/>
        </w:rPr>
        <w:t>356,300</w:t>
      </w:r>
      <w:r>
        <w:rPr/>
        <w:t>股。由此，首次授予</w:t>
      </w:r>
      <w:r>
        <w:rPr>
          <w:spacing w:val="-43"/>
        </w:rPr>
        <w:t> </w:t>
      </w:r>
      <w:r>
        <w:rPr>
          <w:spacing w:val="-43"/>
        </w:rPr>
      </w:r>
      <w:r>
        <w:rPr/>
        <w:t>激励对象人数由 </w:t>
      </w:r>
      <w:r>
        <w:rPr>
          <w:rFonts w:ascii="Times New Roman" w:hAnsi="Times New Roman" w:cs="Times New Roman" w:eastAsia="Times New Roman" w:hint="default"/>
        </w:rPr>
        <w:t>393</w:t>
      </w:r>
      <w:r>
        <w:rPr/>
        <w:t>人变为</w:t>
      </w:r>
      <w:r>
        <w:rPr>
          <w:rFonts w:ascii="Times New Roman" w:hAnsi="Times New Roman" w:cs="Times New Roman" w:eastAsia="Times New Roman" w:hint="default"/>
        </w:rPr>
        <w:t>368</w:t>
      </w:r>
      <w:r>
        <w:rPr/>
        <w:t>人，首次授予限制性股票数量由</w:t>
      </w:r>
      <w:r>
        <w:rPr>
          <w:rFonts w:ascii="Times New Roman" w:hAnsi="Times New Roman" w:cs="Times New Roman" w:eastAsia="Times New Roman" w:hint="default"/>
        </w:rPr>
        <w:t>13,000,000</w:t>
      </w:r>
      <w:r>
        <w:rPr/>
        <w:t>股调整为</w:t>
      </w:r>
      <w:r>
        <w:rPr>
          <w:rFonts w:ascii="Times New Roman" w:hAnsi="Times New Roman" w:cs="Times New Roman" w:eastAsia="Times New Roman" w:hint="default"/>
        </w:rPr>
        <w:t>12,643,700</w:t>
      </w:r>
      <w:r>
        <w:rPr/>
        <w:t>股。公司于</w:t>
      </w:r>
      <w:r>
        <w:rPr>
          <w:spacing w:val="-48"/>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日在中国结算深圳分公司完成了相关股份登记手续并发布了《关于</w:t>
      </w:r>
      <w:r>
        <w:rPr>
          <w:rFonts w:ascii="Times New Roman" w:hAnsi="Times New Roman" w:cs="Times New Roman" w:eastAsia="Times New Roman" w:hint="default"/>
          <w:spacing w:val="-1"/>
        </w:rPr>
        <w:t>2017</w:t>
      </w:r>
      <w:r>
        <w:rPr>
          <w:spacing w:val="-1"/>
        </w:rPr>
        <w:t>年限制性股票激励计</w:t>
      </w:r>
      <w:r>
        <w:rPr>
          <w:spacing w:val="-86"/>
        </w:rPr>
        <w:t> </w:t>
      </w:r>
      <w:r>
        <w:rPr>
          <w:spacing w:val="-86"/>
        </w:rPr>
      </w:r>
      <w:r>
        <w:rPr/>
        <w:t>划股份首次授予完成的公告》（</w:t>
      </w:r>
      <w:r>
        <w:rPr>
          <w:rFonts w:ascii="Times New Roman" w:hAnsi="Times New Roman" w:cs="Times New Roman" w:eastAsia="Times New Roman" w:hint="default"/>
        </w:rPr>
        <w:t>2017-129</w:t>
      </w:r>
      <w:r>
        <w:rPr/>
        <w:t>），该部分股份的上市日为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w:t>
      </w:r>
    </w:p>
    <w:p>
      <w:pPr>
        <w:pStyle w:val="Heading6"/>
        <w:spacing w:line="240" w:lineRule="auto" w:before="35"/>
        <w:ind w:left="573" w:right="0"/>
        <w:jc w:val="left"/>
        <w:rPr>
          <w:b w:val="0"/>
          <w:bCs w:val="0"/>
        </w:rPr>
      </w:pPr>
      <w:r>
        <w:rPr>
          <w:rFonts w:ascii="Times New Roman" w:hAnsi="Times New Roman" w:cs="Times New Roman" w:eastAsia="Times New Roman" w:hint="default"/>
        </w:rPr>
        <w:t>4</w:t>
      </w:r>
      <w:r>
        <w:rPr/>
        <w:t>、众信旅游第一期员工持股计划</w:t>
      </w:r>
      <w:r>
        <w:rPr>
          <w:b w:val="0"/>
          <w:bCs w:val="0"/>
        </w:rPr>
      </w:r>
    </w:p>
    <w:p>
      <w:pPr>
        <w:pStyle w:val="BodyText"/>
        <w:spacing w:line="240" w:lineRule="auto" w:before="177"/>
        <w:ind w:left="636" w:right="0"/>
        <w:jc w:val="left"/>
      </w:pPr>
      <w:r>
        <w:rPr/>
        <w:t>众信旅游第一期员工持股计划（即：</w:t>
      </w:r>
      <w:r>
        <w:rPr>
          <w:rFonts w:ascii="Times New Roman" w:hAnsi="Times New Roman" w:cs="Times New Roman" w:eastAsia="Times New Roman" w:hint="default"/>
        </w:rPr>
        <w:t>“</w:t>
      </w:r>
      <w:r>
        <w:rPr/>
        <w:t>兴业信托</w:t>
      </w:r>
      <w:r>
        <w:rPr>
          <w:rFonts w:ascii="Times New Roman" w:hAnsi="Times New Roman" w:cs="Times New Roman" w:eastAsia="Times New Roman" w:hint="default"/>
        </w:rPr>
        <w:t>-</w:t>
      </w:r>
      <w:r>
        <w:rPr/>
        <w:t>众信旅游</w:t>
      </w:r>
      <w:r>
        <w:rPr>
          <w:rFonts w:ascii="Times New Roman" w:hAnsi="Times New Roman" w:cs="Times New Roman" w:eastAsia="Times New Roman" w:hint="default"/>
        </w:rPr>
        <w:t>1</w:t>
      </w:r>
      <w:r>
        <w:rPr/>
        <w:t>号员工持股集合资金信托计划</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p>
    <w:p>
      <w:pPr>
        <w:spacing w:after="0" w:line="240" w:lineRule="auto"/>
        <w:jc w:val="left"/>
        <w:sectPr>
          <w:footerReference w:type="default" r:id="rId17"/>
          <w:pgSz w:w="11910" w:h="16840"/>
          <w:pgMar w:footer="982" w:header="877" w:top="1100" w:bottom="1180" w:left="980" w:right="980"/>
          <w:pgNumType w:start="55"/>
        </w:sectPr>
      </w:pPr>
    </w:p>
    <w:p>
      <w:pPr>
        <w:spacing w:line="240" w:lineRule="auto" w:before="8"/>
        <w:rPr>
          <w:rFonts w:ascii="宋体" w:hAnsi="宋体" w:cs="宋体" w:eastAsia="宋体" w:hint="default"/>
          <w:sz w:val="26"/>
          <w:szCs w:val="26"/>
        </w:rPr>
      </w:pPr>
    </w:p>
    <w:p>
      <w:pPr>
        <w:pStyle w:val="BodyText"/>
        <w:spacing w:line="386" w:lineRule="auto" w:before="35"/>
        <w:ind w:right="151" w:hanging="1"/>
        <w:jc w:val="left"/>
      </w:pP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6</w:t>
      </w:r>
      <w:r>
        <w:rPr>
          <w:spacing w:val="-1"/>
        </w:rPr>
        <w:t>日建仓完毕，所购买的公司股票锁定期为</w:t>
      </w:r>
      <w:r>
        <w:rPr>
          <w:rFonts w:ascii="Times New Roman" w:hAnsi="Times New Roman" w:cs="Times New Roman" w:eastAsia="Times New Roman" w:hint="default"/>
          <w:spacing w:val="-1"/>
        </w:rPr>
        <w:t>12</w:t>
      </w:r>
      <w:r>
        <w:rPr>
          <w:spacing w:val="-1"/>
        </w:rPr>
        <w:t>个月。详见公司于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日发布的《关于公司第一期</w:t>
      </w:r>
      <w:r>
        <w:rPr>
          <w:spacing w:val="-87"/>
        </w:rPr>
        <w:t> </w:t>
      </w:r>
      <w:r>
        <w:rPr>
          <w:spacing w:val="-87"/>
        </w:rPr>
      </w:r>
      <w:r>
        <w:rPr/>
        <w:t>员工持股计划购买完毕的公告》（</w:t>
      </w:r>
      <w:r>
        <w:rPr>
          <w:rFonts w:ascii="Times New Roman" w:hAnsi="Times New Roman" w:cs="Times New Roman" w:eastAsia="Times New Roman" w:hint="default"/>
        </w:rPr>
        <w:t>2017-016</w:t>
      </w:r>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4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76"/>
        <w:gridCol w:w="1073"/>
        <w:gridCol w:w="1076"/>
        <w:gridCol w:w="1224"/>
        <w:gridCol w:w="1080"/>
        <w:gridCol w:w="1350"/>
        <w:gridCol w:w="1346"/>
        <w:gridCol w:w="1342"/>
      </w:tblGrid>
      <w:tr>
        <w:trPr>
          <w:trHeight w:val="713" w:hRule="exact"/>
        </w:trPr>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8" w:right="36" w:hanging="90"/>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02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北京创新工 场基金</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8"/>
              <w:jc w:val="both"/>
              <w:rPr>
                <w:rFonts w:ascii="宋体" w:hAnsi="宋体" w:cs="宋体" w:eastAsia="宋体" w:hint="default"/>
                <w:sz w:val="18"/>
                <w:szCs w:val="18"/>
              </w:rPr>
            </w:pPr>
            <w:r>
              <w:rPr>
                <w:rFonts w:ascii="宋体" w:hAnsi="宋体" w:cs="宋体" w:eastAsia="宋体" w:hint="default"/>
                <w:sz w:val="18"/>
                <w:szCs w:val="18"/>
              </w:rPr>
              <w:t>项目投资；投 资管理；资产 管理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249034.0750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8"/>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26" w:type="dxa"/>
            <w:tcBorders>
              <w:top w:val="single" w:sz="4" w:space="0" w:color="000000"/>
              <w:left w:val="single" w:sz="4" w:space="0" w:color="000000"/>
              <w:bottom w:val="single" w:sz="4" w:space="0" w:color="000000"/>
              <w:right w:val="single" w:sz="4" w:space="0" w:color="000000"/>
            </w:tcBorders>
            <w:shd w:val="clear" w:color="auto" w:fill="C8ECC8"/>
          </w:tcPr>
          <w:p>
            <w:pPr/>
          </w:p>
        </w:tc>
        <w:tc>
          <w:tcPr>
            <w:tcW w:w="924" w:type="dxa"/>
            <w:tcBorders>
              <w:top w:val="single" w:sz="4" w:space="0" w:color="000000"/>
              <w:left w:val="single" w:sz="4" w:space="0" w:color="000000"/>
              <w:bottom w:val="single" w:sz="4" w:space="0" w:color="000000"/>
              <w:right w:val="single" w:sz="4" w:space="0" w:color="000000"/>
            </w:tcBorders>
            <w:shd w:val="clear" w:color="auto" w:fill="C8ECC8"/>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C8ECC8"/>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C8ECC8"/>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C8ECC8"/>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C8ECC8"/>
          </w:tcPr>
          <w:p>
            <w:pPr/>
          </w:p>
        </w:tc>
        <w:tc>
          <w:tcPr>
            <w:tcW w:w="792" w:type="dxa"/>
            <w:tcBorders>
              <w:top w:val="single" w:sz="4" w:space="0" w:color="000000"/>
              <w:left w:val="single" w:sz="4" w:space="0" w:color="000000"/>
              <w:bottom w:val="single" w:sz="4" w:space="0" w:color="000000"/>
              <w:right w:val="single" w:sz="4" w:space="0" w:color="000000"/>
            </w:tcBorders>
            <w:shd w:val="clear" w:color="auto" w:fill="C8ECC8"/>
          </w:tcPr>
          <w:p>
            <w:pPr/>
          </w:p>
        </w:tc>
        <w:tc>
          <w:tcPr>
            <w:tcW w:w="780" w:type="dxa"/>
            <w:tcBorders>
              <w:top w:val="single" w:sz="4" w:space="0" w:color="000000"/>
              <w:left w:val="single" w:sz="4" w:space="0" w:color="000000"/>
              <w:bottom w:val="single" w:sz="4" w:space="0" w:color="000000"/>
              <w:right w:val="single" w:sz="4" w:space="0" w:color="000000"/>
            </w:tcBorders>
            <w:shd w:val="clear" w:color="auto" w:fill="C8ECC8"/>
          </w:tcPr>
          <w:p>
            <w:pP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8"/>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411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04"/>
        <w:gridCol w:w="1054"/>
        <w:gridCol w:w="1044"/>
        <w:gridCol w:w="1045"/>
        <w:gridCol w:w="791"/>
        <w:gridCol w:w="785"/>
      </w:tblGrid>
      <w:tr>
        <w:trPr>
          <w:trHeight w:val="67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75,000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竹园国旅</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38,000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32,000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香港众信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6,470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6,470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众信博睿</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294.04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820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日至长期</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上海众信</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2"/>
              <w:jc w:val="right"/>
              <w:rPr>
                <w:rFonts w:ascii="Times New Roman" w:hAnsi="Times New Roman" w:cs="Times New Roman" w:eastAsia="Times New Roman" w:hint="default"/>
                <w:sz w:val="18"/>
                <w:szCs w:val="18"/>
              </w:rPr>
            </w:pPr>
            <w:r>
              <w:rPr>
                <w:rFonts w:ascii="Times New Roman"/>
                <w:sz w:val="18"/>
              </w:rPr>
              <w:t>300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2"/>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开元周游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81,470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16,654.23</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82,740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13,084.04</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425" w:right="7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81,470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16,654.23</w:t>
            </w:r>
          </w:p>
        </w:tc>
      </w:tr>
      <w:tr>
        <w:trPr>
          <w:trHeight w:val="402"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82,740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13,084.04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632"/>
        <w:gridCol w:w="2224"/>
        <w:gridCol w:w="2098"/>
        <w:gridCol w:w="2621"/>
      </w:tblGrid>
      <w:tr>
        <w:trPr>
          <w:trHeight w:val="362" w:hRule="exact"/>
        </w:trPr>
        <w:tc>
          <w:tcPr>
            <w:tcW w:w="2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w:t>
            </w:r>
          </w:p>
        </w:tc>
      </w:tr>
      <w:tr>
        <w:trPr>
          <w:trHeight w:val="402" w:hRule="exact"/>
        </w:trPr>
        <w:tc>
          <w:tcPr>
            <w:tcW w:w="957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360"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公司无复合方式担保。</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line="340"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1955" w:space="6784"/>
            <w:col w:w="12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6"/>
        <w:ind w:left="154" w:right="47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400" w:bottom="280" w:left="980" w:right="98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报告期内委托贷款概况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1955" w:space="6784"/>
            <w:col w:w="12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56"/>
        <w:gridCol w:w="2471"/>
        <w:gridCol w:w="2407"/>
        <w:gridCol w:w="2335"/>
      </w:tblGrid>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委托贷款发生总额</w:t>
            </w:r>
          </w:p>
        </w:tc>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委托贷款的资金来源</w:t>
            </w:r>
          </w:p>
        </w:tc>
        <w:tc>
          <w:tcPr>
            <w:tcW w:w="24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400" w:bottom="2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单项金额重大或安全性较低、流动性较差、不保本的高风险委托贷款具体情况</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6275" w:space="2464"/>
            <w:col w:w="12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5"/>
        <w:gridCol w:w="694"/>
        <w:gridCol w:w="761"/>
        <w:gridCol w:w="716"/>
        <w:gridCol w:w="698"/>
        <w:gridCol w:w="700"/>
        <w:gridCol w:w="698"/>
        <w:gridCol w:w="700"/>
        <w:gridCol w:w="698"/>
        <w:gridCol w:w="700"/>
        <w:gridCol w:w="637"/>
        <w:gridCol w:w="629"/>
        <w:gridCol w:w="628"/>
        <w:gridCol w:w="617"/>
      </w:tblGrid>
      <w:tr>
        <w:trPr>
          <w:trHeight w:val="1338" w:hRule="exact"/>
        </w:trPr>
        <w:tc>
          <w:tcPr>
            <w:tcW w:w="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1" w:right="71" w:hanging="180"/>
              <w:jc w:val="left"/>
              <w:rPr>
                <w:rFonts w:ascii="宋体" w:hAnsi="宋体" w:cs="宋体" w:eastAsia="宋体" w:hint="default"/>
                <w:sz w:val="18"/>
                <w:szCs w:val="18"/>
              </w:rPr>
            </w:pPr>
            <w:r>
              <w:rPr>
                <w:rFonts w:ascii="宋体" w:hAnsi="宋体" w:cs="宋体" w:eastAsia="宋体" w:hint="default"/>
                <w:sz w:val="18"/>
                <w:szCs w:val="18"/>
              </w:rPr>
              <w:t>贷款对 象</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0" w:right="71"/>
              <w:jc w:val="left"/>
              <w:rPr>
                <w:rFonts w:ascii="宋体" w:hAnsi="宋体" w:cs="宋体" w:eastAsia="宋体" w:hint="default"/>
                <w:sz w:val="18"/>
                <w:szCs w:val="18"/>
              </w:rPr>
            </w:pPr>
            <w:r>
              <w:rPr>
                <w:rFonts w:ascii="宋体" w:hAnsi="宋体" w:cs="宋体" w:eastAsia="宋体" w:hint="default"/>
                <w:sz w:val="18"/>
                <w:szCs w:val="18"/>
              </w:rPr>
              <w:t>贷款对 象类型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5" w:right="103" w:hanging="180"/>
              <w:jc w:val="left"/>
              <w:rPr>
                <w:rFonts w:ascii="宋体" w:hAnsi="宋体" w:cs="宋体" w:eastAsia="宋体" w:hint="default"/>
                <w:sz w:val="18"/>
                <w:szCs w:val="18"/>
              </w:rPr>
            </w:pPr>
            <w:r>
              <w:rPr>
                <w:rFonts w:ascii="宋体" w:hAnsi="宋体" w:cs="宋体" w:eastAsia="宋体" w:hint="default"/>
                <w:sz w:val="18"/>
                <w:szCs w:val="18"/>
              </w:rPr>
              <w:t>贷款利 率</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2" w:right="83" w:hanging="180"/>
              <w:jc w:val="left"/>
              <w:rPr>
                <w:rFonts w:ascii="宋体" w:hAnsi="宋体" w:cs="宋体" w:eastAsia="宋体" w:hint="default"/>
                <w:sz w:val="18"/>
                <w:szCs w:val="18"/>
              </w:rPr>
            </w:pPr>
            <w:r>
              <w:rPr>
                <w:rFonts w:ascii="宋体" w:hAnsi="宋体" w:cs="宋体" w:eastAsia="宋体" w:hint="default"/>
                <w:sz w:val="18"/>
                <w:szCs w:val="18"/>
              </w:rPr>
              <w:t>贷款金 额</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4" w:right="72"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3"/>
              <w:jc w:val="both"/>
              <w:rPr>
                <w:rFonts w:ascii="宋体" w:hAnsi="宋体" w:cs="宋体" w:eastAsia="宋体" w:hint="default"/>
                <w:sz w:val="18"/>
                <w:szCs w:val="18"/>
              </w:rPr>
            </w:pPr>
            <w:r>
              <w:rPr>
                <w:rFonts w:ascii="宋体" w:hAnsi="宋体" w:cs="宋体" w:eastAsia="宋体" w:hint="default"/>
                <w:sz w:val="18"/>
                <w:szCs w:val="18"/>
              </w:rPr>
              <w:t>预期收 益（如 有）</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4" w:right="72"/>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4" w:right="7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43" w:right="42"/>
              <w:jc w:val="both"/>
              <w:rPr>
                <w:rFonts w:ascii="宋体" w:hAnsi="宋体" w:cs="宋体" w:eastAsia="宋体" w:hint="default"/>
                <w:sz w:val="18"/>
                <w:szCs w:val="18"/>
              </w:rPr>
            </w:pPr>
            <w:r>
              <w:rPr>
                <w:rFonts w:ascii="宋体" w:hAnsi="宋体" w:cs="宋体" w:eastAsia="宋体" w:hint="default"/>
                <w:sz w:val="18"/>
                <w:szCs w:val="18"/>
              </w:rPr>
              <w:t>计提减 值准备 金额</w:t>
            </w:r>
          </w:p>
          <w:p>
            <w:pPr>
              <w:pStyle w:val="TableParagraph"/>
              <w:spacing w:line="240" w:lineRule="auto" w:before="19"/>
              <w:ind w:left="133" w:right="0"/>
              <w:jc w:val="both"/>
              <w:rPr>
                <w:rFonts w:ascii="宋体" w:hAnsi="宋体" w:cs="宋体" w:eastAsia="宋体" w:hint="default"/>
                <w:sz w:val="18"/>
                <w:szCs w:val="18"/>
              </w:rPr>
            </w:pPr>
            <w:r>
              <w:rPr>
                <w:rFonts w:ascii="宋体" w:hAnsi="宋体" w:cs="宋体" w:eastAsia="宋体" w:hint="default"/>
                <w:sz w:val="18"/>
                <w:szCs w:val="18"/>
              </w:rPr>
              <w:t>（如</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8"/>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 w:right="37"/>
              <w:jc w:val="both"/>
              <w:rPr>
                <w:rFonts w:ascii="宋体" w:hAnsi="宋体" w:cs="宋体" w:eastAsia="宋体" w:hint="default"/>
                <w:sz w:val="18"/>
                <w:szCs w:val="18"/>
              </w:rPr>
            </w:pPr>
            <w:r>
              <w:rPr>
                <w:rFonts w:ascii="宋体" w:hAnsi="宋体" w:cs="宋体" w:eastAsia="宋体" w:hint="default"/>
                <w:sz w:val="18"/>
                <w:szCs w:val="18"/>
              </w:rPr>
              <w:t>未来是 否还有 委托贷 款计划</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3" w:right="31"/>
              <w:jc w:val="both"/>
              <w:rPr>
                <w:rFonts w:ascii="宋体" w:hAnsi="宋体" w:cs="宋体" w:eastAsia="宋体" w:hint="default"/>
                <w:sz w:val="18"/>
                <w:szCs w:val="18"/>
              </w:rPr>
            </w:pPr>
            <w:r>
              <w:rPr>
                <w:rFonts w:ascii="宋体" w:hAnsi="宋体" w:cs="宋体" w:eastAsia="宋体" w:hint="default"/>
                <w:sz w:val="18"/>
                <w:szCs w:val="18"/>
              </w:rPr>
              <w:t>事项概 述及相 关查询 索引</w:t>
            </w:r>
          </w:p>
        </w:tc>
      </w:tr>
    </w:tbl>
    <w:p>
      <w:pPr>
        <w:spacing w:after="0" w:line="316" w:lineRule="auto"/>
        <w:jc w:val="both"/>
        <w:rPr>
          <w:rFonts w:ascii="宋体" w:hAnsi="宋体" w:cs="宋体" w:eastAsia="宋体" w:hint="default"/>
          <w:sz w:val="18"/>
          <w:szCs w:val="18"/>
        </w:rPr>
        <w:sectPr>
          <w:type w:val="continuous"/>
          <w:pgSz w:w="11910" w:h="16840"/>
          <w:pgMar w:top="14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95"/>
        <w:gridCol w:w="694"/>
        <w:gridCol w:w="761"/>
        <w:gridCol w:w="716"/>
        <w:gridCol w:w="698"/>
        <w:gridCol w:w="700"/>
        <w:gridCol w:w="698"/>
        <w:gridCol w:w="700"/>
        <w:gridCol w:w="698"/>
        <w:gridCol w:w="700"/>
        <w:gridCol w:w="637"/>
        <w:gridCol w:w="629"/>
        <w:gridCol w:w="628"/>
        <w:gridCol w:w="617"/>
      </w:tblGrid>
      <w:tr>
        <w:trPr>
          <w:trHeight w:val="674" w:hRule="exact"/>
        </w:trPr>
        <w:tc>
          <w:tcPr>
            <w:tcW w:w="6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3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23" w:right="121"/>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357" w:hRule="exact"/>
        </w:trPr>
        <w:tc>
          <w:tcPr>
            <w:tcW w:w="695" w:type="dxa"/>
            <w:tcBorders>
              <w:top w:val="single" w:sz="4" w:space="0" w:color="000000"/>
              <w:left w:val="single" w:sz="4" w:space="0" w:color="000000"/>
              <w:bottom w:val="nil" w:sz="6" w:space="0" w:color="auto"/>
              <w:right w:val="single" w:sz="4" w:space="0" w:color="000000"/>
            </w:tcBorders>
          </w:tcPr>
          <w:p>
            <w:pPr/>
          </w:p>
        </w:tc>
        <w:tc>
          <w:tcPr>
            <w:tcW w:w="694" w:type="dxa"/>
            <w:tcBorders>
              <w:top w:val="single" w:sz="4" w:space="0" w:color="000000"/>
              <w:left w:val="single" w:sz="4" w:space="0" w:color="000000"/>
              <w:bottom w:val="nil" w:sz="6" w:space="0" w:color="auto"/>
              <w:right w:val="single" w:sz="4" w:space="0" w:color="000000"/>
            </w:tcBorders>
          </w:tcPr>
          <w:p>
            <w:pPr/>
          </w:p>
        </w:tc>
        <w:tc>
          <w:tcPr>
            <w:tcW w:w="761"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700" w:type="dxa"/>
            <w:tcBorders>
              <w:top w:val="single" w:sz="4" w:space="0" w:color="000000"/>
              <w:left w:val="single" w:sz="4" w:space="0" w:color="000000"/>
              <w:bottom w:val="nil" w:sz="6" w:space="0" w:color="auto"/>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628" w:type="dxa"/>
            <w:tcBorders>
              <w:top w:val="single" w:sz="4" w:space="0" w:color="000000"/>
              <w:left w:val="single" w:sz="4" w:space="0" w:color="000000"/>
              <w:bottom w:val="nil" w:sz="6" w:space="0" w:color="auto"/>
              <w:right w:val="single" w:sz="4" w:space="0" w:color="000000"/>
            </w:tcBorders>
          </w:tcPr>
          <w:p>
            <w:pPr/>
          </w:p>
        </w:tc>
        <w:tc>
          <w:tcPr>
            <w:tcW w:w="6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《众信</w:t>
            </w:r>
          </w:p>
        </w:tc>
      </w:tr>
      <w:tr>
        <w:trPr>
          <w:trHeight w:val="311" w:hRule="exact"/>
        </w:trPr>
        <w:tc>
          <w:tcPr>
            <w:tcW w:w="695"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628"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center"/>
              <w:rPr>
                <w:rFonts w:ascii="宋体" w:hAnsi="宋体" w:cs="宋体" w:eastAsia="宋体" w:hint="default"/>
                <w:sz w:val="18"/>
                <w:szCs w:val="18"/>
              </w:rPr>
            </w:pPr>
            <w:r>
              <w:rPr>
                <w:rFonts w:ascii="宋体" w:hAnsi="宋体" w:cs="宋体" w:eastAsia="宋体" w:hint="default"/>
                <w:sz w:val="18"/>
                <w:szCs w:val="18"/>
              </w:rPr>
              <w:t>旅游：</w:t>
            </w:r>
          </w:p>
        </w:tc>
      </w:tr>
      <w:tr>
        <w:trPr>
          <w:trHeight w:val="1249" w:hRule="exact"/>
        </w:trPr>
        <w:tc>
          <w:tcPr>
            <w:tcW w:w="69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20"/>
              <w:jc w:val="both"/>
              <w:rPr>
                <w:rFonts w:ascii="宋体" w:hAnsi="宋体" w:cs="宋体" w:eastAsia="宋体" w:hint="default"/>
                <w:sz w:val="18"/>
                <w:szCs w:val="18"/>
              </w:rPr>
            </w:pPr>
            <w:r>
              <w:rPr>
                <w:rFonts w:ascii="宋体" w:hAnsi="宋体" w:cs="宋体" w:eastAsia="宋体" w:hint="default"/>
                <w:sz w:val="18"/>
                <w:szCs w:val="18"/>
              </w:rPr>
              <w:t>上海悠 哉网络 科技有 限公司</w:t>
            </w:r>
          </w:p>
        </w:tc>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7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5.00%</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70.75</w:t>
            </w: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70.75</w:t>
            </w:r>
          </w:p>
        </w:tc>
        <w:tc>
          <w:tcPr>
            <w:tcW w:w="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已全部 回收</w:t>
            </w:r>
          </w:p>
        </w:tc>
        <w:tc>
          <w:tcPr>
            <w:tcW w:w="637" w:type="dxa"/>
            <w:vMerge/>
            <w:tcBorders>
              <w:left w:val="single" w:sz="4" w:space="0" w:color="000000"/>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2"/>
              <w:jc w:val="both"/>
              <w:rPr>
                <w:rFonts w:ascii="宋体" w:hAnsi="宋体" w:cs="宋体" w:eastAsia="宋体" w:hint="default"/>
                <w:sz w:val="18"/>
                <w:szCs w:val="18"/>
              </w:rPr>
            </w:pPr>
            <w:r>
              <w:rPr>
                <w:rFonts w:ascii="宋体" w:hAnsi="宋体" w:cs="宋体" w:eastAsia="宋体" w:hint="default"/>
                <w:sz w:val="18"/>
                <w:szCs w:val="18"/>
              </w:rPr>
              <w:t>关于委 托贷款 收回的 公告》</w:t>
            </w:r>
          </w:p>
        </w:tc>
      </w:tr>
      <w:tr>
        <w:trPr>
          <w:trHeight w:val="317" w:hRule="exact"/>
        </w:trPr>
        <w:tc>
          <w:tcPr>
            <w:tcW w:w="695" w:type="dxa"/>
            <w:tcBorders>
              <w:top w:val="nil" w:sz="6" w:space="0" w:color="auto"/>
              <w:left w:val="single" w:sz="4" w:space="0" w:color="000000"/>
              <w:bottom w:val="nil" w:sz="6" w:space="0" w:color="auto"/>
              <w:right w:val="single" w:sz="4" w:space="0" w:color="000000"/>
            </w:tcBorders>
          </w:tcPr>
          <w:p>
            <w:pPr/>
          </w:p>
        </w:tc>
        <w:tc>
          <w:tcPr>
            <w:tcW w:w="694" w:type="dxa"/>
            <w:tcBorders>
              <w:top w:val="nil" w:sz="6" w:space="0" w:color="auto"/>
              <w:left w:val="single" w:sz="4" w:space="0" w:color="000000"/>
              <w:bottom w:val="nil" w:sz="6" w:space="0" w:color="auto"/>
              <w:right w:val="single" w:sz="4" w:space="0" w:color="000000"/>
            </w:tcBorders>
          </w:tcPr>
          <w:p>
            <w:pPr/>
          </w:p>
        </w:tc>
        <w:tc>
          <w:tcPr>
            <w:tcW w:w="761" w:type="dxa"/>
            <w:tcBorders>
              <w:top w:val="nil" w:sz="6" w:space="0" w:color="auto"/>
              <w:left w:val="single" w:sz="4" w:space="0" w:color="000000"/>
              <w:bottom w:val="nil" w:sz="6" w:space="0" w:color="auto"/>
              <w:right w:val="single" w:sz="4" w:space="0" w:color="000000"/>
            </w:tcBorders>
          </w:tcPr>
          <w:p>
            <w:pPr/>
          </w:p>
        </w:tc>
        <w:tc>
          <w:tcPr>
            <w:tcW w:w="716"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
        </w:tc>
        <w:tc>
          <w:tcPr>
            <w:tcW w:w="700" w:type="dxa"/>
            <w:tcBorders>
              <w:top w:val="nil" w:sz="6" w:space="0" w:color="auto"/>
              <w:left w:val="single" w:sz="4" w:space="0" w:color="000000"/>
              <w:bottom w:val="nil" w:sz="6" w:space="0" w:color="auto"/>
              <w:right w:val="single" w:sz="4" w:space="0" w:color="000000"/>
            </w:tcBorders>
          </w:tcPr>
          <w:p>
            <w:pPr/>
          </w:p>
        </w:tc>
        <w:tc>
          <w:tcPr>
            <w:tcW w:w="637" w:type="dxa"/>
            <w:vMerge/>
            <w:tcBorders>
              <w:left w:val="single" w:sz="4" w:space="0" w:color="000000"/>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628" w:type="dxa"/>
            <w:tcBorders>
              <w:top w:val="nil" w:sz="6" w:space="0" w:color="auto"/>
              <w:left w:val="single" w:sz="4" w:space="0" w:color="000000"/>
              <w:bottom w:val="nil" w:sz="6" w:space="0" w:color="auto"/>
              <w:right w:val="single" w:sz="4" w:space="0" w:color="000000"/>
            </w:tcBorders>
          </w:tcPr>
          <w:p>
            <w:pPr/>
          </w:p>
        </w:tc>
        <w:tc>
          <w:tcPr>
            <w:tcW w:w="6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p>
        </w:tc>
      </w:tr>
      <w:tr>
        <w:trPr>
          <w:trHeight w:val="352" w:hRule="exact"/>
        </w:trPr>
        <w:tc>
          <w:tcPr>
            <w:tcW w:w="695" w:type="dxa"/>
            <w:tcBorders>
              <w:top w:val="nil" w:sz="6" w:space="0" w:color="auto"/>
              <w:left w:val="single" w:sz="4" w:space="0" w:color="000000"/>
              <w:bottom w:val="single" w:sz="4" w:space="0" w:color="000000"/>
              <w:right w:val="single" w:sz="4" w:space="0" w:color="000000"/>
            </w:tcBorders>
          </w:tcPr>
          <w:p>
            <w:pPr/>
          </w:p>
        </w:tc>
        <w:tc>
          <w:tcPr>
            <w:tcW w:w="694" w:type="dxa"/>
            <w:tcBorders>
              <w:top w:val="nil" w:sz="6" w:space="0" w:color="auto"/>
              <w:left w:val="single" w:sz="4" w:space="0" w:color="000000"/>
              <w:bottom w:val="single" w:sz="4" w:space="0" w:color="000000"/>
              <w:right w:val="single" w:sz="4" w:space="0" w:color="000000"/>
            </w:tcBorders>
          </w:tcPr>
          <w:p>
            <w:pPr/>
          </w:p>
        </w:tc>
        <w:tc>
          <w:tcPr>
            <w:tcW w:w="761"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700" w:type="dxa"/>
            <w:tcBorders>
              <w:top w:val="nil" w:sz="6" w:space="0" w:color="auto"/>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628" w:type="dxa"/>
            <w:tcBorders>
              <w:top w:val="nil" w:sz="6" w:space="0" w:color="auto"/>
              <w:left w:val="single" w:sz="4" w:space="0" w:color="000000"/>
              <w:bottom w:val="single" w:sz="4" w:space="0" w:color="000000"/>
              <w:right w:val="single" w:sz="4" w:space="0" w:color="000000"/>
            </w:tcBorders>
          </w:tcPr>
          <w:p>
            <w:pPr/>
          </w:p>
        </w:tc>
        <w:tc>
          <w:tcPr>
            <w:tcW w:w="6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-028</w:t>
            </w:r>
            <w:r>
              <w:rPr>
                <w:rFonts w:ascii="宋体" w:hAnsi="宋体" w:cs="宋体" w:eastAsia="宋体" w:hint="default"/>
                <w:sz w:val="18"/>
                <w:szCs w:val="18"/>
              </w:rPr>
              <w:t>）</w:t>
            </w:r>
          </w:p>
        </w:tc>
      </w:tr>
      <w:tr>
        <w:trPr>
          <w:trHeight w:val="402" w:hRule="exact"/>
        </w:trPr>
        <w:tc>
          <w:tcPr>
            <w:tcW w:w="21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70.75</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委托贷款出现预期无法收回本金或存在其他可能导致减值的情形</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十八、社会责任情况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4" w:right="0"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
          <w:w w:val="99"/>
        </w:rPr>
        <w:t> </w:t>
      </w:r>
      <w:r>
        <w:rPr>
          <w:spacing w:val="-1"/>
        </w:rPr>
        <w:t>公司在注重业务发展的同时，倡导行业规范，宣传文明旅游，保障游客权益，提升员工福利，热心公</w:t>
      </w:r>
    </w:p>
    <w:p>
      <w:pPr>
        <w:pStyle w:val="BodyText"/>
        <w:spacing w:line="240" w:lineRule="auto" w:before="65"/>
        <w:ind w:right="0"/>
        <w:jc w:val="both"/>
      </w:pPr>
      <w:r>
        <w:rPr/>
        <w:t>益事业，承担社会责任，争做合格、优秀的企业公民。</w:t>
      </w:r>
    </w:p>
    <w:p>
      <w:pPr>
        <w:spacing w:line="240" w:lineRule="auto" w:before="10"/>
        <w:rPr>
          <w:rFonts w:ascii="宋体" w:hAnsi="宋体" w:cs="宋体" w:eastAsia="宋体" w:hint="default"/>
          <w:sz w:val="14"/>
          <w:szCs w:val="14"/>
        </w:rPr>
      </w:pPr>
    </w:p>
    <w:p>
      <w:pPr>
        <w:spacing w:line="408" w:lineRule="auto" w:before="0"/>
        <w:ind w:left="574" w:right="0" w:hanging="178"/>
        <w:jc w:val="left"/>
        <w:rPr>
          <w:rFonts w:ascii="宋体" w:hAnsi="宋体" w:cs="宋体" w:eastAsia="宋体" w:hint="default"/>
          <w:sz w:val="21"/>
          <w:szCs w:val="21"/>
        </w:rPr>
      </w:pPr>
      <w:r>
        <w:rPr>
          <w:rFonts w:ascii="宋体" w:hAnsi="宋体" w:cs="宋体" w:eastAsia="宋体" w:hint="default"/>
          <w:b/>
          <w:bCs/>
          <w:sz w:val="21"/>
          <w:szCs w:val="21"/>
        </w:rPr>
        <w:t>（一）规范自身经营行为，充分发挥榜样带动效应</w:t>
      </w:r>
      <w:r>
        <w:rPr>
          <w:rFonts w:ascii="宋体" w:hAnsi="宋体" w:cs="宋体" w:eastAsia="宋体" w:hint="default"/>
          <w:b/>
          <w:bCs/>
          <w:w w:val="99"/>
          <w:sz w:val="21"/>
          <w:szCs w:val="21"/>
        </w:rPr>
        <w:t> </w:t>
      </w:r>
      <w:r>
        <w:rPr>
          <w:rFonts w:ascii="宋体" w:hAnsi="宋体" w:cs="宋体" w:eastAsia="宋体" w:hint="default"/>
          <w:sz w:val="21"/>
          <w:szCs w:val="21"/>
        </w:rPr>
        <w:t>公司坚持规范自身经营行为，充分发挥榜样带动效应。公司是北京市旅游委选树的</w:t>
      </w:r>
      <w:r>
        <w:rPr>
          <w:rFonts w:ascii="Times New Roman" w:hAnsi="Times New Roman" w:cs="Times New Roman" w:eastAsia="Times New Roman" w:hint="default"/>
          <w:sz w:val="21"/>
          <w:szCs w:val="21"/>
        </w:rPr>
        <w:t>“2017</w:t>
      </w:r>
      <w:r>
        <w:rPr>
          <w:rFonts w:ascii="宋体" w:hAnsi="宋体" w:cs="宋体" w:eastAsia="宋体" w:hint="default"/>
          <w:sz w:val="21"/>
          <w:szCs w:val="21"/>
        </w:rPr>
        <w:t>北京旅游行</w:t>
      </w:r>
    </w:p>
    <w:p>
      <w:pPr>
        <w:pStyle w:val="BodyText"/>
        <w:spacing w:line="386" w:lineRule="auto" w:before="14"/>
        <w:ind w:right="0"/>
        <w:jc w:val="left"/>
      </w:pPr>
      <w:r>
        <w:rPr/>
        <w:t>业榜样</w:t>
      </w:r>
      <w:r>
        <w:rPr>
          <w:rFonts w:ascii="Times New Roman" w:hAnsi="Times New Roman" w:cs="Times New Roman" w:eastAsia="Times New Roman" w:hint="default"/>
        </w:rPr>
        <w:t>”</w:t>
      </w:r>
      <w:r>
        <w:rPr/>
        <w:t>，在日常经营中，遵守《旅游法》、《旅行社条例》、《旅行社出境旅游服务规范》等相关法律</w:t>
      </w:r>
      <w:r>
        <w:rPr>
          <w:spacing w:val="-23"/>
        </w:rPr>
        <w:t> </w:t>
      </w:r>
      <w:r>
        <w:rPr>
          <w:spacing w:val="-23"/>
        </w:rPr>
      </w:r>
      <w:r>
        <w:rPr/>
        <w:t>法规和国家标准，做到不愧荣誉，发挥榜样的带动效应。</w:t>
      </w:r>
    </w:p>
    <w:p>
      <w:pPr>
        <w:spacing w:line="408" w:lineRule="auto" w:before="65"/>
        <w:ind w:left="577" w:right="0" w:hanging="182"/>
        <w:jc w:val="left"/>
        <w:rPr>
          <w:rFonts w:ascii="宋体" w:hAnsi="宋体" w:cs="宋体" w:eastAsia="宋体" w:hint="default"/>
          <w:sz w:val="21"/>
          <w:szCs w:val="21"/>
        </w:rPr>
      </w:pPr>
      <w:r>
        <w:rPr>
          <w:rFonts w:ascii="宋体" w:hAnsi="宋体" w:cs="宋体" w:eastAsia="宋体" w:hint="default"/>
          <w:b/>
          <w:bCs/>
          <w:sz w:val="21"/>
          <w:szCs w:val="21"/>
        </w:rPr>
        <w:t>（二）引领文明出行，树立全新大国国民形象</w:t>
      </w:r>
      <w:r>
        <w:rPr>
          <w:rFonts w:ascii="宋体" w:hAnsi="宋体" w:cs="宋体" w:eastAsia="宋体" w:hint="default"/>
          <w:b/>
          <w:bCs/>
          <w:w w:val="99"/>
          <w:sz w:val="21"/>
          <w:szCs w:val="21"/>
        </w:rPr>
        <w:t> </w:t>
      </w:r>
      <w:r>
        <w:rPr>
          <w:rFonts w:ascii="宋体" w:hAnsi="宋体" w:cs="宋体" w:eastAsia="宋体" w:hint="default"/>
          <w:sz w:val="21"/>
          <w:szCs w:val="21"/>
        </w:rPr>
        <w:t>多年来，公司坚持积极参与宣传</w:t>
      </w:r>
      <w:r>
        <w:rPr>
          <w:rFonts w:ascii="Times New Roman" w:hAnsi="Times New Roman" w:cs="Times New Roman" w:eastAsia="Times New Roman" w:hint="default"/>
          <w:sz w:val="21"/>
          <w:szCs w:val="21"/>
        </w:rPr>
        <w:t>“</w:t>
      </w:r>
      <w:r>
        <w:rPr>
          <w:rFonts w:ascii="宋体" w:hAnsi="宋体" w:cs="宋体" w:eastAsia="宋体" w:hint="default"/>
          <w:sz w:val="21"/>
          <w:szCs w:val="21"/>
        </w:rPr>
        <w:t>文明旅游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文明出行</w:t>
      </w:r>
      <w:r>
        <w:rPr>
          <w:rFonts w:ascii="Times New Roman" w:hAnsi="Times New Roman" w:cs="Times New Roman" w:eastAsia="Times New Roman" w:hint="default"/>
          <w:sz w:val="21"/>
          <w:szCs w:val="21"/>
        </w:rPr>
        <w:t>”</w:t>
      </w:r>
      <w:r>
        <w:rPr>
          <w:rFonts w:ascii="宋体" w:hAnsi="宋体" w:cs="宋体" w:eastAsia="宋体" w:hint="default"/>
          <w:sz w:val="21"/>
          <w:szCs w:val="21"/>
        </w:rPr>
        <w:t>等各项活动。公司在出团通知中加入中国公</w:t>
      </w:r>
    </w:p>
    <w:p>
      <w:pPr>
        <w:pStyle w:val="BodyText"/>
        <w:spacing w:line="403" w:lineRule="auto" w:before="14"/>
        <w:ind w:left="153" w:right="148"/>
        <w:jc w:val="both"/>
      </w:pPr>
      <w:r>
        <w:rPr>
          <w:spacing w:val="-5"/>
        </w:rPr>
        <w:t>民出境旅游文明公约，提醒游客境外旅游注意事项，在旅游过程中，要求领队向游客介绍目的地文化差异、</w:t>
      </w:r>
      <w:r>
        <w:rPr>
          <w:spacing w:val="-101"/>
        </w:rPr>
        <w:t> </w:t>
      </w:r>
      <w:r>
        <w:rPr>
          <w:spacing w:val="-101"/>
        </w:rPr>
      </w:r>
      <w:r>
        <w:rPr>
          <w:spacing w:val="-1"/>
        </w:rPr>
        <w:t>生活习俗，作宣传文明出行的大使。公司高端品牌奇迹旅行大型南极包船项目全程严格遵守《南极活动环</w:t>
      </w:r>
      <w:r>
        <w:rPr>
          <w:spacing w:val="-83"/>
        </w:rPr>
        <w:t> </w:t>
      </w:r>
      <w:r>
        <w:rPr>
          <w:spacing w:val="-83"/>
        </w:rPr>
      </w:r>
      <w:r>
        <w:rPr>
          <w:spacing w:val="-1"/>
        </w:rPr>
        <w:t>境保护管理规定》、《南极环境保护议定书》的相关环保要求，为每位登陆南极的游客购买碳排放，从而</w:t>
      </w:r>
      <w:r>
        <w:rPr>
          <w:spacing w:val="-83"/>
        </w:rPr>
        <w:t> </w:t>
      </w:r>
      <w:r>
        <w:rPr>
          <w:spacing w:val="-83"/>
        </w:rPr>
      </w:r>
      <w:r>
        <w:rPr/>
        <w:t>实现本次南极之旅的</w:t>
      </w:r>
      <w:r>
        <w:rPr>
          <w:rFonts w:ascii="Times New Roman" w:hAnsi="Times New Roman" w:cs="Times New Roman" w:eastAsia="Times New Roman" w:hint="default"/>
        </w:rPr>
        <w:t>“</w:t>
      </w:r>
      <w:r>
        <w:rPr/>
        <w:t>碳中和</w:t>
      </w:r>
      <w:r>
        <w:rPr>
          <w:rFonts w:ascii="Times New Roman" w:hAnsi="Times New Roman" w:cs="Times New Roman" w:eastAsia="Times New Roman" w:hint="default"/>
        </w:rPr>
        <w:t>”</w:t>
      </w:r>
      <w:r>
        <w:rPr/>
        <w:t>。众信旅游俱乐部与瓷娃娃罕见病关爱中心携手举办</w:t>
      </w:r>
      <w:r>
        <w:rPr>
          <w:rFonts w:ascii="Times New Roman" w:hAnsi="Times New Roman" w:cs="Times New Roman" w:eastAsia="Times New Roman" w:hint="default"/>
        </w:rPr>
        <w:t>“</w:t>
      </w:r>
      <w:r>
        <w:rPr/>
        <w:t>文明出行，公益助跑</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活动，参与者在朝阳公园中每跑步</w:t>
      </w:r>
      <w:r>
        <w:rPr>
          <w:rFonts w:ascii="Times New Roman" w:hAnsi="Times New Roman" w:cs="Times New Roman" w:eastAsia="Times New Roman" w:hint="default"/>
        </w:rPr>
        <w:t>/</w:t>
      </w:r>
      <w:r>
        <w:rPr/>
        <w:t>健走一圈，众信旅游将代为向瓷娃娃罕见病关爱中心捐款</w:t>
      </w:r>
      <w:r>
        <w:rPr>
          <w:rFonts w:ascii="Times New Roman" w:hAnsi="Times New Roman" w:cs="Times New Roman" w:eastAsia="Times New Roman" w:hint="default"/>
        </w:rPr>
        <w:t>10</w:t>
      </w:r>
      <w:r>
        <w:rPr/>
        <w:t>元。</w:t>
      </w:r>
    </w:p>
    <w:p>
      <w:pPr>
        <w:pStyle w:val="Heading6"/>
        <w:spacing w:line="240" w:lineRule="auto" w:before="19"/>
        <w:ind w:left="396" w:right="0"/>
        <w:jc w:val="left"/>
        <w:rPr>
          <w:b w:val="0"/>
          <w:bCs w:val="0"/>
        </w:rPr>
      </w:pPr>
      <w:r>
        <w:rPr/>
        <w:t>（三）敢于担当，责任为先的企业风范</w:t>
      </w:r>
      <w:r>
        <w:rPr>
          <w:b w:val="0"/>
          <w:bCs w:val="0"/>
        </w:rPr>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b/>
          <w:bCs/>
          <w:sz w:val="26"/>
          <w:szCs w:val="26"/>
        </w:rPr>
      </w:pPr>
    </w:p>
    <w:p>
      <w:pPr>
        <w:pStyle w:val="BodyText"/>
        <w:spacing w:line="403" w:lineRule="auto" w:before="35"/>
        <w:ind w:left="153" w:right="102" w:firstLine="386"/>
        <w:jc w:val="left"/>
      </w:pPr>
      <w:r>
        <w:rPr/>
        <w:t>面对俄罗斯维姆航空停运、巴厘岛火山爆发等重大突发事件，公司快速反应，果断处理，积极协调各 方资源保障客人安全如期回国。如</w:t>
      </w:r>
      <w:r>
        <w:rPr>
          <w:rFonts w:ascii="Times New Roman" w:hAnsi="Times New Roman" w:cs="Times New Roman" w:eastAsia="Times New Roman" w:hint="default"/>
        </w:rPr>
        <w:t>2017</w:t>
      </w:r>
      <w:r>
        <w:rPr/>
        <w:t>年十一前夕俄罗斯维姆航空突然宣布停运，众多游客滞留在机场，</w:t>
      </w:r>
      <w:r>
        <w:rPr>
          <w:spacing w:val="-35"/>
        </w:rPr>
        <w:t> </w:t>
      </w:r>
      <w:r>
        <w:rPr>
          <w:spacing w:val="-35"/>
        </w:rPr>
      </w:r>
      <w:r>
        <w:rPr/>
        <w:t>公司快速成立应急处理专项小组，在中国国家旅游局、中国驻俄罗斯大使馆、中国国家旅游局驻莫斯科办</w:t>
      </w:r>
      <w:r>
        <w:rPr/>
        <w:t> 事处等有关部门的指导和帮助及公司多番努力和积极协调下，公司协调重新安排飞机前往接机或为客人重 新出返程票，将滞留俄罗斯莫斯科和比利时列日机场的近千名游客分批次接回国内。对于按照原计划尚在 欧洲游览的</w:t>
      </w:r>
      <w:r>
        <w:rPr>
          <w:rFonts w:ascii="Times New Roman" w:hAnsi="Times New Roman" w:cs="Times New Roman" w:eastAsia="Times New Roman" w:hint="default"/>
        </w:rPr>
        <w:t>2000</w:t>
      </w:r>
      <w:r>
        <w:rPr/>
        <w:t>余名游客，众信旅游也全力协调各方面资源，保证每一名游客安全顺利按时回国。对后续 从国内搭乘维姆航空未出行客人，则可以更换其他产品或全额退款。公司的突出事件处理能力和举措获得 了客人的美誉和信赖，赢得了行业内外的交口称赞。</w:t>
      </w:r>
    </w:p>
    <w:p>
      <w:pPr>
        <w:spacing w:line="408" w:lineRule="auto" w:before="50"/>
        <w:ind w:left="573" w:right="102" w:hanging="89"/>
        <w:jc w:val="left"/>
        <w:rPr>
          <w:rFonts w:ascii="宋体" w:hAnsi="宋体" w:cs="宋体" w:eastAsia="宋体" w:hint="default"/>
          <w:sz w:val="21"/>
          <w:szCs w:val="21"/>
        </w:rPr>
      </w:pPr>
      <w:r>
        <w:rPr>
          <w:rFonts w:ascii="宋体" w:hAnsi="宋体" w:cs="宋体" w:eastAsia="宋体" w:hint="default"/>
          <w:b/>
          <w:bCs/>
          <w:sz w:val="21"/>
          <w:szCs w:val="21"/>
        </w:rPr>
        <w:t>（四）注重员工福利，关爱员工的温暖情怀</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公司注重员工福利，通过提供员工食堂、母婴室、淋浴房等设置改善员工的办公条件。</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年初，公</w:t>
      </w:r>
    </w:p>
    <w:p>
      <w:pPr>
        <w:pStyle w:val="BodyText"/>
        <w:spacing w:line="386" w:lineRule="auto" w:before="14"/>
        <w:ind w:left="153" w:right="206"/>
        <w:jc w:val="both"/>
      </w:pPr>
      <w:r>
        <w:rPr>
          <w:spacing w:val="-1"/>
        </w:rPr>
        <w:t>司举办第二批</w:t>
      </w:r>
      <w:r>
        <w:rPr>
          <w:rFonts w:ascii="Times New Roman" w:hAnsi="Times New Roman" w:cs="Times New Roman" w:eastAsia="Times New Roman" w:hint="default"/>
          <w:spacing w:val="-1"/>
        </w:rPr>
        <w:t>10</w:t>
      </w:r>
      <w:r>
        <w:rPr>
          <w:spacing w:val="-1"/>
        </w:rPr>
        <w:t>年老员工表彰活动，对老员工在公司的长年付出表示感谢，并激发年轻员工热爱工作，乐</w:t>
      </w:r>
      <w:r>
        <w:rPr>
          <w:spacing w:val="-84"/>
        </w:rPr>
        <w:t> </w:t>
      </w:r>
      <w:r>
        <w:rPr>
          <w:spacing w:val="-84"/>
        </w:rPr>
      </w:r>
      <w:r>
        <w:rPr>
          <w:spacing w:val="-5"/>
        </w:rPr>
        <w:t>于付出，积极投身工作的热情。</w:t>
      </w:r>
      <w:r>
        <w:rPr>
          <w:rFonts w:ascii="Times New Roman" w:hAnsi="Times New Roman" w:cs="Times New Roman" w:eastAsia="Times New Roman" w:hint="default"/>
          <w:spacing w:val="-5"/>
        </w:rPr>
        <w:t>2016</w:t>
      </w:r>
      <w:r>
        <w:rPr>
          <w:spacing w:val="-5"/>
        </w:rPr>
        <w:t>年底，公司设立员工关怀基金，资金来源全部为公司领导的捐赠，</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年员工关怀基金共就慰问见义勇为保护客人领队、员工及员工直系亲属大病等共支出</w:t>
      </w:r>
      <w:r>
        <w:rPr>
          <w:rFonts w:ascii="Times New Roman" w:hAnsi="Times New Roman" w:cs="Times New Roman" w:eastAsia="Times New Roman" w:hint="default"/>
        </w:rPr>
        <w:t>8</w:t>
      </w:r>
      <w:r>
        <w:rPr/>
        <w:t>笔专项慰问款，累</w:t>
      </w:r>
      <w:r>
        <w:rPr>
          <w:spacing w:val="-33"/>
        </w:rPr>
        <w:t> </w:t>
      </w:r>
      <w:r>
        <w:rPr>
          <w:spacing w:val="-33"/>
        </w:rPr>
      </w:r>
      <w:r>
        <w:rPr/>
        <w:t>计支出金额</w:t>
      </w:r>
      <w:r>
        <w:rPr>
          <w:rFonts w:ascii="Times New Roman" w:hAnsi="Times New Roman" w:cs="Times New Roman" w:eastAsia="Times New Roman" w:hint="default"/>
        </w:rPr>
        <w:t>8.4</w:t>
      </w:r>
      <w:r>
        <w:rPr/>
        <w:t>万元。</w:t>
      </w:r>
    </w:p>
    <w:p>
      <w:pPr>
        <w:pStyle w:val="Heading6"/>
        <w:spacing w:line="240" w:lineRule="auto" w:before="35"/>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pStyle w:val="BodyText"/>
        <w:spacing w:line="386" w:lineRule="auto" w:before="177"/>
        <w:ind w:left="679" w:right="275" w:hanging="526"/>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
          <w:w w:val="99"/>
        </w:rPr>
        <w:t> </w:t>
      </w:r>
      <w:r>
        <w:rPr/>
        <w:t>公司主要经营旅游业务，利用自身业务优势，组织和承办精准扶贫相关的地区旅游项目，挖掘当地</w:t>
      </w:r>
    </w:p>
    <w:p>
      <w:pPr>
        <w:pStyle w:val="BodyText"/>
        <w:spacing w:line="240" w:lineRule="auto" w:before="65"/>
        <w:ind w:right="0"/>
        <w:jc w:val="both"/>
      </w:pPr>
      <w:r>
        <w:rPr/>
        <w:t>旅游资源，为当地资源对接起到宣传、对接的媒介作用。</w:t>
      </w:r>
    </w:p>
    <w:p>
      <w:pPr>
        <w:spacing w:line="240" w:lineRule="auto" w:before="10"/>
        <w:rPr>
          <w:rFonts w:ascii="宋体" w:hAnsi="宋体" w:cs="宋体" w:eastAsia="宋体" w:hint="default"/>
          <w:sz w:val="14"/>
          <w:szCs w:val="14"/>
        </w:rPr>
      </w:pPr>
    </w:p>
    <w:p>
      <w:pPr>
        <w:spacing w:line="386" w:lineRule="auto" w:before="0"/>
        <w:ind w:left="574"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pacing w:val="-1"/>
          <w:sz w:val="21"/>
          <w:szCs w:val="21"/>
        </w:rPr>
        <w:t>公司积极响应国家精准扶贫号召，助力贫困地区发展。</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月，公司捐资并策划执行了由中国传</w:t>
      </w:r>
    </w:p>
    <w:p>
      <w:pPr>
        <w:pStyle w:val="BodyText"/>
        <w:spacing w:line="403" w:lineRule="auto" w:before="35"/>
        <w:ind w:right="105"/>
        <w:jc w:val="both"/>
      </w:pPr>
      <w:r>
        <w:rPr/>
        <w:t>媒集团主办的</w:t>
      </w:r>
      <w:r>
        <w:rPr>
          <w:rFonts w:ascii="Times New Roman" w:hAnsi="Times New Roman" w:cs="Times New Roman" w:eastAsia="Times New Roman" w:hint="default"/>
        </w:rPr>
        <w:t>“</w:t>
      </w:r>
      <w:r>
        <w:rPr/>
        <w:t>贵州石阡扶贫考察</w:t>
      </w:r>
      <w:r>
        <w:rPr>
          <w:rFonts w:ascii="Times New Roman" w:hAnsi="Times New Roman" w:cs="Times New Roman" w:eastAsia="Times New Roman" w:hint="default"/>
        </w:rPr>
        <w:t>”</w:t>
      </w:r>
      <w:r>
        <w:rPr/>
        <w:t>活动，旨在以旅游扶贫的方式研发红色生态之旅向市场推广。此次活动 共邀请了十余家上市公司及社会团体，考察贵州省贵阳市石阡县的特色资源、了解当地历史文化、体验民 族风情及农耕文化。此外，考察团还前往当地国荣乡书田小学，为孩子们带去爱心礼物的同时进一步与留 守儿童近距离沟通交流。公司希望本次的扶贫旅游产品可以逐渐演变成企业的一个扶贫平台，让更多的企 </w:t>
      </w:r>
      <w:r>
        <w:rPr>
          <w:spacing w:val="-3"/>
        </w:rPr>
        <w:t>业通过此项活动发现石阡县的可运用资源并加以运作，从而带动该地区的整体经济状况，形成扶贫新范式。</w:t>
      </w:r>
    </w:p>
    <w:p>
      <w:pPr>
        <w:spacing w:line="386" w:lineRule="auto" w:before="50"/>
        <w:ind w:left="574" w:right="269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）后续精准扶贫计划</w:t>
      </w:r>
      <w:r>
        <w:rPr>
          <w:rFonts w:ascii="宋体" w:hAnsi="宋体" w:cs="宋体" w:eastAsia="宋体" w:hint="default"/>
          <w:b/>
          <w:bCs/>
          <w:w w:val="99"/>
          <w:sz w:val="21"/>
          <w:szCs w:val="21"/>
        </w:rPr>
        <w:t> </w:t>
      </w:r>
      <w:r>
        <w:rPr>
          <w:rFonts w:ascii="宋体" w:hAnsi="宋体" w:cs="宋体" w:eastAsia="宋体" w:hint="default"/>
          <w:sz w:val="21"/>
          <w:szCs w:val="21"/>
        </w:rPr>
        <w:t>计划每年承办上市公司及社会团体前往贵州省贵阳市石阡县的考察活动。</w:t>
      </w:r>
    </w:p>
    <w:p>
      <w:pPr>
        <w:spacing w:line="240" w:lineRule="auto" w:before="0"/>
        <w:rPr>
          <w:rFonts w:ascii="宋体" w:hAnsi="宋体" w:cs="宋体" w:eastAsia="宋体" w:hint="default"/>
          <w:sz w:val="22"/>
          <w:szCs w:val="22"/>
        </w:rPr>
      </w:pPr>
    </w:p>
    <w:p>
      <w:pPr>
        <w:pStyle w:val="Heading6"/>
        <w:spacing w:line="240" w:lineRule="auto"/>
        <w:ind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w:t>
      </w:r>
    </w:p>
    <w:p>
      <w:pPr>
        <w:spacing w:after="0"/>
        <w:jc w:val="both"/>
        <w:rPr>
          <w:rFonts w:ascii="宋体" w:hAnsi="宋体" w:cs="宋体" w:eastAsia="宋体" w:hint="default"/>
          <w:sz w:val="18"/>
          <w:szCs w:val="18"/>
        </w:rPr>
        <w:sectPr>
          <w:pgSz w:w="11910" w:h="16840"/>
          <w:pgMar w:header="877" w:footer="982" w:top="1100" w:bottom="1180" w:left="980" w:right="920"/>
        </w:sectPr>
      </w:pPr>
    </w:p>
    <w:p>
      <w:pPr>
        <w:spacing w:line="240" w:lineRule="auto" w:before="13"/>
        <w:rPr>
          <w:rFonts w:ascii="宋体" w:hAnsi="宋体" w:cs="宋体" w:eastAsia="宋体" w:hint="default"/>
          <w:sz w:val="21"/>
          <w:szCs w:val="21"/>
        </w:rPr>
      </w:pPr>
    </w:p>
    <w:p>
      <w:pPr>
        <w:spacing w:line="357" w:lineRule="auto" w:before="44"/>
        <w:ind w:left="153" w:right="9231" w:firstLine="0"/>
        <w:jc w:val="left"/>
        <w:rPr>
          <w:rFonts w:ascii="宋体" w:hAnsi="宋体" w:cs="宋体" w:eastAsia="宋体" w:hint="default"/>
          <w:sz w:val="18"/>
          <w:szCs w:val="18"/>
        </w:rPr>
      </w:pPr>
      <w:r>
        <w:rPr>
          <w:rFonts w:ascii="宋体" w:hAnsi="宋体" w:cs="宋体" w:eastAsia="宋体" w:hint="default"/>
          <w:sz w:val="18"/>
          <w:szCs w:val="18"/>
        </w:rPr>
        <w:t>不适用 无</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1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102"/>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771"/>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6771"/>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956"/>
        <w:gridCol w:w="701"/>
        <w:gridCol w:w="866"/>
        <w:gridCol w:w="724"/>
        <w:gridCol w:w="648"/>
        <w:gridCol w:w="1016"/>
        <w:gridCol w:w="955"/>
        <w:gridCol w:w="956"/>
        <w:gridCol w:w="701"/>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37" w:right="4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480,553,424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12,643,700</w:t>
            </w:r>
          </w:p>
        </w:tc>
        <w:tc>
          <w:tcPr>
            <w:tcW w:w="7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-108,071,937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-95,428,237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385,125,187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480,553,424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12,643,700</w:t>
            </w:r>
          </w:p>
        </w:tc>
        <w:tc>
          <w:tcPr>
            <w:tcW w:w="7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-108,071,937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-95,428,237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385,125,187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40,394,148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c>
          <w:tcPr>
            <w:tcW w:w="86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40,394,148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440,159,276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12,643,700</w:t>
            </w:r>
          </w:p>
        </w:tc>
        <w:tc>
          <w:tcPr>
            <w:tcW w:w="7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-108,071,937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-95,428,237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344,731,039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363,248,756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43.05%</w:t>
            </w:r>
          </w:p>
        </w:tc>
        <w:tc>
          <w:tcPr>
            <w:tcW w:w="86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101,686,877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101,686,877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464,935,633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363,248,756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43.05%</w:t>
            </w:r>
          </w:p>
        </w:tc>
        <w:tc>
          <w:tcPr>
            <w:tcW w:w="86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101,686,877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101,686,877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464,935,633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843,802,180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12,643,700</w:t>
            </w:r>
          </w:p>
        </w:tc>
        <w:tc>
          <w:tcPr>
            <w:tcW w:w="72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-6,385,060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6,258,640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850,060,820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6771"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4" w:right="83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不适用</w:t>
      </w:r>
    </w:p>
    <w:p>
      <w:pPr>
        <w:pStyle w:val="BodyText"/>
        <w:spacing w:line="408" w:lineRule="auto" w:before="73"/>
        <w:ind w:right="210" w:firstLine="420"/>
        <w:jc w:val="both"/>
      </w:pPr>
      <w:r>
        <w:rPr>
          <w:spacing w:val="-1"/>
        </w:rPr>
        <w:t>报告期内，公司股份变动主要为大股东股份解除限售、激励计划股份解锁及回购注销激励股份等，具</w:t>
      </w:r>
      <w:r>
        <w:rPr/>
        <w:t> 体情况如下：</w:t>
      </w:r>
    </w:p>
    <w:p>
      <w:pPr>
        <w:pStyle w:val="BodyText"/>
        <w:spacing w:line="386" w:lineRule="auto"/>
        <w:ind w:left="153" w:right="206" w:firstLine="420"/>
        <w:jc w:val="both"/>
      </w:pPr>
      <w:r>
        <w:rPr>
          <w:rFonts w:ascii="Times New Roman" w:hAnsi="Times New Roman" w:cs="Times New Roman" w:eastAsia="Times New Roman" w:hint="default"/>
        </w:rPr>
        <w:t>1</w:t>
      </w:r>
      <w:r>
        <w:rPr/>
        <w:t>、报告期初，按照董事、监事、高级管理人员股票锁定的相关规定，高管锁定股为</w:t>
      </w:r>
      <w:r>
        <w:rPr>
          <w:rFonts w:ascii="Times New Roman" w:hAnsi="Times New Roman" w:cs="Times New Roman" w:eastAsia="Times New Roman" w:hint="default"/>
        </w:rPr>
        <w:t>137,414,736</w:t>
      </w:r>
      <w:r>
        <w:rPr/>
        <w:t>股，</w:t>
      </w:r>
      <w:r>
        <w:rPr>
          <w:spacing w:val="2"/>
        </w:rPr>
        <w:t> </w:t>
      </w:r>
      <w:r>
        <w:rPr>
          <w:spacing w:val="-1"/>
        </w:rPr>
        <w:t>本年新增解除锁定股份数量为</w:t>
      </w:r>
      <w:r>
        <w:rPr>
          <w:rFonts w:ascii="Times New Roman" w:hAnsi="Times New Roman" w:cs="Times New Roman" w:eastAsia="Times New Roman" w:hint="default"/>
          <w:spacing w:val="-1"/>
        </w:rPr>
        <w:t>22,955,987</w:t>
      </w:r>
      <w:r>
        <w:rPr>
          <w:spacing w:val="-1"/>
        </w:rPr>
        <w:t>股，有限售条件股份</w:t>
      </w:r>
      <w:r>
        <w:rPr>
          <w:rFonts w:ascii="Times New Roman" w:hAnsi="Times New Roman" w:cs="Times New Roman" w:eastAsia="Times New Roman" w:hint="default"/>
          <w:spacing w:val="-1"/>
        </w:rPr>
        <w:t>22,955,987</w:t>
      </w:r>
      <w:r>
        <w:rPr>
          <w:spacing w:val="-1"/>
        </w:rPr>
        <w:t>股转换为无限售条件股份。具体情</w:t>
      </w:r>
      <w:r>
        <w:rPr>
          <w:spacing w:val="-78"/>
        </w:rPr>
        <w:t> </w:t>
      </w:r>
      <w:r>
        <w:rPr>
          <w:spacing w:val="-78"/>
        </w:rPr>
      </w:r>
      <w:r>
        <w:rPr/>
        <w:t>况如下：</w:t>
      </w:r>
    </w:p>
    <w:tbl>
      <w:tblPr>
        <w:tblW w:w="0" w:type="auto"/>
        <w:jc w:val="left"/>
        <w:tblInd w:w="149" w:type="dxa"/>
        <w:tblLayout w:type="fixed"/>
        <w:tblCellMar>
          <w:top w:w="0" w:type="dxa"/>
          <w:left w:w="0" w:type="dxa"/>
          <w:bottom w:w="0" w:type="dxa"/>
          <w:right w:w="0" w:type="dxa"/>
        </w:tblCellMar>
        <w:tblLook w:val="01E0"/>
      </w:tblPr>
      <w:tblGrid>
        <w:gridCol w:w="2720"/>
        <w:gridCol w:w="1266"/>
        <w:gridCol w:w="899"/>
        <w:gridCol w:w="1160"/>
        <w:gridCol w:w="1340"/>
        <w:gridCol w:w="1266"/>
        <w:gridCol w:w="1072"/>
      </w:tblGrid>
      <w:tr>
        <w:trPr>
          <w:trHeight w:val="342" w:hRule="exact"/>
        </w:trPr>
        <w:tc>
          <w:tcPr>
            <w:tcW w:w="27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6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74"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50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3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61"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1" w:hRule="exact"/>
        </w:trPr>
        <w:tc>
          <w:tcPr>
            <w:tcW w:w="2720" w:type="dxa"/>
            <w:vMerge/>
            <w:tcBorders>
              <w:left w:val="single" w:sz="4" w:space="0" w:color="000000"/>
              <w:bottom w:val="single" w:sz="4" w:space="0" w:color="000000"/>
              <w:right w:val="single" w:sz="4" w:space="0" w:color="000000"/>
            </w:tcBorders>
            <w:shd w:val="clear" w:color="auto" w:fill="D9D9D9"/>
          </w:tcPr>
          <w:p>
            <w:pP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4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74"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64"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3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480,553,424</w:t>
            </w:r>
            <w:r>
              <w:rPr>
                <w:rFonts w:ascii="Times New Roman"/>
                <w:sz w:val="20"/>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56.95%</w:t>
            </w:r>
            <w:r>
              <w:rPr>
                <w:rFonts w:ascii="Times New Roman"/>
                <w:spacing w:val="-1"/>
                <w:sz w:val="20"/>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26" w:right="0"/>
              <w:jc w:val="left"/>
              <w:rPr>
                <w:rFonts w:ascii="Times New Roman" w:hAnsi="Times New Roman" w:cs="Times New Roman" w:eastAsia="Times New Roman" w:hint="default"/>
                <w:sz w:val="20"/>
                <w:szCs w:val="20"/>
              </w:rPr>
            </w:pPr>
            <w:r>
              <w:rPr>
                <w:rFonts w:ascii="Times New Roman"/>
                <w:b/>
                <w:sz w:val="20"/>
              </w:rPr>
              <w:t>22,955,987</w:t>
            </w:r>
            <w:r>
              <w:rPr>
                <w:rFonts w:ascii="Times New Roman"/>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457,597,437</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54.23%</w:t>
            </w:r>
            <w:r>
              <w:rPr>
                <w:rFonts w:ascii="Times New Roman"/>
                <w:spacing w:val="-1"/>
                <w:sz w:val="20"/>
              </w:rPr>
            </w:r>
          </w:p>
        </w:tc>
      </w:tr>
      <w:tr>
        <w:trPr>
          <w:trHeight w:val="3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首发后个人类限售股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30,041,104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3.56%</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pacing w:val="-1"/>
                <w:sz w:val="20"/>
              </w:rPr>
              <w:t>30,041,104</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3.56%</w:t>
            </w:r>
          </w:p>
        </w:tc>
      </w:tr>
      <w:tr>
        <w:trPr>
          <w:trHeight w:val="3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股权激励限售股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13,695,400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1.62%</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pacing w:val="-1"/>
                <w:sz w:val="20"/>
              </w:rPr>
              <w:t>13,695,400</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1.62%</w:t>
            </w:r>
          </w:p>
        </w:tc>
      </w:tr>
      <w:tr>
        <w:trPr>
          <w:trHeight w:val="3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首发后机构类限售股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40,394,148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4.79%</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pacing w:val="-1"/>
                <w:sz w:val="20"/>
              </w:rPr>
              <w:t>40,394,148</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4.79%</w:t>
            </w:r>
          </w:p>
        </w:tc>
      </w:tr>
      <w:tr>
        <w:trPr>
          <w:trHeight w:val="3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高管锁定股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137,414,736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16.29%</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6" w:right="0"/>
              <w:jc w:val="left"/>
              <w:rPr>
                <w:rFonts w:ascii="Times New Roman" w:hAnsi="Times New Roman" w:cs="Times New Roman" w:eastAsia="Times New Roman" w:hint="default"/>
                <w:sz w:val="20"/>
                <w:szCs w:val="20"/>
              </w:rPr>
            </w:pPr>
            <w:r>
              <w:rPr>
                <w:rFonts w:ascii="Times New Roman"/>
                <w:sz w:val="20"/>
              </w:rPr>
              <w:t>22,955,987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pacing w:val="-1"/>
                <w:sz w:val="20"/>
              </w:rPr>
              <w:t>114,458,749</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13.56%</w:t>
            </w:r>
          </w:p>
        </w:tc>
      </w:tr>
      <w:tr>
        <w:trPr>
          <w:trHeight w:val="3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首发前个人类限售股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259,008,036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30.70%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259,008,036</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30.70%</w:t>
            </w:r>
          </w:p>
        </w:tc>
      </w:tr>
      <w:tr>
        <w:trPr>
          <w:trHeight w:val="3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spacing w:val="-1"/>
                <w:sz w:val="20"/>
              </w:rPr>
              <w:t>363,248,756</w:t>
            </w:r>
            <w:r>
              <w:rPr>
                <w:rFonts w:ascii="Times New Roman"/>
                <w:sz w:val="20"/>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43.05%</w:t>
            </w:r>
            <w:r>
              <w:rPr>
                <w:rFonts w:ascii="Times New Roman"/>
                <w:spacing w:val="-1"/>
                <w:sz w:val="20"/>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5" w:right="0"/>
              <w:jc w:val="left"/>
              <w:rPr>
                <w:rFonts w:ascii="Times New Roman" w:hAnsi="Times New Roman" w:cs="Times New Roman" w:eastAsia="Times New Roman" w:hint="default"/>
                <w:sz w:val="20"/>
                <w:szCs w:val="20"/>
              </w:rPr>
            </w:pPr>
            <w:r>
              <w:rPr>
                <w:rFonts w:ascii="Times New Roman"/>
                <w:b/>
                <w:sz w:val="20"/>
              </w:rPr>
              <w:t>22,955,987</w:t>
            </w:r>
            <w:r>
              <w:rPr>
                <w:rFonts w:ascii="Times New Roman"/>
                <w:sz w:val="20"/>
              </w:rPr>
            </w:r>
          </w:p>
        </w:tc>
        <w:tc>
          <w:tcPr>
            <w:tcW w:w="13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386,204,743</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pacing w:val="-1"/>
                <w:sz w:val="20"/>
              </w:rPr>
              <w:t>45.77%</w:t>
            </w:r>
            <w:r>
              <w:rPr>
                <w:rFonts w:ascii="Times New Roman"/>
                <w:spacing w:val="-1"/>
                <w:sz w:val="20"/>
              </w:rPr>
            </w:r>
          </w:p>
        </w:tc>
      </w:tr>
      <w:tr>
        <w:trPr>
          <w:trHeight w:val="34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spacing w:val="-1"/>
                <w:sz w:val="20"/>
              </w:rPr>
              <w:t>843,802,180</w:t>
            </w:r>
            <w:r>
              <w:rPr>
                <w:rFonts w:ascii="Times New Roman"/>
                <w:sz w:val="20"/>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160"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spacing w:val="-1"/>
                <w:sz w:val="20"/>
              </w:rPr>
              <w:t>843,802,180</w:t>
            </w:r>
            <w:r>
              <w:rPr>
                <w:rFonts w:ascii="Times New Roman"/>
                <w:sz w:val="20"/>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right="170" w:firstLine="420"/>
        <w:jc w:val="both"/>
      </w:pPr>
      <w:r>
        <w:rPr/>
        <w:pict>
          <v:shape style="position:absolute;margin-left:56.459999pt;margin-top:115.594025pt;width:485.1pt;height:171.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9"/>
                    <w:gridCol w:w="1134"/>
                    <w:gridCol w:w="992"/>
                    <w:gridCol w:w="1303"/>
                    <w:gridCol w:w="1277"/>
                    <w:gridCol w:w="1276"/>
                    <w:gridCol w:w="986"/>
                  </w:tblGrid>
                  <w:tr>
                    <w:trPr>
                      <w:trHeight w:val="342" w:hRule="exact"/>
                    </w:trPr>
                    <w:tc>
                      <w:tcPr>
                        <w:tcW w:w="27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555"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5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26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24"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2" w:hRule="exact"/>
                    </w:trPr>
                    <w:tc>
                      <w:tcPr>
                        <w:tcW w:w="2719" w:type="dxa"/>
                        <w:vMerge/>
                        <w:tcBorders>
                          <w:left w:val="single" w:sz="4" w:space="0" w:color="000000"/>
                          <w:bottom w:val="single" w:sz="4" w:space="0" w:color="000000"/>
                          <w:right w:val="single" w:sz="4" w:space="0" w:color="000000"/>
                        </w:tcBorders>
                        <w:shd w:val="clear" w:color="auto" w:fill="D9D9D9"/>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59"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89"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8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457,597,437</w:t>
                        </w:r>
                        <w:r>
                          <w:rPr>
                            <w:rFonts w:ascii="Times New Roman"/>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54.23%</w:t>
                        </w:r>
                        <w:r>
                          <w:rPr>
                            <w:rFonts w:ascii="Times New Roman"/>
                            <w:spacing w:val="-1"/>
                            <w:sz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193,033,578</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259,008,036</w:t>
                        </w:r>
                        <w:r>
                          <w:rPr>
                            <w:rFonts w:ascii="Times New Roman"/>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391,622,979</w:t>
                        </w:r>
                        <w:r>
                          <w:rPr>
                            <w:rFonts w:ascii="Times New Roman"/>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46.41%</w:t>
                        </w:r>
                        <w:r>
                          <w:rPr>
                            <w:rFonts w:ascii="Times New Roman"/>
                            <w:spacing w:val="-1"/>
                            <w:sz w:val="20"/>
                          </w:rPr>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首发后个人类限售股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30,041,104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3.56%</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30,041,104</w:t>
                        </w:r>
                        <w:r>
                          <w:rPr>
                            <w:rFonts w:ascii="Times New Roman"/>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3.56%</w:t>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股权激励限售股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13,695,400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1.62%</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13,695,400</w:t>
                        </w:r>
                        <w:r>
                          <w:rPr>
                            <w:rFonts w:ascii="Times New Roman"/>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1.62%</w:t>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首发后机构类限售股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40,394,148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4.79%</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40,394,148</w:t>
                        </w:r>
                        <w:r>
                          <w:rPr>
                            <w:rFonts w:ascii="Times New Roman"/>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4.79%</w:t>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高管锁定股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114,458,749</w:t>
                        </w:r>
                        <w:r>
                          <w:rPr>
                            <w:rFonts w:ascii="Times New Roman"/>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13.56%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193,033,578</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307,492,327</w:t>
                        </w:r>
                        <w:r>
                          <w:rPr>
                            <w:rFonts w:ascii="Times New Roman"/>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36.44%</w:t>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27"/>
                            <w:sz w:val="20"/>
                            <w:szCs w:val="20"/>
                          </w:rPr>
                          <w:t> </w:t>
                        </w:r>
                        <w:r>
                          <w:rPr>
                            <w:rFonts w:ascii="宋体" w:hAnsi="宋体" w:cs="宋体" w:eastAsia="宋体" w:hint="default"/>
                            <w:sz w:val="20"/>
                            <w:szCs w:val="20"/>
                          </w:rPr>
                          <w:t>首发前个人类限售股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259,008,036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30.70%</w:t>
                        </w:r>
                      </w:p>
                    </w:tc>
                    <w:tc>
                      <w:tcPr>
                        <w:tcW w:w="13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259,008,036</w:t>
                        </w:r>
                        <w:r>
                          <w:rPr>
                            <w:rFonts w:ascii="Times New Roman"/>
                            <w:sz w:val="20"/>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0.00%</w:t>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386,204,743</w:t>
                        </w:r>
                        <w:r>
                          <w:rPr>
                            <w:rFonts w:ascii="Times New Roman"/>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45.77%</w:t>
                        </w:r>
                        <w:r>
                          <w:rPr>
                            <w:rFonts w:ascii="Times New Roman"/>
                            <w:spacing w:val="-1"/>
                            <w:sz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65,974,458</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452,179,201</w:t>
                        </w:r>
                        <w:r>
                          <w:rPr>
                            <w:rFonts w:ascii="Times New Roman"/>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53.59%</w:t>
                        </w:r>
                        <w:r>
                          <w:rPr>
                            <w:rFonts w:ascii="Times New Roman"/>
                            <w:spacing w:val="-1"/>
                            <w:sz w:val="20"/>
                          </w:rPr>
                        </w:r>
                      </w:p>
                    </w:tc>
                  </w:tr>
                  <w:tr>
                    <w:trPr>
                      <w:trHeight w:val="34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843,802,180</w:t>
                        </w:r>
                        <w:r>
                          <w:rPr>
                            <w:rFonts w:ascii="Times New Roman"/>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30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843,802,180</w:t>
                        </w:r>
                        <w:r>
                          <w:rPr>
                            <w:rFonts w:ascii="Times New Roman"/>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
              </w:txbxContent>
            </v:textbox>
            <w10:wrap type="none"/>
          </v:shape>
        </w:pict>
      </w:r>
      <w:r>
        <w:rPr>
          <w:rFonts w:ascii="Times New Roman" w:hAnsi="Times New Roman" w:cs="Times New Roman" w:eastAsia="Times New Roman" w:hint="default"/>
          <w:spacing w:val="-1"/>
        </w:rPr>
        <w:t>2</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日，公司控股股东、实际控制人冯滨先生所持首发前限售股已满</w:t>
      </w:r>
      <w:r>
        <w:rPr>
          <w:rFonts w:ascii="Times New Roman" w:hAnsi="Times New Roman" w:cs="Times New Roman" w:eastAsia="Times New Roman" w:hint="default"/>
          <w:spacing w:val="-1"/>
        </w:rPr>
        <w:t>36</w:t>
      </w:r>
      <w:r>
        <w:rPr>
          <w:spacing w:val="-1"/>
        </w:rPr>
        <w:t>个月，公司为</w:t>
      </w:r>
      <w:r>
        <w:rPr/>
        <w:t> </w:t>
      </w:r>
      <w:r>
        <w:rPr>
          <w:spacing w:val="-1"/>
        </w:rPr>
        <w:t>其办理了股份解锁，本次解除限售股份的数量为</w:t>
      </w:r>
      <w:r>
        <w:rPr>
          <w:rFonts w:ascii="Times New Roman" w:hAnsi="Times New Roman" w:cs="Times New Roman" w:eastAsia="Times New Roman" w:hint="default"/>
          <w:spacing w:val="-1"/>
        </w:rPr>
        <w:t>259,008,036</w:t>
      </w:r>
      <w:r>
        <w:rPr>
          <w:spacing w:val="-1"/>
        </w:rPr>
        <w:t>股，占公司解锁时股本总额的</w:t>
      </w:r>
      <w:r>
        <w:rPr>
          <w:rFonts w:ascii="Times New Roman" w:hAnsi="Times New Roman" w:cs="Times New Roman" w:eastAsia="Times New Roman" w:hint="default"/>
          <w:spacing w:val="-1"/>
        </w:rPr>
        <w:t>30.70%</w:t>
      </w:r>
      <w:r>
        <w:rPr>
          <w:spacing w:val="-1"/>
        </w:rPr>
        <w:t>。本次解</w:t>
      </w:r>
      <w:r>
        <w:rPr>
          <w:spacing w:val="-100"/>
        </w:rPr>
        <w:t> </w:t>
      </w:r>
      <w:r>
        <w:rPr>
          <w:spacing w:val="-100"/>
        </w:rPr>
      </w:r>
      <w:r>
        <w:rPr>
          <w:spacing w:val="-1"/>
        </w:rPr>
        <w:t>除限售股份上市流通日为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8</w:t>
      </w:r>
      <w:r>
        <w:rPr>
          <w:spacing w:val="-1"/>
        </w:rPr>
        <w:t>日。公司于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7</w:t>
      </w:r>
      <w:r>
        <w:rPr>
          <w:spacing w:val="-1"/>
        </w:rPr>
        <w:t>日在巨潮资讯网发布了《众信旅游：首次公开</w:t>
      </w:r>
      <w:r>
        <w:rPr>
          <w:spacing w:val="-88"/>
        </w:rPr>
        <w:t> </w:t>
      </w:r>
      <w:r>
        <w:rPr>
          <w:spacing w:val="-88"/>
        </w:rPr>
      </w:r>
      <w:r>
        <w:rPr>
          <w:spacing w:val="-4"/>
        </w:rPr>
        <w:t>发行前已发行股份上市流通提示性公告》（</w:t>
      </w:r>
      <w:r>
        <w:rPr>
          <w:rFonts w:ascii="Times New Roman" w:hAnsi="Times New Roman" w:cs="Times New Roman" w:eastAsia="Times New Roman" w:hint="default"/>
          <w:spacing w:val="-4"/>
        </w:rPr>
        <w:t>2017-011</w:t>
      </w:r>
      <w:r>
        <w:rPr>
          <w:spacing w:val="-4"/>
        </w:rPr>
        <w:t>）。本次解除限售后公司首发前限售股减少</w:t>
      </w:r>
      <w:r>
        <w:rPr>
          <w:rFonts w:ascii="Times New Roman" w:hAnsi="Times New Roman" w:cs="Times New Roman" w:eastAsia="Times New Roman" w:hint="default"/>
          <w:spacing w:val="-4"/>
        </w:rPr>
        <w:t>259,008,036</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股，高管锁定股增加</w:t>
      </w:r>
      <w:r>
        <w:rPr>
          <w:rFonts w:ascii="Times New Roman" w:hAnsi="Times New Roman" w:cs="Times New Roman" w:eastAsia="Times New Roman" w:hint="default"/>
        </w:rPr>
        <w:t>193,033,578</w:t>
      </w:r>
      <w:r>
        <w:rPr/>
        <w:t>股，无限售流通股增加</w:t>
      </w:r>
      <w:r>
        <w:rPr>
          <w:rFonts w:ascii="Times New Roman" w:hAnsi="Times New Roman" w:cs="Times New Roman" w:eastAsia="Times New Roman" w:hint="default"/>
        </w:rPr>
        <w:t>65,974,458</w:t>
      </w:r>
      <w:r>
        <w:rPr/>
        <w:t>股。具体情况如下：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386" w:lineRule="auto" w:before="35"/>
        <w:ind w:left="153" w:right="170" w:firstLine="420"/>
        <w:jc w:val="both"/>
      </w:pPr>
      <w:r>
        <w:rPr/>
        <w:pict>
          <v:shape style="position:absolute;margin-left:183.419983pt;margin-top:126.933983pt;width:69pt;height:16.6pt;mso-position-horizontal-relative:page;mso-position-vertical-relative:paragraph;z-index:-1091560" type="#_x0000_t202" filled="false" stroked="false">
            <v:textbox inset="0,0,0,0">
              <w:txbxContent>
                <w:p>
                  <w:pPr>
                    <w:spacing w:before="4"/>
                    <w:ind w:left="0" w:right="0" w:firstLine="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xbxContent>
            </v:textbox>
            <w10:wrap type="none"/>
          </v:shape>
        </w:pic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日，公司发布《关于公司外部董事辞职的公告》（</w:t>
      </w:r>
      <w:r>
        <w:rPr>
          <w:rFonts w:ascii="Times New Roman" w:hAnsi="Times New Roman" w:cs="Times New Roman" w:eastAsia="Times New Roman" w:hint="default"/>
          <w:spacing w:val="-2"/>
        </w:rPr>
        <w:t>2016-103</w:t>
      </w:r>
      <w:r>
        <w:rPr>
          <w:spacing w:val="-2"/>
        </w:rPr>
        <w:t>），公司外部董事白斌先生</w:t>
      </w:r>
      <w:r>
        <w:rPr/>
        <w:t> </w:t>
      </w:r>
      <w:r>
        <w:rPr>
          <w:spacing w:val="-1"/>
        </w:rPr>
        <w:t>因为个人原因，申请辞去公司董事职务。辞职后，白斌先生将不再担任公司任何职务。</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日，白</w:t>
      </w:r>
      <w:r>
        <w:rPr>
          <w:spacing w:val="-83"/>
        </w:rPr>
        <w:t> </w:t>
      </w:r>
      <w:r>
        <w:rPr>
          <w:spacing w:val="-83"/>
        </w:rPr>
      </w:r>
      <w:r>
        <w:rPr>
          <w:spacing w:val="-2"/>
        </w:rPr>
        <w:t>斌先生离任满六个月，其高管锁定股解锁。此外，白斌先生尚持有公司首发后限售股</w:t>
      </w:r>
      <w:r>
        <w:rPr>
          <w:rFonts w:ascii="Times New Roman" w:hAnsi="Times New Roman" w:cs="Times New Roman" w:eastAsia="Times New Roman" w:hint="default"/>
          <w:spacing w:val="-2"/>
        </w:rPr>
        <w:t>882,780</w:t>
      </w:r>
      <w:r>
        <w:rPr>
          <w:spacing w:val="-2"/>
        </w:rPr>
        <w:t>股。具体情况</w:t>
      </w:r>
      <w:r>
        <w:rPr>
          <w:spacing w:val="-88"/>
        </w:rPr>
        <w:t> </w:t>
      </w:r>
      <w:r>
        <w:rPr>
          <w:spacing w:val="-88"/>
        </w:rPr>
      </w:r>
      <w:r>
        <w:rPr/>
        <w:t>如下：</w:t>
      </w:r>
    </w:p>
    <w:tbl>
      <w:tblPr>
        <w:tblW w:w="0" w:type="auto"/>
        <w:jc w:val="left"/>
        <w:tblInd w:w="149" w:type="dxa"/>
        <w:tblLayout w:type="fixed"/>
        <w:tblCellMar>
          <w:top w:w="0" w:type="dxa"/>
          <w:left w:w="0" w:type="dxa"/>
          <w:bottom w:w="0" w:type="dxa"/>
          <w:right w:w="0" w:type="dxa"/>
        </w:tblCellMar>
        <w:tblLook w:val="01E0"/>
      </w:tblPr>
      <w:tblGrid>
        <w:gridCol w:w="2644"/>
        <w:gridCol w:w="1276"/>
        <w:gridCol w:w="1134"/>
        <w:gridCol w:w="992"/>
        <w:gridCol w:w="1140"/>
        <w:gridCol w:w="1348"/>
        <w:gridCol w:w="1004"/>
      </w:tblGrid>
      <w:tr>
        <w:trPr>
          <w:trHeight w:val="342" w:hRule="exact"/>
        </w:trPr>
        <w:tc>
          <w:tcPr>
            <w:tcW w:w="26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98"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58"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5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68"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37" w:hRule="exact"/>
        </w:trPr>
        <w:tc>
          <w:tcPr>
            <w:tcW w:w="2644" w:type="dxa"/>
            <w:vMerge/>
            <w:tcBorders>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6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90"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63"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9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7"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20"/>
                <w:szCs w:val="20"/>
              </w:rPr>
            </w:pPr>
            <w:r>
              <w:rPr>
                <w:rFonts w:ascii="宋体" w:hAnsi="宋体" w:cs="宋体" w:eastAsia="宋体" w:hint="default"/>
                <w:b/>
                <w:bCs/>
                <w:spacing w:val="-7"/>
                <w:sz w:val="20"/>
                <w:szCs w:val="20"/>
              </w:rPr>
              <w:t>一、限售流通股（或非流通股</w:t>
            </w:r>
            <w:r>
              <w:rPr>
                <w:rFonts w:ascii="宋体" w:hAnsi="宋体" w:cs="宋体" w:eastAsia="宋体" w:hint="default"/>
                <w:spacing w:val="-7"/>
                <w:sz w:val="20"/>
                <w:szCs w:val="20"/>
              </w:rPr>
            </w:r>
          </w:p>
        </w:tc>
        <w:tc>
          <w:tcPr>
            <w:tcW w:w="1276" w:type="dxa"/>
            <w:tcBorders>
              <w:top w:val="single" w:sz="4" w:space="0" w:color="FFFFFF"/>
              <w:left w:val="single" w:sz="4" w:space="0" w:color="000000"/>
              <w:bottom w:val="single" w:sz="8" w:space="0" w:color="000000"/>
              <w:right w:val="single" w:sz="4" w:space="0" w:color="000000"/>
            </w:tcBorders>
          </w:tcPr>
          <w:p>
            <w:pPr>
              <w:pStyle w:val="TableParagraph"/>
              <w:spacing w:line="240" w:lineRule="auto" w:before="58"/>
              <w:ind w:right="4"/>
              <w:jc w:val="right"/>
              <w:rPr>
                <w:rFonts w:ascii="Times New Roman" w:hAnsi="Times New Roman" w:cs="Times New Roman" w:eastAsia="Times New Roman" w:hint="default"/>
                <w:sz w:val="20"/>
                <w:szCs w:val="20"/>
              </w:rPr>
            </w:pPr>
            <w:r>
              <w:rPr>
                <w:rFonts w:ascii="Times New Roman"/>
                <w:b/>
                <w:spacing w:val="-1"/>
                <w:sz w:val="20"/>
              </w:rPr>
              <w:t>391,622,979</w:t>
            </w:r>
            <w:r>
              <w:rPr>
                <w:rFonts w:ascii="Times New Roman"/>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Times New Roman" w:hAnsi="Times New Roman" w:cs="Times New Roman" w:eastAsia="Times New Roman" w:hint="default"/>
                <w:sz w:val="20"/>
                <w:szCs w:val="20"/>
              </w:rPr>
            </w:pPr>
            <w:r>
              <w:rPr>
                <w:rFonts w:ascii="Times New Roman"/>
                <w:b/>
                <w:spacing w:val="-1"/>
                <w:sz w:val="20"/>
              </w:rPr>
              <w:t>46.41%</w:t>
            </w:r>
            <w:r>
              <w:rPr>
                <w:rFonts w:ascii="Times New Roman"/>
                <w:spacing w:val="-1"/>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right"/>
              <w:rPr>
                <w:rFonts w:ascii="Times New Roman" w:hAnsi="Times New Roman" w:cs="Times New Roman" w:eastAsia="Times New Roman" w:hint="default"/>
                <w:sz w:val="20"/>
                <w:szCs w:val="20"/>
              </w:rPr>
            </w:pPr>
            <w:r>
              <w:rPr>
                <w:rFonts w:ascii="Times New Roman"/>
                <w:b/>
                <w:spacing w:val="-1"/>
                <w:sz w:val="20"/>
              </w:rPr>
              <w:t>4,000</w:t>
            </w:r>
            <w:r>
              <w:rPr>
                <w:rFonts w:ascii="Times New Roman"/>
                <w:spacing w:val="-1"/>
                <w:sz w:val="20"/>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
              <w:jc w:val="right"/>
              <w:rPr>
                <w:rFonts w:ascii="Times New Roman" w:hAnsi="Times New Roman" w:cs="Times New Roman" w:eastAsia="Times New Roman" w:hint="default"/>
                <w:sz w:val="20"/>
                <w:szCs w:val="20"/>
              </w:rPr>
            </w:pPr>
            <w:r>
              <w:rPr>
                <w:rFonts w:ascii="Times New Roman"/>
                <w:b/>
                <w:spacing w:val="-1"/>
                <w:sz w:val="20"/>
              </w:rPr>
              <w:t>391,618,979</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Times New Roman" w:hAnsi="Times New Roman" w:cs="Times New Roman" w:eastAsia="Times New Roman" w:hint="default"/>
                <w:sz w:val="20"/>
                <w:szCs w:val="20"/>
              </w:rPr>
            </w:pPr>
            <w:r>
              <w:rPr>
                <w:rFonts w:ascii="Times New Roman"/>
                <w:b/>
                <w:spacing w:val="-1"/>
                <w:sz w:val="20"/>
              </w:rPr>
              <w:t>46.41%</w:t>
            </w:r>
            <w:r>
              <w:rPr>
                <w:rFonts w:ascii="Times New Roman"/>
                <w:spacing w:val="-1"/>
                <w:sz w:val="20"/>
              </w:rPr>
            </w:r>
          </w:p>
        </w:tc>
      </w:tr>
      <w:tr>
        <w:trPr>
          <w:trHeight w:val="342"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宋体" w:hAnsi="宋体" w:cs="宋体" w:eastAsia="宋体" w:hint="default"/>
                <w:sz w:val="20"/>
                <w:szCs w:val="20"/>
              </w:rPr>
              <w:t>首发后个人类限售股</w:t>
            </w:r>
          </w:p>
        </w:tc>
        <w:tc>
          <w:tcPr>
            <w:tcW w:w="12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0"/>
                <w:szCs w:val="20"/>
              </w:rPr>
            </w:pPr>
            <w:r>
              <w:rPr>
                <w:rFonts w:ascii="Times New Roman"/>
                <w:spacing w:val="-1"/>
                <w:sz w:val="20"/>
              </w:rPr>
              <w:t>30,041,104</w:t>
            </w:r>
            <w:r>
              <w:rPr>
                <w:rFonts w:ascii="Times New Roman"/>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3.56%</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30,041,104</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3.56%</w:t>
            </w:r>
          </w:p>
        </w:tc>
      </w:tr>
      <w:tr>
        <w:trPr>
          <w:trHeight w:val="342"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w:t>
            </w:r>
            <w:r>
              <w:rPr>
                <w:rFonts w:ascii="宋体" w:hAnsi="宋体" w:cs="宋体" w:eastAsia="宋体" w:hint="default"/>
                <w:sz w:val="20"/>
                <w:szCs w:val="20"/>
              </w:rPr>
              <w:t>股权激励限售股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13,695,400</w:t>
            </w:r>
            <w:r>
              <w:rPr>
                <w:rFonts w:ascii="Times New Roman"/>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1.62%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13,695,400</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1.62%</w:t>
            </w:r>
          </w:p>
        </w:tc>
      </w:tr>
      <w:tr>
        <w:trPr>
          <w:trHeight w:val="342"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03</w:t>
            </w:r>
            <w:r>
              <w:rPr>
                <w:rFonts w:ascii="宋体" w:hAnsi="宋体" w:cs="宋体" w:eastAsia="宋体" w:hint="default"/>
                <w:sz w:val="20"/>
                <w:szCs w:val="20"/>
              </w:rPr>
              <w:t>首发后机构类限售股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40,394,148</w:t>
            </w:r>
            <w:r>
              <w:rPr>
                <w:rFonts w:ascii="Times New Roman"/>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4.79%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40,394,148</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4.79%</w:t>
            </w:r>
          </w:p>
        </w:tc>
      </w:tr>
      <w:tr>
        <w:trPr>
          <w:trHeight w:val="342"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04</w:t>
            </w:r>
            <w:r>
              <w:rPr>
                <w:rFonts w:ascii="宋体" w:hAnsi="宋体" w:cs="宋体" w:eastAsia="宋体" w:hint="default"/>
                <w:sz w:val="20"/>
                <w:szCs w:val="20"/>
              </w:rPr>
              <w:t>高管锁定股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307,492,327</w:t>
            </w:r>
            <w:r>
              <w:rPr>
                <w:rFonts w:ascii="Times New Roman"/>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36.44%</w:t>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4,000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307,488,327</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36.44%</w:t>
            </w:r>
          </w:p>
        </w:tc>
      </w:tr>
      <w:tr>
        <w:trPr>
          <w:trHeight w:val="342"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452,179,201</w:t>
            </w:r>
            <w:r>
              <w:rPr>
                <w:rFonts w:ascii="Times New Roman"/>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53.59%</w:t>
            </w:r>
            <w:r>
              <w:rPr>
                <w:rFonts w:ascii="Times New Roman"/>
                <w:spacing w:val="-1"/>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27" w:right="0"/>
              <w:jc w:val="left"/>
              <w:rPr>
                <w:rFonts w:ascii="Times New Roman" w:hAnsi="Times New Roman" w:cs="Times New Roman" w:eastAsia="Times New Roman" w:hint="default"/>
                <w:sz w:val="20"/>
                <w:szCs w:val="20"/>
              </w:rPr>
            </w:pPr>
            <w:r>
              <w:rPr>
                <w:rFonts w:ascii="Times New Roman"/>
                <w:b/>
                <w:sz w:val="20"/>
              </w:rPr>
              <w:t>4,000</w:t>
            </w:r>
            <w:r>
              <w:rPr>
                <w:rFonts w:ascii="Times New Roman"/>
                <w:sz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452,183,201</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53.59%</w:t>
            </w:r>
            <w:r>
              <w:rPr>
                <w:rFonts w:ascii="Times New Roman"/>
                <w:spacing w:val="-1"/>
                <w:sz w:val="20"/>
              </w:rPr>
            </w:r>
          </w:p>
        </w:tc>
      </w:tr>
      <w:tr>
        <w:trPr>
          <w:trHeight w:val="343"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843,802,180</w:t>
            </w:r>
            <w:r>
              <w:rPr>
                <w:rFonts w:ascii="Times New Roman"/>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843,802,180</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386" w:lineRule="auto" w:before="63"/>
        <w:ind w:left="153" w:right="166" w:firstLine="526"/>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日，公司第三届董事会第五十五次会议审议通过了《关于回购注销已不符合激励条</w:t>
      </w:r>
      <w:r>
        <w:rPr>
          <w:spacing w:val="2"/>
        </w:rPr>
        <w:t> </w:t>
      </w:r>
      <w:r>
        <w:rPr>
          <w:spacing w:val="-1"/>
        </w:rPr>
        <w:t>件的激励对象已获授但尚未解锁的限制性股票的议案》，决议注销</w:t>
      </w:r>
      <w:r>
        <w:rPr>
          <w:rFonts w:ascii="Times New Roman" w:hAnsi="Times New Roman" w:cs="Times New Roman" w:eastAsia="Times New Roman" w:hint="default"/>
          <w:spacing w:val="-1"/>
        </w:rPr>
        <w:t>2014</w:t>
      </w:r>
      <w:r>
        <w:rPr>
          <w:spacing w:val="-1"/>
        </w:rPr>
        <w:t>年限制性股票激励计划激励对象尹</w:t>
      </w:r>
      <w:r>
        <w:rPr>
          <w:spacing w:val="-84"/>
        </w:rPr>
        <w:t> </w:t>
      </w:r>
      <w:r>
        <w:rPr>
          <w:spacing w:val="-84"/>
        </w:rPr>
      </w:r>
      <w:r>
        <w:rPr>
          <w:spacing w:val="-1"/>
        </w:rPr>
        <w:t>陆及</w:t>
      </w:r>
      <w:r>
        <w:rPr>
          <w:rFonts w:ascii="Times New Roman" w:hAnsi="Times New Roman" w:cs="Times New Roman" w:eastAsia="Times New Roman" w:hint="default"/>
          <w:spacing w:val="-1"/>
        </w:rPr>
        <w:t>2016</w:t>
      </w:r>
      <w:r>
        <w:rPr>
          <w:spacing w:val="-1"/>
        </w:rPr>
        <w:t>年限制性股票激励计划激励对象胡丽丽、邓志锋、沙萨、向娟、王小凤、淮海燕、侯美玲、庄乾</w:t>
      </w:r>
      <w:r>
        <w:rPr>
          <w:spacing w:val="-86"/>
        </w:rPr>
        <w:t> </w:t>
      </w:r>
      <w:r>
        <w:rPr>
          <w:spacing w:val="-86"/>
        </w:rPr>
      </w:r>
      <w:r>
        <w:rPr>
          <w:spacing w:val="-1"/>
        </w:rPr>
        <w:t>平、尹陆（同上）、唐峰、佟欢、聂鑫、艾小娇、裴涛、韩雪、袁龙共</w:t>
      </w:r>
      <w:r>
        <w:rPr>
          <w:rFonts w:ascii="Times New Roman" w:hAnsi="Times New Roman" w:cs="Times New Roman" w:eastAsia="Times New Roman" w:hint="default"/>
          <w:spacing w:val="-1"/>
        </w:rPr>
        <w:t>16</w:t>
      </w:r>
      <w:r>
        <w:rPr>
          <w:spacing w:val="-1"/>
        </w:rPr>
        <w:t>人已获授但尚未解锁的限制性股</w:t>
      </w:r>
      <w:r>
        <w:rPr>
          <w:spacing w:val="-90"/>
        </w:rPr>
        <w:t> </w:t>
      </w:r>
      <w:r>
        <w:rPr>
          <w:spacing w:val="-90"/>
        </w:rPr>
      </w:r>
      <w:r>
        <w:rPr/>
        <w:t>票</w:t>
      </w:r>
      <w:r>
        <w:rPr>
          <w:rFonts w:ascii="Times New Roman" w:hAnsi="Times New Roman" w:cs="Times New Roman" w:eastAsia="Times New Roman" w:hint="default"/>
        </w:rPr>
        <w:t>272,760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2017</w:t>
      </w:r>
      <w:r>
        <w:rPr/>
        <w:t>年第二次临时股东大会审议通过了相关议案。公司于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r>
        <w:rPr>
          <w:spacing w:val="-92"/>
        </w:rPr>
        <w:t> </w:t>
      </w:r>
      <w:r>
        <w:rPr/>
        <w:t>在中国证券登记结算有限公司深圳分公司办理完成上述限制性股票的回购注销手续并于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日发</w:t>
      </w:r>
      <w:r>
        <w:rPr>
          <w:spacing w:val="-37"/>
        </w:rPr>
        <w:t> </w:t>
      </w:r>
      <w:r>
        <w:rPr/>
        <w:t>布了《众信旅游：关于部分限制性股票回购注销完成的公告》（</w:t>
      </w:r>
      <w:r>
        <w:rPr>
          <w:rFonts w:ascii="Times New Roman" w:hAnsi="Times New Roman" w:cs="Times New Roman" w:eastAsia="Times New Roman" w:hint="default"/>
        </w:rPr>
        <w:t>2017-049</w:t>
      </w:r>
      <w:r>
        <w:rPr/>
        <w:t>）。本次回购注销完成后，公司</w:t>
      </w:r>
    </w:p>
    <w:p>
      <w:pPr>
        <w:spacing w:after="0" w:line="386" w:lineRule="auto"/>
        <w:jc w:val="both"/>
        <w:sectPr>
          <w:pgSz w:w="11910" w:h="16840"/>
          <w:pgMar w:header="877" w:footer="982" w:top="1100" w:bottom="1180" w:left="980" w:right="960"/>
        </w:sectPr>
      </w:pPr>
    </w:p>
    <w:p>
      <w:pPr>
        <w:spacing w:line="240" w:lineRule="auto" w:before="8"/>
        <w:rPr>
          <w:rFonts w:ascii="宋体" w:hAnsi="宋体" w:cs="宋体" w:eastAsia="宋体" w:hint="default"/>
          <w:sz w:val="26"/>
          <w:szCs w:val="26"/>
        </w:rPr>
      </w:pPr>
    </w:p>
    <w:p>
      <w:pPr>
        <w:pStyle w:val="BodyText"/>
        <w:spacing w:line="240" w:lineRule="auto" w:before="35"/>
        <w:ind w:right="162"/>
        <w:jc w:val="left"/>
      </w:pPr>
      <w:r>
        <w:rPr/>
        <w:t>有限售条件股份减少</w:t>
      </w:r>
      <w:r>
        <w:rPr>
          <w:rFonts w:ascii="Times New Roman" w:hAnsi="Times New Roman" w:cs="Times New Roman" w:eastAsia="Times New Roman" w:hint="default"/>
        </w:rPr>
        <w:t>272,760</w:t>
      </w:r>
      <w:r>
        <w:rPr/>
        <w:t>股，公司相应减少股本</w:t>
      </w:r>
      <w:r>
        <w:rPr>
          <w:rFonts w:ascii="Times New Roman" w:hAnsi="Times New Roman" w:cs="Times New Roman" w:eastAsia="Times New Roman" w:hint="default"/>
        </w:rPr>
        <w:t>272,760</w:t>
      </w:r>
      <w:r>
        <w:rPr/>
        <w:t>股。具体情况如下：</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56"/>
        <w:gridCol w:w="1518"/>
        <w:gridCol w:w="1175"/>
        <w:gridCol w:w="962"/>
        <w:gridCol w:w="1080"/>
        <w:gridCol w:w="1266"/>
        <w:gridCol w:w="1003"/>
      </w:tblGrid>
      <w:tr>
        <w:trPr>
          <w:trHeight w:val="342" w:hRule="exact"/>
        </w:trPr>
        <w:tc>
          <w:tcPr>
            <w:tcW w:w="27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838"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0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14"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27"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2" w:hRule="exact"/>
        </w:trPr>
        <w:tc>
          <w:tcPr>
            <w:tcW w:w="2756" w:type="dxa"/>
            <w:vMerge/>
            <w:tcBorders>
              <w:left w:val="single" w:sz="4" w:space="0" w:color="000000"/>
              <w:bottom w:val="single" w:sz="4" w:space="0" w:color="000000"/>
              <w:right w:val="single" w:sz="4" w:space="0" w:color="000000"/>
            </w:tcBorders>
            <w:shd w:val="clear" w:color="auto" w:fill="D9D9D9"/>
          </w:tcPr>
          <w:p>
            <w:pPr/>
          </w:p>
        </w:tc>
        <w:tc>
          <w:tcPr>
            <w:tcW w:w="1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8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74"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9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一、限售流通股（或非流通股</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tabs>
                <w:tab w:pos="502" w:val="left" w:leader="none"/>
              </w:tabs>
              <w:spacing w:line="240" w:lineRule="auto" w:before="7"/>
              <w:ind w:left="-142" w:right="3"/>
              <w:jc w:val="right"/>
              <w:rPr>
                <w:rFonts w:ascii="Times New Roman" w:hAnsi="Times New Roman" w:cs="Times New Roman" w:eastAsia="Times New Roman" w:hint="default"/>
                <w:sz w:val="20"/>
                <w:szCs w:val="20"/>
              </w:rPr>
            </w:pPr>
            <w:r>
              <w:rPr>
                <w:rFonts w:ascii="宋体" w:hAnsi="宋体" w:cs="宋体" w:eastAsia="宋体" w:hint="default"/>
                <w:b/>
                <w:bCs/>
                <w:w w:val="95"/>
                <w:sz w:val="20"/>
                <w:szCs w:val="20"/>
              </w:rPr>
              <w:t>）</w:t>
              <w:tab/>
            </w:r>
            <w:r>
              <w:rPr>
                <w:rFonts w:ascii="Times New Roman" w:hAnsi="Times New Roman" w:cs="Times New Roman" w:eastAsia="Times New Roman" w:hint="default"/>
                <w:b/>
                <w:bCs/>
                <w:spacing w:val="-1"/>
                <w:sz w:val="20"/>
                <w:szCs w:val="20"/>
              </w:rPr>
              <w:t>391,618,979</w:t>
            </w:r>
            <w:r>
              <w:rPr>
                <w:rFonts w:ascii="Times New Roman" w:hAnsi="Times New Roman" w:cs="Times New Roman" w:eastAsia="Times New Roman" w:hint="default"/>
                <w:sz w:val="20"/>
                <w:szCs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46.41%</w:t>
            </w:r>
            <w:r>
              <w:rPr>
                <w:rFonts w:ascii="Times New Roman"/>
                <w:spacing w:val="-1"/>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272,760</w:t>
            </w:r>
            <w:r>
              <w:rPr>
                <w:rFonts w:ascii="Times New Roman"/>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391,346,219</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46.39%</w:t>
            </w:r>
            <w:r>
              <w:rPr>
                <w:rFonts w:ascii="Times New Roman"/>
                <w:spacing w:val="-1"/>
                <w:sz w:val="20"/>
              </w:rPr>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宋体" w:hAnsi="宋体" w:cs="宋体" w:eastAsia="宋体" w:hint="default"/>
                <w:sz w:val="20"/>
                <w:szCs w:val="20"/>
              </w:rPr>
              <w:t>首发后个人类限售股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30,041,104</w:t>
            </w:r>
            <w:r>
              <w:rPr>
                <w:rFonts w:ascii="Times New Roman"/>
                <w:sz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3.56%</w:t>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30,041,104</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3.56%</w:t>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02</w:t>
            </w:r>
            <w:r>
              <w:rPr>
                <w:rFonts w:ascii="宋体" w:hAnsi="宋体" w:cs="宋体" w:eastAsia="宋体" w:hint="default"/>
                <w:sz w:val="20"/>
                <w:szCs w:val="20"/>
              </w:rPr>
              <w:t>股权激励限售股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13,695,400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1.62%</w:t>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272,760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13,422,640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1.59%</w:t>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03</w:t>
            </w:r>
            <w:r>
              <w:rPr>
                <w:rFonts w:ascii="宋体" w:hAnsi="宋体" w:cs="宋体" w:eastAsia="宋体" w:hint="default"/>
                <w:sz w:val="20"/>
                <w:szCs w:val="20"/>
              </w:rPr>
              <w:t>首发后机构类限售股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40,394,148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4.79%</w:t>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40,394,148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4.79%</w:t>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04</w:t>
            </w:r>
            <w:r>
              <w:rPr>
                <w:rFonts w:ascii="宋体" w:hAnsi="宋体" w:cs="宋体" w:eastAsia="宋体" w:hint="default"/>
                <w:sz w:val="20"/>
                <w:szCs w:val="20"/>
              </w:rPr>
              <w:t>高管锁定股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307,488,327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36.44%</w:t>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307,488,327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36.45%</w:t>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452,183,201</w:t>
            </w:r>
            <w:r>
              <w:rPr>
                <w:rFonts w:ascii="Times New Roman"/>
                <w:sz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53.59%</w:t>
            </w:r>
            <w:r>
              <w:rPr>
                <w:rFonts w:ascii="Times New Roman"/>
                <w:spacing w:val="-1"/>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452,183,201</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53.61%</w:t>
            </w:r>
            <w:r>
              <w:rPr>
                <w:rFonts w:ascii="Times New Roman"/>
                <w:spacing w:val="-1"/>
                <w:sz w:val="20"/>
              </w:rPr>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843,802,180</w:t>
            </w:r>
            <w:r>
              <w:rPr>
                <w:rFonts w:ascii="Times New Roman"/>
                <w:sz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272,760</w:t>
            </w:r>
            <w:r>
              <w:rPr>
                <w:rFonts w:ascii="Times New Roman"/>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843,529,420</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386" w:lineRule="auto" w:before="63"/>
        <w:ind w:left="153" w:right="268" w:firstLine="42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日接到公司副总经理、董事会秘书王锋先生的通知，王锋先生于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日通过 深圳证券交易所证券交易系统在二级市场增持公司</w:t>
      </w:r>
      <w:r>
        <w:rPr>
          <w:rFonts w:ascii="Times New Roman" w:hAnsi="Times New Roman" w:cs="Times New Roman" w:eastAsia="Times New Roman" w:hint="default"/>
        </w:rPr>
        <w:t>349,040</w:t>
      </w:r>
      <w:r>
        <w:rPr/>
        <w:t>股股份，公司于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日发布了《关于副</w:t>
      </w:r>
      <w:r>
        <w:rPr>
          <w:spacing w:val="-87"/>
        </w:rPr>
        <w:t> </w:t>
      </w:r>
      <w:r>
        <w:rPr>
          <w:spacing w:val="-87"/>
        </w:rPr>
      </w:r>
      <w:r>
        <w:rPr/>
        <w:t>总经理、董事会秘书增持股份的公告》（</w:t>
      </w:r>
      <w:r>
        <w:rPr>
          <w:rFonts w:ascii="Times New Roman" w:hAnsi="Times New Roman" w:cs="Times New Roman" w:eastAsia="Times New Roman" w:hint="default"/>
        </w:rPr>
        <w:t>2017-059</w:t>
      </w:r>
      <w:r>
        <w:rPr/>
        <w:t>）。王锋先生增持完成后，公司有限售条件股份和无限</w:t>
      </w:r>
      <w:r>
        <w:rPr>
          <w:spacing w:val="-100"/>
        </w:rPr>
        <w:t> </w:t>
      </w:r>
      <w:r>
        <w:rPr>
          <w:spacing w:val="-100"/>
        </w:rPr>
      </w:r>
      <w:r>
        <w:rPr/>
        <w:t>售条件股份变化情况如下：</w:t>
      </w:r>
    </w:p>
    <w:tbl>
      <w:tblPr>
        <w:tblW w:w="0" w:type="auto"/>
        <w:jc w:val="left"/>
        <w:tblInd w:w="149" w:type="dxa"/>
        <w:tblLayout w:type="fixed"/>
        <w:tblCellMar>
          <w:top w:w="0" w:type="dxa"/>
          <w:left w:w="0" w:type="dxa"/>
          <w:bottom w:w="0" w:type="dxa"/>
          <w:right w:w="0" w:type="dxa"/>
        </w:tblCellMar>
        <w:tblLook w:val="01E0"/>
      </w:tblPr>
      <w:tblGrid>
        <w:gridCol w:w="2756"/>
        <w:gridCol w:w="1518"/>
        <w:gridCol w:w="1175"/>
        <w:gridCol w:w="962"/>
        <w:gridCol w:w="1080"/>
        <w:gridCol w:w="1266"/>
        <w:gridCol w:w="1003"/>
      </w:tblGrid>
      <w:tr>
        <w:trPr>
          <w:trHeight w:val="342" w:hRule="exact"/>
        </w:trPr>
        <w:tc>
          <w:tcPr>
            <w:tcW w:w="27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right="1"/>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838"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0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14"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27"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2" w:hRule="exact"/>
        </w:trPr>
        <w:tc>
          <w:tcPr>
            <w:tcW w:w="2756" w:type="dxa"/>
            <w:vMerge/>
            <w:tcBorders>
              <w:left w:val="single" w:sz="4" w:space="0" w:color="000000"/>
              <w:bottom w:val="single" w:sz="4" w:space="0" w:color="000000"/>
              <w:right w:val="single" w:sz="4" w:space="0" w:color="000000"/>
            </w:tcBorders>
            <w:shd w:val="clear" w:color="auto" w:fill="D9D9D9"/>
          </w:tcPr>
          <w:p>
            <w:pPr/>
          </w:p>
        </w:tc>
        <w:tc>
          <w:tcPr>
            <w:tcW w:w="1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8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9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一、限售流通股（或非流通股</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tabs>
                <w:tab w:pos="502" w:val="left" w:leader="none"/>
              </w:tabs>
              <w:spacing w:line="240" w:lineRule="auto" w:before="7"/>
              <w:ind w:left="-142" w:right="3"/>
              <w:jc w:val="right"/>
              <w:rPr>
                <w:rFonts w:ascii="Times New Roman" w:hAnsi="Times New Roman" w:cs="Times New Roman" w:eastAsia="Times New Roman" w:hint="default"/>
                <w:sz w:val="20"/>
                <w:szCs w:val="20"/>
              </w:rPr>
            </w:pPr>
            <w:r>
              <w:rPr>
                <w:rFonts w:ascii="宋体" w:hAnsi="宋体" w:cs="宋体" w:eastAsia="宋体" w:hint="default"/>
                <w:b/>
                <w:bCs/>
                <w:w w:val="95"/>
                <w:sz w:val="20"/>
                <w:szCs w:val="20"/>
              </w:rPr>
              <w:t>）</w:t>
              <w:tab/>
            </w:r>
            <w:r>
              <w:rPr>
                <w:rFonts w:ascii="Times New Roman" w:hAnsi="Times New Roman" w:cs="Times New Roman" w:eastAsia="Times New Roman" w:hint="default"/>
                <w:b/>
                <w:bCs/>
                <w:spacing w:val="-1"/>
                <w:sz w:val="20"/>
                <w:szCs w:val="20"/>
              </w:rPr>
              <w:t>391,346,219</w:t>
            </w:r>
            <w:r>
              <w:rPr>
                <w:rFonts w:ascii="Times New Roman" w:hAnsi="Times New Roman" w:cs="Times New Roman" w:eastAsia="Times New Roman" w:hint="default"/>
                <w:spacing w:val="-1"/>
                <w:sz w:val="20"/>
                <w:szCs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46.39%</w:t>
            </w:r>
            <w:r>
              <w:rPr>
                <w:rFonts w:ascii="Times New Roman"/>
                <w:spacing w:val="-1"/>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261,780</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391,607,999</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46.42%</w:t>
            </w:r>
            <w:r>
              <w:rPr>
                <w:rFonts w:ascii="Times New Roman"/>
                <w:spacing w:val="-1"/>
                <w:sz w:val="20"/>
              </w:rPr>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70,435,252</w:t>
            </w:r>
            <w:r>
              <w:rPr>
                <w:rFonts w:ascii="Times New Roman"/>
                <w:sz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8.35%</w:t>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70,435,252</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8.35%</w:t>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13,422,640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1.59%</w:t>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13,422,640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1.59%</w:t>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307,488,327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36.45%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261,780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307,750,107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36.48%</w:t>
            </w:r>
          </w:p>
        </w:tc>
      </w:tr>
      <w:tr>
        <w:trPr>
          <w:trHeight w:val="342"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452,183,201</w:t>
            </w:r>
            <w:r>
              <w:rPr>
                <w:rFonts w:ascii="Times New Roman"/>
                <w:sz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53.61%</w:t>
            </w:r>
            <w:r>
              <w:rPr>
                <w:rFonts w:ascii="Times New Roman"/>
                <w:spacing w:val="-1"/>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261,780</w:t>
            </w:r>
            <w:r>
              <w:rPr>
                <w:rFonts w:ascii="Times New Roman"/>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451,921,421</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53.58%</w:t>
            </w:r>
            <w:r>
              <w:rPr>
                <w:rFonts w:ascii="Times New Roman"/>
                <w:spacing w:val="-1"/>
                <w:sz w:val="20"/>
              </w:rPr>
            </w:r>
          </w:p>
        </w:tc>
      </w:tr>
      <w:tr>
        <w:trPr>
          <w:trHeight w:val="34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843,529,420</w:t>
            </w:r>
            <w:r>
              <w:rPr>
                <w:rFonts w:ascii="Times New Roman"/>
                <w:sz w:val="20"/>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843,529,420</w:t>
            </w:r>
            <w:r>
              <w:rPr>
                <w:rFonts w:ascii="Times New Roman"/>
                <w:sz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386" w:lineRule="auto" w:before="63"/>
        <w:ind w:right="265" w:firstLine="420"/>
        <w:jc w:val="both"/>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日，公司第三届董事会第五十八次会议审议通过了《关于竹园国际旅行社有限公司盈</w:t>
      </w:r>
      <w:r>
        <w:rPr/>
        <w:t> </w:t>
      </w:r>
      <w:r>
        <w:rPr>
          <w:spacing w:val="3"/>
        </w:rPr>
        <w:t>利预测及业绩承诺实现情况的说明》，表明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2016</w:t>
      </w:r>
      <w:r>
        <w:rPr>
          <w:spacing w:val="3"/>
        </w:rPr>
        <w:t>年竹园国旅的业绩承诺完成率分别为</w:t>
      </w:r>
      <w:r>
        <w:rPr>
          <w:spacing w:val="-101"/>
        </w:rPr>
        <w:t> </w:t>
      </w:r>
      <w:r>
        <w:rPr>
          <w:spacing w:val="-101"/>
        </w:rPr>
      </w:r>
      <w:r>
        <w:rPr>
          <w:rFonts w:ascii="Times New Roman" w:hAnsi="Times New Roman" w:cs="Times New Roman" w:eastAsia="Times New Roman" w:hint="default"/>
        </w:rPr>
        <w:t>102.25%</w:t>
      </w:r>
      <w:r>
        <w:rPr/>
        <w:t>、</w:t>
      </w:r>
      <w:r>
        <w:rPr>
          <w:rFonts w:ascii="Times New Roman" w:hAnsi="Times New Roman" w:cs="Times New Roman" w:eastAsia="Times New Roman" w:hint="default"/>
        </w:rPr>
        <w:t>102.40%</w:t>
      </w:r>
      <w:r>
        <w:rPr/>
        <w:t>、</w:t>
      </w:r>
      <w:r>
        <w:rPr>
          <w:rFonts w:ascii="Times New Roman" w:hAnsi="Times New Roman" w:cs="Times New Roman" w:eastAsia="Times New Roman" w:hint="default"/>
        </w:rPr>
        <w:t>104.90%</w:t>
      </w:r>
      <w:r>
        <w:rPr/>
        <w:t>，已实现三年业绩承诺，补偿义务人无需对上市公司进行补偿，审议通过了</w:t>
      </w:r>
    </w:p>
    <w:p>
      <w:pPr>
        <w:pStyle w:val="BodyText"/>
        <w:spacing w:line="393" w:lineRule="auto" w:before="35"/>
        <w:ind w:right="268"/>
        <w:jc w:val="both"/>
      </w:pPr>
      <w:r>
        <w:rPr/>
        <w:t>《</w:t>
      </w:r>
      <w:r>
        <w:rPr>
          <w:rFonts w:ascii="Times New Roman" w:hAnsi="Times New Roman" w:cs="Times New Roman" w:eastAsia="Times New Roman" w:hint="default"/>
        </w:rPr>
        <w:t>&lt;</w:t>
      </w:r>
      <w:r>
        <w:rPr/>
        <w:t>关于重大资产重组标的资产减值测试报告</w:t>
      </w:r>
      <w:r>
        <w:rPr>
          <w:rFonts w:ascii="Times New Roman" w:hAnsi="Times New Roman" w:cs="Times New Roman" w:eastAsia="Times New Roman" w:hint="default"/>
        </w:rPr>
        <w:t>&gt;</w:t>
      </w:r>
      <w:r>
        <w:rPr/>
        <w:t>的议案》，表明截至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日，竹园国际旅行社有 </w:t>
      </w:r>
      <w:r>
        <w:rPr>
          <w:spacing w:val="-1"/>
        </w:rPr>
        <w:t>限公司资产未发生减值。上述情况说明和报告已经会计师审核并出具专项审核报告。公司</w:t>
      </w:r>
      <w:r>
        <w:rPr>
          <w:rFonts w:ascii="Times New Roman" w:hAnsi="Times New Roman" w:cs="Times New Roman" w:eastAsia="Times New Roman" w:hint="default"/>
          <w:spacing w:val="-1"/>
        </w:rPr>
        <w:t>2014</w:t>
      </w:r>
      <w:r>
        <w:rPr>
          <w:spacing w:val="-1"/>
        </w:rPr>
        <w:t>年重组的交</w:t>
      </w:r>
      <w:r>
        <w:rPr>
          <w:spacing w:val="-82"/>
        </w:rPr>
        <w:t> </w:t>
      </w:r>
      <w:r>
        <w:rPr>
          <w:spacing w:val="-1"/>
        </w:rPr>
        <w:t>易对手方郭洪斌先生持有的首发后限售股份已经满足解锁条件，公司为其持有的剩余全部限售股份办理了</w:t>
      </w:r>
      <w:r>
        <w:rPr>
          <w:spacing w:val="-81"/>
        </w:rPr>
        <w:t> </w:t>
      </w:r>
      <w:r>
        <w:rPr>
          <w:spacing w:val="-81"/>
        </w:rPr>
      </w:r>
      <w:r>
        <w:rPr>
          <w:spacing w:val="-2"/>
        </w:rPr>
        <w:t>解锁，本次解除限售股份</w:t>
      </w:r>
      <w:r>
        <w:rPr>
          <w:rFonts w:ascii="Times New Roman" w:hAnsi="Times New Roman" w:cs="Times New Roman" w:eastAsia="Times New Roman" w:hint="default"/>
          <w:spacing w:val="-2"/>
        </w:rPr>
        <w:t>19,302,652</w:t>
      </w:r>
      <w:r>
        <w:rPr>
          <w:spacing w:val="-2"/>
        </w:rPr>
        <w:t>股，占其个人所持股份的</w:t>
      </w:r>
      <w:r>
        <w:rPr>
          <w:rFonts w:ascii="Times New Roman" w:hAnsi="Times New Roman" w:cs="Times New Roman" w:eastAsia="Times New Roman" w:hint="default"/>
          <w:spacing w:val="-2"/>
        </w:rPr>
        <w:t>33.89%</w:t>
      </w:r>
      <w:r>
        <w:rPr>
          <w:spacing w:val="-2"/>
        </w:rPr>
        <w:t>，占公司解锁时股本总额的</w:t>
      </w:r>
      <w:r>
        <w:rPr>
          <w:rFonts w:ascii="Times New Roman" w:hAnsi="Times New Roman" w:cs="Times New Roman" w:eastAsia="Times New Roman" w:hint="default"/>
          <w:spacing w:val="-2"/>
        </w:rPr>
        <w:t>2.29%</w:t>
      </w:r>
      <w:r>
        <w:rPr>
          <w:spacing w:val="-2"/>
        </w:rPr>
        <w:t>。考</w:t>
      </w:r>
      <w:r>
        <w:rPr>
          <w:spacing w:val="-74"/>
        </w:rPr>
        <w:t> </w:t>
      </w:r>
      <w:r>
        <w:rPr>
          <w:spacing w:val="-1"/>
        </w:rPr>
        <w:t>虑高管锁定股情况（郭洪斌先生为上市公司副董事长），本次股份解除限售后，该部分股份性质将由首发</w:t>
      </w:r>
      <w:r>
        <w:rPr>
          <w:spacing w:val="-82"/>
        </w:rPr>
        <w:t> </w:t>
      </w:r>
      <w:r>
        <w:rPr>
          <w:spacing w:val="-82"/>
        </w:rPr>
      </w:r>
      <w:r>
        <w:rPr>
          <w:spacing w:val="-5"/>
        </w:rPr>
        <w:t>后限售股转为高管锁定股，即本次解除限售股份不增加无限售流通股股数。公司于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8</w:t>
      </w:r>
      <w:r>
        <w:rPr>
          <w:spacing w:val="-5"/>
        </w:rPr>
        <w:t>日发布了《众</w:t>
      </w:r>
      <w:r>
        <w:rPr>
          <w:spacing w:val="-91"/>
        </w:rPr>
        <w:t> </w:t>
      </w:r>
      <w:r>
        <w:rPr>
          <w:spacing w:val="-91"/>
        </w:rPr>
      </w:r>
      <w:r>
        <w:rPr/>
        <w:t>信旅游：发行股份购买资产并募集配套资金之发行股份部分限售股上市流通公告》（</w:t>
      </w:r>
      <w:r>
        <w:rPr>
          <w:rFonts w:ascii="Times New Roman" w:hAnsi="Times New Roman" w:cs="Times New Roman" w:eastAsia="Times New Roman" w:hint="default"/>
        </w:rPr>
        <w:t>2017-064</w:t>
      </w:r>
      <w:r>
        <w:rPr/>
        <w:t>）。具体情</w:t>
      </w:r>
      <w:r>
        <w:rPr>
          <w:spacing w:val="-100"/>
        </w:rPr>
        <w:t> </w:t>
      </w:r>
      <w:r>
        <w:rPr>
          <w:spacing w:val="-100"/>
        </w:rPr>
      </w:r>
      <w:r>
        <w:rPr/>
        <w:t>况如下：</w:t>
      </w:r>
    </w:p>
    <w:tbl>
      <w:tblPr>
        <w:tblW w:w="0" w:type="auto"/>
        <w:jc w:val="left"/>
        <w:tblInd w:w="149" w:type="dxa"/>
        <w:tblLayout w:type="fixed"/>
        <w:tblCellMar>
          <w:top w:w="0" w:type="dxa"/>
          <w:left w:w="0" w:type="dxa"/>
          <w:bottom w:w="0" w:type="dxa"/>
          <w:right w:w="0" w:type="dxa"/>
        </w:tblCellMar>
        <w:tblLook w:val="01E0"/>
      </w:tblPr>
      <w:tblGrid>
        <w:gridCol w:w="2906"/>
        <w:gridCol w:w="2302"/>
        <w:gridCol w:w="2322"/>
        <w:gridCol w:w="2270"/>
      </w:tblGrid>
      <w:tr>
        <w:trPr>
          <w:trHeight w:val="341" w:hRule="exact"/>
        </w:trPr>
        <w:tc>
          <w:tcPr>
            <w:tcW w:w="29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left="643"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left="753"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exact"/>
              <w:ind w:left="627"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bl>
    <w:p>
      <w:pPr>
        <w:spacing w:after="0" w:line="261" w:lineRule="exact"/>
        <w:jc w:val="left"/>
        <w:rPr>
          <w:rFonts w:ascii="宋体" w:hAnsi="宋体" w:cs="宋体" w:eastAsia="宋体" w:hint="default"/>
          <w:sz w:val="20"/>
          <w:szCs w:val="20"/>
        </w:rPr>
        <w:sectPr>
          <w:pgSz w:w="11910" w:h="16840"/>
          <w:pgMar w:header="877" w:footer="982" w:top="1100" w:bottom="1180" w:left="980" w:right="8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06"/>
        <w:gridCol w:w="1266"/>
        <w:gridCol w:w="1036"/>
        <w:gridCol w:w="1162"/>
        <w:gridCol w:w="1160"/>
        <w:gridCol w:w="1266"/>
        <w:gridCol w:w="1004"/>
      </w:tblGrid>
      <w:tr>
        <w:trPr>
          <w:trHeight w:val="342" w:hRule="exact"/>
        </w:trPr>
        <w:tc>
          <w:tcPr>
            <w:tcW w:w="290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1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29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一、限售流通股（或非流通股）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391,607,999</w:t>
            </w:r>
            <w:r>
              <w:rPr>
                <w:rFonts w:ascii="Times New Roman"/>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46.42%</w:t>
            </w:r>
            <w:r>
              <w:rPr>
                <w:rFonts w:ascii="Times New Roman"/>
                <w:spacing w:val="-1"/>
                <w:sz w:val="20"/>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Times New Roman" w:hAnsi="Times New Roman" w:cs="Times New Roman" w:eastAsia="Times New Roman" w:hint="default"/>
                <w:sz w:val="20"/>
                <w:szCs w:val="20"/>
              </w:rPr>
            </w:pPr>
            <w:r>
              <w:rPr>
                <w:rFonts w:ascii="Times New Roman"/>
                <w:b/>
                <w:sz w:val="20"/>
              </w:rPr>
              <w:t>19,302,652</w:t>
            </w:r>
            <w:r>
              <w:rPr>
                <w:rFonts w:ascii="Times New Roman"/>
                <w:sz w:val="20"/>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20"/>
                <w:szCs w:val="20"/>
              </w:rPr>
            </w:pPr>
            <w:r>
              <w:rPr>
                <w:rFonts w:ascii="Times New Roman"/>
                <w:b/>
                <w:sz w:val="20"/>
              </w:rPr>
              <w:t>19,302,652</w:t>
            </w:r>
            <w:r>
              <w:rPr>
                <w:rFonts w:ascii="Times New Roman"/>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Times New Roman" w:hAnsi="Times New Roman" w:cs="Times New Roman" w:eastAsia="Times New Roman" w:hint="default"/>
                <w:sz w:val="20"/>
                <w:szCs w:val="20"/>
              </w:rPr>
            </w:pPr>
            <w:r>
              <w:rPr>
                <w:rFonts w:ascii="Times New Roman"/>
                <w:b/>
                <w:sz w:val="20"/>
              </w:rPr>
              <w:t>391,607,999</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46.42%</w:t>
            </w:r>
            <w:r>
              <w:rPr>
                <w:rFonts w:ascii="Times New Roman"/>
                <w:spacing w:val="-1"/>
                <w:sz w:val="20"/>
              </w:rPr>
            </w:r>
          </w:p>
        </w:tc>
      </w:tr>
      <w:tr>
        <w:trPr>
          <w:trHeight w:val="34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70,435,252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8.35%</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19,302,652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51,132,600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6.06%</w:t>
            </w:r>
          </w:p>
        </w:tc>
      </w:tr>
      <w:tr>
        <w:trPr>
          <w:trHeight w:val="34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13,422,640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1.59%</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13,422,640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1.59%</w:t>
            </w:r>
          </w:p>
        </w:tc>
      </w:tr>
      <w:tr>
        <w:trPr>
          <w:trHeight w:val="34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307,750,107</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36.48%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20"/>
                <w:szCs w:val="20"/>
              </w:rPr>
            </w:pPr>
            <w:r>
              <w:rPr>
                <w:rFonts w:ascii="Times New Roman"/>
                <w:sz w:val="20"/>
              </w:rPr>
              <w:t>19,302,652</w:t>
            </w:r>
          </w:p>
        </w:tc>
        <w:tc>
          <w:tcPr>
            <w:tcW w:w="116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327,052,759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38.77%</w:t>
            </w:r>
          </w:p>
        </w:tc>
      </w:tr>
      <w:tr>
        <w:trPr>
          <w:trHeight w:val="34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451,921,421</w:t>
            </w:r>
            <w:r>
              <w:rPr>
                <w:rFonts w:ascii="Times New Roman"/>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53.58%</w:t>
            </w:r>
            <w:r>
              <w:rPr>
                <w:rFonts w:ascii="Times New Roman"/>
                <w:spacing w:val="-1"/>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451,921,421</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53.58%</w:t>
            </w:r>
            <w:r>
              <w:rPr>
                <w:rFonts w:ascii="Times New Roman"/>
                <w:spacing w:val="-1"/>
                <w:sz w:val="20"/>
              </w:rPr>
            </w:r>
          </w:p>
        </w:tc>
      </w:tr>
      <w:tr>
        <w:trPr>
          <w:trHeight w:val="342" w:hRule="exact"/>
        </w:trPr>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843,529,420</w:t>
            </w:r>
            <w:r>
              <w:rPr>
                <w:rFonts w:ascii="Times New Roman"/>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b/>
                <w:sz w:val="20"/>
              </w:rPr>
              <w:t>843,529,420</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388" w:lineRule="auto" w:before="63"/>
        <w:ind w:left="153" w:right="162" w:firstLine="420"/>
        <w:jc w:val="left"/>
      </w:pPr>
      <w:r>
        <w:rPr/>
        <w:pict>
          <v:shape style="position:absolute;margin-left:56.459999pt;margin-top:187.193985pt;width:481.2pt;height:137.3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8"/>
                    <w:gridCol w:w="1316"/>
                    <w:gridCol w:w="990"/>
                    <w:gridCol w:w="1122"/>
                    <w:gridCol w:w="1096"/>
                    <w:gridCol w:w="1316"/>
                    <w:gridCol w:w="1042"/>
                  </w:tblGrid>
                  <w:tr>
                    <w:trPr>
                      <w:trHeight w:val="342" w:hRule="exact"/>
                    </w:trPr>
                    <w:tc>
                      <w:tcPr>
                        <w:tcW w:w="27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4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70"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27"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5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97"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2" w:hRule="exact"/>
                    </w:trPr>
                    <w:tc>
                      <w:tcPr>
                        <w:tcW w:w="2728" w:type="dxa"/>
                        <w:vMerge/>
                        <w:tcBorders>
                          <w:left w:val="single" w:sz="4" w:space="0" w:color="000000"/>
                          <w:bottom w:val="single" w:sz="4" w:space="0" w:color="000000"/>
                          <w:right w:val="single" w:sz="4" w:space="0" w:color="000000"/>
                        </w:tcBorders>
                        <w:shd w:val="clear" w:color="auto" w:fill="D9D9D9"/>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1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53"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65"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3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391,607,999</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46.42%</w:t>
                        </w:r>
                        <w:r>
                          <w:rPr>
                            <w:rFonts w:ascii="Times New Roman"/>
                            <w:spacing w:val="-1"/>
                            <w:sz w:val="20"/>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125,000</w:t>
                        </w:r>
                        <w:r>
                          <w:rPr>
                            <w:rFonts w:ascii="Times New Roman"/>
                            <w:spacing w:val="-1"/>
                            <w:sz w:val="20"/>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2,489,700</w:t>
                        </w:r>
                        <w:r>
                          <w:rPr>
                            <w:rFonts w:ascii="Times New Roman"/>
                            <w:spacing w:val="-1"/>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389,243,299</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46.14%</w:t>
                        </w:r>
                        <w:r>
                          <w:rPr>
                            <w:rFonts w:ascii="Times New Roman"/>
                            <w:spacing w:val="-1"/>
                            <w:sz w:val="20"/>
                          </w:rPr>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6.06%</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6.06%</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13,422,640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1.59%</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2,489,700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10,932,940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1.30%</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327,052,759</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38.77%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125,000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327,177,759</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38.79%</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451,921,421</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53.58%</w:t>
                        </w:r>
                        <w:r>
                          <w:rPr>
                            <w:rFonts w:ascii="Times New Roman"/>
                            <w:spacing w:val="-1"/>
                            <w:sz w:val="20"/>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2,364,700</w:t>
                        </w:r>
                        <w:r>
                          <w:rPr>
                            <w:rFonts w:ascii="Times New Roman"/>
                            <w:spacing w:val="-1"/>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454,286,121</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53.86%</w:t>
                        </w:r>
                        <w:r>
                          <w:rPr>
                            <w:rFonts w:ascii="Times New Roman"/>
                            <w:spacing w:val="-1"/>
                            <w:sz w:val="20"/>
                          </w:rPr>
                        </w:r>
                      </w:p>
                    </w:tc>
                  </w:tr>
                  <w:tr>
                    <w:trPr>
                      <w:trHeight w:val="34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843,529,420</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1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843,529,420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
              </w:txbxContent>
            </v:textbox>
            <w10:wrap type="none"/>
          </v:shape>
        </w:pic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日，公司第三届董事会第六十次会议审议通过了《关于公司</w:t>
      </w:r>
      <w:r>
        <w:rPr>
          <w:rFonts w:ascii="Times New Roman" w:hAnsi="Times New Roman" w:cs="Times New Roman" w:eastAsia="Times New Roman" w:hint="default"/>
        </w:rPr>
        <w:t>2016</w:t>
      </w:r>
      <w:r>
        <w:rPr/>
        <w:t>年限制性股票激励计 划首次授予的限制性股票第一期解锁条件成就的议案》，确认</w:t>
      </w:r>
      <w:r>
        <w:rPr>
          <w:rFonts w:ascii="Times New Roman" w:hAnsi="Times New Roman" w:cs="Times New Roman" w:eastAsia="Times New Roman" w:hint="default"/>
        </w:rPr>
        <w:t>2016</w:t>
      </w:r>
      <w:r>
        <w:rPr/>
        <w:t>年限制性股票激励计划首次授予的限制 性股票第一个解锁期解锁条件已经成就。公司为相关激励对象在中国证券登记结算有限责任公司深圳分公 司办理了解除限售的相关手续，本次申请解除限售股份的激励对象共</w:t>
      </w:r>
      <w:r>
        <w:rPr>
          <w:rFonts w:ascii="Times New Roman" w:hAnsi="Times New Roman" w:cs="Times New Roman" w:eastAsia="Times New Roman" w:hint="default"/>
        </w:rPr>
        <w:t>356</w:t>
      </w:r>
      <w:r>
        <w:rPr/>
        <w:t>人，解除限售股份</w:t>
      </w:r>
      <w:r>
        <w:rPr>
          <w:rFonts w:ascii="Times New Roman" w:hAnsi="Times New Roman" w:cs="Times New Roman" w:eastAsia="Times New Roman" w:hint="default"/>
        </w:rPr>
        <w:t>2,489,700</w:t>
      </w:r>
      <w:r>
        <w:rPr/>
        <w:t>股。</w:t>
      </w:r>
      <w:r>
        <w:rPr>
          <w:spacing w:val="-38"/>
        </w:rPr>
        <w:t> </w:t>
      </w:r>
      <w:r>
        <w:rPr/>
        <w:t>考虑高管锁定股情况，本次解除限售股份后，公司有限售条件流通股中股权激励限售股减少</w:t>
      </w:r>
      <w:r>
        <w:rPr>
          <w:rFonts w:ascii="Times New Roman" w:hAnsi="Times New Roman" w:cs="Times New Roman" w:eastAsia="Times New Roman" w:hint="default"/>
        </w:rPr>
        <w:t>2,489,700</w:t>
      </w:r>
      <w:r>
        <w:rPr/>
        <w:t>股，</w:t>
      </w:r>
      <w:r>
        <w:rPr>
          <w:spacing w:val="-37"/>
        </w:rPr>
        <w:t> </w:t>
      </w:r>
      <w:r>
        <w:rPr/>
        <w:t>高管锁定股增加</w:t>
      </w:r>
      <w:r>
        <w:rPr>
          <w:rFonts w:ascii="Times New Roman" w:hAnsi="Times New Roman" w:cs="Times New Roman" w:eastAsia="Times New Roman" w:hint="default"/>
        </w:rPr>
        <w:t>125,000</w:t>
      </w:r>
      <w:r>
        <w:rPr/>
        <w:t>股，无限售条件流通股增加</w:t>
      </w:r>
      <w:r>
        <w:rPr>
          <w:rFonts w:ascii="Times New Roman" w:hAnsi="Times New Roman" w:cs="Times New Roman" w:eastAsia="Times New Roman" w:hint="default"/>
        </w:rPr>
        <w:t>2,364,700</w:t>
      </w:r>
      <w:r>
        <w:rPr/>
        <w:t>股。本次解除限售股份上市流通日为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37"/>
        </w:rPr>
        <w:t> </w:t>
      </w:r>
      <w:r>
        <w:rPr/>
        <w:t>月</w:t>
      </w:r>
      <w:r>
        <w:rPr>
          <w:rFonts w:ascii="Times New Roman" w:hAnsi="Times New Roman" w:cs="Times New Roman" w:eastAsia="Times New Roman" w:hint="default"/>
        </w:rPr>
        <w:t>26</w:t>
      </w:r>
      <w:r>
        <w:rPr/>
        <w:t>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日发布了《众信旅游：关于</w:t>
      </w:r>
      <w:r>
        <w:rPr>
          <w:rFonts w:ascii="Times New Roman" w:hAnsi="Times New Roman" w:cs="Times New Roman" w:eastAsia="Times New Roman" w:hint="default"/>
        </w:rPr>
        <w:t>2016</w:t>
      </w:r>
      <w:r>
        <w:rPr/>
        <w:t>年限制性股票激励计划首次授予的限制性股</w:t>
      </w:r>
      <w:r>
        <w:rPr>
          <w:spacing w:val="-37"/>
        </w:rPr>
        <w:t> </w:t>
      </w:r>
      <w:r>
        <w:rPr>
          <w:spacing w:val="-37"/>
        </w:rPr>
      </w:r>
      <w:r>
        <w:rPr/>
        <w:t>票第一期解锁股份上市流通的提示性公告》（</w:t>
      </w:r>
      <w:r>
        <w:rPr>
          <w:rFonts w:ascii="Times New Roman" w:hAnsi="Times New Roman" w:cs="Times New Roman" w:eastAsia="Times New Roman" w:hint="default"/>
        </w:rPr>
        <w:t>2017-073</w:t>
      </w:r>
      <w:r>
        <w:rPr/>
        <w:t>）。具体情况如下：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86" w:lineRule="auto" w:before="35"/>
        <w:ind w:left="153" w:right="267" w:firstLine="526"/>
        <w:jc w:val="both"/>
      </w:pPr>
      <w:r>
        <w:rPr/>
        <w:pict>
          <v:shape style="position:absolute;margin-left:56.34pt;margin-top:185.794083pt;width:481.6pt;height:52.8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8"/>
                    <w:gridCol w:w="1316"/>
                    <w:gridCol w:w="1060"/>
                    <w:gridCol w:w="1052"/>
                    <w:gridCol w:w="1096"/>
                    <w:gridCol w:w="1316"/>
                    <w:gridCol w:w="1042"/>
                  </w:tblGrid>
                  <w:tr>
                    <w:trPr>
                      <w:trHeight w:val="347" w:hRule="exact"/>
                    </w:trPr>
                    <w:tc>
                      <w:tcPr>
                        <w:tcW w:w="272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8"/>
                          <w:ind w:left="4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7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703"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14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90"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94"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7" w:hRule="exact"/>
                    </w:trPr>
                    <w:tc>
                      <w:tcPr>
                        <w:tcW w:w="2728" w:type="dxa"/>
                        <w:vMerge/>
                        <w:tcBorders>
                          <w:left w:val="single" w:sz="6" w:space="0" w:color="000000"/>
                          <w:bottom w:val="single" w:sz="6" w:space="0" w:color="000000"/>
                          <w:right w:val="single" w:sz="6" w:space="0" w:color="000000"/>
                        </w:tcBorders>
                        <w:shd w:val="clear" w:color="auto" w:fill="D9D9D9"/>
                      </w:tcPr>
                      <w:p>
                        <w:pPr/>
                      </w:p>
                    </w:tc>
                    <w:tc>
                      <w:tcPr>
                        <w:tcW w:w="1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75"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4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0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17"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63"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75"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3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8"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00" w:right="0"/>
                          <w:jc w:val="left"/>
                          <w:rPr>
                            <w:rFonts w:ascii="Times New Roman" w:hAnsi="Times New Roman" w:cs="Times New Roman" w:eastAsia="Times New Roman" w:hint="default"/>
                            <w:sz w:val="20"/>
                            <w:szCs w:val="20"/>
                          </w:rPr>
                        </w:pPr>
                        <w:r>
                          <w:rPr>
                            <w:rFonts w:ascii="Times New Roman"/>
                            <w:b/>
                            <w:sz w:val="20"/>
                          </w:rPr>
                          <w:t>389,243,299</w:t>
                        </w:r>
                        <w:r>
                          <w:rPr>
                            <w:rFonts w:ascii="Times New Roman"/>
                            <w:sz w:val="20"/>
                          </w:rPr>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91" w:right="0"/>
                          <w:jc w:val="left"/>
                          <w:rPr>
                            <w:rFonts w:ascii="Times New Roman" w:hAnsi="Times New Roman" w:cs="Times New Roman" w:eastAsia="Times New Roman" w:hint="default"/>
                            <w:sz w:val="20"/>
                            <w:szCs w:val="20"/>
                          </w:rPr>
                        </w:pPr>
                        <w:r>
                          <w:rPr>
                            <w:rFonts w:ascii="Times New Roman"/>
                            <w:b/>
                            <w:sz w:val="20"/>
                          </w:rPr>
                          <w:t>46.14%</w:t>
                        </w:r>
                        <w:r>
                          <w:rPr>
                            <w:rFonts w:ascii="Times New Roman"/>
                            <w:sz w:val="20"/>
                          </w:rPr>
                        </w:r>
                      </w:p>
                    </w:tc>
                    <w:tc>
                      <w:tcPr>
                        <w:tcW w:w="105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27" w:right="0"/>
                          <w:jc w:val="left"/>
                          <w:rPr>
                            <w:rFonts w:ascii="Times New Roman" w:hAnsi="Times New Roman" w:cs="Times New Roman" w:eastAsia="Times New Roman" w:hint="default"/>
                            <w:sz w:val="20"/>
                            <w:szCs w:val="20"/>
                          </w:rPr>
                        </w:pPr>
                        <w:r>
                          <w:rPr>
                            <w:rFonts w:ascii="Times New Roman"/>
                            <w:b/>
                            <w:sz w:val="20"/>
                          </w:rPr>
                          <w:t>239,000</w:t>
                        </w:r>
                        <w:r>
                          <w:rPr>
                            <w:rFonts w:ascii="Times New Roman"/>
                            <w:sz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99" w:right="0"/>
                          <w:jc w:val="left"/>
                          <w:rPr>
                            <w:rFonts w:ascii="Times New Roman" w:hAnsi="Times New Roman" w:cs="Times New Roman" w:eastAsia="Times New Roman" w:hint="default"/>
                            <w:sz w:val="20"/>
                            <w:szCs w:val="20"/>
                          </w:rPr>
                        </w:pPr>
                        <w:r>
                          <w:rPr>
                            <w:rFonts w:ascii="Times New Roman"/>
                            <w:b/>
                            <w:sz w:val="20"/>
                          </w:rPr>
                          <w:t>389,004,299</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72" w:right="0"/>
                          <w:jc w:val="left"/>
                          <w:rPr>
                            <w:rFonts w:ascii="Times New Roman" w:hAnsi="Times New Roman" w:cs="Times New Roman" w:eastAsia="Times New Roman" w:hint="default"/>
                            <w:sz w:val="20"/>
                            <w:szCs w:val="20"/>
                          </w:rPr>
                        </w:pPr>
                        <w:r>
                          <w:rPr>
                            <w:rFonts w:ascii="Times New Roman"/>
                            <w:b/>
                            <w:sz w:val="20"/>
                          </w:rPr>
                          <w:t>46.13%</w:t>
                        </w:r>
                        <w:r>
                          <w:rPr>
                            <w:rFonts w:ascii="Times New Roman"/>
                            <w:sz w:val="20"/>
                          </w:rPr>
                        </w:r>
                      </w:p>
                    </w:tc>
                  </w:tr>
                </w:tbl>
                <w:p>
                  <w:pPr/>
                </w:p>
              </w:txbxContent>
            </v:textbox>
            <w10:wrap type="none"/>
          </v:shape>
        </w:pic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日，公司第三届董事会第六十次会议审议通过了《关于回购注销已不符合激励条件</w:t>
      </w:r>
      <w:r>
        <w:rPr>
          <w:spacing w:val="2"/>
        </w:rPr>
        <w:t> </w:t>
      </w:r>
      <w:r>
        <w:rPr>
          <w:spacing w:val="-5"/>
        </w:rPr>
        <w:t>的激励对象已获授但尚未解锁的限制性股票的议案》，</w:t>
      </w:r>
      <w:r>
        <w:rPr>
          <w:rFonts w:ascii="Times New Roman" w:hAnsi="Times New Roman" w:cs="Times New Roman" w:eastAsia="Times New Roman" w:hint="default"/>
          <w:spacing w:val="-5"/>
        </w:rPr>
        <w:t>2016</w:t>
      </w:r>
      <w:r>
        <w:rPr>
          <w:spacing w:val="-5"/>
        </w:rPr>
        <w:t>年限制性股票激励计划中激励对象虞涛、文凯、</w:t>
      </w:r>
      <w:r>
        <w:rPr>
          <w:spacing w:val="-94"/>
        </w:rPr>
        <w:t> </w:t>
      </w:r>
      <w:r>
        <w:rPr>
          <w:spacing w:val="-94"/>
        </w:rPr>
      </w:r>
      <w:r>
        <w:rPr/>
        <w:t>隋朝晖、杨小梅、谢奕良、魏磊、刘鎏、鲍琳、石贞贞共</w:t>
      </w:r>
      <w:r>
        <w:rPr>
          <w:rFonts w:ascii="Times New Roman" w:hAnsi="Times New Roman" w:cs="Times New Roman" w:eastAsia="Times New Roman" w:hint="default"/>
        </w:rPr>
        <w:t>9</w:t>
      </w:r>
      <w:r>
        <w:rPr/>
        <w:t>人因离职原因已不符合激励条件，根据公司限</w:t>
      </w:r>
      <w:r>
        <w:rPr>
          <w:spacing w:val="-35"/>
        </w:rPr>
        <w:t> </w:t>
      </w:r>
      <w:r>
        <w:rPr>
          <w:spacing w:val="-35"/>
        </w:rPr>
      </w:r>
      <w:r>
        <w:rPr/>
        <w:t>制性股票激励计划的相关规定，上述</w:t>
      </w:r>
      <w:r>
        <w:rPr>
          <w:rFonts w:ascii="Times New Roman" w:hAnsi="Times New Roman" w:cs="Times New Roman" w:eastAsia="Times New Roman" w:hint="default"/>
        </w:rPr>
        <w:t>9</w:t>
      </w:r>
      <w:r>
        <w:rPr/>
        <w:t>人已获授但尚未解锁的限制性股票共计</w:t>
      </w:r>
      <w:r>
        <w:rPr>
          <w:rFonts w:ascii="Times New Roman" w:hAnsi="Times New Roman" w:cs="Times New Roman" w:eastAsia="Times New Roman" w:hint="default"/>
        </w:rPr>
        <w:t>239,000</w:t>
      </w:r>
      <w:r>
        <w:rPr/>
        <w:t>股将由公司全部回购</w:t>
      </w:r>
      <w:r>
        <w:rPr>
          <w:spacing w:val="-82"/>
        </w:rPr>
        <w:t> </w:t>
      </w:r>
      <w:r>
        <w:rPr>
          <w:spacing w:val="-82"/>
        </w:rPr>
      </w:r>
      <w:r>
        <w:rPr>
          <w:spacing w:val="-1"/>
        </w:rPr>
        <w:t>注销。</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w:t>
      </w:r>
      <w:r>
        <w:rPr>
          <w:rFonts w:ascii="Times New Roman" w:hAnsi="Times New Roman" w:cs="Times New Roman" w:eastAsia="Times New Roman" w:hint="default"/>
          <w:spacing w:val="-1"/>
        </w:rPr>
        <w:t>2017</w:t>
      </w:r>
      <w:r>
        <w:rPr>
          <w:spacing w:val="-1"/>
        </w:rPr>
        <w:t>年第四次临时股东大会审议通过了相关议案。公司于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日在中</w:t>
      </w:r>
      <w:r>
        <w:rPr>
          <w:spacing w:val="-85"/>
        </w:rPr>
        <w:t> </w:t>
      </w:r>
      <w:r>
        <w:rPr/>
        <w:t>国证券登记结算有限公司深圳分公司办理完成上述限制性股票的回购注销手续，并于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日发布</w:t>
      </w:r>
      <w:r>
        <w:rPr>
          <w:spacing w:val="-38"/>
        </w:rPr>
        <w:t> </w:t>
      </w:r>
      <w:r>
        <w:rPr>
          <w:spacing w:val="-38"/>
        </w:rPr>
      </w:r>
      <w:r>
        <w:rPr/>
        <w:t>了《众信旅游：关于部分限制性股票回购注销完成的公告》（</w:t>
      </w:r>
      <w:r>
        <w:rPr>
          <w:rFonts w:ascii="Times New Roman" w:hAnsi="Times New Roman" w:cs="Times New Roman" w:eastAsia="Times New Roman" w:hint="default"/>
        </w:rPr>
        <w:t>2017-087</w:t>
      </w:r>
      <w:r>
        <w:rPr/>
        <w:t>）。本次回购注销完成后，公司有</w:t>
      </w:r>
      <w:r>
        <w:rPr>
          <w:spacing w:val="-100"/>
        </w:rPr>
        <w:t> </w:t>
      </w:r>
      <w:r>
        <w:rPr>
          <w:spacing w:val="-100"/>
        </w:rPr>
      </w:r>
      <w:r>
        <w:rPr/>
        <w:t>限售条件股份减少</w:t>
      </w:r>
      <w:r>
        <w:rPr>
          <w:rFonts w:ascii="Times New Roman" w:hAnsi="Times New Roman" w:cs="Times New Roman" w:eastAsia="Times New Roman" w:hint="default"/>
        </w:rPr>
        <w:t>239,000</w:t>
      </w:r>
      <w:r>
        <w:rPr/>
        <w:t>股，公司相应减少股本</w:t>
      </w:r>
      <w:r>
        <w:rPr>
          <w:rFonts w:ascii="Times New Roman" w:hAnsi="Times New Roman" w:cs="Times New Roman" w:eastAsia="Times New Roman" w:hint="default"/>
        </w:rPr>
        <w:t>239,000</w:t>
      </w:r>
      <w:r>
        <w:rPr/>
        <w:t>股。具体情况如下：</w:t>
      </w:r>
    </w:p>
    <w:p>
      <w:pPr>
        <w:spacing w:after="0" w:line="386" w:lineRule="auto"/>
        <w:jc w:val="both"/>
        <w:sectPr>
          <w:pgSz w:w="11910" w:h="16840"/>
          <w:pgMar w:header="877" w:footer="982" w:top="1100" w:bottom="1180" w:left="980" w:right="86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728"/>
        <w:gridCol w:w="1316"/>
        <w:gridCol w:w="1060"/>
        <w:gridCol w:w="1052"/>
        <w:gridCol w:w="1096"/>
        <w:gridCol w:w="1316"/>
        <w:gridCol w:w="1042"/>
      </w:tblGrid>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6.06%</w:t>
            </w:r>
          </w:p>
        </w:tc>
        <w:tc>
          <w:tcPr>
            <w:tcW w:w="105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6.06%</w:t>
            </w:r>
          </w:p>
        </w:tc>
      </w:tr>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10,932,940</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1.30%</w:t>
            </w:r>
          </w:p>
        </w:tc>
        <w:tc>
          <w:tcPr>
            <w:tcW w:w="105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239,000</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10,693,940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1.27%</w:t>
            </w:r>
          </w:p>
        </w:tc>
      </w:tr>
      <w:tr>
        <w:trPr>
          <w:trHeight w:val="348"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327,177,759</w:t>
            </w:r>
            <w:r>
              <w:rPr>
                <w:rFonts w:ascii="Times New Roman"/>
                <w:sz w:val="20"/>
              </w:rPr>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38.79%</w:t>
            </w:r>
          </w:p>
        </w:tc>
        <w:tc>
          <w:tcPr>
            <w:tcW w:w="105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327,177,759</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38.79%</w:t>
            </w:r>
          </w:p>
        </w:tc>
      </w:tr>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pacing w:val="-1"/>
                <w:sz w:val="20"/>
              </w:rPr>
              <w:t>454,286,121</w:t>
            </w:r>
            <w:r>
              <w:rPr>
                <w:rFonts w:ascii="Times New Roman"/>
                <w:sz w:val="20"/>
              </w:rPr>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b/>
                <w:spacing w:val="-1"/>
                <w:sz w:val="20"/>
              </w:rPr>
              <w:t>53.86%</w:t>
            </w:r>
            <w:r>
              <w:rPr>
                <w:rFonts w:ascii="Times New Roman"/>
                <w:spacing w:val="-1"/>
                <w:sz w:val="20"/>
              </w:rPr>
            </w:r>
          </w:p>
        </w:tc>
        <w:tc>
          <w:tcPr>
            <w:tcW w:w="105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pacing w:val="-1"/>
                <w:sz w:val="20"/>
              </w:rPr>
              <w:t>454,286,121</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20"/>
                <w:szCs w:val="20"/>
              </w:rPr>
            </w:pPr>
            <w:r>
              <w:rPr>
                <w:rFonts w:ascii="Times New Roman"/>
                <w:b/>
                <w:spacing w:val="-1"/>
                <w:sz w:val="20"/>
              </w:rPr>
              <w:t>53.87%</w:t>
            </w:r>
            <w:r>
              <w:rPr>
                <w:rFonts w:ascii="Times New Roman"/>
                <w:spacing w:val="-1"/>
                <w:sz w:val="20"/>
              </w:rPr>
            </w:r>
          </w:p>
        </w:tc>
      </w:tr>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843,529,420</w:t>
            </w:r>
            <w:r>
              <w:rPr>
                <w:rFonts w:ascii="Times New Roman"/>
                <w:sz w:val="20"/>
              </w:rPr>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05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239,000</w:t>
            </w:r>
            <w:r>
              <w:rPr>
                <w:rFonts w:ascii="Times New Roman"/>
                <w:spacing w:val="-1"/>
                <w:sz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843,290,420</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240" w:lineRule="auto" w:before="63"/>
        <w:ind w:left="574" w:right="102"/>
        <w:jc w:val="left"/>
        <w:rPr>
          <w:rFonts w:ascii="Times New Roman" w:hAnsi="Times New Roman" w:cs="Times New Roman" w:eastAsia="Times New Roman" w:hint="default"/>
        </w:rPr>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日，公司董事、副总经理韩丽女士通过深圳证券交易所交易系统增持公司股份</w:t>
      </w:r>
      <w:r>
        <w:rPr>
          <w:rFonts w:ascii="Times New Roman" w:hAnsi="Times New Roman" w:cs="Times New Roman" w:eastAsia="Times New Roman" w:hint="default"/>
        </w:rPr>
        <w:t>11,800</w:t>
      </w:r>
    </w:p>
    <w:p>
      <w:pPr>
        <w:pStyle w:val="BodyText"/>
        <w:spacing w:line="240" w:lineRule="auto" w:before="177"/>
        <w:ind w:right="102"/>
        <w:jc w:val="left"/>
      </w:pPr>
      <w:r>
        <w:rPr/>
        <w:t>股，本次增持完成后，公司新增高管锁定股</w:t>
      </w:r>
      <w:r>
        <w:rPr>
          <w:rFonts w:ascii="Times New Roman" w:hAnsi="Times New Roman" w:cs="Times New Roman" w:eastAsia="Times New Roman" w:hint="default"/>
        </w:rPr>
        <w:t>8,850</w:t>
      </w:r>
      <w:r>
        <w:rPr/>
        <w:t>股，公司股本结构变动情况如下：</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28"/>
        <w:gridCol w:w="1316"/>
        <w:gridCol w:w="1060"/>
        <w:gridCol w:w="1052"/>
        <w:gridCol w:w="1096"/>
        <w:gridCol w:w="1316"/>
        <w:gridCol w:w="1042"/>
      </w:tblGrid>
      <w:tr>
        <w:trPr>
          <w:trHeight w:val="342" w:hRule="exact"/>
        </w:trPr>
        <w:tc>
          <w:tcPr>
            <w:tcW w:w="27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4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705"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14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92"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5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97"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2" w:hRule="exact"/>
        </w:trPr>
        <w:tc>
          <w:tcPr>
            <w:tcW w:w="2728" w:type="dxa"/>
            <w:vMerge/>
            <w:tcBorders>
              <w:left w:val="single" w:sz="4" w:space="0" w:color="000000"/>
              <w:bottom w:val="single" w:sz="4" w:space="0" w:color="000000"/>
              <w:right w:val="single" w:sz="4" w:space="0" w:color="000000"/>
            </w:tcBorders>
            <w:shd w:val="clear" w:color="auto" w:fill="D9D9D9"/>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4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20"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65"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33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389,004,299</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46.13%</w:t>
            </w:r>
            <w:r>
              <w:rPr>
                <w:rFonts w:ascii="Times New Roman"/>
                <w:spacing w:val="-1"/>
                <w:sz w:val="20"/>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8,850</w:t>
            </w:r>
            <w:r>
              <w:rPr>
                <w:rFonts w:ascii="Times New Roman"/>
                <w:spacing w:val="-1"/>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389,013,149</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46.13%</w:t>
            </w:r>
            <w:r>
              <w:rPr>
                <w:rFonts w:ascii="Times New Roman"/>
                <w:spacing w:val="-1"/>
                <w:sz w:val="20"/>
              </w:rPr>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6.06%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6.06%</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10,693,940</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10,693,940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1.27%</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327,177,759</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38.79%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8,850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327,186,609</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38.80%</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454,286,121</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53.87%</w:t>
            </w:r>
            <w:r>
              <w:rPr>
                <w:rFonts w:ascii="Times New Roman"/>
                <w:spacing w:val="-1"/>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30" w:right="0"/>
              <w:jc w:val="left"/>
              <w:rPr>
                <w:rFonts w:ascii="Times New Roman" w:hAnsi="Times New Roman" w:cs="Times New Roman" w:eastAsia="Times New Roman" w:hint="default"/>
                <w:sz w:val="20"/>
                <w:szCs w:val="20"/>
              </w:rPr>
            </w:pPr>
            <w:r>
              <w:rPr>
                <w:rFonts w:ascii="Times New Roman"/>
                <w:b/>
                <w:sz w:val="20"/>
              </w:rPr>
              <w:t>8,850</w:t>
            </w:r>
            <w:r>
              <w:rPr>
                <w:rFonts w:ascii="Times New Roman"/>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454,277,271</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53.87%</w:t>
            </w:r>
            <w:r>
              <w:rPr>
                <w:rFonts w:ascii="Times New Roman"/>
                <w:spacing w:val="-1"/>
                <w:sz w:val="20"/>
              </w:rPr>
            </w:r>
          </w:p>
        </w:tc>
      </w:tr>
      <w:tr>
        <w:trPr>
          <w:trHeight w:val="34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843,290,420</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843,290,420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388" w:lineRule="auto" w:before="63"/>
        <w:ind w:left="153" w:right="102" w:firstLine="420"/>
        <w:jc w:val="left"/>
      </w:pPr>
      <w:r>
        <w:rPr/>
        <w:pict>
          <v:shape style="position:absolute;margin-left:56.459999pt;margin-top:257.393982pt;width:481.2pt;height:120.2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8"/>
                    <w:gridCol w:w="1316"/>
                    <w:gridCol w:w="1060"/>
                    <w:gridCol w:w="1052"/>
                    <w:gridCol w:w="1096"/>
                    <w:gridCol w:w="1316"/>
                    <w:gridCol w:w="1042"/>
                  </w:tblGrid>
                  <w:tr>
                    <w:trPr>
                      <w:trHeight w:val="342" w:hRule="exact"/>
                    </w:trPr>
                    <w:tc>
                      <w:tcPr>
                        <w:tcW w:w="27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4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7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705"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14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92"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5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97"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1" w:hRule="exact"/>
                    </w:trPr>
                    <w:tc>
                      <w:tcPr>
                        <w:tcW w:w="2728" w:type="dxa"/>
                        <w:vMerge/>
                        <w:tcBorders>
                          <w:left w:val="single" w:sz="4" w:space="0" w:color="000000"/>
                          <w:bottom w:val="single" w:sz="4" w:space="0" w:color="000000"/>
                          <w:right w:val="single" w:sz="4" w:space="0" w:color="000000"/>
                        </w:tcBorders>
                        <w:shd w:val="clear" w:color="auto" w:fill="D9D9D9"/>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4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20"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65"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3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389,013,149</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46.13%</w:t>
                        </w:r>
                        <w:r>
                          <w:rPr>
                            <w:rFonts w:ascii="Times New Roman"/>
                            <w:spacing w:val="-1"/>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5,873,300</w:t>
                        </w:r>
                        <w:r>
                          <w:rPr>
                            <w:rFonts w:ascii="Times New Roman"/>
                            <w:spacing w:val="-1"/>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383,139,849</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45.75%</w:t>
                        </w:r>
                        <w:r>
                          <w:rPr>
                            <w:rFonts w:ascii="Times New Roman"/>
                            <w:spacing w:val="-1"/>
                            <w:sz w:val="20"/>
                          </w:rPr>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6.06%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6.11%</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10,693,940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1.27%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5,873,300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4,820,640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0.58%</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327,186,609</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38.80%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327,186,609</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39.07%</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454,277,271</w:t>
                        </w:r>
                        <w:r>
                          <w:rPr>
                            <w:rFonts w:ascii="Times New Roman"/>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53.87%</w:t>
                        </w:r>
                        <w:r>
                          <w:rPr>
                            <w:rFonts w:ascii="Times New Roman"/>
                            <w:spacing w:val="-1"/>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454,277,271</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54.25%</w:t>
                        </w:r>
                        <w:r>
                          <w:rPr>
                            <w:rFonts w:ascii="Times New Roman"/>
                            <w:spacing w:val="-1"/>
                            <w:sz w:val="20"/>
                          </w:rPr>
                        </w:r>
                      </w:p>
                    </w:tc>
                  </w:tr>
                </w:tbl>
                <w:p>
                  <w:pPr/>
                </w:p>
              </w:txbxContent>
            </v:textbox>
            <w10:wrap type="none"/>
          </v:shape>
        </w:pic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日，公司第三届董事会第六十一次会议审议通过了《关于终止实施</w:t>
      </w:r>
      <w:r>
        <w:rPr>
          <w:rFonts w:ascii="Times New Roman" w:hAnsi="Times New Roman" w:cs="Times New Roman" w:eastAsia="Times New Roman" w:hint="default"/>
        </w:rPr>
        <w:t>2016</w:t>
      </w:r>
      <w:r>
        <w:rPr/>
        <w:t>年限制性股票 激励计划的议案》、《关于回购注销</w:t>
      </w:r>
      <w:r>
        <w:rPr>
          <w:rFonts w:ascii="Times New Roman" w:hAnsi="Times New Roman" w:cs="Times New Roman" w:eastAsia="Times New Roman" w:hint="default"/>
        </w:rPr>
        <w:t>2016</w:t>
      </w:r>
      <w:r>
        <w:rPr/>
        <w:t>年限制性股票激励计划已获授但未解锁的全部限制性股票、减少 公司注册资本、相应修改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并授权董事会办理工商变更登记的议案》，鉴于公司</w:t>
      </w:r>
      <w:r>
        <w:rPr>
          <w:rFonts w:ascii="Times New Roman" w:hAnsi="Times New Roman" w:cs="Times New Roman" w:eastAsia="Times New Roman" w:hint="default"/>
        </w:rPr>
        <w:t>2016</w:t>
      </w:r>
      <w:r>
        <w:rPr/>
        <w:t>年限制性股 票激励计划推出后，公司股票价格在二级市场发生了较大的变动，原激励计划较难达到预期的激励效果，</w:t>
      </w:r>
      <w:r>
        <w:rPr>
          <w:spacing w:val="-34"/>
        </w:rPr>
        <w:t> </w:t>
      </w:r>
      <w:r>
        <w:rPr>
          <w:spacing w:val="-34"/>
        </w:rPr>
      </w:r>
      <w:r>
        <w:rPr/>
        <w:t>经审慎论证后公司决定终止实施</w:t>
      </w:r>
      <w:r>
        <w:rPr>
          <w:rFonts w:ascii="Times New Roman" w:hAnsi="Times New Roman" w:cs="Times New Roman" w:eastAsia="Times New Roman" w:hint="default"/>
        </w:rPr>
        <w:t>2016</w:t>
      </w:r>
      <w:r>
        <w:rPr/>
        <w:t>年限制性股票激励计划，并回购注销已获授但未解锁的全部限制性股 票。回购股份人数：</w:t>
      </w:r>
      <w:r>
        <w:rPr>
          <w:rFonts w:ascii="Times New Roman" w:hAnsi="Times New Roman" w:cs="Times New Roman" w:eastAsia="Times New Roman" w:hint="default"/>
        </w:rPr>
        <w:t>361</w:t>
      </w:r>
      <w:r>
        <w:rPr/>
        <w:t>人，回购股份</w:t>
      </w:r>
      <w:r>
        <w:rPr>
          <w:rFonts w:ascii="Times New Roman" w:hAnsi="Times New Roman" w:cs="Times New Roman" w:eastAsia="Times New Roman" w:hint="default"/>
        </w:rPr>
        <w:t>5,873,300</w:t>
      </w:r>
      <w:r>
        <w:rPr/>
        <w:t>股。公司于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日发布了《众信旅游：关于终止实</w:t>
      </w:r>
      <w:r>
        <w:rPr>
          <w:spacing w:val="-42"/>
        </w:rPr>
        <w:t> </w:t>
      </w:r>
      <w:r>
        <w:rPr>
          <w:spacing w:val="-42"/>
        </w:rPr>
      </w:r>
      <w:r>
        <w:rPr/>
        <w:t>施</w:t>
      </w:r>
      <w:r>
        <w:rPr>
          <w:rFonts w:ascii="Times New Roman" w:hAnsi="Times New Roman" w:cs="Times New Roman" w:eastAsia="Times New Roman" w:hint="default"/>
        </w:rPr>
        <w:t>2016</w:t>
      </w:r>
      <w:r>
        <w:rPr/>
        <w:t>年限制性股票激励计划并回购注销已获授但未解锁的全部限制性股票的公告》（</w:t>
      </w:r>
      <w:r>
        <w:rPr>
          <w:rFonts w:ascii="Times New Roman" w:hAnsi="Times New Roman" w:cs="Times New Roman" w:eastAsia="Times New Roman" w:hint="default"/>
        </w:rPr>
        <w:t>2017-104</w:t>
      </w:r>
      <w:r>
        <w:rPr/>
        <w:t>）。公司</w:t>
      </w:r>
      <w:r>
        <w:rPr>
          <w:spacing w:val="-101"/>
        </w:rPr>
        <w:t> </w:t>
      </w:r>
      <w:r>
        <w:rPr>
          <w:spacing w:val="-101"/>
        </w:rPr>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13</w:t>
      </w:r>
      <w:r>
        <w:rPr>
          <w:spacing w:val="3"/>
        </w:rPr>
        <w:t>日已在中国证券登记结算有限责任公司深圳分公司办理完成上述限制性股票的回购注销</w:t>
      </w:r>
      <w:r>
        <w:rPr>
          <w:spacing w:val="-93"/>
        </w:rPr>
        <w:t> </w:t>
      </w:r>
      <w:r>
        <w:rPr>
          <w:spacing w:val="-93"/>
        </w:rPr>
      </w:r>
      <w:r>
        <w:rPr/>
        <w:t>手续，并于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日发布了《众信旅游：关于</w:t>
      </w:r>
      <w:r>
        <w:rPr>
          <w:rFonts w:ascii="Times New Roman" w:hAnsi="Times New Roman" w:cs="Times New Roman" w:eastAsia="Times New Roman" w:hint="default"/>
        </w:rPr>
        <w:t>2016</w:t>
      </w:r>
      <w:r>
        <w:rPr/>
        <w:t>年限制性股票激励计划已获授但未解锁的全部限 制性股票回购注销完成的公告》（</w:t>
      </w:r>
      <w:r>
        <w:rPr>
          <w:rFonts w:ascii="Times New Roman" w:hAnsi="Times New Roman" w:cs="Times New Roman" w:eastAsia="Times New Roman" w:hint="default"/>
        </w:rPr>
        <w:t>2017-104</w:t>
      </w:r>
      <w:r>
        <w:rPr/>
        <w:t>）。本次回购注销完成后，公司有限售条件股份减少</w:t>
      </w:r>
      <w:r>
        <w:rPr>
          <w:rFonts w:ascii="Times New Roman" w:hAnsi="Times New Roman" w:cs="Times New Roman" w:eastAsia="Times New Roman" w:hint="default"/>
          <w:sz w:val="20"/>
          <w:szCs w:val="20"/>
        </w:rPr>
        <w:t>5,873,300</w:t>
      </w:r>
      <w:r>
        <w:rPr>
          <w:rFonts w:ascii="Times New Roman" w:hAnsi="Times New Roman" w:cs="Times New Roman" w:eastAsia="Times New Roman" w:hint="default"/>
          <w:spacing w:val="-11"/>
          <w:sz w:val="20"/>
          <w:szCs w:val="20"/>
        </w:rPr>
        <w:t> </w:t>
      </w:r>
      <w:r>
        <w:rPr>
          <w:rFonts w:ascii="Times New Roman" w:hAnsi="Times New Roman" w:cs="Times New Roman" w:eastAsia="Times New Roman" w:hint="default"/>
          <w:spacing w:val="-11"/>
          <w:sz w:val="20"/>
          <w:szCs w:val="20"/>
        </w:rPr>
      </w:r>
      <w:r>
        <w:rPr/>
        <w:t>股，公司相应减少股本</w:t>
      </w:r>
      <w:r>
        <w:rPr>
          <w:rFonts w:ascii="Times New Roman" w:hAnsi="Times New Roman" w:cs="Times New Roman" w:eastAsia="Times New Roman" w:hint="default"/>
          <w:sz w:val="20"/>
          <w:szCs w:val="20"/>
        </w:rPr>
        <w:t>5,873,300</w:t>
      </w:r>
      <w:r>
        <w:rPr/>
        <w:t>股。具体情况如下：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386" w:lineRule="auto" w:before="35"/>
        <w:ind w:left="153" w:right="102" w:firstLine="420"/>
        <w:jc w:val="left"/>
      </w:pPr>
      <w:r>
        <w:rPr>
          <w:rFonts w:ascii="Times New Roman" w:hAnsi="Times New Roman" w:cs="Times New Roman" w:eastAsia="Times New Roman" w:hint="default"/>
          <w:spacing w:val="-3"/>
        </w:rPr>
        <w:t>11</w:t>
      </w:r>
      <w:r>
        <w:rPr>
          <w:spacing w:val="-3"/>
        </w:rPr>
        <w:t>、截至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w:t>
      </w:r>
      <w:r>
        <w:rPr>
          <w:spacing w:val="-3"/>
        </w:rPr>
        <w:t>日，原公司副总经理张莉女士离任满十八个月，其所持剩余</w:t>
      </w:r>
      <w:r>
        <w:rPr>
          <w:rFonts w:ascii="Times New Roman" w:hAnsi="Times New Roman" w:cs="Times New Roman" w:eastAsia="Times New Roman" w:hint="default"/>
          <w:spacing w:val="-3"/>
        </w:rPr>
        <w:t>50%</w:t>
      </w:r>
      <w:r>
        <w:rPr>
          <w:spacing w:val="-3"/>
        </w:rPr>
        <w:t>高管锁定股全部</w:t>
      </w:r>
      <w:r>
        <w:rPr/>
        <w:t> </w:t>
      </w:r>
      <w:r>
        <w:rPr>
          <w:spacing w:val="-1"/>
        </w:rPr>
        <w:t>解锁（因职务变动的原因，张莉女士申请辞去公司副总经理职务。详见公司于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w:t>
      </w:r>
      <w:r>
        <w:rPr>
          <w:spacing w:val="-1"/>
        </w:rPr>
        <w:t>日发布的《关于</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副总经理职务变动的公告》（公告编号：</w:t>
      </w:r>
      <w:r>
        <w:rPr>
          <w:rFonts w:ascii="Times New Roman" w:hAnsi="Times New Roman" w:cs="Times New Roman" w:eastAsia="Times New Roman" w:hint="default"/>
        </w:rPr>
        <w:t>2016-084</w:t>
      </w:r>
      <w:r>
        <w:rPr/>
        <w:t>）），具体情况如下：</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728"/>
        <w:gridCol w:w="1316"/>
        <w:gridCol w:w="990"/>
        <w:gridCol w:w="1122"/>
        <w:gridCol w:w="1096"/>
        <w:gridCol w:w="1316"/>
        <w:gridCol w:w="1042"/>
      </w:tblGrid>
      <w:tr>
        <w:trPr>
          <w:trHeight w:val="347" w:hRule="exact"/>
        </w:trPr>
        <w:tc>
          <w:tcPr>
            <w:tcW w:w="272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8"/>
              <w:ind w:left="4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0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668"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21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724"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5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694"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7" w:hRule="exact"/>
        </w:trPr>
        <w:tc>
          <w:tcPr>
            <w:tcW w:w="2728" w:type="dxa"/>
            <w:vMerge/>
            <w:tcBorders>
              <w:left w:val="single" w:sz="6" w:space="0" w:color="000000"/>
              <w:bottom w:val="single" w:sz="6" w:space="0" w:color="000000"/>
              <w:right w:val="single" w:sz="6" w:space="0" w:color="000000"/>
            </w:tcBorders>
            <w:shd w:val="clear" w:color="auto" w:fill="D9D9D9"/>
          </w:tcPr>
          <w:p>
            <w:pPr/>
          </w:p>
        </w:tc>
        <w:tc>
          <w:tcPr>
            <w:tcW w:w="1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75"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9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10"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51"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63"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75"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33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383,139,849</w:t>
            </w:r>
            <w:r>
              <w:rPr>
                <w:rFonts w:ascii="Times New Roman"/>
                <w:sz w:val="20"/>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45.75%</w:t>
            </w:r>
            <w:r>
              <w:rPr>
                <w:rFonts w:ascii="Times New Roman"/>
                <w:spacing w:val="-1"/>
                <w:sz w:val="20"/>
              </w:rPr>
            </w:r>
          </w:p>
        </w:tc>
        <w:tc>
          <w:tcPr>
            <w:tcW w:w="112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10,658,362</w:t>
            </w:r>
            <w:r>
              <w:rPr>
                <w:rFonts w:ascii="Times New Roman"/>
                <w:sz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372,481,487</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44.48%</w:t>
            </w:r>
            <w:r>
              <w:rPr>
                <w:rFonts w:ascii="Times New Roman"/>
                <w:spacing w:val="-1"/>
                <w:sz w:val="20"/>
              </w:rPr>
            </w:r>
          </w:p>
        </w:tc>
      </w:tr>
      <w:tr>
        <w:trPr>
          <w:trHeight w:val="348"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6.11%</w:t>
            </w:r>
          </w:p>
        </w:tc>
        <w:tc>
          <w:tcPr>
            <w:tcW w:w="112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6.11%</w:t>
            </w:r>
          </w:p>
        </w:tc>
      </w:tr>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4,820,640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0.58%</w:t>
            </w:r>
          </w:p>
        </w:tc>
        <w:tc>
          <w:tcPr>
            <w:tcW w:w="112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4,820,640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0.58%</w:t>
            </w:r>
          </w:p>
        </w:tc>
      </w:tr>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0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327,186,609</w:t>
            </w:r>
            <w:r>
              <w:rPr>
                <w:rFonts w:ascii="Times New Roman"/>
                <w:sz w:val="20"/>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39.07%</w:t>
            </w:r>
          </w:p>
        </w:tc>
        <w:tc>
          <w:tcPr>
            <w:tcW w:w="112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10,658,362</w:t>
            </w:r>
            <w:r>
              <w:rPr>
                <w:rFonts w:ascii="Times New Roman"/>
                <w:sz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316,528,247</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37.80%</w:t>
            </w:r>
          </w:p>
        </w:tc>
      </w:tr>
      <w:tr>
        <w:trPr>
          <w:trHeight w:val="347"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454,277,271</w:t>
            </w:r>
            <w:r>
              <w:rPr>
                <w:rFonts w:ascii="Times New Roman"/>
                <w:sz w:val="20"/>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54.25%</w:t>
            </w:r>
            <w:r>
              <w:rPr>
                <w:rFonts w:ascii="Times New Roman"/>
                <w:spacing w:val="-1"/>
                <w:sz w:val="20"/>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03" w:right="0"/>
              <w:jc w:val="left"/>
              <w:rPr>
                <w:rFonts w:ascii="Times New Roman" w:hAnsi="Times New Roman" w:cs="Times New Roman" w:eastAsia="Times New Roman" w:hint="default"/>
                <w:sz w:val="20"/>
                <w:szCs w:val="20"/>
              </w:rPr>
            </w:pPr>
            <w:r>
              <w:rPr>
                <w:rFonts w:ascii="Times New Roman"/>
                <w:b/>
                <w:sz w:val="20"/>
              </w:rPr>
              <w:t>10,658,362</w:t>
            </w:r>
            <w:r>
              <w:rPr>
                <w:rFonts w:ascii="Times New Roman"/>
                <w:sz w:val="20"/>
              </w:rPr>
            </w:r>
          </w:p>
        </w:tc>
        <w:tc>
          <w:tcPr>
            <w:tcW w:w="109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464,935,633</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55.52%</w:t>
            </w:r>
            <w:r>
              <w:rPr>
                <w:rFonts w:ascii="Times New Roman"/>
                <w:spacing w:val="-1"/>
                <w:sz w:val="20"/>
              </w:rPr>
            </w:r>
          </w:p>
        </w:tc>
      </w:tr>
      <w:tr>
        <w:trPr>
          <w:trHeight w:val="348" w:hRule="exact"/>
        </w:trPr>
        <w:tc>
          <w:tcPr>
            <w:tcW w:w="2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837,417,120</w:t>
            </w:r>
            <w:r>
              <w:rPr>
                <w:rFonts w:ascii="Times New Roman"/>
                <w:sz w:val="20"/>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12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right"/>
              <w:rPr>
                <w:rFonts w:ascii="Times New Roman" w:hAnsi="Times New Roman" w:cs="Times New Roman" w:eastAsia="Times New Roman" w:hint="default"/>
                <w:sz w:val="20"/>
                <w:szCs w:val="20"/>
              </w:rPr>
            </w:pPr>
            <w:r>
              <w:rPr>
                <w:rFonts w:ascii="Times New Roman"/>
                <w:b/>
                <w:spacing w:val="-1"/>
                <w:sz w:val="20"/>
              </w:rPr>
              <w:t>837,417,120</w:t>
            </w:r>
            <w:r>
              <w:rPr>
                <w:rFonts w:ascii="Times New Roman"/>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Style w:val="BodyText"/>
        <w:spacing w:line="386" w:lineRule="auto" w:before="63"/>
        <w:ind w:left="153" w:right="145" w:firstLine="420"/>
        <w:jc w:val="both"/>
      </w:pPr>
      <w:r>
        <w:rPr/>
        <w:pict>
          <v:shape style="position:absolute;margin-left:56.459999pt;margin-top:210.594116pt;width:481.2pt;height:137.3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8"/>
                    <w:gridCol w:w="1316"/>
                    <w:gridCol w:w="990"/>
                    <w:gridCol w:w="1122"/>
                    <w:gridCol w:w="1096"/>
                    <w:gridCol w:w="1316"/>
                    <w:gridCol w:w="1042"/>
                  </w:tblGrid>
                  <w:tr>
                    <w:trPr>
                      <w:trHeight w:val="342" w:hRule="exact"/>
                    </w:trPr>
                    <w:tc>
                      <w:tcPr>
                        <w:tcW w:w="27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left="4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70" w:right="0"/>
                          <w:jc w:val="left"/>
                          <w:rPr>
                            <w:rFonts w:ascii="宋体" w:hAnsi="宋体" w:cs="宋体" w:eastAsia="宋体" w:hint="default"/>
                            <w:sz w:val="20"/>
                            <w:szCs w:val="20"/>
                          </w:rPr>
                        </w:pPr>
                        <w:r>
                          <w:rPr>
                            <w:rFonts w:ascii="宋体" w:hAnsi="宋体" w:cs="宋体" w:eastAsia="宋体" w:hint="default"/>
                            <w:b/>
                            <w:bCs/>
                            <w:sz w:val="20"/>
                            <w:szCs w:val="20"/>
                          </w:rPr>
                          <w:t>本次变动前</w:t>
                        </w:r>
                        <w:r>
                          <w:rPr>
                            <w:rFonts w:ascii="宋体" w:hAnsi="宋体" w:cs="宋体" w:eastAsia="宋体" w:hint="default"/>
                            <w:sz w:val="20"/>
                            <w:szCs w:val="20"/>
                          </w:rPr>
                        </w:r>
                      </w:p>
                    </w:tc>
                    <w:tc>
                      <w:tcPr>
                        <w:tcW w:w="221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727" w:right="0"/>
                          <w:jc w:val="left"/>
                          <w:rPr>
                            <w:rFonts w:ascii="宋体" w:hAnsi="宋体" w:cs="宋体" w:eastAsia="宋体" w:hint="default"/>
                            <w:sz w:val="20"/>
                            <w:szCs w:val="20"/>
                          </w:rPr>
                        </w:pPr>
                        <w:r>
                          <w:rPr>
                            <w:rFonts w:ascii="宋体" w:hAnsi="宋体" w:cs="宋体" w:eastAsia="宋体" w:hint="default"/>
                            <w:b/>
                            <w:bCs/>
                            <w:sz w:val="20"/>
                            <w:szCs w:val="20"/>
                          </w:rPr>
                          <w:t>本次变动</w:t>
                        </w:r>
                        <w:r>
                          <w:rPr>
                            <w:rFonts w:ascii="宋体" w:hAnsi="宋体" w:cs="宋体" w:eastAsia="宋体" w:hint="default"/>
                            <w:sz w:val="20"/>
                            <w:szCs w:val="20"/>
                          </w:rPr>
                        </w:r>
                      </w:p>
                    </w:tc>
                    <w:tc>
                      <w:tcPr>
                        <w:tcW w:w="235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97" w:right="0"/>
                          <w:jc w:val="left"/>
                          <w:rPr>
                            <w:rFonts w:ascii="宋体" w:hAnsi="宋体" w:cs="宋体" w:eastAsia="宋体" w:hint="default"/>
                            <w:sz w:val="20"/>
                            <w:szCs w:val="20"/>
                          </w:rPr>
                        </w:pPr>
                        <w:r>
                          <w:rPr>
                            <w:rFonts w:ascii="宋体" w:hAnsi="宋体" w:cs="宋体" w:eastAsia="宋体" w:hint="default"/>
                            <w:b/>
                            <w:bCs/>
                            <w:sz w:val="20"/>
                            <w:szCs w:val="20"/>
                          </w:rPr>
                          <w:t>本次变动后</w:t>
                        </w:r>
                        <w:r>
                          <w:rPr>
                            <w:rFonts w:ascii="宋体" w:hAnsi="宋体" w:cs="宋体" w:eastAsia="宋体" w:hint="default"/>
                            <w:sz w:val="20"/>
                            <w:szCs w:val="20"/>
                          </w:rPr>
                        </w:r>
                      </w:p>
                    </w:tc>
                  </w:tr>
                  <w:tr>
                    <w:trPr>
                      <w:trHeight w:val="341" w:hRule="exact"/>
                    </w:trPr>
                    <w:tc>
                      <w:tcPr>
                        <w:tcW w:w="2728" w:type="dxa"/>
                        <w:vMerge/>
                        <w:tcBorders>
                          <w:left w:val="single" w:sz="4" w:space="0" w:color="000000"/>
                          <w:bottom w:val="single" w:sz="4" w:space="0" w:color="000000"/>
                          <w:right w:val="single" w:sz="4" w:space="0" w:color="000000"/>
                        </w:tcBorders>
                        <w:shd w:val="clear" w:color="auto" w:fill="D9D9D9"/>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1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53" w:right="0"/>
                          <w:jc w:val="left"/>
                          <w:rPr>
                            <w:rFonts w:ascii="宋体" w:hAnsi="宋体" w:cs="宋体" w:eastAsia="宋体" w:hint="default"/>
                            <w:sz w:val="20"/>
                            <w:szCs w:val="20"/>
                          </w:rPr>
                        </w:pPr>
                        <w:r>
                          <w:rPr>
                            <w:rFonts w:ascii="宋体" w:hAnsi="宋体" w:cs="宋体" w:eastAsia="宋体" w:hint="default"/>
                            <w:b/>
                            <w:bCs/>
                            <w:sz w:val="20"/>
                            <w:szCs w:val="20"/>
                          </w:rPr>
                          <w:t>增加</w:t>
                        </w:r>
                        <w:r>
                          <w:rPr>
                            <w:rFonts w:ascii="宋体" w:hAnsi="宋体" w:cs="宋体" w:eastAsia="宋体" w:hint="default"/>
                            <w:sz w:val="20"/>
                            <w:szCs w:val="20"/>
                          </w:rPr>
                        </w:r>
                      </w:p>
                    </w:tc>
                    <w:tc>
                      <w:tcPr>
                        <w:tcW w:w="10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65" w:right="0"/>
                          <w:jc w:val="left"/>
                          <w:rPr>
                            <w:rFonts w:ascii="宋体" w:hAnsi="宋体" w:cs="宋体" w:eastAsia="宋体" w:hint="default"/>
                            <w:sz w:val="20"/>
                            <w:szCs w:val="20"/>
                          </w:rPr>
                        </w:pPr>
                        <w:r>
                          <w:rPr>
                            <w:rFonts w:ascii="宋体" w:hAnsi="宋体" w:cs="宋体" w:eastAsia="宋体" w:hint="default"/>
                            <w:b/>
                            <w:bCs/>
                            <w:sz w:val="20"/>
                            <w:szCs w:val="20"/>
                          </w:rPr>
                          <w:t>减少</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77" w:right="0"/>
                          <w:jc w:val="left"/>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3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4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一、限售流通股（非流通股）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372,481,487</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44.48%</w:t>
                        </w:r>
                        <w:r>
                          <w:rPr>
                            <w:rFonts w:ascii="Times New Roman"/>
                            <w:spacing w:val="-1"/>
                            <w:sz w:val="20"/>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12,643,700</w:t>
                        </w:r>
                        <w:r>
                          <w:rPr>
                            <w:rFonts w:ascii="Times New Roman"/>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385,125,187</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
                          <w:jc w:val="right"/>
                          <w:rPr>
                            <w:rFonts w:ascii="Times New Roman" w:hAnsi="Times New Roman" w:cs="Times New Roman" w:eastAsia="Times New Roman" w:hint="default"/>
                            <w:sz w:val="20"/>
                            <w:szCs w:val="20"/>
                          </w:rPr>
                        </w:pPr>
                        <w:r>
                          <w:rPr>
                            <w:rFonts w:ascii="Times New Roman"/>
                            <w:b/>
                            <w:spacing w:val="-1"/>
                            <w:sz w:val="20"/>
                          </w:rPr>
                          <w:t>45.31%</w:t>
                        </w:r>
                        <w:r>
                          <w:rPr>
                            <w:rFonts w:ascii="Times New Roman"/>
                            <w:spacing w:val="-1"/>
                            <w:sz w:val="20"/>
                          </w:rPr>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首发后限售股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6.11%</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51,132,600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6.02%</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股权激励限售股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4,820,640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0.58%</w:t>
                        </w:r>
                        <w:r>
                          <w:rPr>
                            <w:rFonts w:ascii="Times New Roman"/>
                            <w:sz w:val="20"/>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spacing w:val="-1"/>
                            <w:sz w:val="20"/>
                          </w:rPr>
                          <w:t>12,643,700</w:t>
                        </w:r>
                        <w:r>
                          <w:rPr>
                            <w:rFonts w:ascii="Times New Roman"/>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17,464,340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2.05%</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4"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316,528,247</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37.80%</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316,528,247</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37.24%</w:t>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二、无限售流通股</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464,935,633</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55.52%</w:t>
                        </w:r>
                        <w:r>
                          <w:rPr>
                            <w:rFonts w:ascii="Times New Roman"/>
                            <w:spacing w:val="-1"/>
                            <w:sz w:val="20"/>
                          </w:rPr>
                        </w:r>
                      </w:p>
                    </w:tc>
                    <w:tc>
                      <w:tcPr>
                        <w:tcW w:w="112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464,935,633</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54.69%</w:t>
                        </w:r>
                        <w:r>
                          <w:rPr>
                            <w:rFonts w:ascii="Times New Roman"/>
                            <w:spacing w:val="-1"/>
                            <w:sz w:val="20"/>
                          </w:rPr>
                        </w:r>
                      </w:p>
                    </w:tc>
                  </w:tr>
                  <w:tr>
                    <w:trPr>
                      <w:trHeight w:val="34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三、总股本</w:t>
                        </w:r>
                        <w:r>
                          <w:rPr>
                            <w:rFonts w:ascii="宋体" w:hAnsi="宋体" w:cs="宋体" w:eastAsia="宋体" w:hint="default"/>
                            <w:sz w:val="20"/>
                            <w:szCs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837,417,120</w:t>
                        </w:r>
                        <w:r>
                          <w:rPr>
                            <w:rFonts w:ascii="Times New Roman"/>
                            <w:sz w:val="20"/>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right"/>
                          <w:rPr>
                            <w:rFonts w:ascii="Times New Roman" w:hAnsi="Times New Roman" w:cs="Times New Roman" w:eastAsia="Times New Roman" w:hint="default"/>
                            <w:sz w:val="20"/>
                            <w:szCs w:val="20"/>
                          </w:rPr>
                        </w:pPr>
                        <w:r>
                          <w:rPr>
                            <w:rFonts w:ascii="Times New Roman"/>
                            <w:b/>
                            <w:spacing w:val="-1"/>
                            <w:sz w:val="20"/>
                          </w:rPr>
                          <w:t>12,643,700</w:t>
                        </w:r>
                        <w:r>
                          <w:rPr>
                            <w:rFonts w:ascii="Times New Roman"/>
                            <w:sz w:val="20"/>
                          </w:rPr>
                        </w:r>
                      </w:p>
                    </w:tc>
                    <w:tc>
                      <w:tcPr>
                        <w:tcW w:w="10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20"/>
                            <w:szCs w:val="20"/>
                          </w:rPr>
                        </w:pPr>
                        <w:r>
                          <w:rPr>
                            <w:rFonts w:ascii="Times New Roman"/>
                            <w:b/>
                            <w:spacing w:val="-1"/>
                            <w:sz w:val="20"/>
                          </w:rPr>
                          <w:t>850,060,820</w:t>
                        </w:r>
                        <w:r>
                          <w:rPr>
                            <w:rFonts w:ascii="Times New Roman"/>
                            <w:sz w:val="20"/>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p>
              </w:txbxContent>
            </v:textbox>
            <w10:wrap type="none"/>
          </v:shape>
        </w:pict>
      </w:r>
      <w:r>
        <w:rPr>
          <w:rFonts w:ascii="Times New Roman" w:hAnsi="Times New Roman" w:cs="Times New Roman" w:eastAsia="Times New Roman" w:hint="default"/>
          <w:spacing w:val="-1"/>
        </w:rPr>
        <w:t>12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12</w:t>
      </w:r>
      <w:r>
        <w:rPr>
          <w:spacing w:val="-1"/>
        </w:rPr>
        <w:t>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日，公司第三届董事会第六十五次会议及</w:t>
      </w:r>
      <w:r>
        <w:rPr>
          <w:rFonts w:ascii="Times New Roman" w:hAnsi="Times New Roman" w:cs="Times New Roman" w:eastAsia="Times New Roman" w:hint="default"/>
          <w:spacing w:val="-1"/>
        </w:rPr>
        <w:t>2017</w:t>
      </w:r>
      <w:r>
        <w:rPr>
          <w:spacing w:val="-1"/>
        </w:rPr>
        <w:t>年第七次临时股东</w:t>
      </w:r>
      <w:r>
        <w:rPr/>
        <w:t> 大会议审议通过了《关于众信旅游集团股份有限公司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w:t>
      </w:r>
      <w:r>
        <w:rPr>
          <w:spacing w:val="-50"/>
        </w:rPr>
        <w:t> </w:t>
      </w:r>
      <w:r>
        <w:rPr>
          <w:spacing w:val="-50"/>
        </w:rPr>
      </w:r>
      <w:r>
        <w:rPr/>
        <w:t>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日，公司第三届董事会第六十八次会议审议通过了《关于向激励对象授予限制性股票</w:t>
      </w:r>
      <w:r>
        <w:rPr>
          <w:spacing w:val="-36"/>
        </w:rPr>
        <w:t> </w:t>
      </w:r>
      <w:r>
        <w:rPr>
          <w:spacing w:val="-36"/>
        </w:rPr>
      </w:r>
      <w:r>
        <w:rPr>
          <w:spacing w:val="-2"/>
        </w:rPr>
        <w:t>的议案》，确定以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w:t>
      </w:r>
      <w:r>
        <w:rPr>
          <w:spacing w:val="-2"/>
        </w:rPr>
        <w:t>日为首次授予日向</w:t>
      </w:r>
      <w:r>
        <w:rPr>
          <w:rFonts w:ascii="Times New Roman" w:hAnsi="Times New Roman" w:cs="Times New Roman" w:eastAsia="Times New Roman" w:hint="default"/>
          <w:spacing w:val="-2"/>
        </w:rPr>
        <w:t>393</w:t>
      </w:r>
      <w:r>
        <w:rPr>
          <w:spacing w:val="-2"/>
        </w:rPr>
        <w:t>名激励对象授予</w:t>
      </w:r>
      <w:r>
        <w:rPr>
          <w:rFonts w:ascii="Times New Roman" w:hAnsi="Times New Roman" w:cs="Times New Roman" w:eastAsia="Times New Roman" w:hint="default"/>
          <w:spacing w:val="-2"/>
        </w:rPr>
        <w:t>1,300</w:t>
      </w:r>
      <w:r>
        <w:rPr>
          <w:spacing w:val="-2"/>
        </w:rPr>
        <w:t>万股限制性股票。在授予日后资</w:t>
      </w:r>
      <w:r>
        <w:rPr>
          <w:spacing w:val="-85"/>
        </w:rPr>
        <w:t> </w:t>
      </w:r>
      <w:r>
        <w:rPr>
          <w:spacing w:val="-85"/>
        </w:rPr>
      </w:r>
      <w:r>
        <w:rPr/>
        <w:t>金缴纳过程中</w:t>
      </w:r>
      <w:r>
        <w:rPr>
          <w:rFonts w:ascii="Times New Roman" w:hAnsi="Times New Roman" w:cs="Times New Roman" w:eastAsia="Times New Roman" w:hint="default"/>
        </w:rPr>
        <w:t>25</w:t>
      </w:r>
      <w:r>
        <w:rPr/>
        <w:t>名激励对象全部放弃认购，其股份数量为</w:t>
      </w:r>
      <w:r>
        <w:rPr>
          <w:rFonts w:ascii="Times New Roman" w:hAnsi="Times New Roman" w:cs="Times New Roman" w:eastAsia="Times New Roman" w:hint="default"/>
        </w:rPr>
        <w:t>352,050</w:t>
      </w:r>
      <w:r>
        <w:rPr/>
        <w:t>股，</w:t>
      </w:r>
      <w:r>
        <w:rPr>
          <w:rFonts w:ascii="Times New Roman" w:hAnsi="Times New Roman" w:cs="Times New Roman" w:eastAsia="Times New Roman" w:hint="default"/>
        </w:rPr>
        <w:t>1</w:t>
      </w:r>
      <w:r>
        <w:rPr/>
        <w:t>名激励对象部分放弃认购，其放弃</w:t>
      </w:r>
      <w:r>
        <w:rPr>
          <w:spacing w:val="-84"/>
        </w:rPr>
        <w:t> </w:t>
      </w:r>
      <w:r>
        <w:rPr>
          <w:spacing w:val="-84"/>
        </w:rPr>
      </w:r>
      <w:r>
        <w:rPr/>
        <w:t>认购的股份数量为</w:t>
      </w:r>
      <w:r>
        <w:rPr>
          <w:rFonts w:ascii="Times New Roman" w:hAnsi="Times New Roman" w:cs="Times New Roman" w:eastAsia="Times New Roman" w:hint="default"/>
        </w:rPr>
        <w:t>4,250</w:t>
      </w:r>
      <w:r>
        <w:rPr/>
        <w:t>股，</w:t>
      </w:r>
      <w:r>
        <w:rPr>
          <w:rFonts w:ascii="Times New Roman" w:hAnsi="Times New Roman" w:cs="Times New Roman" w:eastAsia="Times New Roman" w:hint="default"/>
        </w:rPr>
        <w:t>26</w:t>
      </w:r>
      <w:r>
        <w:rPr/>
        <w:t>人合计放弃认购股份共</w:t>
      </w:r>
      <w:r>
        <w:rPr>
          <w:rFonts w:ascii="Times New Roman" w:hAnsi="Times New Roman" w:cs="Times New Roman" w:eastAsia="Times New Roman" w:hint="default"/>
        </w:rPr>
        <w:t>356,300</w:t>
      </w:r>
      <w:r>
        <w:rPr/>
        <w:t>股，最终公司</w:t>
      </w:r>
      <w:r>
        <w:rPr>
          <w:rFonts w:ascii="Times New Roman" w:hAnsi="Times New Roman" w:cs="Times New Roman" w:eastAsia="Times New Roman" w:hint="default"/>
        </w:rPr>
        <w:t>2017</w:t>
      </w:r>
      <w:r>
        <w:rPr/>
        <w:t>年限制性股票激励计划首</w:t>
      </w:r>
      <w:r>
        <w:rPr>
          <w:spacing w:val="-39"/>
        </w:rPr>
        <w:t> </w:t>
      </w:r>
      <w:r>
        <w:rPr>
          <w:spacing w:val="-39"/>
        </w:rPr>
      </w:r>
      <w:r>
        <w:rPr>
          <w:spacing w:val="-1"/>
        </w:rPr>
        <w:t>次授予激励对象人数为</w:t>
      </w:r>
      <w:r>
        <w:rPr>
          <w:rFonts w:ascii="Times New Roman" w:hAnsi="Times New Roman" w:cs="Times New Roman" w:eastAsia="Times New Roman" w:hint="default"/>
          <w:spacing w:val="-1"/>
        </w:rPr>
        <w:t>368</w:t>
      </w:r>
      <w:r>
        <w:rPr>
          <w:spacing w:val="-1"/>
        </w:rPr>
        <w:t>人，授予股份为</w:t>
      </w:r>
      <w:r>
        <w:rPr>
          <w:rFonts w:ascii="Times New Roman" w:hAnsi="Times New Roman" w:cs="Times New Roman" w:eastAsia="Times New Roman" w:hint="default"/>
          <w:spacing w:val="-1"/>
        </w:rPr>
        <w:t>12,643,700</w:t>
      </w:r>
      <w:r>
        <w:rPr>
          <w:spacing w:val="-1"/>
        </w:rPr>
        <w:t>股。公司于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日发布了《关于</w:t>
      </w:r>
      <w:r>
        <w:rPr>
          <w:rFonts w:ascii="Times New Roman" w:hAnsi="Times New Roman" w:cs="Times New Roman" w:eastAsia="Times New Roman" w:hint="default"/>
          <w:spacing w:val="-1"/>
        </w:rPr>
        <w:t>2017</w:t>
      </w:r>
      <w:r>
        <w:rPr>
          <w:spacing w:val="-1"/>
        </w:rPr>
        <w:t>年限制</w:t>
      </w:r>
      <w:r>
        <w:rPr>
          <w:spacing w:val="-86"/>
        </w:rPr>
        <w:t> </w:t>
      </w:r>
      <w:r>
        <w:rPr>
          <w:spacing w:val="-86"/>
        </w:rPr>
      </w:r>
      <w:r>
        <w:rPr/>
        <w:t>性股票激励计划股份首次授予完成的公告》（公告编号：</w:t>
      </w:r>
      <w:r>
        <w:rPr>
          <w:rFonts w:ascii="Times New Roman" w:hAnsi="Times New Roman" w:cs="Times New Roman" w:eastAsia="Times New Roman" w:hint="default"/>
        </w:rPr>
        <w:t>2017-129</w:t>
      </w:r>
      <w:r>
        <w:rPr/>
        <w:t>），公司新增有限售流通股（即股权激</w:t>
      </w:r>
      <w:r>
        <w:rPr>
          <w:spacing w:val="-100"/>
        </w:rPr>
        <w:t> </w:t>
      </w:r>
      <w:r>
        <w:rPr>
          <w:spacing w:val="-100"/>
        </w:rPr>
      </w:r>
      <w:r>
        <w:rPr/>
        <w:t>励限售股</w:t>
      </w:r>
      <w:r>
        <w:rPr>
          <w:rFonts w:ascii="Times New Roman" w:hAnsi="Times New Roman" w:cs="Times New Roman" w:eastAsia="Times New Roman" w:hint="default"/>
        </w:rPr>
        <w:t>12,643,700</w:t>
      </w:r>
      <w:r>
        <w:rPr/>
        <w:t>股），授予股份上市日期为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8" w:lineRule="auto" w:before="11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见上述股份变动原因 股份变动的过户情况</w:t>
      </w:r>
    </w:p>
    <w:p>
      <w:pPr>
        <w:spacing w:line="338" w:lineRule="auto" w:before="3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见上述股份变动原因</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812"/>
        <w:gridCol w:w="4159"/>
        <w:gridCol w:w="4686"/>
      </w:tblGrid>
      <w:tr>
        <w:trPr>
          <w:trHeight w:val="343" w:hRule="exact"/>
        </w:trPr>
        <w:tc>
          <w:tcPr>
            <w:tcW w:w="8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4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变动后</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7"/>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812"/>
        <w:gridCol w:w="1324"/>
        <w:gridCol w:w="1274"/>
        <w:gridCol w:w="1561"/>
        <w:gridCol w:w="1302"/>
        <w:gridCol w:w="1391"/>
        <w:gridCol w:w="1993"/>
      </w:tblGrid>
      <w:tr>
        <w:trPr>
          <w:trHeight w:val="653" w:hRule="exact"/>
        </w:trPr>
        <w:tc>
          <w:tcPr>
            <w:tcW w:w="8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132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5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56" w:right="53"/>
              <w:jc w:val="left"/>
              <w:rPr>
                <w:rFonts w:ascii="宋体" w:hAnsi="宋体" w:cs="宋体" w:eastAsia="宋体" w:hint="default"/>
                <w:sz w:val="18"/>
                <w:szCs w:val="18"/>
              </w:rPr>
            </w:pPr>
            <w:r>
              <w:rPr>
                <w:rFonts w:ascii="宋体" w:hAnsi="宋体" w:cs="宋体" w:eastAsia="宋体" w:hint="default"/>
                <w:sz w:val="18"/>
                <w:szCs w:val="18"/>
              </w:rPr>
              <w:t>归属于公司普通股 股东的每股净资产</w:t>
            </w:r>
          </w:p>
        </w:tc>
        <w:tc>
          <w:tcPr>
            <w:tcW w:w="13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99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51" w:right="90" w:hanging="360"/>
              <w:jc w:val="left"/>
              <w:rPr>
                <w:rFonts w:ascii="宋体" w:hAnsi="宋体" w:cs="宋体" w:eastAsia="宋体" w:hint="default"/>
                <w:sz w:val="18"/>
                <w:szCs w:val="18"/>
              </w:rPr>
            </w:pPr>
            <w:r>
              <w:rPr>
                <w:rFonts w:ascii="宋体" w:hAnsi="宋体" w:cs="宋体" w:eastAsia="宋体" w:hint="default"/>
                <w:sz w:val="18"/>
                <w:szCs w:val="18"/>
              </w:rPr>
              <w:t>归属于公司普通股股东 的每股净资产</w:t>
            </w:r>
          </w:p>
        </w:tc>
      </w:tr>
      <w:tr>
        <w:trPr>
          <w:trHeight w:val="342"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0.260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0.256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0.259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0.255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2.134</w:t>
            </w:r>
          </w:p>
        </w:tc>
      </w:tr>
      <w:tr>
        <w:trPr>
          <w:trHeight w:val="342"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0.280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0.278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0.256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990"/>
        <w:gridCol w:w="1057"/>
        <w:gridCol w:w="985"/>
        <w:gridCol w:w="1409"/>
        <w:gridCol w:w="1843"/>
        <w:gridCol w:w="1937"/>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9"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3" w:right="72"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8" w:right="35"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265,877,802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66,370,452</w:t>
            </w: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199,507,350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高管锁定股及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与竹园国旅重大资产 重组配套融资认购股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54,343,034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11,642,999</w:t>
            </w: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42,718,035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29,103,000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7,275,000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21,828,000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26,221,896</w:t>
            </w:r>
          </w:p>
        </w:tc>
        <w:tc>
          <w:tcPr>
            <w:tcW w:w="105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26,221,896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362" w:hRule="exact"/>
        </w:trPr>
        <w:tc>
          <w:tcPr>
            <w:tcW w:w="1418"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985" w:type="dxa"/>
            <w:vMerge w:val="restart"/>
            <w:tcBorders>
              <w:top w:val="single" w:sz="4" w:space="0" w:color="000000"/>
              <w:left w:val="single" w:sz="4" w:space="0" w:color="000000"/>
              <w:right w:val="single" w:sz="4" w:space="0" w:color="000000"/>
            </w:tcBorders>
          </w:tcPr>
          <w:p>
            <w:pPr/>
          </w:p>
        </w:tc>
        <w:tc>
          <w:tcPr>
            <w:tcW w:w="1409" w:type="dxa"/>
            <w:vMerge w:val="restart"/>
            <w:tcBorders>
              <w:top w:val="single" w:sz="4" w:space="0" w:color="000000"/>
              <w:left w:val="single" w:sz="4" w:space="0" w:color="000000"/>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日离任</w:t>
            </w:r>
          </w:p>
        </w:tc>
        <w:tc>
          <w:tcPr>
            <w:tcW w:w="1937"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10,658,362</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10,658,362</w:t>
            </w:r>
          </w:p>
        </w:tc>
        <w:tc>
          <w:tcPr>
            <w:tcW w:w="985" w:type="dxa"/>
            <w:vMerge/>
            <w:tcBorders>
              <w:left w:val="single" w:sz="4" w:space="0" w:color="000000"/>
              <w:right w:val="single" w:sz="4" w:space="0" w:color="000000"/>
            </w:tcBorders>
          </w:tcPr>
          <w:p>
            <w:pPr/>
          </w:p>
        </w:tc>
        <w:tc>
          <w:tcPr>
            <w:tcW w:w="1409"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r>
      <w:tr>
        <w:trPr>
          <w:trHeight w:val="351" w:hRule="exact"/>
        </w:trPr>
        <w:tc>
          <w:tcPr>
            <w:tcW w:w="1418"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股份全部解锁</w:t>
            </w:r>
          </w:p>
        </w:tc>
        <w:tc>
          <w:tcPr>
            <w:tcW w:w="1937"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九泰基金－工商 银行－九泰基金 慧通定增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r>
              <w:rPr>
                <w:rFonts w:ascii="宋体" w:hAnsi="宋体" w:cs="宋体" w:eastAsia="宋体" w:hint="default"/>
                <w:spacing w:val="1"/>
                <w:sz w:val="18"/>
                <w:szCs w:val="18"/>
              </w:rPr>
              <w:t> </w:t>
            </w:r>
            <w:r>
              <w:rPr>
                <w:rFonts w:ascii="宋体" w:hAnsi="宋体" w:cs="宋体" w:eastAsia="宋体" w:hint="default"/>
                <w:sz w:val="18"/>
                <w:szCs w:val="18"/>
              </w:rPr>
              <w:t>产管理计划</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17,655,708</w:t>
            </w:r>
          </w:p>
        </w:tc>
        <w:tc>
          <w:tcPr>
            <w:tcW w:w="105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17,655,708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3" w:right="14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年与竹园国旅重 大资产重组配套融资 认购方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15,950,040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1,979,997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13,978,893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上海祥禾泓安股 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14,445,588</w:t>
            </w:r>
          </w:p>
        </w:tc>
        <w:tc>
          <w:tcPr>
            <w:tcW w:w="105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14,445,588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年与竹园国旅重 大资产重组交易对方</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5,669,318</w:t>
            </w:r>
          </w:p>
        </w:tc>
        <w:tc>
          <w:tcPr>
            <w:tcW w:w="105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5,669,318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董监高股份锁定规定</w:t>
            </w:r>
          </w:p>
        </w:tc>
      </w:tr>
      <w:tr>
        <w:trPr>
          <w:trHeight w:val="362" w:hRule="exact"/>
        </w:trPr>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深圳前海瑞联一</w:t>
            </w:r>
          </w:p>
        </w:tc>
        <w:tc>
          <w:tcPr>
            <w:tcW w:w="990" w:type="dxa"/>
            <w:tcBorders>
              <w:top w:val="single" w:sz="4" w:space="0" w:color="000000"/>
              <w:left w:val="single" w:sz="4" w:space="0" w:color="000000"/>
              <w:bottom w:val="nil" w:sz="6" w:space="0" w:color="auto"/>
              <w:right w:val="single" w:sz="4" w:space="0" w:color="000000"/>
            </w:tcBorders>
          </w:tcPr>
          <w:p>
            <w:pPr/>
          </w:p>
        </w:tc>
        <w:tc>
          <w:tcPr>
            <w:tcW w:w="1057" w:type="dxa"/>
            <w:vMerge w:val="restart"/>
            <w:tcBorders>
              <w:top w:val="single" w:sz="4" w:space="0" w:color="000000"/>
              <w:left w:val="single" w:sz="4" w:space="0" w:color="000000"/>
              <w:right w:val="single" w:sz="4" w:space="0" w:color="000000"/>
            </w:tcBorders>
          </w:tcPr>
          <w:p>
            <w:pPr/>
          </w:p>
        </w:tc>
        <w:tc>
          <w:tcPr>
            <w:tcW w:w="985" w:type="dxa"/>
            <w:vMerge w:val="restart"/>
            <w:tcBorders>
              <w:top w:val="single" w:sz="4" w:space="0" w:color="000000"/>
              <w:left w:val="single" w:sz="4" w:space="0" w:color="000000"/>
              <w:right w:val="single" w:sz="4" w:space="0" w:color="000000"/>
            </w:tcBorders>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年与竹园国旅重</w:t>
            </w:r>
          </w:p>
        </w:tc>
        <w:tc>
          <w:tcPr>
            <w:tcW w:w="1937"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号投资中心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5,885,232</w:t>
            </w:r>
          </w:p>
        </w:tc>
        <w:tc>
          <w:tcPr>
            <w:tcW w:w="1057"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tcPr>
          <w:p>
            <w:pP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5,885,232</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大资产重组配套融资</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351" w:hRule="exact"/>
        </w:trPr>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0" w:type="dxa"/>
            <w:tcBorders>
              <w:top w:val="nil" w:sz="6" w:space="0" w:color="auto"/>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认购方</w:t>
            </w:r>
          </w:p>
        </w:tc>
        <w:tc>
          <w:tcPr>
            <w:tcW w:w="193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418"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4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19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解除限售：</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年限</w:t>
            </w:r>
          </w:p>
        </w:tc>
      </w:tr>
      <w:tr>
        <w:trPr>
          <w:trHeight w:val="297" w:hRule="exact"/>
        </w:trPr>
        <w:tc>
          <w:tcPr>
            <w:tcW w:w="1418"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制性股票第一期股份解</w:t>
            </w:r>
          </w:p>
        </w:tc>
      </w:tr>
      <w:tr>
        <w:trPr>
          <w:trHeight w:val="639"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13,695,400</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8,874,760</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12,643,700</w:t>
            </w:r>
          </w:p>
        </w:tc>
        <w:tc>
          <w:tcPr>
            <w:tcW w:w="140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17,464,340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187"/>
              <w:jc w:val="left"/>
              <w:rPr>
                <w:rFonts w:ascii="宋体" w:hAnsi="宋体" w:cs="宋体" w:eastAsia="宋体" w:hint="default"/>
                <w:sz w:val="18"/>
                <w:szCs w:val="18"/>
              </w:rPr>
            </w:pPr>
            <w:r>
              <w:rPr>
                <w:rFonts w:ascii="宋体" w:hAnsi="宋体" w:cs="宋体" w:eastAsia="宋体" w:hint="default"/>
                <w:sz w:val="18"/>
                <w:szCs w:val="18"/>
              </w:rPr>
              <w:t>根据激励计划分期解 锁</w:t>
            </w: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锁；</w:t>
            </w:r>
            <w:r>
              <w:rPr>
                <w:rFonts w:ascii="Times New Roman" w:hAnsi="Times New Roman" w:cs="Times New Roman" w:eastAsia="Times New Roman" w:hint="default"/>
                <w:sz w:val="18"/>
                <w:szCs w:val="18"/>
              </w:rPr>
              <w:t>2</w:t>
            </w:r>
            <w:r>
              <w:rPr>
                <w:rFonts w:ascii="宋体" w:hAnsi="宋体" w:cs="宋体" w:eastAsia="宋体" w:hint="default"/>
                <w:sz w:val="18"/>
                <w:szCs w:val="18"/>
              </w:rPr>
              <w:t>、因离职导致的限 制性股票回购注销；</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12" w:hRule="exact"/>
        </w:trPr>
        <w:tc>
          <w:tcPr>
            <w:tcW w:w="1418" w:type="dxa"/>
            <w:tcBorders>
              <w:top w:val="nil" w:sz="6" w:space="0" w:color="auto"/>
              <w:left w:val="single" w:sz="4" w:space="0" w:color="000000"/>
              <w:bottom w:val="nil" w:sz="6" w:space="0" w:color="auto"/>
              <w:right w:val="single" w:sz="4" w:space="0" w:color="000000"/>
            </w:tcBorders>
          </w:tcPr>
          <w:p>
            <w:pPr/>
          </w:p>
        </w:tc>
        <w:tc>
          <w:tcPr>
            <w:tcW w:w="990"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140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93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年激励计划终止剩</w:t>
            </w:r>
          </w:p>
        </w:tc>
      </w:tr>
      <w:tr>
        <w:trPr>
          <w:trHeight w:val="313" w:hRule="exact"/>
        </w:trPr>
        <w:tc>
          <w:tcPr>
            <w:tcW w:w="1418"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4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1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余未解锁股份回购。增</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18"/>
        <w:gridCol w:w="990"/>
        <w:gridCol w:w="1057"/>
        <w:gridCol w:w="985"/>
        <w:gridCol w:w="1409"/>
        <w:gridCol w:w="1843"/>
        <w:gridCol w:w="1937"/>
      </w:tblGrid>
      <w:tr>
        <w:trPr>
          <w:trHeight w:val="674"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加限售：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股票激励计划首次授予</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其他限售股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21,048,044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1,679,997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382,780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19,750,827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高管锁定股等</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center"/>
              <w:rPr>
                <w:rFonts w:ascii="宋体" w:hAnsi="宋体" w:cs="宋体" w:eastAsia="宋体" w:hint="default"/>
                <w:sz w:val="18"/>
                <w:szCs w:val="18"/>
              </w:rPr>
            </w:pPr>
            <w:r>
              <w:rPr>
                <w:rFonts w:ascii="宋体" w:hAnsi="宋体" w:cs="宋体" w:eastAsia="宋体" w:hint="default"/>
                <w:sz w:val="18"/>
                <w:szCs w:val="18"/>
              </w:rPr>
              <w:t>董监高股份锁定规定等</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480,553,424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108,481,567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13,035,330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385,125,187</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271.139404pt;margin-top:17.532017pt;width:58pt;height:35.2pt;mso-position-horizontal-relative:page;mso-position-vertical-relative:paragraph;z-index:-1091416" type="#_x0000_t202" filled="false" stroked="false">
            <v:textbox inset="0,0,0,0">
              <w:txbxContent>
                <w:p>
                  <w:pPr>
                    <w:spacing w:line="240" w:lineRule="auto" w:before="11"/>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率）</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60"/>
        <w:gridCol w:w="1404"/>
        <w:gridCol w:w="1524"/>
        <w:gridCol w:w="865"/>
        <w:gridCol w:w="1405"/>
        <w:gridCol w:w="1409"/>
        <w:gridCol w:w="1399"/>
      </w:tblGrid>
      <w:tr>
        <w:trPr>
          <w:trHeight w:val="713" w:hRule="exact"/>
        </w:trPr>
        <w:tc>
          <w:tcPr>
            <w:tcW w:w="1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44" w:right="103" w:hanging="540"/>
              <w:jc w:val="left"/>
              <w:rPr>
                <w:rFonts w:ascii="宋体" w:hAnsi="宋体" w:cs="宋体" w:eastAsia="宋体" w:hint="default"/>
                <w:sz w:val="18"/>
                <w:szCs w:val="18"/>
              </w:rPr>
            </w:pPr>
            <w:r>
              <w:rPr>
                <w:rFonts w:ascii="宋体" w:hAnsi="宋体" w:cs="宋体" w:eastAsia="宋体" w:hint="default"/>
                <w:sz w:val="18"/>
                <w:szCs w:val="18"/>
              </w:rPr>
              <w:t>股票及其衍生证券 名称</w:t>
            </w:r>
          </w:p>
        </w:tc>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9"/>
                <w:sz w:val="18"/>
                <w:szCs w:val="18"/>
              </w:rPr>
              <w:t>发行价格（或利</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08" w:right="68"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6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12,643,700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6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715"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7,000,000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7,000,000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63"/>
        <w:ind w:right="0"/>
        <w:jc w:val="left"/>
      </w:pPr>
      <w:r>
        <w:rPr/>
        <w:t>报告期内证券发行（不含优先股）情况的说明</w:t>
      </w:r>
    </w:p>
    <w:p>
      <w:pPr>
        <w:spacing w:line="240" w:lineRule="auto" w:before="10"/>
        <w:rPr>
          <w:rFonts w:ascii="宋体" w:hAnsi="宋体" w:cs="宋体" w:eastAsia="宋体" w:hint="default"/>
          <w:sz w:val="14"/>
          <w:szCs w:val="14"/>
        </w:rPr>
      </w:pPr>
    </w:p>
    <w:p>
      <w:pPr>
        <w:pStyle w:val="BodyText"/>
        <w:spacing w:line="386" w:lineRule="auto" w:before="0"/>
        <w:ind w:left="153" w:right="145" w:firstLine="399"/>
        <w:jc w:val="both"/>
      </w:pPr>
      <w:r>
        <w:rPr>
          <w:rFonts w:ascii="Times New Roman" w:hAnsi="Times New Roman" w:cs="Times New Roman" w:eastAsia="Times New Roman" w:hint="default"/>
        </w:rPr>
        <w:t>1</w:t>
      </w:r>
      <w:r>
        <w:rPr/>
        <w:t>、报告期内，公司发行的普通股股票为实施</w:t>
      </w:r>
      <w:r>
        <w:rPr>
          <w:rFonts w:ascii="Times New Roman" w:hAnsi="Times New Roman" w:cs="Times New Roman" w:eastAsia="Times New Roman" w:hint="default"/>
        </w:rPr>
        <w:t>2017</w:t>
      </w:r>
      <w:r>
        <w:rPr/>
        <w:t>年限制性股票激励计划向激励对象发行新股（首次</w:t>
      </w:r>
      <w:r>
        <w:rPr>
          <w:spacing w:val="2"/>
        </w:rPr>
        <w:t> </w:t>
      </w:r>
      <w:r>
        <w:rPr/>
        <w:t>授予），具体情况详见本报告书第五节</w:t>
      </w:r>
      <w:r>
        <w:rPr>
          <w:rFonts w:ascii="Times New Roman" w:hAnsi="Times New Roman" w:cs="Times New Roman" w:eastAsia="Times New Roman" w:hint="default"/>
        </w:rPr>
        <w:t>“</w:t>
      </w:r>
      <w:r>
        <w:rPr/>
        <w:t>十五、公司股权激励计划、员工持股计划或其他员工激励措施的</w:t>
      </w:r>
      <w:r>
        <w:rPr>
          <w:spacing w:val="-23"/>
        </w:rPr>
        <w:t> </w:t>
      </w:r>
      <w:r>
        <w:rPr>
          <w:spacing w:val="-23"/>
        </w:rPr>
      </w:r>
      <w:r>
        <w:rPr/>
        <w:t>实施情况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“2017</w:t>
      </w:r>
      <w:r>
        <w:rPr/>
        <w:t>年限制性股票激励计划</w:t>
      </w:r>
      <w:r>
        <w:rPr>
          <w:rFonts w:ascii="Times New Roman" w:hAnsi="Times New Roman" w:cs="Times New Roman" w:eastAsia="Times New Roman" w:hint="default"/>
        </w:rPr>
        <w:t>”</w:t>
      </w:r>
      <w:r>
        <w:rPr/>
        <w:t>相关内容。</w:t>
      </w:r>
    </w:p>
    <w:p>
      <w:pPr>
        <w:pStyle w:val="BodyText"/>
        <w:spacing w:line="386" w:lineRule="auto" w:before="35"/>
        <w:ind w:left="153" w:right="145" w:firstLine="399"/>
        <w:jc w:val="both"/>
      </w:pPr>
      <w:r>
        <w:rPr>
          <w:rFonts w:ascii="Times New Roman" w:hAnsi="Times New Roman" w:cs="Times New Roman" w:eastAsia="Times New Roman" w:hint="default"/>
        </w:rPr>
        <w:t>2</w:t>
      </w:r>
      <w:r>
        <w:rPr/>
        <w:t>、经中国证监会核准，公司于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日发行可转换公司债券</w:t>
      </w:r>
      <w:r>
        <w:rPr>
          <w:rFonts w:ascii="Times New Roman" w:hAnsi="Times New Roman" w:cs="Times New Roman" w:eastAsia="Times New Roman" w:hint="default"/>
        </w:rPr>
        <w:t>700</w:t>
      </w:r>
      <w:r>
        <w:rPr/>
        <w:t>万张（人民币</w:t>
      </w:r>
      <w:r>
        <w:rPr>
          <w:rFonts w:ascii="Times New Roman" w:hAnsi="Times New Roman" w:cs="Times New Roman" w:eastAsia="Times New Roman" w:hint="default"/>
        </w:rPr>
        <w:t>7</w:t>
      </w:r>
      <w:r>
        <w:rPr/>
        <w:t>亿元），该可转 债期限为自发行之日起</w:t>
      </w:r>
      <w:r>
        <w:rPr>
          <w:rFonts w:ascii="Times New Roman" w:hAnsi="Times New Roman" w:cs="Times New Roman" w:eastAsia="Times New Roman" w:hint="default"/>
        </w:rPr>
        <w:t>6</w:t>
      </w:r>
      <w:r>
        <w:rPr/>
        <w:t>年，并于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日在深交所上市交易，债券简称：众信转债，债券代码：</w:t>
      </w:r>
      <w:r>
        <w:rPr>
          <w:spacing w:val="-34"/>
        </w:rPr>
        <w:t> </w:t>
      </w:r>
      <w:r>
        <w:rPr>
          <w:spacing w:val="-34"/>
        </w:rPr>
      </w:r>
      <w:r>
        <w:rPr>
          <w:rFonts w:ascii="Times New Roman" w:hAnsi="Times New Roman" w:cs="Times New Roman" w:eastAsia="Times New Roman" w:hint="default"/>
        </w:rPr>
        <w:t>128022</w:t>
      </w:r>
      <w:r>
        <w:rPr/>
        <w:t>。</w:t>
      </w: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145" w:firstLine="420"/>
        <w:jc w:val="both"/>
      </w:pPr>
      <w:r>
        <w:rPr>
          <w:rFonts w:ascii="Times New Roman" w:hAnsi="Times New Roman" w:cs="Times New Roman" w:eastAsia="Times New Roman" w:hint="default"/>
        </w:rPr>
        <w:t>1</w:t>
      </w:r>
      <w:r>
        <w:rPr/>
        <w:t>、报告期内，因公司</w:t>
      </w:r>
      <w:r>
        <w:rPr>
          <w:rFonts w:ascii="Times New Roman" w:hAnsi="Times New Roman" w:cs="Times New Roman" w:eastAsia="Times New Roman" w:hint="default"/>
        </w:rPr>
        <w:t>2014</w:t>
      </w:r>
      <w:r>
        <w:rPr/>
        <w:t>年限制性股票激励计划及</w:t>
      </w:r>
      <w:r>
        <w:rPr>
          <w:rFonts w:ascii="Times New Roman" w:hAnsi="Times New Roman" w:cs="Times New Roman" w:eastAsia="Times New Roman" w:hint="default"/>
        </w:rPr>
        <w:t>2016</w:t>
      </w:r>
      <w:r>
        <w:rPr/>
        <w:t>年限制性股票激励计划中共</w:t>
      </w:r>
      <w:r>
        <w:rPr>
          <w:rFonts w:ascii="Times New Roman" w:hAnsi="Times New Roman" w:cs="Times New Roman" w:eastAsia="Times New Roman" w:hint="default"/>
        </w:rPr>
        <w:t>16</w:t>
      </w:r>
      <w:r>
        <w:rPr/>
        <w:t>名激励对象离 职，公司回购注销其已获授但未解锁的限制性股票</w:t>
      </w:r>
      <w:r>
        <w:rPr>
          <w:rFonts w:ascii="Times New Roman" w:hAnsi="Times New Roman" w:cs="Times New Roman" w:eastAsia="Times New Roman" w:hint="default"/>
        </w:rPr>
        <w:t>272,760</w:t>
      </w:r>
      <w:r>
        <w:rPr/>
        <w:t>股，公司较少股本</w:t>
      </w:r>
      <w:r>
        <w:rPr>
          <w:rFonts w:ascii="Times New Roman" w:hAnsi="Times New Roman" w:cs="Times New Roman" w:eastAsia="Times New Roman" w:hint="default"/>
        </w:rPr>
        <w:t>272,760</w:t>
      </w:r>
      <w:r>
        <w:rPr/>
        <w:t>股，该股份变动使得</w:t>
      </w:r>
      <w:r>
        <w:rPr>
          <w:spacing w:val="-39"/>
        </w:rPr>
        <w:t> </w:t>
      </w:r>
      <w:r>
        <w:rPr>
          <w:spacing w:val="-39"/>
        </w:rPr>
      </w:r>
      <w:r>
        <w:rPr/>
        <w:t>公司资产和负债同时相应减少。</w:t>
      </w:r>
    </w:p>
    <w:p>
      <w:pPr>
        <w:pStyle w:val="BodyText"/>
        <w:spacing w:line="386" w:lineRule="auto" w:before="65"/>
        <w:ind w:left="153" w:right="151" w:firstLine="419"/>
        <w:jc w:val="both"/>
      </w:pPr>
      <w:r>
        <w:rPr>
          <w:rFonts w:ascii="Times New Roman" w:hAnsi="Times New Roman" w:cs="Times New Roman" w:eastAsia="Times New Roman" w:hint="default"/>
          <w:spacing w:val="-1"/>
        </w:rPr>
        <w:t>2</w:t>
      </w:r>
      <w:r>
        <w:rPr>
          <w:spacing w:val="-1"/>
        </w:rPr>
        <w:t>、报告期内，因公司</w:t>
      </w:r>
      <w:r>
        <w:rPr>
          <w:rFonts w:ascii="Times New Roman" w:hAnsi="Times New Roman" w:cs="Times New Roman" w:eastAsia="Times New Roman" w:hint="default"/>
          <w:spacing w:val="-1"/>
        </w:rPr>
        <w:t>2016</w:t>
      </w:r>
      <w:r>
        <w:rPr>
          <w:spacing w:val="-1"/>
        </w:rPr>
        <w:t>年限制性股票激励计划中</w:t>
      </w:r>
      <w:r>
        <w:rPr>
          <w:rFonts w:ascii="Times New Roman" w:hAnsi="Times New Roman" w:cs="Times New Roman" w:eastAsia="Times New Roman" w:hint="default"/>
          <w:spacing w:val="-1"/>
        </w:rPr>
        <w:t>9</w:t>
      </w:r>
      <w:r>
        <w:rPr>
          <w:spacing w:val="-1"/>
        </w:rPr>
        <w:t>名激励对象离职，公司回购注销其已获授未解锁</w:t>
      </w:r>
      <w:r>
        <w:rPr/>
        <w:t> 的限制性股票</w:t>
      </w:r>
      <w:r>
        <w:rPr>
          <w:rFonts w:ascii="Times New Roman" w:hAnsi="Times New Roman" w:cs="Times New Roman" w:eastAsia="Times New Roman" w:hint="default"/>
        </w:rPr>
        <w:t>239,000</w:t>
      </w:r>
      <w:r>
        <w:rPr/>
        <w:t>股，公司减少股本</w:t>
      </w:r>
      <w:r>
        <w:rPr>
          <w:rFonts w:ascii="Times New Roman" w:hAnsi="Times New Roman" w:cs="Times New Roman" w:eastAsia="Times New Roman" w:hint="default"/>
        </w:rPr>
        <w:t>239,000</w:t>
      </w:r>
      <w:r>
        <w:rPr/>
        <w:t>股，该股份变动使得公司资产和负债同时相应减少。</w:t>
      </w:r>
    </w:p>
    <w:p>
      <w:pPr>
        <w:pStyle w:val="BodyText"/>
        <w:spacing w:line="240" w:lineRule="auto" w:before="35"/>
        <w:ind w:left="573" w:right="0"/>
        <w:jc w:val="left"/>
      </w:pPr>
      <w:r>
        <w:rPr>
          <w:rFonts w:ascii="Times New Roman" w:hAnsi="Times New Roman" w:cs="Times New Roman" w:eastAsia="Times New Roman" w:hint="default"/>
        </w:rPr>
        <w:t>3</w:t>
      </w:r>
      <w:r>
        <w:rPr/>
        <w:t>、报告期内，因公司股票价格在二级市场发生了较大变动，原激励计划较难达到预期的激励效果，</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153" w:right="0"/>
        <w:jc w:val="left"/>
      </w:pPr>
      <w:r>
        <w:rPr>
          <w:spacing w:val="-1"/>
        </w:rPr>
        <w:t>经审慎论证后公司决定终止实施</w:t>
      </w:r>
      <w:r>
        <w:rPr>
          <w:rFonts w:ascii="Times New Roman" w:hAnsi="Times New Roman" w:cs="Times New Roman" w:eastAsia="Times New Roman" w:hint="default"/>
          <w:spacing w:val="-1"/>
        </w:rPr>
        <w:t>2016</w:t>
      </w:r>
      <w:r>
        <w:rPr>
          <w:spacing w:val="-1"/>
        </w:rPr>
        <w:t>年限制性股票激励计划，并回购注销已获授但尚未解锁的全部限制性</w:t>
      </w:r>
      <w:r>
        <w:rPr>
          <w:spacing w:val="-83"/>
        </w:rPr>
        <w:t> </w:t>
      </w:r>
      <w:r>
        <w:rPr>
          <w:spacing w:val="-83"/>
        </w:rPr>
      </w:r>
      <w:r>
        <w:rPr/>
        <w:t>股票</w:t>
      </w:r>
      <w:r>
        <w:rPr>
          <w:rFonts w:ascii="Times New Roman" w:hAnsi="Times New Roman" w:cs="Times New Roman" w:eastAsia="Times New Roman" w:hint="default"/>
        </w:rPr>
        <w:t>5,873,300</w:t>
      </w:r>
      <w:r>
        <w:rPr/>
        <w:t>股，减少股本</w:t>
      </w:r>
      <w:r>
        <w:rPr>
          <w:rFonts w:ascii="Times New Roman" w:hAnsi="Times New Roman" w:cs="Times New Roman" w:eastAsia="Times New Roman" w:hint="default"/>
        </w:rPr>
        <w:t>5,873,300</w:t>
      </w:r>
      <w:r>
        <w:rPr/>
        <w:t>股，该股份变动使得公司资产负债同时相应减少。</w:t>
      </w:r>
    </w:p>
    <w:p>
      <w:pPr>
        <w:pStyle w:val="BodyText"/>
        <w:spacing w:line="240" w:lineRule="auto" w:before="35"/>
        <w:ind w:left="0" w:right="142"/>
        <w:jc w:val="right"/>
      </w:pPr>
      <w:r>
        <w:rPr>
          <w:rFonts w:ascii="Times New Roman" w:hAnsi="Times New Roman" w:cs="Times New Roman" w:eastAsia="Times New Roman" w:hint="default"/>
          <w:spacing w:val="6"/>
        </w:rPr>
        <w:t>4</w:t>
      </w:r>
      <w:r>
        <w:rPr>
          <w:spacing w:val="6"/>
        </w:rPr>
        <w:t>、报告期内，公司实施</w:t>
      </w:r>
      <w:r>
        <w:rPr>
          <w:rFonts w:ascii="Times New Roman" w:hAnsi="Times New Roman" w:cs="Times New Roman" w:eastAsia="Times New Roman" w:hint="default"/>
          <w:spacing w:val="6"/>
        </w:rPr>
        <w:t>2017</w:t>
      </w:r>
      <w:r>
        <w:rPr>
          <w:spacing w:val="6"/>
        </w:rPr>
        <w:t>年限制性股票激励计划向激励对象发行新股（首次授予），新增股本</w:t>
      </w:r>
      <w:r>
        <w:rPr/>
      </w:r>
    </w:p>
    <w:p>
      <w:pPr>
        <w:pStyle w:val="BodyText"/>
        <w:spacing w:line="240" w:lineRule="auto" w:before="177"/>
        <w:ind w:left="153" w:right="0"/>
        <w:jc w:val="left"/>
      </w:pPr>
      <w:r>
        <w:rPr>
          <w:rFonts w:ascii="Times New Roman" w:hAnsi="Times New Roman" w:cs="Times New Roman" w:eastAsia="Times New Roman" w:hint="default"/>
        </w:rPr>
        <w:t>12,643,700</w:t>
      </w:r>
      <w:r>
        <w:rPr/>
        <w:t>股，公司资产和负债相应增加。</w:t>
      </w:r>
    </w:p>
    <w:p>
      <w:pPr>
        <w:spacing w:line="240" w:lineRule="auto" w:before="8"/>
        <w:rPr>
          <w:rFonts w:ascii="宋体" w:hAnsi="宋体" w:cs="宋体" w:eastAsia="宋体" w:hint="default"/>
          <w:sz w:val="30"/>
          <w:szCs w:val="30"/>
        </w:rPr>
      </w:pPr>
    </w:p>
    <w:p>
      <w:pPr>
        <w:pStyle w:val="Heading6"/>
        <w:spacing w:line="240" w:lineRule="auto"/>
        <w:ind w:left="153"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9"/>
        <w:gridCol w:w="731"/>
        <w:gridCol w:w="1046"/>
        <w:gridCol w:w="1052"/>
        <w:gridCol w:w="1070"/>
        <w:gridCol w:w="1159"/>
        <w:gridCol w:w="1081"/>
        <w:gridCol w:w="1284"/>
        <w:gridCol w:w="972"/>
      </w:tblGrid>
      <w:tr>
        <w:trPr>
          <w:trHeight w:val="1962" w:hRule="exact"/>
        </w:trPr>
        <w:tc>
          <w:tcPr>
            <w:tcW w:w="1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5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39,354</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30,510</w:t>
            </w:r>
          </w:p>
        </w:tc>
        <w:tc>
          <w:tcPr>
            <w:tcW w:w="22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报告期末表决权恢复的优先 </w:t>
            </w:r>
            <w:r>
              <w:rPr>
                <w:rFonts w:ascii="宋体" w:hAnsi="宋体" w:cs="宋体" w:eastAsia="宋体" w:hint="default"/>
                <w:spacing w:val="-13"/>
                <w:sz w:val="18"/>
                <w:szCs w:val="18"/>
              </w:rPr>
              <w:t>股股东总数（如有）（参见注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3"/>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1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2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0" w:right="89" w:hanging="180"/>
              <w:jc w:val="left"/>
              <w:rPr>
                <w:rFonts w:ascii="宋体" w:hAnsi="宋体" w:cs="宋体" w:eastAsia="宋体" w:hint="default"/>
                <w:sz w:val="18"/>
                <w:szCs w:val="18"/>
              </w:rPr>
            </w:pPr>
            <w:r>
              <w:rPr>
                <w:rFonts w:ascii="宋体" w:hAnsi="宋体" w:cs="宋体" w:eastAsia="宋体" w:hint="default"/>
                <w:sz w:val="18"/>
                <w:szCs w:val="18"/>
              </w:rPr>
              <w:t>股东性 质</w:t>
            </w:r>
          </w:p>
        </w:tc>
        <w:tc>
          <w:tcPr>
            <w:tcW w:w="10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0" w:right="7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0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5" w:right="8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69" w:type="dxa"/>
            <w:vMerge/>
            <w:tcBorders>
              <w:left w:val="single" w:sz="4" w:space="0" w:color="000000"/>
              <w:bottom w:val="single" w:sz="4" w:space="0" w:color="000000"/>
              <w:right w:val="single" w:sz="4" w:space="0" w:color="000000"/>
            </w:tcBorders>
            <w:shd w:val="clear" w:color="auto" w:fill="D3D3D3"/>
          </w:tcPr>
          <w:p>
            <w:pPr/>
          </w:p>
        </w:tc>
        <w:tc>
          <w:tcPr>
            <w:tcW w:w="731" w:type="dxa"/>
            <w:vMerge/>
            <w:tcBorders>
              <w:left w:val="single" w:sz="4" w:space="0" w:color="000000"/>
              <w:bottom w:val="single" w:sz="4" w:space="0" w:color="000000"/>
              <w:right w:val="single" w:sz="4" w:space="0" w:color="000000"/>
            </w:tcBorders>
            <w:shd w:val="clear" w:color="auto" w:fill="D3D3D3"/>
          </w:tcPr>
          <w:p>
            <w:pPr/>
          </w:p>
        </w:tc>
        <w:tc>
          <w:tcPr>
            <w:tcW w:w="1046" w:type="dxa"/>
            <w:vMerge/>
            <w:tcBorders>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070" w:type="dxa"/>
            <w:vMerge/>
            <w:tcBorders>
              <w:left w:val="single" w:sz="4" w:space="0" w:color="000000"/>
              <w:bottom w:val="single" w:sz="4" w:space="0" w:color="000000"/>
              <w:right w:val="single" w:sz="4" w:space="0" w:color="000000"/>
            </w:tcBorders>
            <w:shd w:val="clear" w:color="auto" w:fill="D3D3D3"/>
          </w:tcPr>
          <w:p>
            <w:pPr/>
          </w:p>
        </w:tc>
        <w:tc>
          <w:tcPr>
            <w:tcW w:w="1159" w:type="dxa"/>
            <w:vMerge/>
            <w:tcBorders>
              <w:left w:val="single" w:sz="4" w:space="0" w:color="000000"/>
              <w:bottom w:val="single" w:sz="4" w:space="0" w:color="000000"/>
              <w:right w:val="single" w:sz="4" w:space="0" w:color="000000"/>
            </w:tcBorders>
            <w:shd w:val="clear" w:color="auto" w:fill="D3D3D3"/>
          </w:tcPr>
          <w:p>
            <w:pPr/>
          </w:p>
        </w:tc>
        <w:tc>
          <w:tcPr>
            <w:tcW w:w="1081" w:type="dxa"/>
            <w:vMerge/>
            <w:tcBorders>
              <w:left w:val="single" w:sz="4" w:space="0" w:color="000000"/>
              <w:bottom w:val="single" w:sz="4" w:space="0" w:color="000000"/>
              <w:right w:val="single" w:sz="4" w:space="0" w:color="000000"/>
            </w:tcBorders>
            <w:shd w:val="clear" w:color="auto" w:fill="D3D3D3"/>
          </w:tcPr>
          <w:p>
            <w:pP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266,009,800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199,507,350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66,502,450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127,044,158</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56,957,380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42,718,035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14,239,345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12,010,364</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34,962,528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26,221,896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8,740,632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26,460,639</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29,104,000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21,828,000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7,276,000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7,161,091</w:t>
            </w:r>
          </w:p>
        </w:tc>
      </w:tr>
      <w:tr>
        <w:trPr>
          <w:trHeight w:val="713"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4"/>
              <w:jc w:val="left"/>
              <w:rPr>
                <w:rFonts w:ascii="宋体" w:hAnsi="宋体" w:cs="宋体" w:eastAsia="宋体" w:hint="default"/>
                <w:sz w:val="18"/>
                <w:szCs w:val="18"/>
              </w:rPr>
            </w:pPr>
            <w:r>
              <w:rPr>
                <w:rFonts w:ascii="宋体" w:hAnsi="宋体" w:cs="宋体" w:eastAsia="宋体" w:hint="default"/>
                <w:sz w:val="18"/>
                <w:szCs w:val="18"/>
              </w:rPr>
              <w:t>紫光集团有限 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国有法 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27,757,851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115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21,316,724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159"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21,316,724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w:t>
            </w:r>
          </w:p>
        </w:tc>
      </w:tr>
      <w:tr>
        <w:trPr>
          <w:trHeight w:val="714"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18,638,524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13,978,893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4,659,631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14,010,364</w:t>
            </w:r>
          </w:p>
        </w:tc>
      </w:tr>
      <w:tr>
        <w:trPr>
          <w:trHeight w:val="403" w:hRule="exact"/>
        </w:trPr>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九泰基金－工</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17,655,708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17,655,708</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70"/>
        <w:gridCol w:w="731"/>
        <w:gridCol w:w="1046"/>
        <w:gridCol w:w="1052"/>
        <w:gridCol w:w="1070"/>
        <w:gridCol w:w="659"/>
        <w:gridCol w:w="500"/>
        <w:gridCol w:w="1081"/>
        <w:gridCol w:w="642"/>
        <w:gridCol w:w="642"/>
        <w:gridCol w:w="972"/>
      </w:tblGrid>
      <w:tr>
        <w:trPr>
          <w:trHeight w:val="129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商银行－九泰 基金慧通定增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 划</w:t>
            </w:r>
          </w:p>
        </w:tc>
        <w:tc>
          <w:tcPr>
            <w:tcW w:w="73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59" w:type="dxa"/>
            <w:gridSpan w:val="2"/>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8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兴业银行股份 有限公司－兴 全趋势投资混 合型证券投资 基金</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14,733,149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1159" w:type="dxa"/>
            <w:gridSpan w:val="2"/>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8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上海祥禾泓安 股权投资合伙 企业（有限合 伙）</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14,445,588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16" w:right="0"/>
              <w:jc w:val="left"/>
              <w:rPr>
                <w:rFonts w:ascii="Times New Roman" w:hAnsi="Times New Roman" w:cs="Times New Roman" w:eastAsia="Times New Roman" w:hint="default"/>
                <w:sz w:val="18"/>
                <w:szCs w:val="18"/>
              </w:rPr>
            </w:pPr>
            <w:r>
              <w:rPr>
                <w:rFonts w:ascii="Times New Roman"/>
                <w:sz w:val="18"/>
              </w:rPr>
              <w:t>14,445,588</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84" w:type="dxa"/>
            <w:gridSpan w:val="2"/>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0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战略投资者或一般法人 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9"/>
                <w:sz w:val="18"/>
                <w:szCs w:val="18"/>
              </w:rPr>
              <w:t>股东的情况（如有）（参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66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九泰基金－工商银行－九泰基金慧通定增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号资产管理计划参与公司发行股份购买竹园国旅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的股权的募集配套资金的认购，成为公司前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大股东。锁定期为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20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7666"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公司有限售条件股东之间不存在关联关系，也不属于《上市公司收购管理办法》规定的一致行动 人。有限售条件股东与上述无限售条件股东之间不存在关联关系，也不属于《上市公司收购管理 办法》规定的一致行动人。公司未知无限售条件股东相互之间是否存在关联关系，也未知是否属 于一致行动人。</w:t>
            </w:r>
          </w:p>
        </w:tc>
      </w:tr>
      <w:tr>
        <w:trPr>
          <w:trHeight w:val="402" w:hRule="exact"/>
        </w:trPr>
        <w:tc>
          <w:tcPr>
            <w:tcW w:w="96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0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828"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383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000" w:type="dxa"/>
            <w:gridSpan w:val="2"/>
            <w:vMerge/>
            <w:tcBorders>
              <w:left w:val="single" w:sz="4" w:space="0" w:color="000000"/>
              <w:right w:val="single" w:sz="4" w:space="0" w:color="000000"/>
            </w:tcBorders>
            <w:shd w:val="clear" w:color="auto" w:fill="D3D3D3"/>
          </w:tcPr>
          <w:p>
            <w:pPr/>
          </w:p>
        </w:tc>
        <w:tc>
          <w:tcPr>
            <w:tcW w:w="3828"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838" w:type="dxa"/>
            <w:gridSpan w:val="5"/>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000" w:type="dxa"/>
            <w:gridSpan w:val="2"/>
            <w:vMerge/>
            <w:tcBorders>
              <w:left w:val="single" w:sz="4" w:space="0" w:color="000000"/>
              <w:right w:val="single" w:sz="4" w:space="0" w:color="000000"/>
            </w:tcBorders>
            <w:shd w:val="clear" w:color="auto" w:fill="D3D3D3"/>
          </w:tcPr>
          <w:p>
            <w:pPr/>
          </w:p>
        </w:tc>
        <w:tc>
          <w:tcPr>
            <w:tcW w:w="3828" w:type="dxa"/>
            <w:gridSpan w:val="4"/>
            <w:vMerge/>
            <w:tcBorders>
              <w:left w:val="single" w:sz="4" w:space="0" w:color="000000"/>
              <w:bottom w:val="nil" w:sz="6" w:space="0" w:color="auto"/>
              <w:right w:val="single" w:sz="4" w:space="0" w:color="000000"/>
            </w:tcBorders>
            <w:shd w:val="clear" w:color="auto" w:fill="D3D3D3"/>
          </w:tcPr>
          <w:p>
            <w:pPr/>
          </w:p>
        </w:tc>
        <w:tc>
          <w:tcPr>
            <w:tcW w:w="222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6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00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2224" w:type="dxa"/>
            <w:gridSpan w:val="3"/>
            <w:vMerge/>
            <w:tcBorders>
              <w:left w:val="single" w:sz="4" w:space="0" w:color="000000"/>
              <w:bottom w:val="single" w:sz="4" w:space="0" w:color="000000"/>
              <w:right w:val="single" w:sz="4" w:space="0" w:color="000000"/>
            </w:tcBorders>
            <w:shd w:val="clear" w:color="auto" w:fill="D3D3D3"/>
          </w:tcPr>
          <w:p>
            <w:pPr/>
          </w:p>
        </w:tc>
        <w:tc>
          <w:tcPr>
            <w:tcW w:w="1614"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66,502,450</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66,502,450</w:t>
            </w:r>
          </w:p>
        </w:tc>
      </w:tr>
      <w:tr>
        <w:trPr>
          <w:trHeight w:val="402"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27,757,851</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27,757,851</w:t>
            </w:r>
          </w:p>
        </w:tc>
      </w:tr>
      <w:tr>
        <w:trPr>
          <w:trHeight w:val="402"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21,316,724</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21,316,724</w:t>
            </w:r>
          </w:p>
        </w:tc>
      </w:tr>
      <w:tr>
        <w:trPr>
          <w:trHeight w:val="1026"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p>
            <w:pPr>
              <w:pStyle w:val="TableParagraph"/>
              <w:spacing w:line="319" w:lineRule="auto" w:before="75"/>
              <w:ind w:left="22" w:right="167"/>
              <w:jc w:val="left"/>
              <w:rPr>
                <w:rFonts w:ascii="宋体" w:hAnsi="宋体" w:cs="宋体" w:eastAsia="宋体" w:hint="default"/>
                <w:sz w:val="18"/>
                <w:szCs w:val="18"/>
              </w:rPr>
            </w:pPr>
            <w:r>
              <w:rPr>
                <w:rFonts w:ascii="宋体" w:hAnsi="宋体" w:cs="宋体" w:eastAsia="宋体" w:hint="default"/>
                <w:sz w:val="18"/>
                <w:szCs w:val="18"/>
              </w:rPr>
              <w:t>－兴全趋势投资混合型 证券投资基金</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14,733,149</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14,733,149</w:t>
            </w:r>
          </w:p>
        </w:tc>
      </w:tr>
      <w:tr>
        <w:trPr>
          <w:trHeight w:val="402"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14,239,345</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14,239,345</w:t>
            </w:r>
          </w:p>
        </w:tc>
      </w:tr>
      <w:tr>
        <w:trPr>
          <w:trHeight w:val="714"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全国社保基金一零二组 合</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13,386,112</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13,386,112</w:t>
            </w:r>
          </w:p>
        </w:tc>
      </w:tr>
      <w:tr>
        <w:trPr>
          <w:trHeight w:val="714"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北京紫光通信科技集团 有限公司</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11,886,701</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11,886,701</w:t>
            </w:r>
          </w:p>
        </w:tc>
      </w:tr>
      <w:tr>
        <w:trPr>
          <w:trHeight w:val="1026"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中国建设银行股份有限 公司－华商盛世成长混 合型证券投资基金</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11,000,169</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11,000,169</w:t>
            </w:r>
          </w:p>
        </w:tc>
      </w:tr>
      <w:tr>
        <w:trPr>
          <w:trHeight w:val="674" w:hRule="exact"/>
        </w:trPr>
        <w:tc>
          <w:tcPr>
            <w:tcW w:w="2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兴业银行股份有限公司</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－兴全新视野灵活配置</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10,076,037</w:t>
            </w:r>
          </w:p>
        </w:tc>
        <w:tc>
          <w:tcPr>
            <w:tcW w:w="2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96" w:right="0"/>
              <w:jc w:val="left"/>
              <w:rPr>
                <w:rFonts w:ascii="Times New Roman" w:hAnsi="Times New Roman" w:cs="Times New Roman" w:eastAsia="Times New Roman" w:hint="default"/>
                <w:sz w:val="18"/>
                <w:szCs w:val="18"/>
              </w:rPr>
            </w:pPr>
            <w:r>
              <w:rPr>
                <w:rFonts w:ascii="Times New Roman"/>
                <w:sz w:val="18"/>
              </w:rPr>
              <w:t>10,076,037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000"/>
        <w:gridCol w:w="3829"/>
        <w:gridCol w:w="2224"/>
        <w:gridCol w:w="1614"/>
      </w:tblGrid>
      <w:tr>
        <w:trPr>
          <w:trHeight w:val="67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left"/>
              <w:rPr>
                <w:rFonts w:ascii="宋体" w:hAnsi="宋体" w:cs="宋体" w:eastAsia="宋体" w:hint="default"/>
                <w:sz w:val="18"/>
                <w:szCs w:val="18"/>
              </w:rPr>
            </w:pPr>
            <w:r>
              <w:rPr>
                <w:rFonts w:ascii="宋体" w:hAnsi="宋体" w:cs="宋体" w:eastAsia="宋体" w:hint="default"/>
                <w:sz w:val="18"/>
                <w:szCs w:val="18"/>
              </w:rPr>
              <w:t>定期开放混合型发起式 证券投资基金</w:t>
            </w:r>
          </w:p>
        </w:tc>
        <w:tc>
          <w:tcPr>
            <w:tcW w:w="3829" w:type="dxa"/>
            <w:tcBorders>
              <w:top w:val="single" w:sz="4" w:space="0" w:color="000000"/>
              <w:left w:val="single" w:sz="4" w:space="0" w:color="000000"/>
              <w:bottom w:val="single" w:sz="4" w:space="0" w:color="000000"/>
              <w:right w:val="single" w:sz="4" w:space="0" w:color="000000"/>
            </w:tcBorders>
          </w:tcPr>
          <w:p>
            <w:pPr/>
          </w:p>
        </w:tc>
        <w:tc>
          <w:tcPr>
            <w:tcW w:w="2224"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8,740,632</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8,740,632</w:t>
            </w:r>
          </w:p>
        </w:tc>
      </w:tr>
      <w:tr>
        <w:trPr>
          <w:trHeight w:val="362" w:hRule="exact"/>
        </w:trPr>
        <w:tc>
          <w:tcPr>
            <w:tcW w:w="20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w:t>
            </w:r>
          </w:p>
        </w:tc>
        <w:tc>
          <w:tcPr>
            <w:tcW w:w="7666" w:type="dxa"/>
            <w:gridSpan w:val="3"/>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w:t>
            </w:r>
          </w:p>
        </w:tc>
        <w:tc>
          <w:tcPr>
            <w:tcW w:w="7666" w:type="dxa"/>
            <w:gridSpan w:val="3"/>
            <w:tcBorders>
              <w:top w:val="nil" w:sz="6" w:space="0" w:color="auto"/>
              <w:left w:val="single" w:sz="4" w:space="0" w:color="000000"/>
              <w:bottom w:val="nil" w:sz="6" w:space="0" w:color="auto"/>
              <w:right w:val="single" w:sz="4" w:space="0" w:color="000000"/>
            </w:tcBorders>
          </w:tcPr>
          <w:p>
            <w:pPr/>
          </w:p>
        </w:tc>
      </w:tr>
      <w:tr>
        <w:trPr>
          <w:trHeight w:val="312" w:hRule="exact"/>
        </w:trPr>
        <w:tc>
          <w:tcPr>
            <w:tcW w:w="2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766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公司未知无限售条件股东相互之间是否存在关联关系，也未知是否属于一致行动人。</w:t>
            </w:r>
          </w:p>
        </w:tc>
      </w:tr>
      <w:tr>
        <w:trPr>
          <w:trHeight w:val="308" w:hRule="exact"/>
        </w:trPr>
        <w:tc>
          <w:tcPr>
            <w:tcW w:w="2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w:t>
            </w:r>
          </w:p>
        </w:tc>
        <w:tc>
          <w:tcPr>
            <w:tcW w:w="7666" w:type="dxa"/>
            <w:gridSpan w:val="3"/>
            <w:tcBorders>
              <w:top w:val="nil" w:sz="6" w:space="0" w:color="auto"/>
              <w:left w:val="single" w:sz="4" w:space="0" w:color="000000"/>
              <w:bottom w:val="nil" w:sz="6" w:space="0" w:color="auto"/>
              <w:right w:val="single" w:sz="4" w:space="0" w:color="000000"/>
            </w:tcBorders>
          </w:tcPr>
          <w:p>
            <w:pPr/>
          </w:p>
        </w:tc>
      </w:tr>
      <w:tr>
        <w:trPr>
          <w:trHeight w:val="357" w:hRule="exact"/>
        </w:trPr>
        <w:tc>
          <w:tcPr>
            <w:tcW w:w="20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一致行动的说明</w:t>
            </w:r>
          </w:p>
        </w:tc>
        <w:tc>
          <w:tcPr>
            <w:tcW w:w="7666" w:type="dxa"/>
            <w:gridSpan w:val="3"/>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0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w:t>
            </w:r>
          </w:p>
        </w:tc>
        <w:tc>
          <w:tcPr>
            <w:tcW w:w="7666" w:type="dxa"/>
            <w:gridSpan w:val="3"/>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2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融资融券业务情况说明</w:t>
            </w:r>
          </w:p>
        </w:tc>
        <w:tc>
          <w:tcPr>
            <w:tcW w:w="7666"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0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666" w:type="dxa"/>
            <w:gridSpan w:val="3"/>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61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431"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38" w:lineRule="auto" w:before="117"/>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4" w:right="0" w:hanging="1"/>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9"/>
        <w:rPr>
          <w:rFonts w:ascii="宋体" w:hAnsi="宋体" w:cs="宋体" w:eastAsia="宋体" w:hint="default"/>
          <w:sz w:val="23"/>
          <w:szCs w:val="23"/>
        </w:rPr>
      </w:pPr>
    </w:p>
    <w:p>
      <w:pPr>
        <w:spacing w:line="3331" w:lineRule="exact"/>
        <w:ind w:left="2389"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279647" cy="211531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3279647" cy="2115311"/>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6"/>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4</w:t>
      </w:r>
      <w:r>
        <w:rPr/>
        <w:t>、其他持股在</w:t>
      </w:r>
      <w:r>
        <w:rPr>
          <w:spacing w:val="-59"/>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71.480011pt;margin-top:33.035938pt;width:63.55pt;height:50.8pt;mso-position-horizontal-relative:page;mso-position-vertical-relative:paragraph;z-index:-10913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992"/>
        <w:gridCol w:w="1046"/>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1"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27" w:right="6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266,009,8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266,009,8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56,957,38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56,957,38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29,104,00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18,626,72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18,638,52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34,962,52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34,962,52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59,500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7,559,092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7,559,092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4,145,152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4,145,152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2,275,788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2,275,788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992"/>
        <w:gridCol w:w="1046"/>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4,034,940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4,034,940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349,040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1,021,240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6,386,692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6,386,692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431,452,0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360,840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431,920,4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36</w:t>
            </w:r>
          </w:p>
        </w:tc>
      </w:tr>
    </w:tbl>
    <w:p>
      <w:pPr>
        <w:spacing w:line="307" w:lineRule="auto" w:before="10"/>
        <w:ind w:left="153" w:right="151" w:firstLine="0"/>
        <w:jc w:val="both"/>
        <w:rPr>
          <w:rFonts w:ascii="宋体" w:hAnsi="宋体" w:cs="宋体" w:eastAsia="宋体" w:hint="default"/>
          <w:sz w:val="18"/>
          <w:szCs w:val="18"/>
        </w:rPr>
      </w:pPr>
      <w:r>
        <w:rPr>
          <w:rFonts w:ascii="宋体" w:hAnsi="宋体" w:cs="宋体" w:eastAsia="宋体" w:hint="default"/>
          <w:sz w:val="18"/>
          <w:szCs w:val="18"/>
        </w:rPr>
        <w:t>注：公司第三届董事会、监事会任期已于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日届满。鉴于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年下半年公司筹备公开发行可转换公司债券相 </w:t>
      </w:r>
      <w:r>
        <w:rPr>
          <w:rFonts w:ascii="宋体" w:hAnsi="宋体" w:cs="宋体" w:eastAsia="宋体" w:hint="default"/>
          <w:spacing w:val="-2"/>
          <w:sz w:val="18"/>
          <w:szCs w:val="18"/>
        </w:rPr>
        <w:t>关事宜，为了保证该事项按进度推进，公司第三届董事会、监事会的换届选举工作延期举行。同时，公司第三届董事会各专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门委员会和高级管理人员的任期亦相应顺延。公司于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日发布了《众信旅游：关于董事会、监事会延期换届选</w:t>
      </w:r>
      <w:r>
        <w:rPr>
          <w:rFonts w:ascii="宋体" w:hAnsi="宋体" w:cs="宋体" w:eastAsia="宋体" w:hint="default"/>
          <w:sz w:val="18"/>
          <w:szCs w:val="18"/>
        </w:rPr>
        <w:t> 举的公告》（</w:t>
      </w:r>
      <w:r>
        <w:rPr>
          <w:rFonts w:ascii="Times New Roman" w:hAnsi="Times New Roman" w:cs="Times New Roman" w:eastAsia="Times New Roman" w:hint="default"/>
          <w:sz w:val="18"/>
          <w:szCs w:val="18"/>
        </w:rPr>
        <w:t>2017-060</w:t>
      </w:r>
      <w:r>
        <w:rPr>
          <w:rFonts w:ascii="宋体" w:hAnsi="宋体" w:cs="宋体" w:eastAsia="宋体" w:hint="default"/>
          <w:sz w:val="18"/>
          <w:szCs w:val="18"/>
        </w:rPr>
        <w:t>）。</w:t>
      </w:r>
    </w:p>
    <w:p>
      <w:pPr>
        <w:spacing w:line="240" w:lineRule="auto" w:before="11"/>
        <w:rPr>
          <w:rFonts w:ascii="宋体" w:hAnsi="宋体" w:cs="宋体" w:eastAsia="宋体" w:hint="default"/>
          <w:sz w:val="19"/>
          <w:szCs w:val="19"/>
        </w:rPr>
      </w:pPr>
    </w:p>
    <w:p>
      <w:pPr>
        <w:pStyle w:val="Heading2"/>
        <w:spacing w:line="240" w:lineRule="auto"/>
        <w:ind w:left="153" w:right="0"/>
        <w:jc w:val="both"/>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59" w:firstLine="0"/>
        <w:jc w:val="right"/>
        <w:rPr>
          <w:rFonts w:ascii="宋体" w:hAnsi="宋体" w:cs="宋体" w:eastAsia="宋体" w:hint="default"/>
          <w:sz w:val="18"/>
          <w:szCs w:val="18"/>
        </w:rPr>
      </w:pPr>
      <w:r>
        <w:rPr/>
        <w:pict>
          <v:shape style="position:absolute;margin-left:56.459999pt;margin-top:-52.148003pt;width:479.1pt;height:158.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日由于个人工作原因，杨宏浩先生辞 去公司独立董事职务，但由于公司独立董事人数不足 法定人数，杨宏浩先生继续履职至新的独立董事产生</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由于杨宏浩先生辞去独立董事职务，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02" w:lineRule="auto" w:before="61"/>
                          <w:ind w:left="23" w:right="23"/>
                          <w:jc w:val="left"/>
                          <w:rPr>
                            <w:rFonts w:ascii="宋体" w:hAnsi="宋体" w:cs="宋体" w:eastAsia="宋体" w:hint="default"/>
                            <w:sz w:val="18"/>
                            <w:szCs w:val="18"/>
                          </w:rPr>
                        </w:pPr>
                        <w:r>
                          <w:rPr>
                            <w:rFonts w:ascii="宋体" w:hAnsi="宋体" w:cs="宋体" w:eastAsia="宋体" w:hint="default"/>
                            <w:sz w:val="18"/>
                            <w:szCs w:val="18"/>
                          </w:rPr>
                          <w:t>日公司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年第二次临时股东大会补选丁小亮先生为 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r>
        <w:rPr/>
        <w:t>三、任职情况</w:t>
      </w:r>
      <w:r>
        <w:rPr>
          <w:b w:val="0"/>
          <w:bCs w:val="0"/>
        </w:rPr>
      </w:r>
    </w:p>
    <w:p>
      <w:pPr>
        <w:spacing w:line="240" w:lineRule="auto" w:before="3"/>
        <w:rPr>
          <w:rFonts w:ascii="宋体" w:hAnsi="宋体" w:cs="宋体" w:eastAsia="宋体" w:hint="default"/>
          <w:b/>
          <w:bCs/>
          <w:sz w:val="31"/>
          <w:szCs w:val="31"/>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w w:val="105"/>
          <w:sz w:val="20"/>
          <w:szCs w:val="20"/>
        </w:rPr>
        <w:t>公司现任董事、监事、高级管理人员专业背景、主要工作经历以及目前在公司的主要职责</w:t>
      </w:r>
      <w:r>
        <w:rPr>
          <w:rFonts w:ascii="宋体" w:hAnsi="宋体" w:cs="宋体" w:eastAsia="宋体" w:hint="default"/>
          <w:sz w:val="20"/>
          <w:szCs w:val="20"/>
        </w:rPr>
      </w:r>
    </w:p>
    <w:p>
      <w:pPr>
        <w:spacing w:line="240" w:lineRule="auto" w:before="1"/>
        <w:rPr>
          <w:rFonts w:ascii="宋体" w:hAnsi="宋体" w:cs="宋体" w:eastAsia="宋体" w:hint="default"/>
          <w:sz w:val="15"/>
          <w:szCs w:val="15"/>
        </w:rPr>
      </w:pPr>
    </w:p>
    <w:p>
      <w:pPr>
        <w:pStyle w:val="BodyText"/>
        <w:spacing w:line="240" w:lineRule="auto" w:before="0"/>
        <w:ind w:right="0"/>
        <w:jc w:val="left"/>
      </w:pPr>
      <w:r>
        <w:rPr>
          <w:rFonts w:ascii="Times New Roman" w:hAnsi="Times New Roman" w:cs="Times New Roman" w:eastAsia="Times New Roman" w:hint="default"/>
        </w:rPr>
        <w:t>1</w:t>
      </w:r>
      <w:r>
        <w:rPr/>
        <w:t>、董事</w:t>
      </w:r>
    </w:p>
    <w:p>
      <w:pPr>
        <w:pStyle w:val="BodyText"/>
        <w:spacing w:line="240" w:lineRule="auto" w:before="177"/>
        <w:ind w:right="0"/>
        <w:jc w:val="left"/>
      </w:pPr>
      <w:r>
        <w:rPr/>
        <w:t>（</w:t>
      </w:r>
      <w:r>
        <w:rPr>
          <w:rFonts w:ascii="Times New Roman" w:hAnsi="Times New Roman" w:cs="Times New Roman" w:eastAsia="Times New Roman" w:hint="default"/>
        </w:rPr>
        <w:t>1</w:t>
      </w:r>
      <w:r>
        <w:rPr/>
        <w:t>）董事长冯滨：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月任公司董事长兼总经理。</w:t>
      </w:r>
    </w:p>
    <w:p>
      <w:pPr>
        <w:pStyle w:val="BodyText"/>
        <w:spacing w:line="386" w:lineRule="auto" w:before="177"/>
        <w:ind w:right="0"/>
        <w:jc w:val="left"/>
      </w:pPr>
      <w:r>
        <w:rPr/>
        <w:t>（</w:t>
      </w:r>
      <w:r>
        <w:rPr>
          <w:rFonts w:ascii="Times New Roman" w:hAnsi="Times New Roman" w:cs="Times New Roman" w:eastAsia="Times New Roman" w:hint="default"/>
        </w:rPr>
        <w:t>2</w:t>
      </w:r>
      <w:r>
        <w:rPr/>
        <w:t>）副董事长郭洪斌：</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月至今任竹园国旅执行董事。自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月任公司董事，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月任公</w:t>
      </w:r>
      <w:r>
        <w:rPr>
          <w:spacing w:val="-41"/>
        </w:rPr>
        <w:t> </w:t>
      </w:r>
      <w:r>
        <w:rPr/>
        <w:t>司副董事长。</w:t>
      </w:r>
    </w:p>
    <w:p>
      <w:pPr>
        <w:pStyle w:val="BodyText"/>
        <w:spacing w:line="240" w:lineRule="auto" w:before="65"/>
        <w:ind w:right="0"/>
        <w:jc w:val="left"/>
      </w:pPr>
      <w:r>
        <w:rPr/>
        <w:t>（</w:t>
      </w:r>
      <w:r>
        <w:rPr>
          <w:rFonts w:ascii="Times New Roman" w:hAnsi="Times New Roman" w:cs="Times New Roman" w:eastAsia="Times New Roman" w:hint="default"/>
        </w:rPr>
        <w:t>3</w:t>
      </w:r>
      <w:r>
        <w:rPr/>
        <w:t>）董事林岩：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月至今任公司董事、副总经理。</w:t>
      </w:r>
    </w:p>
    <w:p>
      <w:pPr>
        <w:pStyle w:val="BodyText"/>
        <w:spacing w:line="240" w:lineRule="auto" w:before="177"/>
        <w:ind w:right="0"/>
        <w:jc w:val="left"/>
      </w:pPr>
      <w:r>
        <w:rPr/>
        <w:t>（</w:t>
      </w:r>
      <w:r>
        <w:rPr>
          <w:rFonts w:ascii="Times New Roman" w:hAnsi="Times New Roman" w:cs="Times New Roman" w:eastAsia="Times New Roman" w:hint="default"/>
        </w:rPr>
        <w:t>4</w:t>
      </w:r>
      <w:r>
        <w:rPr/>
        <w:t>）董事韩丽：</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月任公司部门经理，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月至今任公司上海分社总经理，</w:t>
      </w:r>
      <w:r>
        <w:rPr>
          <w:rFonts w:ascii="Times New Roman" w:hAnsi="Times New Roman" w:cs="Times New Roman" w:eastAsia="Times New Roman" w:hint="default"/>
        </w:rPr>
        <w:t>2011</w:t>
      </w:r>
      <w:r>
        <w:rPr/>
        <w:t>年</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02"/>
        <w:jc w:val="left"/>
      </w:pPr>
      <w:r>
        <w:rPr>
          <w:rFonts w:ascii="Times New Roman" w:hAnsi="Times New Roman" w:cs="Times New Roman" w:eastAsia="Times New Roman" w:hint="default"/>
        </w:rPr>
        <w:t>6</w:t>
      </w:r>
      <w:r>
        <w:rPr/>
        <w:t>月至今任公司董事，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月至今任上海众信执行董事兼总经理。</w:t>
      </w:r>
    </w:p>
    <w:p>
      <w:pPr>
        <w:pStyle w:val="BodyText"/>
        <w:spacing w:line="386" w:lineRule="auto" w:before="177"/>
        <w:ind w:left="153" w:right="207"/>
        <w:jc w:val="both"/>
      </w:pPr>
      <w:r>
        <w:rPr>
          <w:spacing w:val="-1"/>
        </w:rPr>
        <w:t>（</w:t>
      </w:r>
      <w:r>
        <w:rPr>
          <w:rFonts w:ascii="Times New Roman" w:hAnsi="Times New Roman" w:cs="Times New Roman" w:eastAsia="Times New Roman" w:hint="default"/>
          <w:spacing w:val="-1"/>
        </w:rPr>
        <w:t>5</w:t>
      </w:r>
      <w:r>
        <w:rPr>
          <w:spacing w:val="-1"/>
        </w:rPr>
        <w:t>）董事曹建：</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月任公司副总经理，</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月至今任公司董事、总经理，其中</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月兼任公司董事会秘书。因公司董事会秘书辞职，自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月起，暂时代行董事会秘</w:t>
      </w:r>
      <w:r>
        <w:rPr>
          <w:spacing w:val="-37"/>
        </w:rPr>
        <w:t> </w:t>
      </w:r>
      <w:r>
        <w:rPr>
          <w:spacing w:val="-37"/>
        </w:rPr>
      </w:r>
      <w:r>
        <w:rPr/>
        <w:t>书职责。</w:t>
      </w:r>
    </w:p>
    <w:p>
      <w:pPr>
        <w:pStyle w:val="BodyText"/>
        <w:spacing w:line="386" w:lineRule="auto" w:before="65"/>
        <w:ind w:left="153" w:right="102" w:hanging="1"/>
        <w:jc w:val="left"/>
      </w:pPr>
      <w:r>
        <w:rPr>
          <w:spacing w:val="-3"/>
        </w:rPr>
        <w:t>（</w:t>
      </w:r>
      <w:r>
        <w:rPr>
          <w:rFonts w:ascii="Times New Roman" w:hAnsi="Times New Roman" w:cs="Times New Roman" w:eastAsia="Times New Roman" w:hint="default"/>
          <w:spacing w:val="-3"/>
        </w:rPr>
        <w:t>6</w:t>
      </w:r>
      <w:r>
        <w:rPr>
          <w:spacing w:val="-3"/>
        </w:rPr>
        <w:t>）董事贺武：曾任浙江天元生物医药有限公司董事长特别助理，湖北珩生集团副总裁、财务总监。</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月，任公司总经理助理。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月至今，任公司董事、财务总监。</w:t>
      </w:r>
    </w:p>
    <w:p>
      <w:pPr>
        <w:pStyle w:val="BodyText"/>
        <w:spacing w:line="398" w:lineRule="auto" w:before="35"/>
        <w:ind w:right="101"/>
        <w:jc w:val="left"/>
      </w:pPr>
      <w:r>
        <w:rPr/>
        <w:t>（</w:t>
      </w:r>
      <w:r>
        <w:rPr>
          <w:rFonts w:ascii="Times New Roman" w:hAnsi="Times New Roman" w:cs="Times New Roman" w:eastAsia="Times New Roman" w:hint="default"/>
        </w:rPr>
        <w:t>7</w:t>
      </w:r>
      <w:r>
        <w:rPr/>
        <w:t>）独立董事姜付秀：</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月至今先后任中国人民大学副教授、教授、博士生导师等职务，兼任烟台 </w:t>
      </w:r>
      <w:r>
        <w:rPr>
          <w:spacing w:val="-3"/>
        </w:rPr>
        <w:t>龙源电力技术股份有限公司独立董事、山东齐星铁塔科技股份有限公司（现更名为北讯集团股份有限公司）</w:t>
      </w:r>
      <w:r>
        <w:rPr>
          <w:spacing w:val="-92"/>
        </w:rPr>
        <w:t> </w:t>
      </w:r>
      <w:r>
        <w:rPr>
          <w:spacing w:val="-92"/>
        </w:rPr>
      </w:r>
      <w:r>
        <w:rPr/>
        <w:t>独立董事、大唐国际发电股份有限公司独立董事。</w:t>
      </w:r>
    </w:p>
    <w:p>
      <w:pPr>
        <w:pStyle w:val="BodyText"/>
        <w:spacing w:line="240" w:lineRule="auto" w:before="54"/>
        <w:ind w:right="102"/>
        <w:jc w:val="left"/>
      </w:pPr>
      <w:r>
        <w:rPr/>
        <w:t>（</w:t>
      </w:r>
      <w:r>
        <w:rPr>
          <w:rFonts w:ascii="Times New Roman" w:hAnsi="Times New Roman" w:cs="Times New Roman" w:eastAsia="Times New Roman" w:hint="default"/>
        </w:rPr>
        <w:t>8</w:t>
      </w:r>
      <w:r>
        <w:rPr/>
        <w:t>）独立董事孙云：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月至今任北京盈科律师事务所律师。</w:t>
      </w:r>
    </w:p>
    <w:p>
      <w:pPr>
        <w:pStyle w:val="BodyText"/>
        <w:spacing w:line="240" w:lineRule="auto" w:before="177"/>
        <w:ind w:right="102"/>
        <w:jc w:val="left"/>
      </w:pPr>
      <w:r>
        <w:rPr/>
        <w:t>（</w:t>
      </w:r>
      <w:r>
        <w:rPr>
          <w:rFonts w:ascii="Times New Roman" w:hAnsi="Times New Roman" w:cs="Times New Roman" w:eastAsia="Times New Roman" w:hint="default"/>
        </w:rPr>
        <w:t>9</w:t>
      </w:r>
      <w:r>
        <w:rPr/>
        <w:t>）独立董事丁小亮：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月，任携程集团副总裁。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月，创建舍野</w:t>
      </w:r>
    </w:p>
    <w:p>
      <w:pPr>
        <w:pStyle w:val="BodyText"/>
        <w:spacing w:line="386" w:lineRule="auto" w:before="177"/>
        <w:ind w:right="102"/>
        <w:jc w:val="left"/>
      </w:pPr>
      <w:r>
        <w:rPr>
          <w:spacing w:val="-1"/>
        </w:rPr>
        <w:t>（北京）旅游管理服务有限公司，任执行董事兼</w:t>
      </w:r>
      <w:r>
        <w:rPr>
          <w:rFonts w:ascii="Times New Roman" w:hAnsi="Times New Roman" w:cs="Times New Roman" w:eastAsia="Times New Roman" w:hint="default"/>
          <w:spacing w:val="-1"/>
        </w:rPr>
        <w:t>CEO</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月至今，分别担任途家集团线下事业部总</w:t>
      </w:r>
      <w:r>
        <w:rPr>
          <w:spacing w:val="-83"/>
        </w:rPr>
        <w:t> </w:t>
      </w:r>
      <w:r>
        <w:rPr>
          <w:spacing w:val="-83"/>
        </w:rPr>
      </w:r>
      <w:r>
        <w:rPr/>
        <w:t>裁、斯维登集团（途家集团运营公司）总裁。</w:t>
      </w:r>
    </w:p>
    <w:p>
      <w:pPr>
        <w:pStyle w:val="BodyText"/>
        <w:spacing w:line="240" w:lineRule="auto" w:before="65"/>
        <w:ind w:left="153" w:right="6771"/>
        <w:jc w:val="left"/>
      </w:pPr>
      <w:r>
        <w:rPr>
          <w:rFonts w:ascii="Times New Roman" w:hAnsi="Times New Roman" w:cs="Times New Roman" w:eastAsia="Times New Roman" w:hint="default"/>
        </w:rPr>
        <w:t>2</w:t>
      </w:r>
      <w:r>
        <w:rPr/>
        <w:t>、监事</w:t>
      </w:r>
    </w:p>
    <w:p>
      <w:pPr>
        <w:pStyle w:val="BodyText"/>
        <w:spacing w:line="386" w:lineRule="auto" w:before="177"/>
        <w:ind w:left="153" w:right="102"/>
        <w:jc w:val="left"/>
      </w:pPr>
      <w:r>
        <w:rPr/>
        <w:t>（</w:t>
      </w:r>
      <w:r>
        <w:rPr>
          <w:rFonts w:ascii="Times New Roman" w:hAnsi="Times New Roman" w:cs="Times New Roman" w:eastAsia="Times New Roman" w:hint="default"/>
        </w:rPr>
        <w:t>1</w:t>
      </w:r>
      <w:r>
        <w:rPr/>
        <w:t>）监事会主席喻慧：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月任公司商务会奖中心会展部总监，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月至今任博睿</w:t>
      </w:r>
      <w:r>
        <w:rPr>
          <w:spacing w:val="-40"/>
        </w:rPr>
        <w:t> </w:t>
      </w:r>
      <w:r>
        <w:rPr>
          <w:spacing w:val="-40"/>
        </w:rPr>
      </w:r>
      <w:r>
        <w:rPr/>
        <w:t>商务的副总经理，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月至今任奇迹旅行执行董事、经理，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月起至今任公司监事会主席。</w:t>
      </w:r>
    </w:p>
    <w:p>
      <w:pPr>
        <w:pStyle w:val="BodyText"/>
        <w:spacing w:line="386" w:lineRule="auto" w:before="35"/>
        <w:ind w:left="153" w:right="102" w:hanging="1"/>
        <w:jc w:val="left"/>
      </w:pPr>
      <w:r>
        <w:rPr>
          <w:spacing w:val="-1"/>
        </w:rPr>
        <w:t>（</w:t>
      </w:r>
      <w:r>
        <w:rPr>
          <w:rFonts w:ascii="Times New Roman" w:hAnsi="Times New Roman" w:cs="Times New Roman" w:eastAsia="Times New Roman" w:hint="default"/>
          <w:spacing w:val="-1"/>
        </w:rPr>
        <w:t>2</w:t>
      </w:r>
      <w:r>
        <w:rPr>
          <w:spacing w:val="-1"/>
        </w:rPr>
        <w:t>）监事李鸿秀：</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月任公司出境旅游中心副总监，</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月至今任公司会员俱乐部</w:t>
      </w:r>
      <w:r>
        <w:rPr>
          <w:spacing w:val="-87"/>
        </w:rPr>
        <w:t> </w:t>
      </w:r>
      <w:r>
        <w:rPr>
          <w:spacing w:val="-87"/>
        </w:rPr>
      </w:r>
      <w:r>
        <w:rPr/>
        <w:t>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月起任公司监事。</w:t>
      </w:r>
    </w:p>
    <w:p>
      <w:pPr>
        <w:pStyle w:val="BodyText"/>
        <w:spacing w:line="240" w:lineRule="auto" w:before="35"/>
        <w:ind w:right="102"/>
        <w:jc w:val="left"/>
      </w:pPr>
      <w:r>
        <w:rPr/>
        <w:t>（</w:t>
      </w:r>
      <w:r>
        <w:rPr>
          <w:rFonts w:ascii="Times New Roman" w:hAnsi="Times New Roman" w:cs="Times New Roman" w:eastAsia="Times New Roman" w:hint="default"/>
        </w:rPr>
        <w:t>3</w:t>
      </w:r>
      <w:r>
        <w:rPr/>
        <w:t>）职工代表监事王薇薇：</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月至今任同业事业部销售，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月起任公司职工代表监事。</w:t>
      </w:r>
    </w:p>
    <w:p>
      <w:pPr>
        <w:pStyle w:val="BodyText"/>
        <w:spacing w:line="240" w:lineRule="auto" w:before="177"/>
        <w:ind w:right="6771"/>
        <w:jc w:val="left"/>
      </w:pPr>
      <w:r>
        <w:rPr>
          <w:rFonts w:ascii="Times New Roman" w:hAnsi="Times New Roman" w:cs="Times New Roman" w:eastAsia="Times New Roman" w:hint="default"/>
        </w:rPr>
        <w:t>3</w:t>
      </w:r>
      <w:r>
        <w:rPr/>
        <w:t>、高级管理人员</w:t>
      </w:r>
    </w:p>
    <w:p>
      <w:pPr>
        <w:pStyle w:val="BodyText"/>
        <w:spacing w:line="240" w:lineRule="auto" w:before="177"/>
        <w:ind w:right="102"/>
        <w:jc w:val="left"/>
      </w:pPr>
      <w:r>
        <w:rPr/>
        <w:t>（</w:t>
      </w:r>
      <w:r>
        <w:rPr>
          <w:rFonts w:ascii="Times New Roman" w:hAnsi="Times New Roman" w:cs="Times New Roman" w:eastAsia="Times New Roman" w:hint="default"/>
        </w:rPr>
        <w:t>1</w:t>
      </w:r>
      <w:r>
        <w:rPr/>
        <w:t>）总经理曹建：详见董事部分。</w:t>
      </w:r>
    </w:p>
    <w:p>
      <w:pPr>
        <w:pStyle w:val="BodyText"/>
        <w:spacing w:line="240" w:lineRule="auto" w:before="177"/>
        <w:ind w:right="102"/>
        <w:jc w:val="left"/>
      </w:pPr>
      <w:r>
        <w:rPr/>
        <w:t>（</w:t>
      </w:r>
      <w:r>
        <w:rPr>
          <w:rFonts w:ascii="Times New Roman" w:hAnsi="Times New Roman" w:cs="Times New Roman" w:eastAsia="Times New Roman" w:hint="default"/>
        </w:rPr>
        <w:t>2</w:t>
      </w:r>
      <w:r>
        <w:rPr/>
        <w:t>）副总经理林岩：详见董事部分。</w:t>
      </w:r>
    </w:p>
    <w:p>
      <w:pPr>
        <w:pStyle w:val="BodyText"/>
        <w:spacing w:line="240" w:lineRule="auto" w:before="177"/>
        <w:ind w:right="102"/>
        <w:jc w:val="left"/>
      </w:pPr>
      <w:r>
        <w:rPr/>
        <w:t>（</w:t>
      </w:r>
      <w:r>
        <w:rPr>
          <w:rFonts w:ascii="Times New Roman" w:hAnsi="Times New Roman" w:cs="Times New Roman" w:eastAsia="Times New Roman" w:hint="default"/>
        </w:rPr>
        <w:t>3</w:t>
      </w:r>
      <w:r>
        <w:rPr/>
        <w:t>）副总经理韩丽：详见董事部分。</w:t>
      </w:r>
    </w:p>
    <w:p>
      <w:pPr>
        <w:pStyle w:val="BodyText"/>
        <w:spacing w:line="240" w:lineRule="auto" w:before="177"/>
        <w:ind w:right="102"/>
        <w:jc w:val="left"/>
      </w:pPr>
      <w:r>
        <w:rPr/>
        <w:t>（</w:t>
      </w:r>
      <w:r>
        <w:rPr>
          <w:rFonts w:ascii="Times New Roman" w:hAnsi="Times New Roman" w:cs="Times New Roman" w:eastAsia="Times New Roman" w:hint="default"/>
        </w:rPr>
        <w:t>4</w:t>
      </w:r>
      <w:r>
        <w:rPr/>
        <w:t>）副总经理赵锐：</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月至今任公司副总经理。</w:t>
      </w:r>
    </w:p>
    <w:p>
      <w:pPr>
        <w:pStyle w:val="BodyText"/>
        <w:spacing w:line="240" w:lineRule="auto" w:before="177"/>
        <w:ind w:right="102"/>
        <w:jc w:val="left"/>
      </w:pPr>
      <w:r>
        <w:rPr/>
        <w:t>（</w:t>
      </w:r>
      <w:r>
        <w:rPr>
          <w:rFonts w:ascii="Times New Roman" w:hAnsi="Times New Roman" w:cs="Times New Roman" w:eastAsia="Times New Roman" w:hint="default"/>
        </w:rPr>
        <w:t>5</w:t>
      </w:r>
      <w:r>
        <w:rPr/>
        <w:t>）副总经理杜政泰：</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2011</w:t>
      </w:r>
      <w:r>
        <w:rPr/>
        <w:t>年任台湾易游网旅行社副总经理，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386" w:lineRule="auto" w:before="177"/>
        <w:ind w:left="153" w:right="102"/>
        <w:jc w:val="left"/>
      </w:pPr>
      <w:r>
        <w:rPr/>
        <w:t>（</w:t>
      </w:r>
      <w:r>
        <w:rPr>
          <w:rFonts w:ascii="Times New Roman" w:hAnsi="Times New Roman" w:cs="Times New Roman" w:eastAsia="Times New Roman" w:hint="default"/>
        </w:rPr>
        <w:t>6</w:t>
      </w:r>
      <w:r>
        <w:rPr/>
        <w:t>）副总经理王春峰：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月任中国旅游出版社国际部主任、中国旅游出版社社长助理</w:t>
      </w:r>
      <w:r>
        <w:rPr>
          <w:spacing w:val="-37"/>
        </w:rPr>
        <w:t> </w:t>
      </w:r>
      <w:r>
        <w:rPr>
          <w:spacing w:val="-37"/>
        </w:rPr>
      </w:r>
      <w:r>
        <w:rPr/>
        <w:t>兼中国旅游书店总经理、北京华天旅游国际广告公司总经理，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p>
    <w:p>
      <w:pPr>
        <w:pStyle w:val="BodyText"/>
        <w:spacing w:line="386" w:lineRule="auto" w:before="35"/>
        <w:ind w:left="153" w:right="102"/>
        <w:jc w:val="left"/>
      </w:pPr>
      <w:r>
        <w:rPr/>
        <w:t>（</w:t>
      </w:r>
      <w:r>
        <w:rPr>
          <w:rFonts w:ascii="Times New Roman" w:hAnsi="Times New Roman" w:cs="Times New Roman" w:eastAsia="Times New Roman" w:hint="default"/>
        </w:rPr>
        <w:t>7</w:t>
      </w:r>
      <w:r>
        <w:rPr/>
        <w:t>）副总经理张磊：</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月任公司出境旅游中心总监，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月起任公司副总经理；</w:t>
      </w:r>
      <w:r>
        <w:rPr>
          <w:spacing w:val="-40"/>
        </w:rPr>
        <w:t> </w:t>
      </w:r>
      <w:r>
        <w:rPr>
          <w:spacing w:val="-40"/>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月至今日，任优耐德（北京）经理；</w:t>
      </w:r>
      <w:r>
        <w:rPr>
          <w:spacing w:val="-36"/>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月曾任公司监事会主席。</w:t>
      </w:r>
    </w:p>
    <w:p>
      <w:pPr>
        <w:pStyle w:val="BodyText"/>
        <w:spacing w:line="240" w:lineRule="auto" w:before="35"/>
        <w:ind w:left="153" w:right="102"/>
        <w:jc w:val="left"/>
      </w:pPr>
      <w:r>
        <w:rPr/>
        <w:t>（</w:t>
      </w:r>
      <w:r>
        <w:rPr>
          <w:rFonts w:ascii="Times New Roman" w:hAnsi="Times New Roman" w:cs="Times New Roman" w:eastAsia="Times New Roman" w:hint="default"/>
        </w:rPr>
        <w:t>8</w:t>
      </w:r>
      <w:r>
        <w:rPr/>
        <w:t>）副总经理何静：</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月任公司董事、财务总监；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月至今，任公司副总经理。</w:t>
      </w:r>
    </w:p>
    <w:p>
      <w:pPr>
        <w:spacing w:after="0" w:line="240" w:lineRule="auto"/>
        <w:jc w:val="left"/>
        <w:sectPr>
          <w:pgSz w:w="11910" w:h="16840"/>
          <w:pgMar w:header="877" w:footer="982" w:top="1100" w:bottom="1180" w:left="980" w:right="92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中国人民大学商学院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烟台龙源电力技术股份有限公司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山东齐星铁塔科技股份有限公司（现更名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为北讯集团股份有限公司）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大唐国际发电股份有限公司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北京市盈科律师事务所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斯维登集团（途家集团运营公司）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中国海外旅游投资管理有限公司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4"/>
                <w:sz w:val="18"/>
              </w:rPr>
              <w:t>West </w:t>
            </w:r>
            <w:r>
              <w:rPr>
                <w:rFonts w:ascii="Times New Roman"/>
                <w:sz w:val="18"/>
              </w:rPr>
              <w:t>Coast Holidays</w:t>
            </w:r>
            <w:r>
              <w:rPr>
                <w:rFonts w:ascii="Times New Roman"/>
                <w:spacing w:val="1"/>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30"/>
          <w:szCs w:val="30"/>
        </w:rPr>
      </w:pPr>
    </w:p>
    <w:p>
      <w:pPr>
        <w:pStyle w:val="BodyText"/>
        <w:spacing w:line="398" w:lineRule="auto" w:before="0"/>
        <w:ind w:left="577" w:right="0" w:hanging="424"/>
        <w:jc w:val="left"/>
      </w:pPr>
      <w:r>
        <w:rPr/>
        <w:t>董事、监事、高级管理人员报酬的决策程序、确定依据、实际支付情况 </w:t>
      </w:r>
      <w:r>
        <w:rPr>
          <w:rFonts w:ascii="Times New Roman" w:hAnsi="Times New Roman" w:cs="Times New Roman" w:eastAsia="Times New Roman" w:hint="default"/>
        </w:rPr>
        <w:t>1</w:t>
      </w:r>
      <w:r>
        <w:rPr/>
        <w:t>、董事、监事、高级管理人员报酬的决策程序 </w:t>
      </w:r>
      <w:r>
        <w:rPr>
          <w:spacing w:val="-1"/>
        </w:rPr>
        <w:t>董事、监事薪酬由股东大会确定薪酬政策，由公司根据薪酬政策实施，每位董事、监事的年薪经年度</w:t>
      </w:r>
    </w:p>
    <w:p>
      <w:pPr>
        <w:pStyle w:val="BodyText"/>
        <w:spacing w:line="408" w:lineRule="auto" w:before="54"/>
        <w:ind w:right="0"/>
        <w:jc w:val="left"/>
      </w:pPr>
      <w:r>
        <w:rPr>
          <w:spacing w:val="-1"/>
        </w:rPr>
        <w:t>股东大会确认。高级管理人员薪酬由董事会确定薪酬政策并监督执行，每位高级管理人员的年薪经年度董</w:t>
      </w:r>
      <w:r>
        <w:rPr>
          <w:spacing w:val="-81"/>
        </w:rPr>
        <w:t> </w:t>
      </w:r>
      <w:r>
        <w:rPr>
          <w:spacing w:val="-81"/>
        </w:rPr>
      </w:r>
      <w:r>
        <w:rPr/>
        <w:t>事会确认。</w:t>
      </w:r>
    </w:p>
    <w:p>
      <w:pPr>
        <w:pStyle w:val="BodyText"/>
        <w:spacing w:line="240" w:lineRule="auto"/>
        <w:ind w:left="577" w:right="0"/>
        <w:jc w:val="left"/>
      </w:pPr>
      <w:r>
        <w:rPr>
          <w:rFonts w:ascii="Times New Roman" w:hAnsi="Times New Roman" w:cs="Times New Roman" w:eastAsia="Times New Roman" w:hint="default"/>
        </w:rPr>
        <w:t>2</w:t>
      </w:r>
      <w:r>
        <w:rPr/>
        <w:t>、董事、监事、高级管理人员报酬确定依据</w:t>
      </w:r>
    </w:p>
    <w:p>
      <w:pPr>
        <w:pStyle w:val="BodyText"/>
        <w:spacing w:line="408" w:lineRule="auto" w:before="177"/>
        <w:ind w:right="149" w:firstLine="423"/>
        <w:jc w:val="both"/>
      </w:pPr>
      <w:r>
        <w:rPr/>
        <w:t>①</w:t>
      </w:r>
      <w:r>
        <w:rPr>
          <w:spacing w:val="45"/>
        </w:rPr>
        <w:t> </w:t>
      </w:r>
      <w:r>
        <w:rPr/>
        <w:t>不在公司担任具体管理职务的董事、监事不领取董事、监事职务报酬；在公司担任具体管理职务</w:t>
      </w:r>
      <w:r>
        <w:rPr/>
        <w:t> </w:t>
      </w:r>
      <w:r>
        <w:rPr>
          <w:spacing w:val="-1"/>
        </w:rPr>
        <w:t>的董事（包括董事长）、监事（包括监事长），根据其在公司的具体任职岗位领取相应的报酬，不再领取</w:t>
      </w:r>
      <w:r>
        <w:rPr>
          <w:spacing w:val="-85"/>
        </w:rPr>
        <w:t> </w:t>
      </w:r>
      <w:r>
        <w:rPr>
          <w:spacing w:val="-85"/>
        </w:rPr>
      </w:r>
      <w:r>
        <w:rPr/>
        <w:t>董事、监事职务报酬。</w:t>
      </w:r>
    </w:p>
    <w:p>
      <w:pPr>
        <w:pStyle w:val="BodyText"/>
        <w:spacing w:line="240" w:lineRule="auto"/>
        <w:ind w:left="577" w:right="0"/>
        <w:jc w:val="left"/>
      </w:pPr>
      <w:r>
        <w:rPr/>
        <w:t>②</w:t>
      </w:r>
      <w:r>
        <w:rPr>
          <w:spacing w:val="-24"/>
        </w:rPr>
        <w:t> </w:t>
      </w:r>
      <w:r>
        <w:rPr/>
        <w:t>公司独立董事的职务津贴为税前人民币</w:t>
      </w:r>
      <w:r>
        <w:rPr>
          <w:rFonts w:ascii="Times New Roman" w:hAnsi="Times New Roman" w:cs="Times New Roman" w:eastAsia="Times New Roman" w:hint="default"/>
        </w:rPr>
        <w:t>7.08</w:t>
      </w:r>
      <w:r>
        <w:rPr/>
        <w:t>万元。</w:t>
      </w:r>
    </w:p>
    <w:p>
      <w:pPr>
        <w:pStyle w:val="BodyText"/>
        <w:spacing w:line="408" w:lineRule="auto" w:before="177"/>
        <w:ind w:left="153" w:right="149" w:firstLine="423"/>
        <w:jc w:val="both"/>
      </w:pPr>
      <w:r>
        <w:rPr/>
        <w:t>③</w:t>
      </w:r>
      <w:r>
        <w:rPr>
          <w:spacing w:val="45"/>
        </w:rPr>
        <w:t> </w:t>
      </w:r>
      <w:r>
        <w:rPr/>
        <w:t>董事、监事出席公司董事会、监事会、股东大会以及按《公司法》、《公司章程》相关规定行使</w:t>
      </w:r>
      <w:r>
        <w:rPr/>
        <w:t> 职权所需的合理费用（包括差旅费、办公费等）公司给予实报实销。</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574" w:right="0"/>
        <w:jc w:val="left"/>
      </w:pPr>
      <w:r>
        <w:rPr>
          <w:rFonts w:ascii="Times New Roman" w:hAnsi="Times New Roman" w:cs="Times New Roman" w:eastAsia="Times New Roman" w:hint="default"/>
        </w:rPr>
        <w:t>3</w:t>
      </w:r>
      <w:r>
        <w:rPr/>
        <w:t>、</w:t>
      </w:r>
      <w:r>
        <w:rPr>
          <w:spacing w:val="-21"/>
        </w:rPr>
        <w:t> </w:t>
      </w:r>
      <w:r>
        <w:rPr/>
        <w:t>董事、监事的报酬包括个人所得税，个人所得税由公司根据税法规定统一代扣代缴。</w:t>
      </w:r>
    </w:p>
    <w:p>
      <w:pPr>
        <w:pStyle w:val="BodyText"/>
        <w:spacing w:line="386" w:lineRule="auto" w:before="177"/>
        <w:ind w:right="0" w:firstLine="423"/>
        <w:jc w:val="left"/>
      </w:pPr>
      <w:r>
        <w:rPr>
          <w:rFonts w:ascii="Times New Roman" w:hAnsi="Times New Roman" w:cs="Times New Roman" w:eastAsia="Times New Roman" w:hint="default"/>
        </w:rPr>
        <w:t>4</w:t>
      </w:r>
      <w:r>
        <w:rPr/>
        <w:t>、董事、监事和高级管理人员报酬的实际支付情况 </w:t>
      </w:r>
      <w:r>
        <w:rPr>
          <w:spacing w:val="-8"/>
        </w:rPr>
        <w:t>公司根据薪酬计划按月发放薪酬。报告期内，公司共有董事、监事、高级管理人员</w:t>
      </w:r>
      <w:r>
        <w:rPr>
          <w:rFonts w:ascii="Times New Roman" w:hAnsi="Times New Roman" w:cs="Times New Roman" w:eastAsia="Times New Roman" w:hint="default"/>
          <w:spacing w:val="-8"/>
        </w:rPr>
        <w:t>20</w:t>
      </w:r>
      <w:r>
        <w:rPr>
          <w:spacing w:val="-8"/>
        </w:rPr>
        <w:t>人（含</w:t>
      </w:r>
      <w:r>
        <w:rPr>
          <w:rFonts w:ascii="Times New Roman" w:hAnsi="Times New Roman" w:cs="Times New Roman" w:eastAsia="Times New Roman" w:hint="default"/>
          <w:spacing w:val="-8"/>
        </w:rPr>
        <w:t>3</w:t>
      </w:r>
      <w:r>
        <w:rPr>
          <w:spacing w:val="-8"/>
        </w:rPr>
        <w:t>名独立董事），</w:t>
      </w:r>
      <w:r>
        <w:rPr>
          <w:spacing w:val="-58"/>
        </w:rPr>
        <w:t> </w:t>
      </w:r>
      <w:r>
        <w:rPr>
          <w:spacing w:val="-58"/>
        </w:rPr>
      </w:r>
      <w:r>
        <w:rPr/>
        <w:t>共从公司领取薪酬（包括津贴）</w:t>
      </w:r>
      <w:r>
        <w:rPr>
          <w:rFonts w:ascii="Times New Roman" w:hAnsi="Times New Roman" w:cs="Times New Roman" w:eastAsia="Times New Roman" w:hint="default"/>
        </w:rPr>
        <w:t>441.2</w:t>
      </w:r>
      <w:r>
        <w:rPr/>
        <w:t>万元（含税）。</w:t>
      </w:r>
    </w:p>
    <w:p>
      <w:pPr>
        <w:pStyle w:val="BodyText"/>
        <w:spacing w:line="240" w:lineRule="auto" w:before="35"/>
        <w:ind w:right="0"/>
        <w:jc w:val="left"/>
      </w:pPr>
      <w:r>
        <w:rPr/>
        <w:t>公司报告期内董事、监事和高级管理人员报酬情况</w:t>
      </w:r>
    </w:p>
    <w:p>
      <w:pPr>
        <w:spacing w:line="240" w:lineRule="auto" w:before="11"/>
        <w:rPr>
          <w:rFonts w:ascii="宋体" w:hAnsi="宋体" w:cs="宋体" w:eastAsia="宋体" w:hint="default"/>
          <w:sz w:val="13"/>
          <w:szCs w:val="1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2317"/>
        <w:gridCol w:w="991"/>
        <w:gridCol w:w="792"/>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冯滨</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郭洪斌</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林岩</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韩丽</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曹建</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贺武</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喻慧</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李鸿秀</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王薇薇</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赵锐</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杜政泰</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王春峰</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何静</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杨宏浩</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259.020294pt;margin-top:17.532324pt;width:58.1pt;height:66.4pt;mso-position-horizontal-relative:page;mso-position-vertical-relative:paragraph;z-index:-10913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655" w:space="426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8" w:firstLine="46"/>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43" w:right="45"/>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bl>
    <w:p>
      <w:pPr>
        <w:spacing w:after="0" w:line="316" w:lineRule="auto"/>
        <w:jc w:val="both"/>
        <w:rPr>
          <w:rFonts w:ascii="宋体" w:hAnsi="宋体" w:cs="宋体" w:eastAsia="宋体" w:hint="default"/>
          <w:sz w:val="18"/>
          <w:szCs w:val="18"/>
        </w:rPr>
        <w:sectPr>
          <w:type w:val="continuous"/>
          <w:pgSz w:w="11910" w:h="16840"/>
          <w:pgMar w:top="1400" w:bottom="280" w:left="980" w:right="980"/>
        </w:sectPr>
      </w:pPr>
    </w:p>
    <w:p>
      <w:pPr>
        <w:spacing w:line="240" w:lineRule="auto" w:before="6"/>
        <w:rPr>
          <w:rFonts w:ascii="宋体" w:hAnsi="宋体" w:cs="宋体" w:eastAsia="宋体" w:hint="default"/>
          <w:sz w:val="24"/>
          <w:szCs w:val="24"/>
        </w:rPr>
      </w:pPr>
      <w:r>
        <w:rPr/>
        <w:pict>
          <v:shape style="position:absolute;margin-left:101.339996pt;margin-top:108.18pt;width:85.35pt;height:50.85pt;mso-position-horizontal-relative:page;mso-position-vertical-relative:page;z-index:-10912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p>
                  <w:pPr>
                    <w:spacing w:line="240" w:lineRule="auto" w:before="0"/>
                    <w:rPr>
                      <w:rFonts w:ascii="宋体" w:hAnsi="宋体" w:cs="宋体" w:eastAsia="宋体" w:hint="default"/>
                      <w:b/>
                      <w:bCs/>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书（离任）</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865"/>
        <w:gridCol w:w="866"/>
        <w:gridCol w:w="873"/>
        <w:gridCol w:w="870"/>
        <w:gridCol w:w="870"/>
        <w:gridCol w:w="869"/>
        <w:gridCol w:w="870"/>
        <w:gridCol w:w="870"/>
        <w:gridCol w:w="870"/>
        <w:gridCol w:w="870"/>
        <w:gridCol w:w="870"/>
      </w:tblGrid>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贺武</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297,500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王锋</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8"/>
              <w:jc w:val="center"/>
              <w:rPr>
                <w:rFonts w:ascii="宋体" w:hAnsi="宋体" w:cs="宋体" w:eastAsia="宋体" w:hint="default"/>
                <w:sz w:val="18"/>
                <w:szCs w:val="18"/>
              </w:rPr>
            </w:pPr>
            <w:r>
              <w:rPr>
                <w:rFonts w:ascii="宋体" w:hAnsi="宋体" w:cs="宋体" w:eastAsia="宋体" w:hint="default"/>
                <w:sz w:val="18"/>
                <w:szCs w:val="18"/>
              </w:rPr>
              <w:t>董事会秘</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1016" w:lineRule="exact"/>
              <w:ind w:left="3"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43.05pt;height:50.85pt;mso-position-horizontal-relative:char;mso-position-vertical-relative:line" coordorigin="0,0" coordsize="861,1017">
                  <v:group style="position:absolute;left:0;top:0;width:861;height:1017" coordorigin="0,0" coordsize="861,1017">
                    <v:shape style="position:absolute;left:0;top:0;width:861;height:1017" coordorigin="0,0" coordsize="861,1017" path="m0,1016l860,1016,860,0,0,0,0,1016xe" filled="true" fillcolor="#ffffff" stroked="false">
                      <v:path arrowok="t"/>
                      <v:fill type="solid"/>
                    </v:shape>
                  </v:group>
                  <v:group style="position:absolute;left:23;top:312;width:815;height:393" coordorigin="23,312" coordsize="815,393">
                    <v:shape style="position:absolute;left:23;top:312;width:815;height:393" coordorigin="23,312" coordsize="815,393" path="m23,704l838,704,838,312,23,312,23,704xe" filled="true" fillcolor="#ffffff" stroked="false">
                      <v:path arrowok="t"/>
                      <v:fill type="solid"/>
                    </v:shape>
                  </v:group>
                </v:group>
              </w:pict>
            </w:r>
            <w:r>
              <w:rPr>
                <w:rFonts w:ascii="宋体" w:hAnsi="宋体" w:cs="宋体" w:eastAsia="宋体" w:hint="default"/>
                <w:position w:val="-19"/>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612,500</w:t>
            </w:r>
          </w:p>
        </w:tc>
      </w:tr>
      <w:tr>
        <w:trPr>
          <w:trHeight w:val="363" w:hRule="exact"/>
        </w:trPr>
        <w:tc>
          <w:tcPr>
            <w:tcW w:w="173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832" w:type="dxa"/>
            <w:gridSpan w:val="9"/>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日，公司经第三届董事会第六十一次会议审议通过了《关于终止实施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w:t>
            </w:r>
          </w:p>
        </w:tc>
      </w:tr>
      <w:tr>
        <w:trPr>
          <w:trHeight w:val="312"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制性股票激励计划的议案</w:t>
            </w:r>
            <w:r>
              <w:rPr>
                <w:rFonts w:ascii="宋体" w:hAnsi="宋体" w:cs="宋体" w:eastAsia="宋体" w:hint="default"/>
                <w:spacing w:val="-90"/>
                <w:sz w:val="18"/>
                <w:szCs w:val="18"/>
              </w:rPr>
              <w:t>》、</w:t>
            </w:r>
            <w:r>
              <w:rPr>
                <w:rFonts w:ascii="宋体" w:hAnsi="宋体" w:cs="宋体" w:eastAsia="宋体" w:hint="default"/>
                <w:sz w:val="18"/>
                <w:szCs w:val="18"/>
              </w:rPr>
              <w:t>《关于回购注销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年限制性股票激励计划已获授但未解锁的全部限</w:t>
            </w:r>
          </w:p>
        </w:tc>
      </w:tr>
      <w:tr>
        <w:trPr>
          <w:trHeight w:val="312"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制性股票的议案</w:t>
            </w:r>
            <w:r>
              <w:rPr>
                <w:rFonts w:ascii="宋体" w:hAnsi="宋体" w:cs="宋体" w:eastAsia="宋体" w:hint="default"/>
                <w:spacing w:val="-90"/>
                <w:sz w:val="18"/>
                <w:szCs w:val="18"/>
              </w:rPr>
              <w:t>》</w:t>
            </w:r>
            <w:r>
              <w:rPr>
                <w:rFonts w:ascii="宋体" w:hAnsi="宋体" w:cs="宋体" w:eastAsia="宋体" w:hint="default"/>
                <w:sz w:val="18"/>
                <w:szCs w:val="18"/>
              </w:rPr>
              <w:t>，终止实施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年限制性股票激励计划，并回购注销已获授但未解锁的全部限制</w:t>
            </w:r>
          </w:p>
        </w:tc>
      </w:tr>
      <w:tr>
        <w:trPr>
          <w:trHeight w:val="313"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性股票。其中回购注销贺武先生所持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年激励计划限制性股票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股</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663"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z w:val="18"/>
                <w:szCs w:val="18"/>
              </w:rPr>
              <w:t>回购注销王锋先生所持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年激励计划限制性股票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股</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年第七次临时股东大会议审议通过了《关于众信旅游集团股份有</w:t>
            </w:r>
          </w:p>
        </w:tc>
      </w:tr>
      <w:tr>
        <w:trPr>
          <w:trHeight w:val="312"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2315,00017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，公司第</w:t>
            </w:r>
          </w:p>
        </w:tc>
      </w:tr>
      <w:tr>
        <w:trPr>
          <w:trHeight w:val="312"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宋体" w:hAnsi="宋体" w:cs="宋体" w:eastAsia="宋体" w:hint="default"/>
                <w:sz w:val="18"/>
                <w:szCs w:val="18"/>
              </w:rPr>
              <w:t>三届董事会第六十八次会议审议通过了《关于向激励对象授予限制性股票的议案</w:t>
            </w:r>
            <w:r>
              <w:rPr>
                <w:rFonts w:ascii="宋体" w:hAnsi="宋体" w:cs="宋体" w:eastAsia="宋体" w:hint="default"/>
                <w:spacing w:val="-90"/>
                <w:sz w:val="18"/>
                <w:szCs w:val="18"/>
              </w:rPr>
              <w:t>》</w:t>
            </w:r>
            <w:r>
              <w:rPr>
                <w:rFonts w:ascii="宋体" w:hAnsi="宋体" w:cs="宋体" w:eastAsia="宋体" w:hint="default"/>
                <w:sz w:val="18"/>
                <w:szCs w:val="18"/>
              </w:rPr>
              <w:t>，确定以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3" w:hRule="exact"/>
        </w:trPr>
        <w:tc>
          <w:tcPr>
            <w:tcW w:w="1731"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7832"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日为首次授予日，向激励对象授予限制性股票。其中贺武先生获授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年激励计划限制性股</w:t>
            </w:r>
          </w:p>
        </w:tc>
      </w:tr>
      <w:tr>
        <w:trPr>
          <w:trHeight w:val="352" w:hRule="exact"/>
        </w:trPr>
        <w:tc>
          <w:tcPr>
            <w:tcW w:w="173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832" w:type="dxa"/>
            <w:gridSpan w:val="9"/>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股，王锋先生获授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6"/>
        <w:rPr>
          <w:rFonts w:ascii="宋体" w:hAnsi="宋体" w:cs="宋体" w:eastAsia="宋体" w:hint="default"/>
          <w:b/>
          <w:bCs/>
          <w:sz w:val="30"/>
          <w:szCs w:val="30"/>
        </w:rPr>
      </w:pPr>
    </w:p>
    <w:p>
      <w:pPr>
        <w:pStyle w:val="Heading6"/>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业务人员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6"/>
        <w:spacing w:line="240" w:lineRule="auto" w:before="35"/>
        <w:ind w:right="6771"/>
        <w:jc w:val="left"/>
        <w:rPr>
          <w:b w:val="0"/>
          <w:bCs w:val="0"/>
        </w:rPr>
      </w:pPr>
      <w:r>
        <w:rPr>
          <w:rFonts w:ascii="Times New Roman" w:hAnsi="Times New Roman" w:cs="Times New Roman" w:eastAsia="Times New Roman" w:hint="default"/>
        </w:rPr>
        <w:t>2</w:t>
      </w:r>
      <w:r>
        <w:rPr/>
        <w:t>、薪酬政策</w:t>
      </w:r>
      <w:r>
        <w:rPr>
          <w:b w:val="0"/>
          <w:bCs w:val="0"/>
        </w:rPr>
      </w:r>
    </w:p>
    <w:p>
      <w:pPr>
        <w:pStyle w:val="BodyText"/>
        <w:spacing w:line="400" w:lineRule="auto" w:before="177"/>
        <w:ind w:left="153" w:right="96" w:firstLine="420"/>
        <w:jc w:val="left"/>
      </w:pPr>
      <w:r>
        <w:rPr>
          <w:spacing w:val="-3"/>
        </w:rPr>
        <w:t>公司的薪酬管理以公司的经营战略和年度经营目标为指导，以激发员工活力、牵引员工能力为出发点，</w:t>
      </w:r>
      <w:r>
        <w:rPr/>
        <w:t> 不断完善薪酬分配体系，合理设计薪酬结构和水平，逐步建立了</w:t>
      </w:r>
      <w:r>
        <w:rPr>
          <w:rFonts w:ascii="Times New Roman" w:hAnsi="Times New Roman" w:cs="Times New Roman" w:eastAsia="Times New Roman" w:hint="default"/>
        </w:rPr>
        <w:t>“</w:t>
      </w:r>
      <w:r>
        <w:rPr/>
        <w:t>以市场为导向，以岗位定薪酬、以绩效</w:t>
      </w:r>
      <w:r>
        <w:rPr>
          <w:spacing w:val="-23"/>
        </w:rPr>
        <w:t> </w:t>
      </w:r>
      <w:r>
        <w:rPr>
          <w:spacing w:val="-23"/>
        </w:rPr>
      </w:r>
      <w:r>
        <w:rPr/>
        <w:t>定奖金、以中长期业绩目标定长期激励</w:t>
      </w:r>
      <w:r>
        <w:rPr>
          <w:rFonts w:ascii="Times New Roman" w:hAnsi="Times New Roman" w:cs="Times New Roman" w:eastAsia="Times New Roman" w:hint="default"/>
        </w:rPr>
        <w:t>”</w:t>
      </w:r>
      <w:r>
        <w:rPr/>
        <w:t>的薪酬政策，给予绩优员工合理回报，并不断探索和尝试多元化</w:t>
      </w:r>
      <w:r>
        <w:rPr>
          <w:spacing w:val="-23"/>
        </w:rPr>
        <w:t> </w:t>
      </w:r>
      <w:r>
        <w:rPr>
          <w:spacing w:val="-23"/>
        </w:rPr>
      </w:r>
      <w:r>
        <w:rPr/>
        <w:t>薪酬激励机制。公平、公正对待所有员工，通过工资、奖金、股权激励等手段，兼顾外部竞争性、内部公</w:t>
      </w:r>
      <w:r>
        <w:rPr/>
        <w:t> 平性，以吸引和保留优秀人才。通过对业绩、能力、态度等的评价考核，合理分配员工工作报酬，激发员 工的积极性、主动性和创造性。</w:t>
      </w:r>
    </w:p>
    <w:p>
      <w:pPr>
        <w:pStyle w:val="Heading6"/>
        <w:spacing w:line="240" w:lineRule="auto" w:before="52"/>
        <w:ind w:left="153" w:right="6771"/>
        <w:jc w:val="left"/>
        <w:rPr>
          <w:b w:val="0"/>
          <w:bCs w:val="0"/>
        </w:rPr>
      </w:pPr>
      <w:r>
        <w:rPr>
          <w:rFonts w:ascii="Times New Roman" w:hAnsi="Times New Roman" w:cs="Times New Roman" w:eastAsia="Times New Roman" w:hint="default"/>
        </w:rPr>
        <w:t>3</w:t>
      </w:r>
      <w:r>
        <w:rPr/>
        <w:t>、培训计划</w:t>
      </w:r>
      <w:r>
        <w:rPr>
          <w:b w:val="0"/>
          <w:bCs w:val="0"/>
        </w:rPr>
      </w:r>
    </w:p>
    <w:p>
      <w:pPr>
        <w:pStyle w:val="BodyText"/>
        <w:spacing w:line="391" w:lineRule="auto" w:before="177"/>
        <w:ind w:left="153" w:right="207" w:firstLine="420"/>
        <w:jc w:val="both"/>
      </w:pPr>
      <w:r>
        <w:rPr/>
        <w:t>公司坚持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，做到尊重人、理解人、关心人、塑造人，努力塑造有情有义、奋发有为、锐意 进取的</w:t>
      </w:r>
      <w:r>
        <w:rPr>
          <w:rFonts w:ascii="Times New Roman" w:hAnsi="Times New Roman" w:cs="Times New Roman" w:eastAsia="Times New Roman" w:hint="default"/>
        </w:rPr>
        <w:t>“</w:t>
      </w:r>
      <w:r>
        <w:rPr/>
        <w:t>众信人</w:t>
      </w:r>
      <w:r>
        <w:rPr>
          <w:rFonts w:ascii="Times New Roman" w:hAnsi="Times New Roman" w:cs="Times New Roman" w:eastAsia="Times New Roman" w:hint="default"/>
        </w:rPr>
        <w:t>”</w:t>
      </w:r>
      <w:r>
        <w:rPr/>
        <w:t>人格。坚持</w:t>
      </w:r>
      <w:r>
        <w:rPr>
          <w:rFonts w:ascii="Times New Roman" w:hAnsi="Times New Roman" w:cs="Times New Roman" w:eastAsia="Times New Roman" w:hint="default"/>
        </w:rPr>
        <w:t>“</w:t>
      </w:r>
      <w:r>
        <w:rPr/>
        <w:t>德才兼备，岗位成才</w:t>
      </w:r>
      <w:r>
        <w:rPr>
          <w:rFonts w:ascii="Times New Roman" w:hAnsi="Times New Roman" w:cs="Times New Roman" w:eastAsia="Times New Roman" w:hint="default"/>
        </w:rPr>
        <w:t>”</w:t>
      </w:r>
      <w:r>
        <w:rPr/>
        <w:t>的用人政策，以</w:t>
      </w:r>
      <w:r>
        <w:rPr>
          <w:rFonts w:ascii="Times New Roman" w:hAnsi="Times New Roman" w:cs="Times New Roman" w:eastAsia="Times New Roman" w:hint="default"/>
        </w:rPr>
        <w:t>“</w:t>
      </w:r>
      <w:r>
        <w:rPr/>
        <w:t>德能勤绩</w:t>
      </w:r>
      <w:r>
        <w:rPr>
          <w:rFonts w:ascii="Times New Roman" w:hAnsi="Times New Roman" w:cs="Times New Roman" w:eastAsia="Times New Roman" w:hint="default"/>
        </w:rPr>
        <w:t>”</w:t>
      </w:r>
      <w:r>
        <w:rPr/>
        <w:t>作为选拔人才的标准，中青</w:t>
      </w:r>
      <w:r>
        <w:rPr>
          <w:spacing w:val="-65"/>
        </w:rPr>
        <w:t> </w:t>
      </w:r>
      <w:r>
        <w:rPr>
          <w:spacing w:val="-65"/>
        </w:rPr>
      </w:r>
      <w:r>
        <w:rPr>
          <w:spacing w:val="-1"/>
        </w:rPr>
        <w:t>年领导干部大多数从基层培养选拔。公司建立了相对完善的培训体系，包括通用培训、业务培训、项目培</w:t>
      </w:r>
      <w:r>
        <w:rPr>
          <w:spacing w:val="-82"/>
        </w:rPr>
        <w:t> </w:t>
      </w:r>
      <w:r>
        <w:rPr>
          <w:spacing w:val="-82"/>
        </w:rPr>
      </w:r>
      <w:r>
        <w:rPr>
          <w:spacing w:val="-2"/>
        </w:rPr>
        <w:t>训、管理培训及其他培训，利用公司内部培训资源及与外部培训机构合作，开展多阶段、（新人</w:t>
      </w:r>
      <w:r>
        <w:rPr>
          <w:rFonts w:ascii="Times New Roman" w:hAnsi="Times New Roman" w:cs="Times New Roman" w:eastAsia="Times New Roman" w:hint="default"/>
          <w:spacing w:val="-2"/>
        </w:rPr>
        <w:t>/</w:t>
      </w:r>
      <w:r>
        <w:rPr>
          <w:spacing w:val="-2"/>
        </w:rPr>
        <w:t>进阶）多</w:t>
      </w:r>
      <w:r>
        <w:rPr>
          <w:spacing w:val="-95"/>
        </w:rPr>
        <w:t> </w:t>
      </w:r>
      <w:r>
        <w:rPr>
          <w:spacing w:val="-95"/>
        </w:rPr>
      </w:r>
      <w:r>
        <w:rPr/>
        <w:t>层次（初</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高级）、多渠道（内部</w:t>
      </w:r>
      <w:r>
        <w:rPr>
          <w:rFonts w:ascii="Times New Roman" w:hAnsi="Times New Roman" w:cs="Times New Roman" w:eastAsia="Times New Roman" w:hint="default"/>
        </w:rPr>
        <w:t>/</w:t>
      </w:r>
      <w:r>
        <w:rPr/>
        <w:t>外部）的培训，以使新人快速融入企业，不断提升现有管理人员的能</w:t>
      </w:r>
      <w:r>
        <w:rPr>
          <w:spacing w:val="-98"/>
        </w:rPr>
        <w:t> </w:t>
      </w:r>
      <w:r>
        <w:rPr>
          <w:spacing w:val="-98"/>
        </w:rPr>
      </w:r>
      <w:r>
        <w:rPr/>
        <w:t>力，不断培养储备公司发展所需业务人员、管理人员。</w:t>
      </w:r>
    </w:p>
    <w:p>
      <w:pPr>
        <w:pStyle w:val="Heading6"/>
        <w:spacing w:line="240" w:lineRule="auto" w:before="61"/>
        <w:ind w:left="153" w:right="6771"/>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before="0"/>
        <w:ind w:left="153" w:right="6771"/>
        <w:jc w:val="left"/>
      </w:pPr>
      <w:r>
        <w:rPr/>
        <w:t>□ 适用 √</w:t>
      </w:r>
      <w:r>
        <w:rPr>
          <w:spacing w:val="-2"/>
        </w:rPr>
        <w:t> </w:t>
      </w:r>
      <w:r>
        <w:rPr/>
        <w:t>不适用</w:t>
      </w:r>
    </w:p>
    <w:p>
      <w:pPr>
        <w:spacing w:after="0" w:line="240" w:lineRule="auto"/>
        <w:jc w:val="left"/>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751" w:right="386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408" w:lineRule="auto" w:before="35"/>
        <w:ind w:left="574" w:right="162" w:hanging="420"/>
        <w:jc w:val="left"/>
        <w:rPr>
          <w:rFonts w:ascii="宋体" w:hAnsi="宋体" w:cs="宋体" w:eastAsia="宋体" w:hint="default"/>
          <w:sz w:val="21"/>
          <w:szCs w:val="21"/>
        </w:rPr>
      </w:pPr>
      <w:r>
        <w:rPr>
          <w:rFonts w:ascii="宋体" w:hAnsi="宋体" w:cs="宋体" w:eastAsia="宋体" w:hint="default"/>
          <w:b/>
          <w:bCs/>
          <w:sz w:val="21"/>
          <w:szCs w:val="21"/>
        </w:rPr>
        <w:t>一、公司治理的基本状况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报告期内，公司严格按照中国证监会规定及《公司法》、《证券法》、《上市公司治理准则》、《深</w:t>
      </w:r>
    </w:p>
    <w:p>
      <w:pPr>
        <w:pStyle w:val="BodyText"/>
        <w:spacing w:line="408" w:lineRule="auto"/>
        <w:ind w:left="153" w:right="270"/>
        <w:jc w:val="both"/>
      </w:pPr>
      <w:r>
        <w:rPr>
          <w:spacing w:val="-5"/>
        </w:rPr>
        <w:t>圳证券交易所股票上市规则》、《深圳证券交易所中小企业板上市公司规范运作指引》等法律法规的要求，</w:t>
      </w:r>
      <w:r>
        <w:rPr/>
        <w:t> </w:t>
      </w:r>
      <w:r>
        <w:rPr>
          <w:spacing w:val="-1"/>
        </w:rPr>
        <w:t>结合公司的实际情况，不断完善公司法人治理结构，建立健全内部控制制度，加强信息披露管理工作，不</w:t>
      </w:r>
      <w:r>
        <w:rPr>
          <w:spacing w:val="-82"/>
        </w:rPr>
        <w:t> </w:t>
      </w:r>
      <w:r>
        <w:rPr>
          <w:spacing w:val="-82"/>
        </w:rPr>
      </w:r>
      <w:r>
        <w:rPr/>
        <w:t>断规范公司运作，提高公司治理水平。</w:t>
      </w:r>
    </w:p>
    <w:p>
      <w:pPr>
        <w:pStyle w:val="BodyText"/>
        <w:spacing w:line="408" w:lineRule="auto"/>
        <w:ind w:left="153" w:right="162" w:firstLine="420"/>
        <w:jc w:val="left"/>
      </w:pPr>
      <w:r>
        <w:rPr/>
        <w:t>截至报告期末，公司整体运作规范，公司治理实际情况基本符合相关法律法规、规范性文件的要求， 具体情况如下：</w:t>
      </w:r>
    </w:p>
    <w:p>
      <w:pPr>
        <w:pStyle w:val="Heading6"/>
        <w:spacing w:line="240" w:lineRule="auto" w:before="46"/>
        <w:ind w:left="573" w:right="162"/>
        <w:jc w:val="left"/>
        <w:rPr>
          <w:b w:val="0"/>
          <w:bCs w:val="0"/>
        </w:rPr>
      </w:pPr>
      <w:r>
        <w:rPr>
          <w:rFonts w:ascii="Times New Roman" w:hAnsi="Times New Roman" w:cs="Times New Roman" w:eastAsia="Times New Roman" w:hint="default"/>
        </w:rPr>
        <w:t>1</w:t>
      </w:r>
      <w:r>
        <w:rPr/>
        <w:t>、公司治理制度建立情况</w:t>
      </w:r>
      <w:r>
        <w:rPr>
          <w:b w:val="0"/>
          <w:bCs w:val="0"/>
        </w:rPr>
      </w:r>
    </w:p>
    <w:p>
      <w:pPr>
        <w:pStyle w:val="BodyText"/>
        <w:spacing w:line="386" w:lineRule="auto" w:before="177"/>
        <w:ind w:right="161" w:firstLine="419"/>
        <w:jc w:val="left"/>
      </w:pPr>
      <w:r>
        <w:rPr/>
        <w:t>报告期内，公司进一步明确现金分红政策，对《公司未来三年（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年）股东分红回报规划》 进行细化并相应修改了公司章程。公司实施</w:t>
      </w:r>
      <w:r>
        <w:rPr>
          <w:rFonts w:ascii="Times New Roman" w:hAnsi="Times New Roman" w:cs="Times New Roman" w:eastAsia="Times New Roman" w:hint="default"/>
        </w:rPr>
        <w:t>2017</w:t>
      </w:r>
      <w:r>
        <w:rPr/>
        <w:t>年限制性股票激励计划并制定了《众信旅游：</w:t>
      </w:r>
      <w:r>
        <w:rPr>
          <w:rFonts w:ascii="Times New Roman" w:hAnsi="Times New Roman" w:cs="Times New Roman" w:eastAsia="Times New Roman" w:hint="default"/>
        </w:rPr>
        <w:t>2017</w:t>
      </w:r>
      <w:r>
        <w:rPr/>
        <w:t>年限制 性股票激励计划实施考核管理办法》，公司于</w:t>
      </w:r>
      <w:r>
        <w:rPr>
          <w:rFonts w:ascii="Times New Roman" w:hAnsi="Times New Roman" w:cs="Times New Roman" w:eastAsia="Times New Roman" w:hint="default"/>
        </w:rPr>
        <w:t>2017</w:t>
      </w:r>
      <w:r>
        <w:rPr/>
        <w:t>年底成功发行了可转换公司债券，与可转债相关的制度 同时实施。</w:t>
      </w:r>
    </w:p>
    <w:p>
      <w:pPr>
        <w:pStyle w:val="BodyText"/>
        <w:spacing w:line="240" w:lineRule="auto" w:before="65"/>
        <w:ind w:left="574" w:right="162"/>
        <w:jc w:val="left"/>
      </w:pPr>
      <w:r>
        <w:rPr/>
        <w:t>截至报告期末，公司正在执行的主要治理制度如下：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89"/>
        <w:gridCol w:w="4231"/>
        <w:gridCol w:w="2479"/>
        <w:gridCol w:w="2482"/>
      </w:tblGrid>
      <w:tr>
        <w:trPr>
          <w:trHeight w:val="427" w:hRule="exact"/>
        </w:trPr>
        <w:tc>
          <w:tcPr>
            <w:tcW w:w="58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23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24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248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6"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7</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董事会审计委员会年报工作规程</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6"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11</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12</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13</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14</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86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589"/>
        <w:gridCol w:w="4231"/>
        <w:gridCol w:w="2479"/>
        <w:gridCol w:w="2482"/>
      </w:tblGrid>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15</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16</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对外投资管理办法</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6"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17</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18</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19</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募集资金管理办法</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投资者关系管理办法</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739"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2"/>
                <w:sz w:val="18"/>
                <w:szCs w:val="18"/>
              </w:rPr>
              <w:t>董事、监事和高级管理人员所持本公司股份及其变动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管理制度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22</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规范与关联方资金往来的管理制度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6"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23</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24</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内幕信息知情人登记备案制度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25</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26</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27</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分子公司管理制度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上市前已制定</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未披露</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28</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6"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29</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外汇套期保值业务管理制度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30</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大股东、董监高所持本公司股份及其变动管理制度</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可转换公司债券持有人会议规则</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32</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7"/>
              <w:jc w:val="left"/>
              <w:rPr>
                <w:rFonts w:ascii="宋体" w:hAnsi="宋体" w:cs="宋体" w:eastAsia="宋体" w:hint="default"/>
                <w:sz w:val="18"/>
                <w:szCs w:val="18"/>
              </w:rPr>
            </w:pPr>
            <w:r>
              <w:rPr>
                <w:rFonts w:ascii="宋体" w:hAnsi="宋体" w:cs="宋体" w:eastAsia="宋体" w:hint="default"/>
                <w:spacing w:val="-6"/>
                <w:sz w:val="18"/>
                <w:szCs w:val="18"/>
              </w:rPr>
              <w:t>未来三年（</w:t>
            </w:r>
            <w:r>
              <w:rPr>
                <w:rFonts w:ascii="Times New Roman" w:hAnsi="Times New Roman" w:cs="Times New Roman" w:eastAsia="Times New Roman" w:hint="default"/>
                <w:spacing w:val="-6"/>
                <w:sz w:val="18"/>
                <w:szCs w:val="18"/>
              </w:rPr>
              <w:t>2017-2019</w:t>
            </w:r>
            <w:r>
              <w:rPr>
                <w:rFonts w:ascii="宋体" w:hAnsi="宋体" w:cs="宋体" w:eastAsia="宋体" w:hint="default"/>
                <w:spacing w:val="-6"/>
                <w:sz w:val="18"/>
                <w:szCs w:val="18"/>
              </w:rPr>
              <w:t>年）股东分红回报规划（修订版）</w:t>
            </w:r>
            <w:r>
              <w:rPr>
                <w:rFonts w:ascii="宋体" w:hAnsi="宋体" w:cs="宋体" w:eastAsia="宋体" w:hint="default"/>
                <w:sz w:val="18"/>
                <w:szCs w:val="18"/>
              </w:rPr>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33</w:t>
            </w:r>
          </w:p>
        </w:tc>
        <w:tc>
          <w:tcPr>
            <w:tcW w:w="4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年限制性股票激励计划实施考核管理办法</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386" w:lineRule="auto" w:before="63"/>
        <w:ind w:left="574" w:right="1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、关于公司与控股股东的关系</w:t>
      </w:r>
      <w:r>
        <w:rPr>
          <w:rFonts w:ascii="宋体" w:hAnsi="宋体" w:cs="宋体" w:eastAsia="宋体" w:hint="default"/>
          <w:b/>
          <w:bCs/>
          <w:spacing w:val="1"/>
          <w:w w:val="99"/>
          <w:sz w:val="21"/>
          <w:szCs w:val="21"/>
        </w:rPr>
        <w:t> </w:t>
      </w:r>
      <w:r>
        <w:rPr>
          <w:rFonts w:ascii="宋体" w:hAnsi="宋体" w:cs="宋体" w:eastAsia="宋体" w:hint="default"/>
          <w:sz w:val="21"/>
          <w:szCs w:val="21"/>
        </w:rPr>
        <w:t>公司控股股东严格按照《上市公司治理准则》、《深圳证券交易所股票上市规则》、《公司章程》、</w:t>
      </w:r>
    </w:p>
    <w:p>
      <w:pPr>
        <w:pStyle w:val="BodyText"/>
        <w:spacing w:line="408" w:lineRule="auto" w:before="65"/>
        <w:ind w:right="162"/>
        <w:jc w:val="left"/>
      </w:pPr>
      <w:r>
        <w:rPr/>
        <w:t>《中小企业板上市公司控股股东、实际控制人行为指引》规范自身行为，履行义务，通过股东大会行使股 东权利，未发生超越股东大会及董事会而直接干预公司经营与决策的行为，不存在控股股东占用公司资金 的现象，也不存在公司为控股股东、实际控制人提供担保的行为。公司具有独立的业务和自主经营能力，</w:t>
      </w:r>
      <w:r>
        <w:rPr>
          <w:spacing w:val="-34"/>
        </w:rPr>
        <w:t> </w:t>
      </w:r>
      <w:r>
        <w:rPr>
          <w:spacing w:val="-34"/>
        </w:rPr>
      </w:r>
      <w:r>
        <w:rPr/>
        <w:t>在业务、资产、人员、机构、财务等方面均独立于控股股东。</w:t>
      </w:r>
    </w:p>
    <w:p>
      <w:pPr>
        <w:pStyle w:val="BodyText"/>
        <w:spacing w:line="386" w:lineRule="auto"/>
        <w:ind w:left="574" w:right="162" w:hanging="1"/>
        <w:jc w:val="left"/>
      </w:pPr>
      <w:r>
        <w:rPr>
          <w:rFonts w:ascii="Times New Roman" w:hAnsi="Times New Roman" w:cs="Times New Roman" w:eastAsia="Times New Roman" w:hint="default"/>
          <w:b/>
          <w:bCs/>
        </w:rPr>
        <w:t>3</w:t>
      </w:r>
      <w:r>
        <w:rPr>
          <w:rFonts w:ascii="宋体" w:hAnsi="宋体" w:cs="宋体" w:eastAsia="宋体" w:hint="default"/>
          <w:b/>
          <w:bCs/>
        </w:rPr>
        <w:t>、股东与股东大会</w:t>
      </w:r>
      <w:r>
        <w:rPr>
          <w:rFonts w:ascii="宋体" w:hAnsi="宋体" w:cs="宋体" w:eastAsia="宋体" w:hint="default"/>
          <w:b/>
          <w:bCs/>
          <w:spacing w:val="1"/>
          <w:w w:val="99"/>
        </w:rPr>
        <w:t> </w:t>
      </w:r>
      <w:r>
        <w:rPr>
          <w:spacing w:val="-1"/>
        </w:rPr>
        <w:t>报告期内，公司严格按照《上市公司股东大会规则》、《公司章程》、公司《股东大会议事规则》等</w:t>
      </w:r>
    </w:p>
    <w:p>
      <w:pPr>
        <w:pStyle w:val="BodyText"/>
        <w:spacing w:line="408" w:lineRule="auto" w:before="65"/>
        <w:ind w:right="162"/>
        <w:jc w:val="left"/>
      </w:pPr>
      <w:r>
        <w:rPr/>
        <w:t>规则的规定和要求，召集、召开股东大会，能够确保全体股东尤其是中小股东享有平等的地位，充分行使 自己的权利。股东大会全部采用现场投票和网络投票相结合的方式，在审议关系到投资者利益的事项时，</w:t>
      </w:r>
      <w:r>
        <w:rPr>
          <w:spacing w:val="-34"/>
        </w:rPr>
        <w:t> </w:t>
      </w:r>
      <w:r>
        <w:rPr>
          <w:spacing w:val="-34"/>
        </w:rPr>
      </w:r>
      <w:r>
        <w:rPr/>
        <w:t>对中小投资者进行单独计票，充分保证了股东特别是中小股东的权益。</w:t>
      </w:r>
      <w:r>
        <w:rPr>
          <w:rFonts w:ascii="Times New Roman" w:hAnsi="Times New Roman" w:cs="Times New Roman" w:eastAsia="Times New Roman" w:hint="default"/>
        </w:rPr>
        <w:t>2017</w:t>
      </w:r>
      <w:r>
        <w:rPr/>
        <w:t>年度召开的</w:t>
      </w:r>
      <w:r>
        <w:rPr>
          <w:rFonts w:ascii="Times New Roman" w:hAnsi="Times New Roman" w:cs="Times New Roman" w:eastAsia="Times New Roman" w:hint="default"/>
        </w:rPr>
        <w:t>8</w:t>
      </w:r>
      <w:r>
        <w:rPr/>
        <w:t>次股东大会均由</w:t>
      </w:r>
    </w:p>
    <w:p>
      <w:pPr>
        <w:spacing w:after="0" w:line="408" w:lineRule="auto"/>
        <w:jc w:val="left"/>
        <w:sectPr>
          <w:pgSz w:w="11910" w:h="16840"/>
          <w:pgMar w:header="877" w:footer="982" w:top="1100" w:bottom="1180" w:left="980" w:right="860"/>
        </w:sectPr>
      </w:pPr>
    </w:p>
    <w:p>
      <w:pPr>
        <w:spacing w:line="240" w:lineRule="auto" w:before="8"/>
        <w:rPr>
          <w:rFonts w:ascii="宋体" w:hAnsi="宋体" w:cs="宋体" w:eastAsia="宋体" w:hint="default"/>
          <w:sz w:val="26"/>
          <w:szCs w:val="26"/>
        </w:rPr>
      </w:pPr>
    </w:p>
    <w:p>
      <w:pPr>
        <w:pStyle w:val="BodyText"/>
        <w:spacing w:line="408" w:lineRule="auto" w:before="35"/>
        <w:ind w:right="210"/>
        <w:jc w:val="both"/>
      </w:pPr>
      <w:r>
        <w:rPr>
          <w:spacing w:val="-1"/>
        </w:rPr>
        <w:t>公司董事会召集，根据相关法律法规及《公司章程》规定应由股东大会表决的事项均按照相应的权限审议</w:t>
      </w:r>
      <w:r>
        <w:rPr>
          <w:spacing w:val="-83"/>
        </w:rPr>
        <w:t> </w:t>
      </w:r>
      <w:r>
        <w:rPr>
          <w:spacing w:val="-83"/>
        </w:rPr>
      </w:r>
      <w:r>
        <w:rPr/>
        <w:t>后提交股东大会审议，不存在越权审批或先实施后审批的情况。</w:t>
      </w:r>
    </w:p>
    <w:p>
      <w:pPr>
        <w:pStyle w:val="BodyText"/>
        <w:spacing w:line="386" w:lineRule="auto"/>
        <w:ind w:left="574" w:right="102" w:hanging="1"/>
        <w:jc w:val="left"/>
      </w:pPr>
      <w:r>
        <w:rPr>
          <w:rFonts w:ascii="Times New Roman" w:hAnsi="Times New Roman" w:cs="Times New Roman" w:eastAsia="Times New Roman" w:hint="default"/>
          <w:b/>
          <w:bCs/>
        </w:rPr>
        <w:t>4</w:t>
      </w:r>
      <w:r>
        <w:rPr>
          <w:rFonts w:ascii="宋体" w:hAnsi="宋体" w:cs="宋体" w:eastAsia="宋体" w:hint="default"/>
          <w:b/>
          <w:bCs/>
        </w:rPr>
        <w:t>、董事与董事会</w:t>
      </w:r>
      <w:r>
        <w:rPr>
          <w:rFonts w:ascii="宋体" w:hAnsi="宋体" w:cs="宋体" w:eastAsia="宋体" w:hint="default"/>
          <w:b/>
          <w:bCs/>
          <w:spacing w:val="1"/>
          <w:w w:val="99"/>
        </w:rPr>
        <w:t> </w:t>
      </w:r>
      <w:r>
        <w:rPr>
          <w:spacing w:val="-6"/>
        </w:rPr>
        <w:t>公司董事会由</w:t>
      </w:r>
      <w:r>
        <w:rPr>
          <w:rFonts w:ascii="Times New Roman" w:hAnsi="Times New Roman" w:cs="Times New Roman" w:eastAsia="Times New Roman" w:hint="default"/>
          <w:spacing w:val="-6"/>
        </w:rPr>
        <w:t>9</w:t>
      </w:r>
      <w:r>
        <w:rPr>
          <w:spacing w:val="-6"/>
        </w:rPr>
        <w:t>名董事组成，其中独立董事</w:t>
      </w:r>
      <w:r>
        <w:rPr>
          <w:rFonts w:ascii="Times New Roman" w:hAnsi="Times New Roman" w:cs="Times New Roman" w:eastAsia="Times New Roman" w:hint="default"/>
          <w:spacing w:val="-6"/>
        </w:rPr>
        <w:t>3</w:t>
      </w:r>
      <w:r>
        <w:rPr>
          <w:spacing w:val="-6"/>
        </w:rPr>
        <w:t>名，董事会的人数及人员构成符合法律法规和《公司章程》</w:t>
      </w:r>
    </w:p>
    <w:p>
      <w:pPr>
        <w:pStyle w:val="BodyText"/>
        <w:spacing w:line="405" w:lineRule="auto" w:before="35"/>
        <w:ind w:right="102"/>
        <w:jc w:val="left"/>
      </w:pPr>
      <w:r>
        <w:rPr/>
        <w:t>的要求。公司董事会设立了审计委员会、薪酬与考核委员会、战略委员会、提名委员会四个专门委员会，</w:t>
      </w:r>
      <w:r>
        <w:rPr>
          <w:spacing w:val="-34"/>
        </w:rPr>
        <w:t> </w:t>
      </w:r>
      <w:r>
        <w:rPr>
          <w:spacing w:val="-34"/>
        </w:rPr>
      </w:r>
      <w:r>
        <w:rPr/>
        <w:t>各尽其责，为董事会的决策提供专业的意见和参考。公司全体董事能够按照《深圳证券交易所股票上市规</w:t>
      </w:r>
      <w:r>
        <w:rPr/>
        <w:t> 则》、《深圳证券交易所中小企业板上市公司规范运作指引》、《公司章程》、《董事会议事规则》等相 关规定履行职责，勤勉尽责，以认真负责的态度按时出席董事会和股东大会，积极参加相关知识的培训，</w:t>
      </w:r>
      <w:r>
        <w:rPr>
          <w:spacing w:val="-34"/>
        </w:rPr>
        <w:t> </w:t>
      </w:r>
      <w:r>
        <w:rPr>
          <w:spacing w:val="-34"/>
        </w:rPr>
      </w:r>
      <w:r>
        <w:rPr/>
        <w:t>熟悉有关法律法规，不仅为董事会的决策提供科学、专业意见，并为董事会的规范运作做出了贡献。公司</w:t>
      </w:r>
      <w:r>
        <w:rPr/>
        <w:t> 独立董事严格遵守《关于在上市公司建立独立董事制度的指导意见》及公司《独立董事制度》的规定，勤 勉尽责地履行职责和义务，主动向管理层了解公司经营情况，与管理层交流行业发展态势，对需要独立董 事发表意见的事项事先严格审查，谨慎客观发表独立意见，以维护公司整体利益特别是中小投资者权益。</w:t>
      </w:r>
      <w:r>
        <w:rPr>
          <w:spacing w:val="-34"/>
        </w:rPr>
        <w:t> </w:t>
      </w:r>
      <w:r>
        <w:rPr>
          <w:spacing w:val="-34"/>
        </w:rPr>
      </w:r>
      <w:r>
        <w:rPr/>
        <w:t>公司严格按照法律法规和《公司章程》规定的选聘程序选聘董事、高级管理人员，由于原独立董事杨宏浩</w:t>
      </w:r>
      <w:r>
        <w:rPr/>
        <w:t> 先生因个人原因辞去公司独立董事职务，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2017</w:t>
      </w:r>
      <w:r>
        <w:rPr/>
        <w:t>年第二次临时股东大会补选丁小亮先生</w:t>
      </w:r>
      <w:r>
        <w:rPr>
          <w:spacing w:val="-40"/>
        </w:rPr>
        <w:t> </w:t>
      </w:r>
      <w:r>
        <w:rPr>
          <w:spacing w:val="-40"/>
        </w:rPr>
      </w:r>
      <w:r>
        <w:rPr/>
        <w:t>为独立董事。</w:t>
      </w:r>
    </w:p>
    <w:p>
      <w:pPr>
        <w:pStyle w:val="BodyText"/>
        <w:spacing w:line="386" w:lineRule="auto" w:before="48"/>
        <w:ind w:left="574" w:right="102" w:hanging="1"/>
        <w:jc w:val="left"/>
      </w:pPr>
      <w:r>
        <w:rPr>
          <w:rFonts w:ascii="Times New Roman" w:hAnsi="Times New Roman" w:cs="Times New Roman" w:eastAsia="Times New Roman" w:hint="default"/>
          <w:b/>
          <w:bCs/>
        </w:rPr>
        <w:t>5</w:t>
      </w:r>
      <w:r>
        <w:rPr>
          <w:rFonts w:ascii="宋体" w:hAnsi="宋体" w:cs="宋体" w:eastAsia="宋体" w:hint="default"/>
          <w:b/>
          <w:bCs/>
        </w:rPr>
        <w:t>、监事与监事会</w:t>
      </w:r>
      <w:r>
        <w:rPr>
          <w:rFonts w:ascii="宋体" w:hAnsi="宋体" w:cs="宋体" w:eastAsia="宋体" w:hint="default"/>
          <w:b/>
          <w:bCs/>
          <w:spacing w:val="1"/>
          <w:w w:val="99"/>
        </w:rPr>
        <w:t> </w:t>
      </w:r>
      <w:r>
        <w:rPr>
          <w:spacing w:val="-1"/>
        </w:rPr>
        <w:t>公司监事会由</w:t>
      </w:r>
      <w:r>
        <w:rPr>
          <w:rFonts w:ascii="Times New Roman" w:hAnsi="Times New Roman" w:cs="Times New Roman" w:eastAsia="Times New Roman" w:hint="default"/>
          <w:spacing w:val="-1"/>
        </w:rPr>
        <w:t>3</w:t>
      </w:r>
      <w:r>
        <w:rPr>
          <w:spacing w:val="-1"/>
        </w:rPr>
        <w:t>名监事组成，其中职工代表监事</w:t>
      </w:r>
      <w:r>
        <w:rPr>
          <w:rFonts w:ascii="Times New Roman" w:hAnsi="Times New Roman" w:cs="Times New Roman" w:eastAsia="Times New Roman" w:hint="default"/>
          <w:spacing w:val="-1"/>
        </w:rPr>
        <w:t>1</w:t>
      </w:r>
      <w:r>
        <w:rPr>
          <w:spacing w:val="-1"/>
        </w:rPr>
        <w:t>名，监事会的人数及构成符合法律、法规的要求。公</w:t>
      </w:r>
    </w:p>
    <w:p>
      <w:pPr>
        <w:pStyle w:val="BodyText"/>
        <w:spacing w:line="408" w:lineRule="auto" w:before="35"/>
        <w:ind w:right="209"/>
        <w:jc w:val="both"/>
      </w:pPr>
      <w:r>
        <w:rPr>
          <w:spacing w:val="-1"/>
        </w:rPr>
        <w:t>司严格按照《公司法》、《公司章程》和《监事会议事规则》等相关法律法规的要求，认真履行职责。监</w:t>
      </w:r>
      <w:r>
        <w:rPr>
          <w:spacing w:val="-85"/>
        </w:rPr>
        <w:t> </w:t>
      </w:r>
      <w:r>
        <w:rPr>
          <w:spacing w:val="-85"/>
        </w:rPr>
      </w:r>
      <w:r>
        <w:rPr>
          <w:spacing w:val="-1"/>
        </w:rPr>
        <w:t>事会成员对公司各项决策和决议的形成、表决程序进行监督和审查，对公司经营运作的合法性进行监督检</w:t>
      </w:r>
      <w:r>
        <w:rPr>
          <w:spacing w:val="-81"/>
        </w:rPr>
        <w:t> </w:t>
      </w:r>
      <w:r>
        <w:rPr>
          <w:spacing w:val="-81"/>
        </w:rPr>
      </w:r>
      <w:r>
        <w:rPr>
          <w:spacing w:val="-1"/>
        </w:rPr>
        <w:t>查，对公司董事、高级管理人员履行职责情况的合法性、合规性进行有效监督，为完善法人治理结构、规</w:t>
      </w:r>
      <w:r>
        <w:rPr>
          <w:spacing w:val="-83"/>
        </w:rPr>
        <w:t> </w:t>
      </w:r>
      <w:r>
        <w:rPr>
          <w:spacing w:val="-83"/>
        </w:rPr>
      </w:r>
      <w:r>
        <w:rPr/>
        <w:t>范公司运作、促进公司稳健发展、维护公司和股东权益发挥积极作用。</w:t>
      </w:r>
    </w:p>
    <w:p>
      <w:pPr>
        <w:spacing w:line="386" w:lineRule="auto" w:before="46"/>
        <w:ind w:left="57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、绩效评价与激励约束机制</w:t>
      </w:r>
      <w:r>
        <w:rPr>
          <w:rFonts w:ascii="宋体" w:hAnsi="宋体" w:cs="宋体" w:eastAsia="宋体" w:hint="default"/>
          <w:b/>
          <w:bCs/>
          <w:w w:val="99"/>
          <w:sz w:val="21"/>
          <w:szCs w:val="21"/>
        </w:rPr>
        <w:t> </w:t>
      </w:r>
      <w:r>
        <w:rPr>
          <w:rFonts w:ascii="宋体" w:hAnsi="宋体" w:cs="宋体" w:eastAsia="宋体" w:hint="default"/>
          <w:spacing w:val="-1"/>
          <w:sz w:val="21"/>
          <w:szCs w:val="21"/>
        </w:rPr>
        <w:t>公司高级管理人员的聘任能够做到公开、透明，符合相关法律法规的规定。公司建立了完善的绩效考</w:t>
      </w:r>
    </w:p>
    <w:p>
      <w:pPr>
        <w:pStyle w:val="BodyText"/>
        <w:spacing w:line="400" w:lineRule="auto" w:before="65"/>
        <w:ind w:right="209"/>
        <w:jc w:val="both"/>
      </w:pPr>
      <w:r>
        <w:rPr>
          <w:spacing w:val="-1"/>
        </w:rPr>
        <w:t>评机制，公司高级管理人员的薪酬与公司经营业绩指标挂钩。公司有计划地实施限制性股票激励计划，持</w:t>
      </w:r>
      <w:r>
        <w:rPr>
          <w:spacing w:val="-83"/>
        </w:rPr>
        <w:t> </w:t>
      </w:r>
      <w:r>
        <w:rPr>
          <w:spacing w:val="-83"/>
        </w:rPr>
      </w:r>
      <w:r>
        <w:rPr>
          <w:spacing w:val="-5"/>
        </w:rPr>
        <w:t>有激励股份的员工约占公司员工总数的</w:t>
      </w:r>
      <w:r>
        <w:rPr>
          <w:rFonts w:ascii="Times New Roman" w:hAnsi="Times New Roman" w:cs="Times New Roman" w:eastAsia="Times New Roman" w:hint="default"/>
          <w:spacing w:val="-5"/>
        </w:rPr>
        <w:t>10%</w:t>
      </w:r>
      <w:r>
        <w:rPr>
          <w:spacing w:val="-5"/>
        </w:rPr>
        <w:t>。在未来的工作中，公司将不断完善绩效评价标准，利用薪金、</w:t>
      </w:r>
      <w:r>
        <w:rPr>
          <w:spacing w:val="-65"/>
        </w:rPr>
        <w:t> </w:t>
      </w:r>
      <w:r>
        <w:rPr>
          <w:spacing w:val="-65"/>
        </w:rPr>
      </w:r>
      <w:r>
        <w:rPr>
          <w:spacing w:val="-1"/>
        </w:rPr>
        <w:t>奖金、股权等多样、合理、有效的激励措施，更好地调动员工的工作积极性，吸引和稳定优秀的管理、技</w:t>
      </w:r>
      <w:r>
        <w:rPr>
          <w:spacing w:val="-83"/>
        </w:rPr>
        <w:t> </w:t>
      </w:r>
      <w:r>
        <w:rPr>
          <w:spacing w:val="-83"/>
        </w:rPr>
      </w:r>
      <w:r>
        <w:rPr/>
        <w:t>术、业务人才。</w:t>
      </w:r>
    </w:p>
    <w:p>
      <w:pPr>
        <w:spacing w:line="386" w:lineRule="auto" w:before="52"/>
        <w:ind w:left="574" w:right="102"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、关于投资者关系管理</w:t>
      </w:r>
      <w:r>
        <w:rPr>
          <w:rFonts w:ascii="宋体" w:hAnsi="宋体" w:cs="宋体" w:eastAsia="宋体" w:hint="default"/>
          <w:b/>
          <w:bCs/>
          <w:w w:val="99"/>
          <w:sz w:val="21"/>
          <w:szCs w:val="21"/>
        </w:rPr>
        <w:t> </w:t>
      </w:r>
      <w:r>
        <w:rPr>
          <w:rFonts w:ascii="宋体" w:hAnsi="宋体" w:cs="宋体" w:eastAsia="宋体" w:hint="default"/>
          <w:spacing w:val="-1"/>
          <w:sz w:val="21"/>
          <w:szCs w:val="21"/>
        </w:rPr>
        <w:t>公司董事会秘书为投资者关系工作负责人，公司证券事务部为专门的投资者关系管理机构，负责与投</w:t>
      </w:r>
    </w:p>
    <w:p>
      <w:pPr>
        <w:pStyle w:val="BodyText"/>
        <w:spacing w:line="240" w:lineRule="auto" w:before="65"/>
        <w:ind w:right="0"/>
        <w:jc w:val="both"/>
      </w:pPr>
      <w:r>
        <w:rPr/>
        <w:t>资者沟通。公司上市以来，严格按照《深圳证券交易所股票上市规则》、《深圳证券交易所中小企业板上</w:t>
      </w:r>
    </w:p>
    <w:p>
      <w:pPr>
        <w:spacing w:after="0" w:line="240"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211"/>
        <w:jc w:val="both"/>
      </w:pPr>
      <w:r>
        <w:rPr>
          <w:spacing w:val="-1"/>
        </w:rPr>
        <w:t>市公司规范运作指引》等法律法规的相关规定组织实施投资者关系日常管理和信息披露工作，通过投资者</w:t>
      </w:r>
      <w:r>
        <w:rPr>
          <w:spacing w:val="-81"/>
        </w:rPr>
        <w:t> </w:t>
      </w:r>
      <w:r>
        <w:rPr>
          <w:spacing w:val="-81"/>
        </w:rPr>
      </w:r>
      <w:r>
        <w:rPr>
          <w:spacing w:val="-1"/>
        </w:rPr>
        <w:t>关系电话、电子邮件、深圳证券交易所投资者关系互动平台、接待投资者现场调研等方式，保持与投资者</w:t>
      </w:r>
      <w:r>
        <w:rPr>
          <w:spacing w:val="-82"/>
        </w:rPr>
        <w:t> </w:t>
      </w:r>
      <w:r>
        <w:rPr>
          <w:spacing w:val="-82"/>
        </w:rPr>
      </w:r>
      <w:r>
        <w:rPr/>
        <w:t>的经常性沟通。</w:t>
      </w:r>
    </w:p>
    <w:p>
      <w:pPr>
        <w:spacing w:line="386" w:lineRule="auto" w:before="46"/>
        <w:ind w:left="573"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、关于信息披露与透明度</w:t>
      </w:r>
      <w:r>
        <w:rPr>
          <w:rFonts w:ascii="宋体" w:hAnsi="宋体" w:cs="宋体" w:eastAsia="宋体" w:hint="default"/>
          <w:b/>
          <w:bCs/>
          <w:w w:val="99"/>
          <w:sz w:val="21"/>
          <w:szCs w:val="21"/>
        </w:rPr>
        <w:t> </w:t>
      </w:r>
      <w:r>
        <w:rPr>
          <w:rFonts w:ascii="宋体" w:hAnsi="宋体" w:cs="宋体" w:eastAsia="宋体" w:hint="default"/>
          <w:sz w:val="21"/>
          <w:szCs w:val="21"/>
        </w:rPr>
        <w:t>公司严格按照《深圳证券交易所股票上市规则》、《上市公司信息披露管理办法》、《公司章程》、</w:t>
      </w:r>
    </w:p>
    <w:p>
      <w:pPr>
        <w:pStyle w:val="BodyText"/>
        <w:spacing w:line="240" w:lineRule="auto" w:before="65"/>
        <w:ind w:left="153" w:right="0"/>
        <w:jc w:val="both"/>
      </w:pPr>
      <w:r>
        <w:rPr>
          <w:spacing w:val="-5"/>
        </w:rPr>
        <w:t>《信息披露管理制度》等相关规定，认真履行信息披露义务。公司指定《中国证券报》、《上海证券报》、</w:t>
      </w:r>
    </w:p>
    <w:p>
      <w:pPr>
        <w:spacing w:line="240" w:lineRule="auto" w:before="10"/>
        <w:rPr>
          <w:rFonts w:ascii="宋体" w:hAnsi="宋体" w:cs="宋体" w:eastAsia="宋体" w:hint="default"/>
          <w:sz w:val="14"/>
          <w:szCs w:val="14"/>
        </w:rPr>
      </w:pPr>
    </w:p>
    <w:p>
      <w:pPr>
        <w:pStyle w:val="BodyText"/>
        <w:spacing w:line="408" w:lineRule="auto" w:before="0"/>
        <w:ind w:left="153" w:right="211"/>
        <w:jc w:val="both"/>
      </w:pPr>
      <w:r>
        <w:rPr>
          <w:spacing w:val="-1"/>
        </w:rPr>
        <w:t>《证券时报》和巨潮资讯网为公司信息披露的报纸和网站，真实、准确、及时地披露公司信息，确保公司</w:t>
      </w:r>
      <w:r>
        <w:rPr>
          <w:spacing w:val="-83"/>
        </w:rPr>
        <w:t> </w:t>
      </w:r>
      <w:r>
        <w:rPr>
          <w:spacing w:val="-83"/>
        </w:rPr>
      </w:r>
      <w:r>
        <w:rPr>
          <w:spacing w:val="-1"/>
        </w:rPr>
        <w:t>所有股东公平地获得公司相关信息。同时，公司通过电话、电子邮件、深圳证券交易所投资者关系互动平</w:t>
      </w:r>
      <w:r>
        <w:rPr>
          <w:spacing w:val="-82"/>
        </w:rPr>
        <w:t> </w:t>
      </w:r>
      <w:r>
        <w:rPr>
          <w:spacing w:val="-82"/>
        </w:rPr>
      </w:r>
      <w:r>
        <w:rPr>
          <w:spacing w:val="-1"/>
        </w:rPr>
        <w:t>台、接待投资者现场调研等方式回复投资者的咨询，以加强与投资者的沟通，提高信息披露的透明度。在</w:t>
      </w:r>
      <w:r>
        <w:rPr>
          <w:spacing w:val="-82"/>
        </w:rPr>
        <w:t> </w:t>
      </w:r>
      <w:r>
        <w:rPr>
          <w:spacing w:val="-82"/>
        </w:rPr>
      </w:r>
      <w:r>
        <w:rPr>
          <w:spacing w:val="-5"/>
        </w:rPr>
        <w:t>接待投资者后及时公告《投资者关系活动记录表》，保障广大投资者的知情权，获取信息的公平性。同时，</w:t>
      </w:r>
      <w:r>
        <w:rPr/>
        <w:t> 公司积极加强与监管机构的联系和沟通，主动地报告公司相关事项，确保公司信息披露工作的规范。</w:t>
      </w:r>
    </w:p>
    <w:p>
      <w:pPr>
        <w:pStyle w:val="BodyText"/>
        <w:spacing w:line="386" w:lineRule="auto"/>
        <w:ind w:left="574" w:right="102" w:hanging="1"/>
        <w:jc w:val="left"/>
      </w:pPr>
      <w:r>
        <w:rPr>
          <w:rFonts w:ascii="Times New Roman" w:hAnsi="Times New Roman" w:cs="Times New Roman" w:eastAsia="Times New Roman" w:hint="default"/>
          <w:b/>
          <w:bCs/>
        </w:rPr>
        <w:t>9</w:t>
      </w:r>
      <w:r>
        <w:rPr>
          <w:rFonts w:ascii="宋体" w:hAnsi="宋体" w:cs="宋体" w:eastAsia="宋体" w:hint="default"/>
          <w:b/>
          <w:bCs/>
        </w:rPr>
        <w:t>、关于相关利益者</w:t>
      </w:r>
      <w:r>
        <w:rPr>
          <w:rFonts w:ascii="宋体" w:hAnsi="宋体" w:cs="宋体" w:eastAsia="宋体" w:hint="default"/>
          <w:b/>
          <w:bCs/>
          <w:spacing w:val="1"/>
          <w:w w:val="99"/>
        </w:rPr>
        <w:t> </w:t>
      </w:r>
      <w:r>
        <w:rPr>
          <w:spacing w:val="-1"/>
        </w:rPr>
        <w:t>公司充分尊重和维护相关利益者的合法权益，加强与各方的沟通和交流，积极与相关利益者合作，在</w:t>
      </w:r>
    </w:p>
    <w:p>
      <w:pPr>
        <w:pStyle w:val="BodyText"/>
        <w:spacing w:line="408" w:lineRule="auto" w:before="65"/>
        <w:ind w:right="209"/>
        <w:jc w:val="both"/>
      </w:pPr>
      <w:r>
        <w:rPr>
          <w:spacing w:val="-1"/>
        </w:rPr>
        <w:t>公司创造利润的同时，重视承担社会责任，关注公益事业，实现股东、员工、社会等各方利益的均衡，推</w:t>
      </w:r>
      <w:r>
        <w:rPr>
          <w:spacing w:val="-83"/>
        </w:rPr>
        <w:t> </w:t>
      </w:r>
      <w:r>
        <w:rPr>
          <w:spacing w:val="-83"/>
        </w:rPr>
      </w:r>
      <w:r>
        <w:rPr/>
        <w:t>动公司持续、稳定、健康地发展。</w:t>
      </w:r>
    </w:p>
    <w:p>
      <w:pPr>
        <w:pStyle w:val="BodyText"/>
        <w:spacing w:line="386" w:lineRule="auto"/>
        <w:ind w:left="574" w:right="102"/>
        <w:jc w:val="left"/>
      </w:pPr>
      <w:r>
        <w:rPr>
          <w:rFonts w:ascii="Times New Roman" w:hAnsi="Times New Roman" w:cs="Times New Roman" w:eastAsia="Times New Roman" w:hint="default"/>
          <w:b/>
          <w:bCs/>
        </w:rPr>
        <w:t>10</w:t>
      </w:r>
      <w:r>
        <w:rPr>
          <w:rFonts w:ascii="宋体" w:hAnsi="宋体" w:cs="宋体" w:eastAsia="宋体" w:hint="default"/>
          <w:b/>
          <w:bCs/>
        </w:rPr>
        <w:t>、内部审计制度</w:t>
      </w:r>
      <w:r>
        <w:rPr>
          <w:rFonts w:ascii="宋体" w:hAnsi="宋体" w:cs="宋体" w:eastAsia="宋体" w:hint="default"/>
          <w:b/>
          <w:bCs/>
          <w:spacing w:val="1"/>
          <w:w w:val="99"/>
        </w:rPr>
        <w:t> </w:t>
      </w:r>
      <w:r>
        <w:rPr>
          <w:spacing w:val="-1"/>
        </w:rPr>
        <w:t>为规范公司内部审计工作，提高内部审计工作质量，加强公司内部控制，防范和控制公司风险，根据</w:t>
      </w:r>
    </w:p>
    <w:p>
      <w:pPr>
        <w:pStyle w:val="BodyText"/>
        <w:spacing w:line="408" w:lineRule="auto" w:before="65"/>
        <w:ind w:right="101"/>
        <w:jc w:val="left"/>
      </w:pPr>
      <w:r>
        <w:rPr/>
        <w:t>《公司法》、《证券法》、《深圳证券交易所上市公司内部审计工作指引》等法律法规、规章制度及《公 司章程》的有关规定，结合实际情况，公司制定了《内部审计制度》，设立了独立于财务部门、对审计委 员会负责的内部审计部门，内审部负责人由董事会任免，向审计委员会报告工作。报告期内，公司内部审 </w:t>
      </w:r>
      <w:r>
        <w:rPr>
          <w:spacing w:val="-3"/>
        </w:rPr>
        <w:t>计部门对公司的经营情况、财务状况及内部控制制度的建立和实施等进行检查和监督，对公司的对外投资、</w:t>
      </w:r>
      <w:r>
        <w:rPr>
          <w:spacing w:val="-92"/>
        </w:rPr>
        <w:t> </w:t>
      </w:r>
      <w:r>
        <w:rPr>
          <w:spacing w:val="-92"/>
        </w:rPr>
      </w:r>
      <w:r>
        <w:rPr/>
        <w:t>对外担保、关联交易、募集资金使用等重大事项进行了重点审计，并及时向审计委员会提交审计工作计划</w:t>
      </w:r>
      <w:r>
        <w:rPr/>
        <w:t> 和工作报告，就审计过程中发现的问题提出整改措施并监督执行。</w:t>
      </w:r>
    </w:p>
    <w:p>
      <w:pPr>
        <w:spacing w:line="240" w:lineRule="auto" w:before="6"/>
        <w:rPr>
          <w:rFonts w:ascii="宋体" w:hAnsi="宋体" w:cs="宋体" w:eastAsia="宋体" w:hint="default"/>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2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 w:firstLine="420"/>
        <w:jc w:val="left"/>
      </w:pPr>
      <w:r>
        <w:rPr>
          <w:spacing w:val="-1"/>
        </w:rPr>
        <w:t>本公司设立以来，严格按照《公司法》、《证券法》等有关法律、法规和《公司章程》的要求规范运</w:t>
      </w:r>
      <w:r>
        <w:rPr/>
        <w:t> 作，在业务、资产、人员、机构和财务等方面与控股股东、实际控制人及其控制的其他企业完全独立。</w:t>
      </w:r>
    </w:p>
    <w:p>
      <w:pPr>
        <w:spacing w:after="0" w:line="408" w:lineRule="auto"/>
        <w:jc w:val="left"/>
        <w:sectPr>
          <w:footerReference w:type="default" r:id="rId19"/>
          <w:pgSz w:w="11910" w:h="16840"/>
          <w:pgMar w:footer="982" w:header="877" w:top="1100" w:bottom="1180" w:left="980" w:right="920"/>
          <w:pgNumType w:start="86"/>
        </w:sectPr>
      </w:pPr>
    </w:p>
    <w:p>
      <w:pPr>
        <w:spacing w:line="240" w:lineRule="auto" w:before="8"/>
        <w:rPr>
          <w:rFonts w:ascii="宋体" w:hAnsi="宋体" w:cs="宋体" w:eastAsia="宋体" w:hint="default"/>
          <w:sz w:val="26"/>
          <w:szCs w:val="26"/>
        </w:rPr>
      </w:pPr>
    </w:p>
    <w:p>
      <w:pPr>
        <w:pStyle w:val="BodyText"/>
        <w:spacing w:line="386" w:lineRule="auto" w:before="35"/>
        <w:ind w:left="574" w:right="102" w:hanging="1"/>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spacing w:val="1"/>
          <w:w w:val="99"/>
        </w:rPr>
        <w:t> </w:t>
      </w:r>
      <w:r>
        <w:rPr/>
        <w:t>公司主要从事出境旅游及整合营销服务等业务，公司拥有独立、完整的业务系统和必要的职能部门，</w:t>
      </w:r>
    </w:p>
    <w:p>
      <w:pPr>
        <w:pStyle w:val="BodyText"/>
        <w:spacing w:line="408" w:lineRule="auto" w:before="65"/>
        <w:ind w:right="211"/>
        <w:jc w:val="both"/>
      </w:pPr>
      <w:r>
        <w:rPr>
          <w:spacing w:val="-1"/>
        </w:rPr>
        <w:t>拥有必要的经营设备、人员、资金和技术设备，能够独立自主地进行经营活动，与股东不存在业务上的依</w:t>
      </w:r>
      <w:r>
        <w:rPr>
          <w:spacing w:val="-82"/>
        </w:rPr>
        <w:t> </w:t>
      </w:r>
      <w:r>
        <w:rPr>
          <w:spacing w:val="-82"/>
        </w:rPr>
      </w:r>
      <w:r>
        <w:rPr/>
        <w:t>赖关系。</w:t>
      </w:r>
    </w:p>
    <w:p>
      <w:pPr>
        <w:pStyle w:val="BodyText"/>
        <w:spacing w:line="386" w:lineRule="auto"/>
        <w:ind w:left="574" w:right="102" w:hanging="1"/>
        <w:jc w:val="left"/>
      </w:pPr>
      <w:r>
        <w:rPr>
          <w:rFonts w:ascii="Times New Roman" w:hAnsi="Times New Roman" w:cs="Times New Roman" w:eastAsia="Times New Roman" w:hint="default"/>
          <w:b/>
          <w:bCs/>
        </w:rPr>
        <w:t>2</w:t>
      </w:r>
      <w:r>
        <w:rPr>
          <w:rFonts w:ascii="宋体" w:hAnsi="宋体" w:cs="宋体" w:eastAsia="宋体" w:hint="default"/>
          <w:b/>
          <w:bCs/>
        </w:rPr>
        <w:t>、资产独立</w:t>
      </w:r>
      <w:r>
        <w:rPr>
          <w:rFonts w:ascii="宋体" w:hAnsi="宋体" w:cs="宋体" w:eastAsia="宋体" w:hint="default"/>
          <w:b/>
          <w:bCs/>
          <w:spacing w:val="1"/>
          <w:w w:val="99"/>
        </w:rPr>
        <w:t> </w:t>
      </w:r>
      <w:r>
        <w:rPr>
          <w:spacing w:val="-1"/>
        </w:rPr>
        <w:t>公司是以有限公司整体变更为股份有限公司，原有限公司的全部资产未经剥离，整体进入了股份有限</w:t>
      </w:r>
    </w:p>
    <w:p>
      <w:pPr>
        <w:pStyle w:val="BodyText"/>
        <w:spacing w:line="408" w:lineRule="auto" w:before="65"/>
        <w:ind w:right="209"/>
        <w:jc w:val="both"/>
      </w:pPr>
      <w:r>
        <w:rPr>
          <w:spacing w:val="-1"/>
        </w:rPr>
        <w:t>公司。涉及的所有经营性资产均已办理了产权过户手续，并取得相关权属证明，公司资产完全独立于公司</w:t>
      </w:r>
      <w:r>
        <w:rPr>
          <w:spacing w:val="-83"/>
        </w:rPr>
        <w:t> </w:t>
      </w:r>
      <w:r>
        <w:rPr>
          <w:spacing w:val="-83"/>
        </w:rPr>
      </w:r>
      <w:r>
        <w:rPr>
          <w:spacing w:val="-1"/>
        </w:rPr>
        <w:t>股东，不存在依靠股东的生产经营场所进行生产经营的情况。公司亦未以其资产、权益或信誉等为各股东</w:t>
      </w:r>
      <w:r>
        <w:rPr>
          <w:spacing w:val="-83"/>
        </w:rPr>
        <w:t> </w:t>
      </w:r>
      <w:r>
        <w:rPr>
          <w:spacing w:val="-83"/>
        </w:rPr>
      </w:r>
      <w:r>
        <w:rPr>
          <w:spacing w:val="-1"/>
        </w:rPr>
        <w:t>的债务提供过担保，公司已取得了股东入股资产的合法产权，对所有资产具有完全的控制支配权，不存在</w:t>
      </w:r>
      <w:r>
        <w:rPr>
          <w:spacing w:val="-83"/>
        </w:rPr>
        <w:t> </w:t>
      </w:r>
      <w:r>
        <w:rPr>
          <w:spacing w:val="-83"/>
        </w:rPr>
      </w:r>
      <w:r>
        <w:rPr/>
        <w:t>资产、资金被控股股东占用而损害公司利益的情况。</w:t>
      </w:r>
    </w:p>
    <w:p>
      <w:pPr>
        <w:pStyle w:val="BodyText"/>
        <w:spacing w:line="386" w:lineRule="auto"/>
        <w:ind w:left="574" w:right="102" w:hanging="1"/>
        <w:jc w:val="left"/>
      </w:pPr>
      <w:r>
        <w:rPr>
          <w:rFonts w:ascii="Times New Roman" w:hAnsi="Times New Roman" w:cs="Times New Roman" w:eastAsia="Times New Roman" w:hint="default"/>
          <w:b/>
          <w:bCs/>
        </w:rPr>
        <w:t>3</w:t>
      </w:r>
      <w:r>
        <w:rPr>
          <w:rFonts w:ascii="宋体" w:hAnsi="宋体" w:cs="宋体" w:eastAsia="宋体" w:hint="default"/>
          <w:b/>
          <w:bCs/>
        </w:rPr>
        <w:t>、人员独立</w:t>
      </w:r>
      <w:r>
        <w:rPr>
          <w:rFonts w:ascii="宋体" w:hAnsi="宋体" w:cs="宋体" w:eastAsia="宋体" w:hint="default"/>
          <w:b/>
          <w:bCs/>
          <w:spacing w:val="1"/>
          <w:w w:val="99"/>
        </w:rPr>
        <w:t> </w:t>
      </w:r>
      <w:r>
        <w:rPr>
          <w:spacing w:val="-6"/>
        </w:rPr>
        <w:t>公司逐步建立、健全了法人治理结构，董事、监事及高级管理人员严格按照《公司法》、《公司章程》</w:t>
      </w:r>
    </w:p>
    <w:p>
      <w:pPr>
        <w:pStyle w:val="BodyText"/>
        <w:spacing w:line="408" w:lineRule="auto" w:before="65"/>
        <w:ind w:right="211"/>
        <w:jc w:val="both"/>
      </w:pPr>
      <w:r>
        <w:rPr>
          <w:spacing w:val="-1"/>
        </w:rPr>
        <w:t>的有关规定产生，程序合法有效；公司的人事及工资管理与股东单位完全分离；公司实行全员聘用制，员</w:t>
      </w:r>
      <w:r>
        <w:rPr>
          <w:spacing w:val="-82"/>
        </w:rPr>
        <w:t> </w:t>
      </w:r>
      <w:r>
        <w:rPr>
          <w:spacing w:val="-82"/>
        </w:rPr>
      </w:r>
      <w:r>
        <w:rPr>
          <w:spacing w:val="-1"/>
        </w:rPr>
        <w:t>工均已参加了社会保险统筹。公司总经理、副总经理、董事会秘书、财务总监等高级管理人员专职在公司</w:t>
      </w:r>
      <w:r>
        <w:rPr>
          <w:spacing w:val="-82"/>
        </w:rPr>
        <w:t> </w:t>
      </w:r>
      <w:r>
        <w:rPr>
          <w:spacing w:val="-82"/>
        </w:rPr>
      </w:r>
      <w:r>
        <w:rPr/>
        <w:t>工作并领取报酬，均未在控股股东、实际控制人及其控制的其他企业担任除董事、监事以外的职务。</w:t>
      </w:r>
    </w:p>
    <w:p>
      <w:pPr>
        <w:pStyle w:val="BodyText"/>
        <w:spacing w:line="386" w:lineRule="auto"/>
        <w:ind w:left="574" w:right="102" w:hanging="1"/>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spacing w:val="1"/>
          <w:w w:val="99"/>
        </w:rPr>
        <w:t> </w:t>
      </w:r>
      <w:r>
        <w:rPr>
          <w:spacing w:val="-1"/>
        </w:rPr>
        <w:t>公司拥有独立的生产经营和办公机构，与关联方完全分开，不存在混合经营，合署办公等情况；所有</w:t>
      </w:r>
    </w:p>
    <w:p>
      <w:pPr>
        <w:pStyle w:val="BodyText"/>
        <w:spacing w:line="408" w:lineRule="auto" w:before="65"/>
        <w:ind w:right="208"/>
        <w:jc w:val="both"/>
      </w:pPr>
      <w:r>
        <w:rPr>
          <w:spacing w:val="-1"/>
        </w:rPr>
        <w:t>机构由公司根据实际情况和业务发展需要自主设置，不存在任何单位或个人干预公司机构设置的情况；公</w:t>
      </w:r>
      <w:r>
        <w:rPr>
          <w:spacing w:val="-81"/>
        </w:rPr>
        <w:t> </w:t>
      </w:r>
      <w:r>
        <w:rPr>
          <w:spacing w:val="-81"/>
        </w:rPr>
      </w:r>
      <w:r>
        <w:rPr>
          <w:spacing w:val="-5"/>
        </w:rPr>
        <w:t>司股东及其职能部门与公司及其职能部门之间不存在上下级关系；公司成立了股东大会、董事会、监事会，</w:t>
      </w:r>
      <w:r>
        <w:rPr>
          <w:spacing w:val="-101"/>
        </w:rPr>
        <w:t> </w:t>
      </w:r>
      <w:r>
        <w:rPr>
          <w:spacing w:val="-101"/>
        </w:rPr>
      </w:r>
      <w:r>
        <w:rPr>
          <w:spacing w:val="-1"/>
        </w:rPr>
        <w:t>公司的董事由股东大会经过合法的选举程序产生，经理等高级管理人员由董事会聘任，不存在控股股东干</w:t>
      </w:r>
      <w:r>
        <w:rPr>
          <w:spacing w:val="-81"/>
        </w:rPr>
        <w:t> </w:t>
      </w:r>
      <w:r>
        <w:rPr>
          <w:spacing w:val="-81"/>
        </w:rPr>
      </w:r>
      <w:r>
        <w:rPr/>
        <w:t>预公司董事会和股东大会人事任免的情况。</w:t>
      </w:r>
    </w:p>
    <w:p>
      <w:pPr>
        <w:pStyle w:val="BodyText"/>
        <w:spacing w:line="386" w:lineRule="auto"/>
        <w:ind w:left="574" w:right="102" w:hanging="1"/>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spacing w:val="1"/>
          <w:w w:val="99"/>
        </w:rPr>
        <w:t> </w:t>
      </w:r>
      <w:r>
        <w:rPr>
          <w:spacing w:val="-1"/>
        </w:rPr>
        <w:t>公司设立了独立的财务部门，配备了独立专职的财务人员，并已建立了符合有关会计制度要求的、独</w:t>
      </w:r>
    </w:p>
    <w:p>
      <w:pPr>
        <w:pStyle w:val="BodyText"/>
        <w:spacing w:line="400" w:lineRule="auto" w:before="65"/>
        <w:ind w:right="105"/>
        <w:jc w:val="both"/>
      </w:pPr>
      <w:r>
        <w:rPr/>
        <w:t>立的财务核算体系和财务管理制度，实施严格的财务监督管理；公司独立开设银行账号，基本开户银行是 中国工商银行股份有限公司北京东城支行，账号为</w:t>
      </w:r>
      <w:r>
        <w:rPr>
          <w:rFonts w:ascii="Times New Roman" w:hAnsi="Times New Roman" w:cs="Times New Roman" w:eastAsia="Times New Roman" w:hint="default"/>
        </w:rPr>
        <w:t>0200080709024555362</w:t>
      </w:r>
      <w:r>
        <w:rPr/>
        <w:t>；公司依法独立纳税；公司能够</w:t>
      </w:r>
      <w:r>
        <w:rPr>
          <w:spacing w:val="-42"/>
        </w:rPr>
        <w:t> </w:t>
      </w:r>
      <w:r>
        <w:rPr>
          <w:spacing w:val="-42"/>
        </w:rPr>
      </w:r>
      <w:r>
        <w:rPr/>
        <w:t>独立作出财务决策，独立对外签订合同，不受股东或其他单位干预或控制；公司未为股东提供担保，公司</w:t>
      </w:r>
      <w:r>
        <w:rPr/>
        <w:t> </w:t>
      </w:r>
      <w:r>
        <w:rPr>
          <w:spacing w:val="-3"/>
        </w:rPr>
        <w:t>对所有的资产拥有完全的控制支配权；公司目前不存在资产、资金被股东占用或其他损害公司利益的情况。</w:t>
      </w:r>
    </w:p>
    <w:p>
      <w:pPr>
        <w:pStyle w:val="BodyText"/>
        <w:spacing w:line="240" w:lineRule="auto" w:before="52"/>
        <w:ind w:left="574" w:right="102"/>
        <w:jc w:val="left"/>
      </w:pPr>
      <w:r>
        <w:rPr>
          <w:spacing w:val="-6"/>
        </w:rPr>
        <w:t>综上所述，公司具有独立完整的业务、资产、人员、机构和财务体系，具有面向市场独立经营的能力。</w:t>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股东大会决议的公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2017-013</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股东大会决议的公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2017-030</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47.67%</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决议的公告》</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2017-055</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股东大会决议的公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2017-062</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股东大会决议的公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2017-074</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股东大会决议的公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2017-085</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股东大会决议的公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2017-090</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《众信旅游：关于</w:t>
            </w:r>
          </w:p>
        </w:tc>
      </w:tr>
      <w:tr>
        <w:trPr>
          <w:trHeight w:val="6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 股东大会决议的公</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姜付秀</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丁小亮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杨宏浩（离任）</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51"/>
        <w:ind w:left="153" w:right="549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报告期独立董事不存在未出席董事会的情况。</w:t>
      </w:r>
    </w:p>
    <w:p>
      <w:pPr>
        <w:spacing w:line="240" w:lineRule="auto" w:before="1"/>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2"/>
        <w:ind w:right="150" w:firstLine="420"/>
        <w:jc w:val="both"/>
      </w:pPr>
      <w:r>
        <w:rPr>
          <w:spacing w:val="-1"/>
        </w:rPr>
        <w:t>公司独立董事根据《公司法》、《证券法》、《公司章程》和公司《独立董事制度》等法律法规的规</w:t>
      </w:r>
      <w:r>
        <w:rPr/>
        <w:t> </w:t>
      </w:r>
      <w:r>
        <w:rPr>
          <w:spacing w:val="-1"/>
        </w:rPr>
        <w:t>定，关注公司运作的规范性，勤勉尽责地履行职责和义务，主动向管理层了解公司经营情况，与管理层交</w:t>
      </w:r>
      <w:r>
        <w:rPr>
          <w:spacing w:val="-82"/>
        </w:rPr>
        <w:t> </w:t>
      </w:r>
      <w:r>
        <w:rPr>
          <w:spacing w:val="-82"/>
        </w:rPr>
      </w:r>
      <w:r>
        <w:rPr>
          <w:spacing w:val="-1"/>
        </w:rPr>
        <w:t>流行业发展态势，对需要独立董事发表意见的事项事先严格审查，谨慎客观发表独立意见，以维护公司整</w:t>
      </w:r>
      <w:r>
        <w:rPr>
          <w:spacing w:val="-83"/>
        </w:rPr>
        <w:t> </w:t>
      </w:r>
      <w:r>
        <w:rPr>
          <w:spacing w:val="-83"/>
        </w:rPr>
      </w:r>
      <w:r>
        <w:rPr/>
        <w:t>体利益特别是中小投资者权益。</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spacing w:line="386" w:lineRule="auto" w:before="0"/>
        <w:ind w:left="574"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、战略委员会履职情况</w:t>
      </w:r>
      <w:r>
        <w:rPr>
          <w:rFonts w:ascii="宋体" w:hAnsi="宋体" w:cs="宋体" w:eastAsia="宋体" w:hint="default"/>
          <w:b/>
          <w:bCs/>
          <w:w w:val="99"/>
          <w:sz w:val="21"/>
          <w:szCs w:val="21"/>
        </w:rPr>
        <w:t> </w:t>
      </w:r>
      <w:r>
        <w:rPr>
          <w:rFonts w:ascii="宋体" w:hAnsi="宋体" w:cs="宋体" w:eastAsia="宋体" w:hint="default"/>
          <w:spacing w:val="-1"/>
          <w:sz w:val="21"/>
          <w:szCs w:val="21"/>
        </w:rPr>
        <w:t>战略委员会主要负责对公司长期发展战略和重大投资决策进行研究并提出建议，向董事会报告工作并</w:t>
      </w:r>
    </w:p>
    <w:p>
      <w:pPr>
        <w:spacing w:after="0" w:line="38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211"/>
        <w:jc w:val="both"/>
      </w:pPr>
      <w:r>
        <w:rPr>
          <w:spacing w:val="-1"/>
        </w:rPr>
        <w:t>对董事会负责。报告期内，公司董事会战略委员会委员认真履行职责，按照公司《董事会战略委员会议事</w:t>
      </w:r>
      <w:r>
        <w:rPr>
          <w:spacing w:val="-82"/>
        </w:rPr>
        <w:t> </w:t>
      </w:r>
      <w:r>
        <w:rPr>
          <w:spacing w:val="-82"/>
        </w:rPr>
      </w:r>
      <w:r>
        <w:rPr>
          <w:spacing w:val="-1"/>
        </w:rPr>
        <w:t>规则》的规定，对公司的发展战略、投资事项进行审核并提出建议。报告期内，董事会战略委员会召开会</w:t>
      </w:r>
      <w:r>
        <w:rPr>
          <w:spacing w:val="-83"/>
        </w:rPr>
        <w:t> </w:t>
      </w:r>
      <w:r>
        <w:rPr>
          <w:spacing w:val="-83"/>
        </w:rPr>
      </w:r>
      <w:r>
        <w:rPr/>
        <w:t>议情况如下：</w:t>
      </w:r>
    </w:p>
    <w:p>
      <w:pPr>
        <w:pStyle w:val="BodyText"/>
        <w:spacing w:line="386" w:lineRule="auto"/>
        <w:ind w:right="209" w:firstLine="315"/>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日，第三届董事会战略委员会第八次会议审议通过了《关于公司公开发行可转换公司</w:t>
      </w:r>
      <w:r>
        <w:rPr/>
        <w:t> 债券发行方案的议案》。</w:t>
      </w:r>
    </w:p>
    <w:p>
      <w:pPr>
        <w:pStyle w:val="BodyText"/>
        <w:spacing w:line="386" w:lineRule="auto" w:before="65"/>
        <w:ind w:right="209" w:firstLine="315"/>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日，第三届董事会战略委员会第九次会议审议通过了《关于公司进行业务调整的议</w:t>
      </w:r>
      <w:r>
        <w:rPr/>
        <w:t> 案》。</w:t>
      </w:r>
    </w:p>
    <w:p>
      <w:pPr>
        <w:spacing w:line="386" w:lineRule="auto" w:before="65"/>
        <w:ind w:left="574" w:right="1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、审计委员会履职情况</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报告期内，根据中国证监会、深圳证券交易所有关规定及公司《董事会审计委员会议事规则》、《董</w:t>
      </w:r>
    </w:p>
    <w:p>
      <w:pPr>
        <w:pStyle w:val="BodyText"/>
        <w:spacing w:line="408" w:lineRule="auto" w:before="65"/>
        <w:ind w:right="209"/>
        <w:jc w:val="both"/>
      </w:pPr>
      <w:r>
        <w:rPr>
          <w:spacing w:val="-1"/>
        </w:rPr>
        <w:t>事会审计委员会年报工作流程》，公司审计委员会委员勤勉尽职，认真履行了公司内部审计与外部审计之</w:t>
      </w:r>
      <w:r>
        <w:rPr>
          <w:spacing w:val="-83"/>
        </w:rPr>
        <w:t> </w:t>
      </w:r>
      <w:r>
        <w:rPr>
          <w:spacing w:val="-83"/>
        </w:rPr>
      </w:r>
      <w:r>
        <w:rPr>
          <w:spacing w:val="-1"/>
        </w:rPr>
        <w:t>间的沟通、监督、核查职责，对公司经营情况、内控制度的制定和执行情况进行了严格的监督检查，在年</w:t>
      </w:r>
      <w:r>
        <w:rPr>
          <w:spacing w:val="-83"/>
        </w:rPr>
        <w:t> </w:t>
      </w:r>
      <w:r>
        <w:rPr>
          <w:spacing w:val="-83"/>
        </w:rPr>
      </w:r>
      <w:r>
        <w:rPr>
          <w:spacing w:val="-1"/>
        </w:rPr>
        <w:t>度财务报告编制及审计过程中认真履行了监督、核查职能。报告期内，董事会审计委员会召开会议情况如</w:t>
      </w:r>
      <w:r>
        <w:rPr>
          <w:spacing w:val="-83"/>
        </w:rPr>
        <w:t> </w:t>
      </w:r>
      <w:r>
        <w:rPr>
          <w:spacing w:val="-83"/>
        </w:rPr>
      </w:r>
      <w:r>
        <w:rPr/>
        <w:t>下：</w:t>
      </w:r>
    </w:p>
    <w:p>
      <w:pPr>
        <w:pStyle w:val="BodyText"/>
        <w:spacing w:line="386" w:lineRule="auto"/>
        <w:ind w:left="153" w:right="208" w:firstLine="315"/>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日，第三届董事会审计委员会第十次会议审议通过了《公司自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日的财务报表及附注》、《公司</w:t>
      </w:r>
      <w:r>
        <w:rPr>
          <w:rFonts w:ascii="Times New Roman" w:hAnsi="Times New Roman" w:cs="Times New Roman" w:eastAsia="Times New Roman" w:hint="default"/>
          <w:spacing w:val="-1"/>
        </w:rPr>
        <w:t>2016</w:t>
      </w:r>
      <w:r>
        <w:rPr>
          <w:spacing w:val="-1"/>
        </w:rPr>
        <w:t>年年度募集资金存放与实际使用情况的专项报告》、《关于</w:t>
      </w:r>
      <w:r>
        <w:rPr>
          <w:spacing w:val="-85"/>
        </w:rPr>
        <w:t> </w:t>
      </w:r>
      <w:r>
        <w:rPr>
          <w:spacing w:val="-85"/>
        </w:rPr>
      </w:r>
      <w:r>
        <w:rPr/>
        <w:t>续聘北京中证天通会计师事务所（特殊普通合伙）为公司</w:t>
      </w:r>
      <w:r>
        <w:rPr>
          <w:spacing w:val="-38"/>
        </w:rPr>
        <w:t> </w:t>
      </w:r>
      <w:r>
        <w:rPr>
          <w:rFonts w:ascii="Times New Roman" w:hAnsi="Times New Roman" w:cs="Times New Roman" w:eastAsia="Times New Roman" w:hint="default"/>
        </w:rPr>
        <w:t>2017</w:t>
      </w:r>
      <w:r>
        <w:rPr/>
        <w:t>年度审计机构的议案》、《关于公司</w:t>
      </w:r>
      <w:r>
        <w:rPr>
          <w:rFonts w:ascii="Times New Roman" w:hAnsi="Times New Roman" w:cs="Times New Roman" w:eastAsia="Times New Roman" w:hint="default"/>
        </w:rPr>
        <w:t>&lt;</w:t>
      </w:r>
      <w:r>
        <w:rPr/>
        <w:t>内部 控制规则落实自查表</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 </w:t>
      </w:r>
      <w:r>
        <w:rPr>
          <w:rFonts w:ascii="Times New Roman" w:hAnsi="Times New Roman" w:cs="Times New Roman" w:eastAsia="Times New Roman" w:hint="default"/>
        </w:rPr>
        <w:t>2017</w:t>
      </w:r>
      <w:r>
        <w:rPr/>
        <w:t>年度内部控制评价报告</w:t>
      </w:r>
      <w:r>
        <w:rPr>
          <w:rFonts w:ascii="Times New Roman" w:hAnsi="Times New Roman" w:cs="Times New Roman" w:eastAsia="Times New Roman" w:hint="default"/>
        </w:rPr>
        <w:t>&gt;</w:t>
      </w:r>
      <w:r>
        <w:rPr/>
        <w:t>的议案》、《公司自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日的财务报表及附注》。</w:t>
      </w:r>
    </w:p>
    <w:p>
      <w:pPr>
        <w:pStyle w:val="BodyText"/>
        <w:spacing w:line="386" w:lineRule="auto" w:before="35"/>
        <w:ind w:right="209" w:firstLine="315"/>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日，第三届董事会审计委员会第十一次会议审议通过了《公司自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日的财务报表及附注》、《公司</w:t>
      </w:r>
      <w:r>
        <w:rPr>
          <w:rFonts w:ascii="Times New Roman" w:hAnsi="Times New Roman" w:cs="Times New Roman" w:eastAsia="Times New Roman" w:hint="default"/>
        </w:rPr>
        <w:t>2017</w:t>
      </w:r>
      <w:r>
        <w:rPr/>
        <w:t>年半年度募集资金存放与实际使用情况的专项报告》。</w:t>
      </w:r>
    </w:p>
    <w:p>
      <w:pPr>
        <w:pStyle w:val="BodyText"/>
        <w:spacing w:line="386" w:lineRule="auto" w:before="35"/>
        <w:ind w:right="207" w:firstLine="315"/>
        <w:jc w:val="both"/>
      </w:pPr>
      <w:r>
        <w:rPr>
          <w:spacing w:val="-5"/>
        </w:rPr>
        <w:t>（</w:t>
      </w: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20</w:t>
      </w:r>
      <w:r>
        <w:rPr>
          <w:spacing w:val="-5"/>
        </w:rPr>
        <w:t>日，第三届董事会审计委员会第十二次会议审议通过了《公司自</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日至</w:t>
      </w:r>
      <w:r>
        <w:rPr>
          <w:rFonts w:ascii="Times New Roman" w:hAnsi="Times New Roman" w:cs="Times New Roman" w:eastAsia="Times New Roman" w:hint="default"/>
          <w:spacing w:val="-5"/>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日的财务报表及附注》。</w:t>
      </w:r>
    </w:p>
    <w:p>
      <w:pPr>
        <w:pStyle w:val="BodyText"/>
        <w:spacing w:line="403" w:lineRule="auto" w:before="35"/>
        <w:ind w:right="101" w:firstLine="420"/>
        <w:jc w:val="left"/>
      </w:pPr>
      <w:r>
        <w:rPr/>
        <w:t>在</w:t>
      </w:r>
      <w:r>
        <w:rPr>
          <w:rFonts w:ascii="Times New Roman" w:hAnsi="Times New Roman" w:cs="Times New Roman" w:eastAsia="Times New Roman" w:hint="default"/>
        </w:rPr>
        <w:t>2017</w:t>
      </w:r>
      <w:r>
        <w:rPr/>
        <w:t>年度报告审计工作过程中，审计委员会会同公司审计机构北京中证天通会计师事务所（特殊普 通合伙）、内审部、财务部共同协商确定年度财务报告审计工作的时间表和重点审计范围，听取了审计机 构关于识别的重大错报风险、对特别风险的应对措施、对本期财务报表审计最为重要的事项、评价和控制 </w:t>
      </w:r>
      <w:r>
        <w:rPr>
          <w:spacing w:val="-3"/>
        </w:rPr>
        <w:t>内部控制方案、与公司内部审计部门互补工作等事项的汇报并进行交流，对出具审计结果时间进行了强调，</w:t>
      </w:r>
      <w:r>
        <w:rPr>
          <w:spacing w:val="-92"/>
        </w:rPr>
        <w:t> </w:t>
      </w:r>
      <w:r>
        <w:rPr>
          <w:spacing w:val="-92"/>
        </w:rPr>
      </w:r>
      <w:r>
        <w:rPr/>
        <w:t>要求应给董事会审议留出充足时间。</w:t>
      </w:r>
    </w:p>
    <w:p>
      <w:pPr>
        <w:pStyle w:val="BodyText"/>
        <w:spacing w:line="386" w:lineRule="auto" w:before="50"/>
        <w:ind w:right="209" w:firstLine="420"/>
        <w:jc w:val="both"/>
      </w:pPr>
      <w:r>
        <w:rPr>
          <w:spacing w:val="-1"/>
        </w:rPr>
        <w:t>审计委员会对审计机构</w:t>
      </w:r>
      <w:r>
        <w:rPr>
          <w:rFonts w:ascii="Times New Roman" w:hAnsi="Times New Roman" w:cs="Times New Roman" w:eastAsia="Times New Roman" w:hint="default"/>
          <w:spacing w:val="-1"/>
        </w:rPr>
        <w:t>2017</w:t>
      </w:r>
      <w:r>
        <w:rPr>
          <w:spacing w:val="-1"/>
        </w:rPr>
        <w:t>年度审计工作进行了评价和总结，认为北京中证天通会计师事务所（特殊</w:t>
      </w:r>
      <w:r>
        <w:rPr/>
        <w:t> </w:t>
      </w:r>
      <w:r>
        <w:rPr>
          <w:spacing w:val="-1"/>
        </w:rPr>
        <w:t>普通合伙）在公司</w:t>
      </w:r>
      <w:r>
        <w:rPr>
          <w:rFonts w:ascii="Times New Roman" w:hAnsi="Times New Roman" w:cs="Times New Roman" w:eastAsia="Times New Roman" w:hint="default"/>
          <w:spacing w:val="-1"/>
        </w:rPr>
        <w:t>2017</w:t>
      </w:r>
      <w:r>
        <w:rPr>
          <w:spacing w:val="-1"/>
        </w:rPr>
        <w:t>年度财务报告以及其他审计工作中能够尽职尽责，遵守会计和审计职业道德，具备</w:t>
      </w:r>
      <w:r>
        <w:rPr>
          <w:spacing w:val="-83"/>
        </w:rPr>
        <w:t> </w:t>
      </w:r>
      <w:r>
        <w:rPr>
          <w:spacing w:val="-83"/>
        </w:rPr>
      </w:r>
      <w:r>
        <w:rPr>
          <w:spacing w:val="-1"/>
        </w:rPr>
        <w:t>专业能力，恪守独立性和保持职业谨慎性，较为圆满地完成了公司委托的各项审计工作，审计委员会提议</w:t>
      </w:r>
    </w:p>
    <w:p>
      <w:pPr>
        <w:spacing w:after="0" w:line="386" w:lineRule="auto"/>
        <w:jc w:val="both"/>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续聘其作为公司</w:t>
      </w:r>
      <w:r>
        <w:rPr>
          <w:rFonts w:ascii="Times New Roman" w:hAnsi="Times New Roman" w:cs="Times New Roman" w:eastAsia="Times New Roman" w:hint="default"/>
        </w:rPr>
        <w:t>2018</w:t>
      </w:r>
      <w:r>
        <w:rPr/>
        <w:t>年度的审计机构。</w:t>
      </w:r>
    </w:p>
    <w:p>
      <w:pPr>
        <w:spacing w:line="386" w:lineRule="auto" w:before="177"/>
        <w:ind w:left="574"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、提名委员会履职情况</w:t>
      </w:r>
      <w:r>
        <w:rPr>
          <w:rFonts w:ascii="宋体" w:hAnsi="宋体" w:cs="宋体" w:eastAsia="宋体" w:hint="default"/>
          <w:b/>
          <w:bCs/>
          <w:w w:val="99"/>
          <w:sz w:val="21"/>
          <w:szCs w:val="21"/>
        </w:rPr>
        <w:t> </w:t>
      </w:r>
      <w:r>
        <w:rPr>
          <w:rFonts w:ascii="宋体" w:hAnsi="宋体" w:cs="宋体" w:eastAsia="宋体" w:hint="default"/>
          <w:spacing w:val="-1"/>
          <w:sz w:val="21"/>
          <w:szCs w:val="21"/>
        </w:rPr>
        <w:t>根据公司《董事会提名委员会议事规则》，提名委员会主要负责研究公司董事和高级管理人员的选择</w:t>
      </w:r>
    </w:p>
    <w:p>
      <w:pPr>
        <w:pStyle w:val="BodyText"/>
        <w:spacing w:line="408" w:lineRule="auto" w:before="65"/>
        <w:ind w:right="0"/>
        <w:jc w:val="left"/>
      </w:pPr>
      <w:r>
        <w:rPr>
          <w:spacing w:val="-1"/>
        </w:rPr>
        <w:t>标准和程序，进行选择和提出建议，对董事候选人和高管人员进行审查并提出建议。报告期内，董事会提</w:t>
      </w:r>
      <w:r>
        <w:rPr>
          <w:spacing w:val="-82"/>
        </w:rPr>
        <w:t> </w:t>
      </w:r>
      <w:r>
        <w:rPr>
          <w:spacing w:val="-82"/>
        </w:rPr>
      </w:r>
      <w:r>
        <w:rPr/>
        <w:t>名委员会召开会议情况如下：</w:t>
      </w:r>
    </w:p>
    <w:p>
      <w:pPr>
        <w:pStyle w:val="BodyText"/>
        <w:spacing w:line="386" w:lineRule="auto"/>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日，第三届董事会提名委员会第四次会议审议通过了《关于选举丁小亮为公司独立董事 的议案》。</w:t>
      </w:r>
    </w:p>
    <w:p>
      <w:pPr>
        <w:spacing w:line="386" w:lineRule="auto" w:before="65"/>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、薪酬与考核委员会履职情况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根据公司《董事会薪酬与考核委员会议事规则》，薪酬与考核委员会主要负责研究和审查公司董事和</w:t>
      </w:r>
    </w:p>
    <w:p>
      <w:pPr>
        <w:pStyle w:val="BodyText"/>
        <w:spacing w:line="408" w:lineRule="auto" w:before="65"/>
        <w:ind w:right="150"/>
        <w:jc w:val="both"/>
      </w:pPr>
      <w:r>
        <w:rPr>
          <w:spacing w:val="-1"/>
        </w:rPr>
        <w:t>高级管理人员的考核标准，负责制定、审查公司董事及高管人员的薪酬政策与方案，监督公司薪酬制度执</w:t>
      </w:r>
      <w:r>
        <w:rPr>
          <w:spacing w:val="-83"/>
        </w:rPr>
        <w:t> </w:t>
      </w:r>
      <w:r>
        <w:rPr>
          <w:spacing w:val="-83"/>
        </w:rPr>
      </w:r>
      <w:r>
        <w:rPr>
          <w:spacing w:val="-1"/>
        </w:rPr>
        <w:t>行情况，制定公司股权激励计划，向董事会报告工作并对董事会负责。报告期内，董事会薪酬与考核委员</w:t>
      </w:r>
      <w:r>
        <w:rPr>
          <w:spacing w:val="-82"/>
        </w:rPr>
        <w:t> </w:t>
      </w:r>
      <w:r>
        <w:rPr>
          <w:spacing w:val="-82"/>
        </w:rPr>
      </w:r>
      <w:r>
        <w:rPr/>
        <w:t>会召开会议情况如下：</w:t>
      </w:r>
    </w:p>
    <w:p>
      <w:pPr>
        <w:pStyle w:val="BodyText"/>
        <w:spacing w:line="386" w:lineRule="auto"/>
        <w:ind w:left="153" w:right="146" w:firstLine="315"/>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日，第三届董事会薪酬与考核委员会第八次会议审议通过了《关于董事、高级管理</w:t>
      </w:r>
      <w:r>
        <w:rPr>
          <w:spacing w:val="2"/>
        </w:rPr>
        <w:t> </w:t>
      </w:r>
      <w:r>
        <w:rPr/>
        <w:t>人员报酬事项的议案》。</w:t>
      </w:r>
    </w:p>
    <w:p>
      <w:pPr>
        <w:pStyle w:val="BodyText"/>
        <w:spacing w:line="240" w:lineRule="auto" w:before="65"/>
        <w:ind w:left="469"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日，第三届董事会薪酬与考核委员会第九次会议审议通过了《关于向激励对象授予</w:t>
      </w:r>
    </w:p>
    <w:p>
      <w:pPr>
        <w:pStyle w:val="BodyText"/>
        <w:spacing w:line="240" w:lineRule="auto" w:before="177"/>
        <w:ind w:left="153" w:right="0"/>
        <w:jc w:val="left"/>
      </w:pPr>
      <w:r>
        <w:rPr>
          <w:rFonts w:ascii="Times New Roman" w:hAnsi="Times New Roman" w:cs="Times New Roman" w:eastAsia="Times New Roman" w:hint="default"/>
        </w:rPr>
        <w:t>2016</w:t>
      </w:r>
      <w:r>
        <w:rPr/>
        <w:t>年限制性股票激励计划预留限制性股票的议案》。</w:t>
      </w:r>
    </w:p>
    <w:p>
      <w:pPr>
        <w:pStyle w:val="BodyText"/>
        <w:spacing w:line="386" w:lineRule="auto" w:before="177"/>
        <w:ind w:left="153" w:right="150" w:firstLine="315"/>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9</w:t>
      </w:r>
      <w:r>
        <w:rPr>
          <w:spacing w:val="-1"/>
        </w:rPr>
        <w:t>日，第三届董事会薪酬与考核委员会第十次会议审议通过了《关于</w:t>
      </w:r>
      <w:r>
        <w:rPr>
          <w:rFonts w:ascii="Times New Roman" w:hAnsi="Times New Roman" w:cs="Times New Roman" w:eastAsia="Times New Roman" w:hint="default"/>
          <w:spacing w:val="-1"/>
        </w:rPr>
        <w:t>2016</w:t>
      </w:r>
      <w:r>
        <w:rPr>
          <w:spacing w:val="-1"/>
        </w:rPr>
        <w:t>年限制性股票</w:t>
      </w:r>
      <w:r>
        <w:rPr/>
        <w:t> 激励计划首次授予的限制性股票第一个解锁期条件成就的议案》。</w:t>
      </w:r>
    </w:p>
    <w:p>
      <w:pPr>
        <w:pStyle w:val="BodyText"/>
        <w:spacing w:line="386" w:lineRule="auto" w:before="65"/>
        <w:ind w:left="153" w:right="148" w:firstLine="315"/>
        <w:jc w:val="both"/>
      </w:pPr>
      <w:r>
        <w:rPr>
          <w:spacing w:val="-1"/>
        </w:rPr>
        <w:t>（</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日，第三届董事会薪酬与考核委员会第十一次会议审议通过了《关于终止实施</w:t>
      </w:r>
      <w:r>
        <w:rPr>
          <w:rFonts w:ascii="Times New Roman" w:hAnsi="Times New Roman" w:cs="Times New Roman" w:eastAsia="Times New Roman" w:hint="default"/>
          <w:spacing w:val="-1"/>
        </w:rPr>
        <w:t>2016</w:t>
      </w:r>
      <w:r>
        <w:rPr>
          <w:spacing w:val="-1"/>
        </w:rPr>
        <w:t>年</w:t>
      </w:r>
      <w:r>
        <w:rPr/>
        <w:t> 限制性股票激励计划的议案》。</w:t>
      </w:r>
    </w:p>
    <w:p>
      <w:pPr>
        <w:pStyle w:val="BodyText"/>
        <w:spacing w:line="386" w:lineRule="auto" w:before="65"/>
        <w:ind w:left="153" w:right="150" w:firstLine="315"/>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日，第三届董事会薪酬与考核委员会第十二次会议审议通过了《关于</w:t>
      </w:r>
      <w:r>
        <w:rPr>
          <w:rFonts w:ascii="Times New Roman" w:hAnsi="Times New Roman" w:cs="Times New Roman" w:eastAsia="Times New Roman" w:hint="default"/>
        </w:rPr>
        <w:t>&lt;</w:t>
      </w:r>
      <w:r>
        <w:rPr/>
        <w:t>众信旅游集 团股份有限公司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w:t>
      </w:r>
    </w:p>
    <w:p>
      <w:pPr>
        <w:pStyle w:val="BodyText"/>
        <w:spacing w:line="398" w:lineRule="auto" w:before="35"/>
        <w:ind w:right="142" w:firstLine="315"/>
        <w:jc w:val="both"/>
      </w:pPr>
      <w:r>
        <w:rPr>
          <w:spacing w:val="-1"/>
        </w:rPr>
        <w:t>（</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spacing w:val="-1"/>
        </w:rPr>
        <w:t>日，第三届董事会薪酬与考核委员会第十三次会议审议通过了《关于</w:t>
      </w:r>
      <w:r>
        <w:rPr>
          <w:rFonts w:ascii="Times New Roman" w:hAnsi="Times New Roman" w:cs="Times New Roman" w:eastAsia="Times New Roman" w:hint="default"/>
          <w:spacing w:val="-1"/>
        </w:rPr>
        <w:t>2014</w:t>
      </w:r>
      <w:r>
        <w:rPr>
          <w:spacing w:val="-1"/>
        </w:rPr>
        <w:t>年限制性</w:t>
      </w:r>
      <w:r>
        <w:rPr/>
        <w:t> </w:t>
      </w:r>
      <w:r>
        <w:rPr>
          <w:spacing w:val="3"/>
        </w:rPr>
        <w:t>股票激励计划首次授予的限制性股票第三个解锁期及预留部分授予的限制性股票第二个解锁期解锁条件</w:t>
      </w:r>
      <w:r>
        <w:rPr>
          <w:spacing w:val="-78"/>
        </w:rPr>
        <w:t> </w:t>
      </w:r>
      <w:r>
        <w:rPr>
          <w:spacing w:val="-78"/>
        </w:rPr>
      </w:r>
      <w:r>
        <w:rPr/>
        <w:t>成就的议案》。</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after="0" w:line="3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102"/>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3" w:right="97" w:firstLine="420"/>
        <w:jc w:val="left"/>
      </w:pPr>
      <w:r>
        <w:rPr/>
        <w:t>公司建立了较为完善的高级管理人员绩效考评体系和薪酬制度，同时，将新任未持股的高级管理人员 </w:t>
      </w:r>
      <w:r>
        <w:rPr>
          <w:spacing w:val="-3"/>
        </w:rPr>
        <w:t>纳入了公司股权激励计划。公司董事会薪酬与考核委员会负责对公司高级管理人员的工作能力、履职情况、</w:t>
      </w:r>
      <w:r>
        <w:rPr>
          <w:spacing w:val="-92"/>
        </w:rPr>
        <w:t> </w:t>
      </w:r>
      <w:r>
        <w:rPr>
          <w:spacing w:val="-92"/>
        </w:rPr>
      </w:r>
      <w:r>
        <w:rPr/>
        <w:t>预算完成情况进行考评，以年度预算完成指标情况为主要依据，结合经营管理工作及相关任务完成情况，</w:t>
      </w:r>
      <w:r>
        <w:rPr>
          <w:spacing w:val="-34"/>
        </w:rPr>
        <w:t> </w:t>
      </w:r>
      <w:r>
        <w:rPr>
          <w:spacing w:val="-34"/>
        </w:rPr>
      </w:r>
      <w:r>
        <w:rPr/>
        <w:t>确定其薪酬，并监督薪酬制度执行情况。报告期内，公司高级管理人员能够严格按照《公司法》、《公司</w:t>
      </w:r>
      <w:r>
        <w:rPr/>
        <w:t> </w:t>
      </w:r>
      <w:r>
        <w:rPr>
          <w:spacing w:val="-5"/>
        </w:rPr>
        <w:t>章程》及国家有关法律法规认真履行职责，积极落实公司股东大会和董事会相关决议，落实预算经营指标，</w:t>
      </w:r>
      <w:r>
        <w:rPr>
          <w:spacing w:val="-101"/>
        </w:rPr>
        <w:t> </w:t>
      </w:r>
      <w:r>
        <w:rPr>
          <w:spacing w:val="-101"/>
        </w:rPr>
      </w:r>
      <w:r>
        <w:rPr/>
        <w:t>不断提升公司的管理水平，推动公司持续健康发展，维护了公司长远利益和股东利益。</w:t>
      </w:r>
    </w:p>
    <w:p>
      <w:pPr>
        <w:pStyle w:val="BodyText"/>
        <w:spacing w:line="408" w:lineRule="auto"/>
        <w:ind w:left="153" w:right="102" w:firstLine="420"/>
        <w:jc w:val="left"/>
      </w:pPr>
      <w:r>
        <w:rPr>
          <w:spacing w:val="-1"/>
        </w:rPr>
        <w:t>为建立和完善公司内部激励机制和约束机制，充分发挥和调动公司高级管理人员的工作积极性和创造</w:t>
      </w:r>
      <w:r>
        <w:rPr/>
        <w:t> 性，公司将结合实际情况，进一步完善高级管理人员的激励和约束机制，建立科学的绩效考核机制。</w:t>
      </w:r>
    </w:p>
    <w:p>
      <w:pPr>
        <w:spacing w:line="240" w:lineRule="auto" w:before="11"/>
        <w:rPr>
          <w:rFonts w:ascii="宋体" w:hAnsi="宋体" w:cs="宋体" w:eastAsia="宋体" w:hint="default"/>
          <w:sz w:val="18"/>
          <w:szCs w:val="18"/>
        </w:rPr>
      </w:pPr>
    </w:p>
    <w:p>
      <w:pPr>
        <w:pStyle w:val="Heading2"/>
        <w:spacing w:line="240" w:lineRule="auto"/>
        <w:ind w:right="6771"/>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2"/>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6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6"/>
        <w:spacing w:line="240" w:lineRule="auto"/>
        <w:ind w:right="677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before="44"/>
        <w:ind w:left="0" w:right="218" w:firstLine="0"/>
        <w:jc w:val="right"/>
        <w:rPr>
          <w:rFonts w:ascii="宋体" w:hAnsi="宋体" w:cs="宋体" w:eastAsia="宋体" w:hint="default"/>
          <w:sz w:val="18"/>
          <w:szCs w:val="18"/>
        </w:rPr>
      </w:pPr>
      <w:r>
        <w:rPr/>
        <w:pict>
          <v:shape style="position:absolute;margin-left:56.459999pt;margin-top:-183.8479pt;width:479.1pt;height:342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043"/>
                    <w:gridCol w:w="3330"/>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02"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07" w:lineRule="auto"/>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）公司董事、监事和高级管理人员 的舞弊行为；</w:t>
                        </w:r>
                        <w:r>
                          <w:rPr>
                            <w:rFonts w:ascii="宋体" w:hAnsi="宋体" w:cs="宋体" w:eastAsia="宋体" w:hint="default"/>
                            <w:spacing w:val="-43"/>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）公司更正已公布的</w:t>
                        </w:r>
                        <w:r>
                          <w:rPr>
                            <w:rFonts w:ascii="宋体" w:hAnsi="宋体" w:cs="宋体" w:eastAsia="宋体" w:hint="default"/>
                            <w:sz w:val="18"/>
                            <w:szCs w:val="18"/>
                          </w:rPr>
                          <w:t> 财务报告；</w:t>
                        </w:r>
                        <w:r>
                          <w:rPr>
                            <w:rFonts w:ascii="宋体" w:hAnsi="宋体" w:cs="宋体" w:eastAsia="宋体" w:hint="default"/>
                            <w:spacing w:val="-41"/>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）注册会计师发现的却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未被公司内部控制识别的当期财务报 告中的重大 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 和内审部对公司的对外财务报告和财 务报告内部控制监 督无效。</w:t>
                        </w:r>
                      </w:p>
                    </w:tc>
                    <w:tc>
                      <w:tcPr>
                        <w:tcW w:w="3330"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认定主要以缺陷对业务流程有效性的影响 </w:t>
                        </w:r>
                        <w:r>
                          <w:rPr>
                            <w:rFonts w:ascii="宋体" w:hAnsi="宋体" w:cs="宋体" w:eastAsia="宋体" w:hint="default"/>
                            <w:spacing w:val="-3"/>
                            <w:sz w:val="18"/>
                            <w:szCs w:val="18"/>
                          </w:rPr>
                          <w:t>程度、发生的可能性作判定。</w:t>
                        </w:r>
                        <w:r>
                          <w:rPr>
                            <w:rFonts w:ascii="宋体" w:hAnsi="宋体" w:cs="宋体" w:eastAsia="宋体" w:hint="default"/>
                            <w:spacing w:val="-19"/>
                            <w:sz w:val="18"/>
                            <w:szCs w:val="18"/>
                          </w:rPr>
                          <w:t> </w:t>
                        </w:r>
                        <w:r>
                          <w:rPr>
                            <w:rFonts w:ascii="宋体" w:hAnsi="宋体" w:cs="宋体" w:eastAsia="宋体" w:hint="default"/>
                            <w:sz w:val="18"/>
                            <w:szCs w:val="18"/>
                          </w:rPr>
                          <w:t>如果缺陷发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生的可能性较小，会降低工作效率或效果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或加大效果的不确定性、或使之偏离预期 目标为一般缺陷；</w:t>
                        </w:r>
                        <w:r>
                          <w:rPr>
                            <w:rFonts w:ascii="宋体" w:hAnsi="宋体" w:cs="宋体" w:eastAsia="宋体" w:hint="default"/>
                            <w:spacing w:val="-56"/>
                            <w:sz w:val="18"/>
                            <w:szCs w:val="18"/>
                          </w:rPr>
                          <w:t> </w:t>
                        </w:r>
                        <w:r>
                          <w:rPr>
                            <w:rFonts w:ascii="宋体" w:hAnsi="宋体" w:cs="宋体" w:eastAsia="宋体" w:hint="default"/>
                            <w:sz w:val="18"/>
                            <w:szCs w:val="18"/>
                          </w:rPr>
                          <w:t>如果缺陷发生的可能性</w:t>
                        </w:r>
                        <w:r>
                          <w:rPr>
                            <w:rFonts w:ascii="宋体" w:hAnsi="宋体" w:cs="宋体" w:eastAsia="宋体" w:hint="default"/>
                            <w:sz w:val="18"/>
                            <w:szCs w:val="18"/>
                          </w:rPr>
                          <w:t> 较高，会显著降低工作效率或效果、或显 著加大效果的不确定性、或使之显著偏离 预期目标为重要缺陷；</w:t>
                        </w:r>
                        <w:r>
                          <w:rPr>
                            <w:rFonts w:ascii="宋体" w:hAnsi="宋体" w:cs="宋体" w:eastAsia="宋体" w:hint="default"/>
                            <w:spacing w:val="-56"/>
                            <w:sz w:val="18"/>
                            <w:szCs w:val="18"/>
                          </w:rPr>
                          <w:t> </w:t>
                        </w:r>
                        <w:r>
                          <w:rPr>
                            <w:rFonts w:ascii="宋体" w:hAnsi="宋体" w:cs="宋体" w:eastAsia="宋体" w:hint="default"/>
                            <w:sz w:val="18"/>
                            <w:szCs w:val="18"/>
                          </w:rPr>
                          <w:t>如果缺陷发生的可</w:t>
                        </w:r>
                        <w:r>
                          <w:rPr>
                            <w:rFonts w:ascii="宋体" w:hAnsi="宋体" w:cs="宋体" w:eastAsia="宋体" w:hint="default"/>
                            <w:sz w:val="18"/>
                            <w:szCs w:val="18"/>
                          </w:rPr>
                          <w:t> 能性高，会严重降低工作效率或效果、或 严重加大效果的不确定性、或使之严重偏 离预期目标为重大缺陷。</w:t>
                        </w:r>
                        <w:r>
                          <w:rPr>
                            <w:rFonts w:ascii="宋体" w:hAnsi="宋体" w:cs="宋体" w:eastAsia="宋体" w:hint="default"/>
                            <w:spacing w:val="-28"/>
                            <w:sz w:val="18"/>
                            <w:szCs w:val="18"/>
                          </w:rPr>
                          <w:t> </w:t>
                        </w:r>
                        <w:r>
                          <w:rPr>
                            <w:rFonts w:ascii="宋体" w:hAnsi="宋体" w:cs="宋体" w:eastAsia="宋体" w:hint="default"/>
                            <w:spacing w:val="-4"/>
                            <w:sz w:val="18"/>
                            <w:szCs w:val="18"/>
                          </w:rPr>
                          <w:t>另外，以下迹象</w:t>
                        </w:r>
                        <w:r>
                          <w:rPr>
                            <w:rFonts w:ascii="宋体" w:hAnsi="宋体" w:cs="宋体" w:eastAsia="宋体" w:hint="default"/>
                            <w:sz w:val="18"/>
                            <w:szCs w:val="18"/>
                          </w:rPr>
                          <w:t> 通常表明非财务报告内部控制可能存在重</w:t>
                        </w:r>
                      </w:p>
                    </w:tc>
                  </w:tr>
                  <w:tr>
                    <w:trPr>
                      <w:trHeight w:val="39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043" w:type="dxa"/>
                        <w:vMerge/>
                        <w:tcBorders>
                          <w:left w:val="single" w:sz="4" w:space="0" w:color="000000"/>
                          <w:right w:val="single" w:sz="4" w:space="0" w:color="000000"/>
                        </w:tcBorders>
                      </w:tcPr>
                      <w:p>
                        <w:pPr/>
                      </w:p>
                    </w:tc>
                    <w:tc>
                      <w:tcPr>
                        <w:tcW w:w="3330" w:type="dxa"/>
                        <w:vMerge/>
                        <w:tcBorders>
                          <w:left w:val="single" w:sz="4" w:space="0" w:color="000000"/>
                          <w:right w:val="single" w:sz="4" w:space="0" w:color="000000"/>
                        </w:tcBorders>
                      </w:tcPr>
                      <w:p>
                        <w:pPr/>
                      </w:p>
                    </w:tc>
                  </w:tr>
                  <w:tr>
                    <w:trPr>
                      <w:trHeight w:val="1700"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43" w:type="dxa"/>
                        <w:vMerge/>
                        <w:tcBorders>
                          <w:left w:val="single" w:sz="4" w:space="0" w:color="000000"/>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44"/>
        <w:ind w:left="0" w:right="158" w:firstLine="0"/>
        <w:jc w:val="right"/>
        <w:rPr>
          <w:rFonts w:ascii="宋体" w:hAnsi="宋体" w:cs="宋体" w:eastAsia="宋体" w:hint="default"/>
          <w:sz w:val="18"/>
          <w:szCs w:val="18"/>
        </w:rPr>
      </w:pPr>
      <w:r>
        <w:rPr/>
        <w:pict>
          <v:shape style="position:absolute;margin-left:56.459999pt;margin-top:-76.808037pt;width:479.1pt;height:399.9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044"/>
                    <w:gridCol w:w="3330"/>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044" w:type="dxa"/>
                        <w:vMerge w:val="restart"/>
                        <w:tcBorders>
                          <w:top w:val="single" w:sz="4" w:space="0" w:color="000000"/>
                          <w:left w:val="single" w:sz="4" w:space="0" w:color="000000"/>
                          <w:right w:val="single" w:sz="4" w:space="0" w:color="000000"/>
                        </w:tcBorders>
                      </w:tcPr>
                      <w:p>
                        <w:pPr/>
                      </w:p>
                    </w:tc>
                    <w:tc>
                      <w:tcPr>
                        <w:tcW w:w="33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）公司决策程序不科学，如</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044" w:type="dxa"/>
                        <w:vMerge/>
                        <w:tcBorders>
                          <w:left w:val="single" w:sz="4" w:space="0" w:color="000000"/>
                          <w:right w:val="single" w:sz="4" w:space="0" w:color="000000"/>
                        </w:tcBorders>
                      </w:tcPr>
                      <w:p>
                        <w:pPr/>
                      </w:p>
                    </w:tc>
                    <w:tc>
                      <w:tcPr>
                        <w:tcW w:w="3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决策失误，导致企业并购后未能达到预期</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044" w:type="dxa"/>
                        <w:vMerge/>
                        <w:tcBorders>
                          <w:left w:val="single" w:sz="4" w:space="0" w:color="000000"/>
                          <w:right w:val="single" w:sz="4" w:space="0" w:color="000000"/>
                        </w:tcBorders>
                      </w:tcPr>
                      <w:p>
                        <w:pPr/>
                      </w:p>
                    </w:tc>
                    <w:tc>
                      <w:tcPr>
                        <w:tcW w:w="3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目标； （</w:t>
                        </w:r>
                        <w:r>
                          <w:rPr>
                            <w:rFonts w:ascii="Times New Roman" w:hAnsi="Times New Roman" w:cs="Times New Roman" w:eastAsia="Times New Roman" w:hint="default"/>
                            <w:sz w:val="18"/>
                            <w:szCs w:val="18"/>
                          </w:rPr>
                          <w:t>2</w:t>
                        </w:r>
                        <w:r>
                          <w:rPr>
                            <w:rFonts w:ascii="宋体" w:hAnsi="宋体" w:cs="宋体" w:eastAsia="宋体" w:hint="default"/>
                            <w:sz w:val="18"/>
                            <w:szCs w:val="18"/>
                          </w:rPr>
                          <w:t>）违反国家法律、法规，如旅</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044" w:type="dxa"/>
                        <w:vMerge/>
                        <w:tcBorders>
                          <w:left w:val="single" w:sz="4" w:space="0" w:color="000000"/>
                          <w:right w:val="single" w:sz="4" w:space="0" w:color="000000"/>
                        </w:tcBorders>
                      </w:tcPr>
                      <w:p>
                        <w:pPr/>
                      </w:p>
                    </w:tc>
                    <w:tc>
                      <w:tcPr>
                        <w:tcW w:w="3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游服务出现群体投诉</w:t>
                        </w:r>
                        <w:r>
                          <w:rPr>
                            <w:rFonts w:ascii="宋体" w:hAnsi="宋体" w:cs="宋体" w:eastAsia="宋体" w:hint="default"/>
                            <w:spacing w:val="7"/>
                            <w:sz w:val="18"/>
                            <w:szCs w:val="18"/>
                          </w:rPr>
                          <w:t> </w:t>
                        </w:r>
                        <w:r>
                          <w:rPr>
                            <w:rFonts w:ascii="宋体" w:hAnsi="宋体" w:cs="宋体" w:eastAsia="宋体" w:hint="default"/>
                            <w:spacing w:val="-7"/>
                            <w:sz w:val="18"/>
                            <w:szCs w:val="18"/>
                          </w:rPr>
                          <w:t>、人为的重大安全事</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044" w:type="dxa"/>
                        <w:vMerge/>
                        <w:tcBorders>
                          <w:left w:val="single" w:sz="4" w:space="0" w:color="000000"/>
                          <w:right w:val="single" w:sz="4" w:space="0" w:color="000000"/>
                        </w:tcBorders>
                      </w:tcPr>
                      <w:p>
                        <w:pPr/>
                      </w:p>
                    </w:tc>
                    <w:tc>
                      <w:tcPr>
                        <w:tcW w:w="3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务、产品质量不合格； （</w:t>
                        </w:r>
                        <w:r>
                          <w:rPr>
                            <w:rFonts w:ascii="Times New Roman" w:hAnsi="Times New Roman" w:cs="Times New Roman" w:eastAsia="Times New Roman" w:hint="default"/>
                            <w:sz w:val="18"/>
                            <w:szCs w:val="18"/>
                          </w:rPr>
                          <w:t>3</w:t>
                        </w:r>
                        <w:r>
                          <w:rPr>
                            <w:rFonts w:ascii="宋体" w:hAnsi="宋体" w:cs="宋体" w:eastAsia="宋体" w:hint="default"/>
                            <w:sz w:val="18"/>
                            <w:szCs w:val="18"/>
                          </w:rPr>
                          <w:t>）中高级管理</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044" w:type="dxa"/>
                        <w:vMerge/>
                        <w:tcBorders>
                          <w:left w:val="single" w:sz="4" w:space="0" w:color="000000"/>
                          <w:right w:val="single" w:sz="4" w:space="0" w:color="000000"/>
                        </w:tcBorders>
                      </w:tcPr>
                      <w:p>
                        <w:pPr/>
                      </w:p>
                    </w:tc>
                    <w:tc>
                      <w:tcPr>
                        <w:tcW w:w="3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人员或关键业务、技术人员较大规模流失</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044" w:type="dxa"/>
                        <w:vMerge/>
                        <w:tcBorders>
                          <w:left w:val="single" w:sz="4" w:space="0" w:color="000000"/>
                          <w:right w:val="single" w:sz="4" w:space="0" w:color="000000"/>
                        </w:tcBorders>
                      </w:tcPr>
                      <w:p>
                        <w:pPr/>
                      </w:p>
                    </w:tc>
                    <w:tc>
                      <w:tcPr>
                        <w:tcW w:w="3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）内部控制评价的结果特别是重大或重</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044" w:type="dxa"/>
                        <w:vMerge/>
                        <w:tcBorders>
                          <w:left w:val="single" w:sz="4" w:space="0" w:color="000000"/>
                          <w:right w:val="single" w:sz="4" w:space="0" w:color="000000"/>
                        </w:tcBorders>
                      </w:tcPr>
                      <w:p>
                        <w:pPr/>
                      </w:p>
                    </w:tc>
                    <w:tc>
                      <w:tcPr>
                        <w:tcW w:w="3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要缺陷未得到整改；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）重要业务缺乏</w:t>
                        </w: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044" w:type="dxa"/>
                        <w:vMerge/>
                        <w:tcBorders>
                          <w:left w:val="single" w:sz="4" w:space="0" w:color="000000"/>
                          <w:bottom w:val="single" w:sz="4" w:space="0" w:color="000000"/>
                          <w:right w:val="single" w:sz="4" w:space="0" w:color="000000"/>
                        </w:tcBorders>
                      </w:tcPr>
                      <w:p>
                        <w:pPr/>
                      </w:p>
                    </w:tc>
                    <w:tc>
                      <w:tcPr>
                        <w:tcW w:w="33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制度控制或制度系统性失效。</w:t>
                        </w:r>
                      </w:p>
                    </w:tc>
                  </w:tr>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5"/>
                            <w:sz w:val="18"/>
                            <w:szCs w:val="18"/>
                          </w:rPr>
                          <w:t>重大缺陷：该缺陷造成财产损失大于或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等于合并财务报表资产总额或当期全 年合并营业收入的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 标准确定； 重要缺陷：该缺陷造成财 产损失大于或等于合并财务报表资产 总额或当期全年合并营业收入的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，以二者孰低为标准 确定； 一般缺陷：该缺陷造成财产损 失小于合并财务报表资产总额或全年 合并营业收入的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，以二者孰低为 标准确定。</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重大缺陷：该缺陷造成财产损失大于或等 于合并财务报表资产总额或当期全年合并 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，以二者孰低为标准确定 重要缺陷：该缺陷造成财产损失大于或等 于合并财务报表资产总额或当期全年合并 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，以二者孰 低为标准确定；</w:t>
                        </w:r>
                        <w:r>
                          <w:rPr>
                            <w:rFonts w:ascii="宋体" w:hAnsi="宋体" w:cs="宋体" w:eastAsia="宋体" w:hint="default"/>
                            <w:spacing w:val="-24"/>
                            <w:sz w:val="18"/>
                            <w:szCs w:val="18"/>
                          </w:rPr>
                          <w:t> </w:t>
                        </w:r>
                        <w:r>
                          <w:rPr>
                            <w:rFonts w:ascii="宋体" w:hAnsi="宋体" w:cs="宋体" w:eastAsia="宋体" w:hint="default"/>
                            <w:spacing w:val="-3"/>
                            <w:sz w:val="18"/>
                            <w:szCs w:val="18"/>
                          </w:rPr>
                          <w:t>一般缺陷：该缺陷造成财</w:t>
                        </w:r>
                        <w:r>
                          <w:rPr>
                            <w:rFonts w:ascii="宋体" w:hAnsi="宋体" w:cs="宋体" w:eastAsia="宋体" w:hint="default"/>
                            <w:sz w:val="18"/>
                            <w:szCs w:val="18"/>
                          </w:rPr>
                          <w:t> 产损失小于合并财务报表资产总额或全年 合并营业收入的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，以二者孰低为标准 确定。</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0" w:right="17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group style="position:absolute;margin-left:216.660004pt;margin-top:713.400024pt;width:318.45pt;height:23.4pt;mso-position-horizontal-relative:page;mso-position-vertical-relative:page;z-index:-1091176" coordorigin="4333,14268" coordsize="6369,468">
            <v:shape style="position:absolute;left:4333;top:14268;width:6369;height:468" coordorigin="4333,14268" coordsize="6369,468" path="m4333,14736l10702,14736,10702,14268,4333,14268,4333,14736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113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before="44"/>
        <w:ind w:left="0" w:right="159" w:firstLine="0"/>
        <w:jc w:val="right"/>
        <w:rPr>
          <w:rFonts w:ascii="宋体" w:hAnsi="宋体" w:cs="宋体" w:eastAsia="宋体" w:hint="default"/>
          <w:sz w:val="18"/>
          <w:szCs w:val="18"/>
        </w:rPr>
      </w:pPr>
      <w:r>
        <w:rPr/>
        <w:pict>
          <v:shape style="position:absolute;margin-left:56.459999pt;margin-top:-272.887939pt;width:479.1pt;height:323.9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3"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可转换公司债 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众信转债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128022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第一年 </w:t>
                        </w:r>
                        <w:r>
                          <w:rPr>
                            <w:rFonts w:ascii="Times New Roman" w:hAnsi="Times New Roman" w:cs="Times New Roman" w:eastAsia="Times New Roman" w:hint="default"/>
                            <w:sz w:val="18"/>
                            <w:szCs w:val="18"/>
                          </w:rPr>
                          <w:t>0.3%</w:t>
                        </w:r>
                        <w:r>
                          <w:rPr>
                            <w:rFonts w:ascii="宋体" w:hAnsi="宋体" w:cs="宋体" w:eastAsia="宋体" w:hint="default"/>
                            <w:sz w:val="18"/>
                            <w:szCs w:val="18"/>
                          </w:rPr>
                          <w:t>、 第二年 </w:t>
                        </w:r>
                        <w:r>
                          <w:rPr>
                            <w:rFonts w:ascii="Times New Roman" w:hAnsi="Times New Roman" w:cs="Times New Roman" w:eastAsia="Times New Roman" w:hint="default"/>
                            <w:sz w:val="18"/>
                            <w:szCs w:val="18"/>
                          </w:rPr>
                          <w:t>0.5%</w:t>
                        </w:r>
                        <w:r>
                          <w:rPr>
                            <w:rFonts w:ascii="宋体" w:hAnsi="宋体" w:cs="宋体" w:eastAsia="宋体" w:hint="default"/>
                            <w:sz w:val="18"/>
                            <w:szCs w:val="18"/>
                          </w:rPr>
                          <w:t>、 第三年 </w:t>
                        </w:r>
                        <w:r>
                          <w:rPr>
                            <w:rFonts w:ascii="Times New Roman" w:hAnsi="Times New Roman" w:cs="Times New Roman" w:eastAsia="Times New Roman" w:hint="default"/>
                            <w:sz w:val="18"/>
                            <w:szCs w:val="18"/>
                          </w:rPr>
                          <w:t>1.0%</w:t>
                        </w:r>
                        <w:r>
                          <w:rPr>
                            <w:rFonts w:ascii="宋体" w:hAnsi="宋体" w:cs="宋体" w:eastAsia="宋体" w:hint="default"/>
                            <w:sz w:val="18"/>
                            <w:szCs w:val="18"/>
                          </w:rPr>
                          <w:t>、 第四年 </w:t>
                        </w:r>
                        <w:r>
                          <w:rPr>
                            <w:rFonts w:ascii="Times New Roman" w:hAnsi="Times New Roman" w:cs="Times New Roman" w:eastAsia="Times New Roman" w:hint="default"/>
                            <w:sz w:val="18"/>
                            <w:szCs w:val="18"/>
                          </w:rPr>
                          <w:t>1.3%</w:t>
                        </w:r>
                        <w:r>
                          <w:rPr>
                            <w:rFonts w:ascii="宋体" w:hAnsi="宋体" w:cs="宋体" w:eastAsia="宋体" w:hint="default"/>
                            <w:sz w:val="18"/>
                            <w:szCs w:val="18"/>
                          </w:rPr>
                          <w:t>、 第五年 </w:t>
                        </w:r>
                        <w:r>
                          <w:rPr>
                            <w:rFonts w:ascii="Times New Roman" w:hAnsi="Times New Roman" w:cs="Times New Roman" w:eastAsia="Times New Roman" w:hint="default"/>
                            <w:sz w:val="18"/>
                            <w:szCs w:val="18"/>
                          </w:rPr>
                          <w:t>1.5%</w:t>
                        </w:r>
                        <w:r>
                          <w:rPr>
                            <w:rFonts w:ascii="宋体" w:hAnsi="宋体" w:cs="宋体" w:eastAsia="宋体" w:hint="default"/>
                            <w:sz w:val="18"/>
                            <w:szCs w:val="18"/>
                          </w:rPr>
                          <w:t>、 第六年 </w:t>
                        </w:r>
                        <w:r>
                          <w:rPr>
                            <w:rFonts w:ascii="Times New Roman" w:hAnsi="Times New Roman" w:cs="Times New Roman" w:eastAsia="Times New Roman" w:hint="default"/>
                            <w:sz w:val="18"/>
                            <w:szCs w:val="18"/>
                          </w:rPr>
                          <w:t>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每年付息一 次，到期一次 还本，最后一 期利息随本金 一同支付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6"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的发行对象为股权登记日在册的原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股股东，中华人民共和国境内持有深交所 </w:t>
                        </w:r>
                        <w:r>
                          <w:rPr>
                            <w:rFonts w:ascii="宋体" w:hAnsi="宋体" w:cs="宋体" w:eastAsia="宋体" w:hint="default"/>
                            <w:spacing w:val="-3"/>
                            <w:sz w:val="18"/>
                            <w:szCs w:val="18"/>
                          </w:rPr>
                          <w:t>证券账户的社会公众投资者，包括：自然人、法人、证券投资基金等（法律法规禁止购买者</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4"/>
                            <w:sz w:val="18"/>
                            <w:szCs w:val="18"/>
                          </w:rPr>
                          <w:t>除外）。本次发行的承销团成员的自营账户不得参与网上申购。</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的付息日为发行首日（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日）起每满一年的当日，报告期内众信转 债尚未到付息日。</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众信转债</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投资者可以在特定时间转股，转股期自可转债发行结束之日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w:t>
                        </w:r>
                      </w:p>
                      <w:p>
                        <w:pPr>
                          <w:pStyle w:val="TableParagraph"/>
                          <w:spacing w:line="300" w:lineRule="auto" w:before="61"/>
                          <w:ind w:left="23" w:right="19"/>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个月后的第一个交易日起至可转债到期日止，即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报告期内，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众信转债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尚未到转股期。同时，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众信转债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设有回售条款、赎回条款，发行人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可以对转股价格向下修正。</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26"/>
        <w:ind w:right="0"/>
        <w:jc w:val="left"/>
        <w:rPr>
          <w:b w:val="0"/>
          <w:bCs w:val="0"/>
        </w:rPr>
      </w:pPr>
      <w:r>
        <w:rPr/>
        <w:pict>
          <v:shape style="position:absolute;margin-left:165.479706pt;margin-top:114.675911pt;width:369.6pt;height:66.45pt;mso-position-horizontal-relative:page;mso-position-vertical-relative:paragraph;z-index:-1091200" type="#_x0000_t202" filled="false" stroked="false">
            <v:textbox inset="0,0,0,0">
              <w:txbxContent>
                <w:p>
                  <w:pPr>
                    <w:spacing w:line="240" w:lineRule="auto" w:before="0"/>
                    <w:rPr>
                      <w:rFonts w:ascii="宋体" w:hAnsi="宋体" w:cs="宋体" w:eastAsia="宋体" w:hint="default"/>
                      <w:b/>
                      <w:bCs/>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变更的原因、</w:t>
                  </w:r>
                </w:p>
              </w:txbxContent>
            </v:textbox>
            <w10:wrap type="none"/>
          </v:shape>
        </w:pict>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02"/>
        <w:gridCol w:w="1195"/>
        <w:gridCol w:w="785"/>
        <w:gridCol w:w="412"/>
        <w:gridCol w:w="1196"/>
        <w:gridCol w:w="1195"/>
        <w:gridCol w:w="1196"/>
        <w:gridCol w:w="1196"/>
        <w:gridCol w:w="1196"/>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1338" w:hRule="exact"/>
        </w:trPr>
        <w:tc>
          <w:tcPr>
            <w:tcW w:w="3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6391" w:type="dxa"/>
            <w:gridSpan w:val="6"/>
            <w:tcBorders>
              <w:top w:val="single" w:sz="4" w:space="0" w:color="000000"/>
              <w:left w:val="single" w:sz="13" w:space="0" w:color="D3D3D3"/>
              <w:bottom w:val="single" w:sz="4" w:space="0" w:color="000000"/>
              <w:right w:val="single" w:sz="4" w:space="0" w:color="000000"/>
            </w:tcBorders>
          </w:tcPr>
          <w:p>
            <w:pPr>
              <w:pStyle w:val="TableParagraph"/>
              <w:spacing w:line="468"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318.45pt;height:23.4pt;mso-position-horizontal-relative:char;mso-position-vertical-relative:line" coordorigin="0,0" coordsize="6369,468">
                  <v:group style="position:absolute;left:0;top:0;width:6369;height:468" coordorigin="0,0" coordsize="6369,468">
                    <v:shape style="position:absolute;left:0;top:0;width:6369;height:468" coordorigin="0,0" coordsize="6369,468" path="m0,468l6368,468,6368,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参见本报告第四节经营情况讨论与分析之</w:t>
            </w:r>
            <w:r>
              <w:rPr>
                <w:rFonts w:ascii="Times New Roman" w:hAnsi="Times New Roman" w:cs="Times New Roman" w:eastAsia="Times New Roman" w:hint="default"/>
                <w:sz w:val="18"/>
                <w:szCs w:val="18"/>
              </w:rPr>
              <w:t>“</w:t>
            </w:r>
            <w:r>
              <w:rPr>
                <w:rFonts w:ascii="宋体" w:hAnsi="宋体" w:cs="宋体" w:eastAsia="宋体" w:hint="default"/>
                <w:sz w:val="18"/>
                <w:szCs w:val="18"/>
              </w:rPr>
              <w:t>五、投资状况分析</w:t>
            </w:r>
            <w:r>
              <w:rPr>
                <w:rFonts w:ascii="Times New Roman" w:hAnsi="Times New Roman" w:cs="Times New Roman" w:eastAsia="Times New Roman" w:hint="default"/>
                <w:sz w:val="18"/>
                <w:szCs w:val="18"/>
              </w:rPr>
              <w:t>”</w:t>
            </w:r>
            <w:r>
              <w:rPr>
                <w:rFonts w:ascii="宋体" w:hAnsi="宋体" w:cs="宋体" w:eastAsia="宋体" w:hint="default"/>
                <w:sz w:val="18"/>
                <w:szCs w:val="18"/>
              </w:rPr>
              <w:t>募资资金使用情况 部分。</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69,013.64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参见本报告第四节经营情况讨论与分析之</w:t>
            </w:r>
            <w:r>
              <w:rPr>
                <w:rFonts w:ascii="Times New Roman" w:hAnsi="Times New Roman" w:cs="Times New Roman" w:eastAsia="Times New Roman" w:hint="default"/>
                <w:sz w:val="18"/>
                <w:szCs w:val="18"/>
              </w:rPr>
              <w:t>“</w:t>
            </w:r>
            <w:r>
              <w:rPr>
                <w:rFonts w:ascii="宋体" w:hAnsi="宋体" w:cs="宋体" w:eastAsia="宋体" w:hint="default"/>
                <w:sz w:val="18"/>
                <w:szCs w:val="18"/>
              </w:rPr>
              <w:t>五、投资状况分析</w:t>
            </w:r>
            <w:r>
              <w:rPr>
                <w:rFonts w:ascii="Times New Roman" w:hAnsi="Times New Roman" w:cs="Times New Roman" w:eastAsia="Times New Roman" w:hint="default"/>
                <w:sz w:val="18"/>
                <w:szCs w:val="18"/>
              </w:rPr>
              <w:t>”</w:t>
            </w:r>
            <w:r>
              <w:rPr>
                <w:rFonts w:ascii="宋体" w:hAnsi="宋体" w:cs="宋体" w:eastAsia="宋体" w:hint="default"/>
                <w:sz w:val="18"/>
                <w:szCs w:val="18"/>
              </w:rPr>
              <w:t>募资资金使用情况 部分。</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四、公司债券信息评级情况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left="153" w:right="150" w:firstLine="420"/>
        <w:jc w:val="both"/>
      </w:pPr>
      <w:r>
        <w:rPr>
          <w:spacing w:val="-2"/>
        </w:rPr>
        <w:t>联合信用评级有限公司于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日出具了《信用等级公告》（联合</w:t>
      </w:r>
      <w:r>
        <w:rPr>
          <w:rFonts w:ascii="Times New Roman" w:hAnsi="Times New Roman" w:cs="Times New Roman" w:eastAsia="Times New Roman" w:hint="default"/>
          <w:spacing w:val="-2"/>
        </w:rPr>
        <w:t>2017[527]</w:t>
      </w:r>
      <w:r>
        <w:rPr>
          <w:spacing w:val="-2"/>
        </w:rPr>
        <w:t>号），公司主体长期</w:t>
      </w:r>
      <w:r>
        <w:rPr/>
        <w:t> 信用等级为</w:t>
      </w:r>
      <w:r>
        <w:rPr>
          <w:rFonts w:ascii="Times New Roman" w:hAnsi="Times New Roman" w:cs="Times New Roman" w:eastAsia="Times New Roman" w:hint="default"/>
        </w:rPr>
        <w:t>AA</w:t>
      </w:r>
      <w:r>
        <w:rPr/>
        <w:t>，评级展望为</w:t>
      </w:r>
      <w:r>
        <w:rPr>
          <w:rFonts w:ascii="Times New Roman" w:hAnsi="Times New Roman" w:cs="Times New Roman" w:eastAsia="Times New Roman" w:hint="default"/>
        </w:rPr>
        <w:t>“</w:t>
      </w:r>
      <w:r>
        <w:rPr/>
        <w:t>稳定</w:t>
      </w:r>
      <w:r>
        <w:rPr>
          <w:rFonts w:ascii="Times New Roman" w:hAnsi="Times New Roman" w:cs="Times New Roman" w:eastAsia="Times New Roman" w:hint="default"/>
        </w:rPr>
        <w:t>”</w:t>
      </w:r>
      <w:r>
        <w:rPr/>
        <w:t>；公司拟公开发行的可转换公司债券信用等级为</w:t>
      </w:r>
      <w:r>
        <w:rPr>
          <w:rFonts w:ascii="Times New Roman" w:hAnsi="Times New Roman" w:cs="Times New Roman" w:eastAsia="Times New Roman" w:hint="default"/>
        </w:rPr>
        <w:t>AA</w:t>
      </w:r>
      <w:r>
        <w:rPr/>
        <w:t>。上述《信用登记</w:t>
      </w:r>
      <w:r>
        <w:rPr>
          <w:spacing w:val="-90"/>
        </w:rPr>
        <w:t> </w:t>
      </w:r>
      <w:r>
        <w:rPr>
          <w:spacing w:val="-90"/>
        </w:rPr>
      </w:r>
      <w:r>
        <w:rPr>
          <w:spacing w:val="-1"/>
        </w:rPr>
        <w:t>公告》及《众信旅游集团股份有限公司公开发行可转换公司债券信用评级报告》已于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日在巨</w:t>
      </w:r>
      <w:r>
        <w:rPr>
          <w:spacing w:val="-84"/>
        </w:rPr>
        <w:t> </w:t>
      </w:r>
      <w:r>
        <w:rPr/>
        <w:t>潮资讯网（</w:t>
      </w:r>
      <w:hyperlink r:id="rId12">
        <w:r>
          <w:rPr>
            <w:rFonts w:ascii="Times New Roman" w:hAnsi="Times New Roman" w:cs="Times New Roman" w:eastAsia="Times New Roman" w:hint="default"/>
          </w:rPr>
          <w:t>http://www.cninfo.com.cn</w:t>
        </w:r>
      </w:hyperlink>
      <w:r>
        <w:rPr/>
        <w:t>）上公告。</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五、 公司债券增信机制、偿债计划及其他偿债保障措施</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众信转债无增信机制、偿债计划及其他偿债保障措施。</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0"/>
        <w:jc w:val="left"/>
      </w:pPr>
      <w:r>
        <w:rPr/>
        <w:t>报告期内，公司未召开债券持有人会议。</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74" w:right="0"/>
        <w:jc w:val="left"/>
      </w:pP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八、截至报告期末公司近</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年的主要会计数据和财务指标</w:t>
      </w:r>
      <w:r>
        <w:rPr>
          <w:b w:val="0"/>
          <w:bCs w:val="0"/>
        </w:rPr>
      </w:r>
    </w:p>
    <w:p>
      <w:pPr>
        <w:spacing w:line="240" w:lineRule="auto" w:before="4"/>
        <w:rPr>
          <w:rFonts w:ascii="宋体" w:hAnsi="宋体" w:cs="宋体" w:eastAsia="宋体" w:hint="default"/>
          <w:b/>
          <w:bCs/>
          <w:sz w:val="25"/>
          <w:szCs w:val="25"/>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41,261.22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37,671.48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line="319" w:lineRule="auto" w:before="103"/>
        <w:ind w:left="154" w:right="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流动比率变动率期末比期初增长</w:t>
      </w:r>
      <w:r>
        <w:rPr>
          <w:rFonts w:ascii="Times New Roman" w:hAnsi="Times New Roman" w:cs="Times New Roman" w:eastAsia="Times New Roman" w:hint="default"/>
          <w:sz w:val="18"/>
          <w:szCs w:val="18"/>
        </w:rPr>
        <w:t>34.00%</w:t>
      </w:r>
      <w:r>
        <w:rPr>
          <w:rFonts w:ascii="宋体" w:hAnsi="宋体" w:cs="宋体" w:eastAsia="宋体" w:hint="default"/>
          <w:sz w:val="18"/>
          <w:szCs w:val="18"/>
        </w:rPr>
        <w:t>，主要原因为报告期公司发行可转换公司债券的募集资金增长，流动资产、非流动 负债和所有者权益有所增长，导致流动比率有所增长。</w:t>
      </w:r>
    </w:p>
    <w:p>
      <w:pPr>
        <w:spacing w:line="240" w:lineRule="auto" w:before="8"/>
        <w:rPr>
          <w:rFonts w:ascii="宋体" w:hAnsi="宋体" w:cs="宋体" w:eastAsia="宋体" w:hint="default"/>
          <w:sz w:val="20"/>
          <w:szCs w:val="20"/>
        </w:rPr>
      </w:pPr>
    </w:p>
    <w:p>
      <w:pPr>
        <w:pStyle w:val="Heading2"/>
        <w:spacing w:line="240" w:lineRule="auto"/>
        <w:ind w:right="102"/>
        <w:jc w:val="left"/>
        <w:rPr>
          <w:b w:val="0"/>
          <w:bCs w:val="0"/>
        </w:rPr>
      </w:pPr>
      <w:r>
        <w:rPr/>
        <w:t>九、报告期内对其他债券和债务融资工具的付息兑付情况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4" w:right="102"/>
        <w:jc w:val="left"/>
      </w:pPr>
      <w:r>
        <w:rPr/>
        <w:t>不适用，报告期内公司不存在其他债券和债券融资工具。</w:t>
      </w:r>
    </w:p>
    <w:p>
      <w:pPr>
        <w:spacing w:line="240" w:lineRule="auto" w:before="0"/>
        <w:rPr>
          <w:rFonts w:ascii="宋体" w:hAnsi="宋体" w:cs="宋体" w:eastAsia="宋体" w:hint="default"/>
          <w:sz w:val="24"/>
          <w:szCs w:val="24"/>
        </w:rPr>
      </w:pPr>
    </w:p>
    <w:p>
      <w:pPr>
        <w:pStyle w:val="Heading2"/>
        <w:spacing w:line="240" w:lineRule="auto"/>
        <w:ind w:right="102"/>
        <w:jc w:val="left"/>
        <w:rPr>
          <w:b w:val="0"/>
          <w:bCs w:val="0"/>
        </w:rPr>
      </w:pP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 w:firstLine="420"/>
        <w:jc w:val="left"/>
      </w:pPr>
      <w:r>
        <w:rPr/>
        <w:t>公司资信状况良好，无不良贷款记录，与各大商业银行建立了长期稳定的信贷业务关系，截至报告期 </w:t>
      </w:r>
      <w:r>
        <w:rPr>
          <w:spacing w:val="-3"/>
        </w:rPr>
        <w:t>末，公司及子公司取得的银行授信总额为人民币</w:t>
      </w:r>
      <w:r>
        <w:rPr>
          <w:rFonts w:ascii="Times New Roman" w:hAnsi="Times New Roman" w:cs="Times New Roman" w:eastAsia="Times New Roman" w:hint="default"/>
          <w:spacing w:val="-3"/>
        </w:rPr>
        <w:t>19</w:t>
      </w:r>
      <w:r>
        <w:rPr>
          <w:spacing w:val="-3"/>
        </w:rPr>
        <w:t>亿元，公司及子公司期末贷款余额人民币</w:t>
      </w:r>
      <w:r>
        <w:rPr>
          <w:rFonts w:ascii="Times New Roman" w:hAnsi="Times New Roman" w:cs="Times New Roman" w:eastAsia="Times New Roman" w:hint="default"/>
          <w:spacing w:val="-3"/>
        </w:rPr>
        <w:t>62,905.48</w:t>
      </w:r>
      <w:r>
        <w:rPr>
          <w:spacing w:val="-3"/>
        </w:rPr>
        <w:t>万元。</w:t>
      </w:r>
    </w:p>
    <w:p>
      <w:pPr>
        <w:pStyle w:val="BodyText"/>
        <w:spacing w:line="240" w:lineRule="auto" w:before="14"/>
        <w:ind w:left="153" w:right="102"/>
        <w:jc w:val="left"/>
      </w:pPr>
      <w:r>
        <w:rPr/>
        <w:t>（说明：公司取得的外币授信额度、外币贷款金额按照期末外汇中间价折合为人民币计算。）具体如下：</w:t>
      </w:r>
    </w:p>
    <w:p>
      <w:pPr>
        <w:spacing w:line="240" w:lineRule="auto" w:before="1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14"/>
        <w:gridCol w:w="3260"/>
        <w:gridCol w:w="2834"/>
        <w:gridCol w:w="2836"/>
      </w:tblGrid>
      <w:tr>
        <w:trPr>
          <w:trHeight w:val="965" w:hRule="exact"/>
        </w:trPr>
        <w:tc>
          <w:tcPr>
            <w:tcW w:w="7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2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银行名称</w:t>
            </w:r>
            <w:r>
              <w:rPr>
                <w:rFonts w:ascii="宋体" w:hAnsi="宋体" w:cs="宋体" w:eastAsia="宋体" w:hint="default"/>
                <w:sz w:val="20"/>
                <w:szCs w:val="20"/>
              </w:rPr>
            </w:r>
          </w:p>
        </w:tc>
        <w:tc>
          <w:tcPr>
            <w:tcW w:w="28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71" w:lineRule="auto" w:before="4"/>
              <w:ind w:left="509" w:right="509"/>
              <w:jc w:val="center"/>
              <w:rPr>
                <w:rFonts w:ascii="宋体" w:hAnsi="宋体" w:cs="宋体" w:eastAsia="宋体" w:hint="default"/>
                <w:sz w:val="20"/>
                <w:szCs w:val="20"/>
              </w:rPr>
            </w:pPr>
            <w:r>
              <w:rPr>
                <w:rFonts w:ascii="宋体" w:hAnsi="宋体" w:cs="宋体" w:eastAsia="宋体" w:hint="default"/>
                <w:b/>
                <w:bCs/>
                <w:sz w:val="20"/>
                <w:szCs w:val="20"/>
              </w:rPr>
              <w:t>截至</w:t>
            </w: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b/>
                <w:bCs/>
                <w:w w:val="99"/>
                <w:sz w:val="20"/>
                <w:szCs w:val="20"/>
              </w:rPr>
              <w:t> </w:t>
            </w:r>
            <w:r>
              <w:rPr>
                <w:rFonts w:ascii="宋体" w:hAnsi="宋体" w:cs="宋体" w:eastAsia="宋体" w:hint="default"/>
                <w:b/>
                <w:bCs/>
                <w:sz w:val="20"/>
                <w:szCs w:val="20"/>
              </w:rPr>
              <w:t>取得银行授信额度</w:t>
            </w:r>
            <w:r>
              <w:rPr>
                <w:rFonts w:ascii="宋体" w:hAnsi="宋体" w:cs="宋体" w:eastAsia="宋体" w:hint="default"/>
                <w:sz w:val="20"/>
                <w:szCs w:val="20"/>
              </w:rPr>
            </w:r>
          </w:p>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b/>
                <w:bCs/>
                <w:sz w:val="20"/>
                <w:szCs w:val="20"/>
              </w:rPr>
              <w:t>（万元）</w:t>
            </w:r>
            <w:r>
              <w:rPr>
                <w:rFonts w:ascii="宋体" w:hAnsi="宋体" w:cs="宋体" w:eastAsia="宋体" w:hint="default"/>
                <w:sz w:val="20"/>
                <w:szCs w:val="20"/>
              </w:rPr>
            </w:r>
          </w:p>
        </w:tc>
        <w:tc>
          <w:tcPr>
            <w:tcW w:w="28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71" w:lineRule="auto" w:before="4"/>
              <w:ind w:left="509" w:right="510"/>
              <w:jc w:val="center"/>
              <w:rPr>
                <w:rFonts w:ascii="宋体" w:hAnsi="宋体" w:cs="宋体" w:eastAsia="宋体" w:hint="default"/>
                <w:sz w:val="20"/>
                <w:szCs w:val="20"/>
              </w:rPr>
            </w:pPr>
            <w:r>
              <w:rPr>
                <w:rFonts w:ascii="宋体" w:hAnsi="宋体" w:cs="宋体" w:eastAsia="宋体" w:hint="default"/>
                <w:b/>
                <w:bCs/>
                <w:sz w:val="20"/>
                <w:szCs w:val="20"/>
              </w:rPr>
              <w:t>截至</w:t>
            </w: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b/>
                <w:bCs/>
                <w:w w:val="99"/>
                <w:sz w:val="20"/>
                <w:szCs w:val="20"/>
              </w:rPr>
              <w:t> </w:t>
            </w:r>
            <w:r>
              <w:rPr>
                <w:rFonts w:ascii="宋体" w:hAnsi="宋体" w:cs="宋体" w:eastAsia="宋体" w:hint="default"/>
                <w:b/>
                <w:bCs/>
                <w:sz w:val="20"/>
                <w:szCs w:val="20"/>
              </w:rPr>
              <w:t>使用额度余额</w:t>
            </w:r>
            <w:r>
              <w:rPr>
                <w:rFonts w:ascii="宋体" w:hAnsi="宋体" w:cs="宋体" w:eastAsia="宋体" w:hint="default"/>
                <w:sz w:val="20"/>
                <w:szCs w:val="20"/>
              </w:rPr>
            </w:r>
          </w:p>
          <w:p>
            <w:pPr>
              <w:pStyle w:val="TableParagraph"/>
              <w:spacing w:line="240" w:lineRule="auto" w:before="24"/>
              <w:ind w:right="0"/>
              <w:jc w:val="center"/>
              <w:rPr>
                <w:rFonts w:ascii="宋体" w:hAnsi="宋体" w:cs="宋体" w:eastAsia="宋体" w:hint="default"/>
                <w:sz w:val="20"/>
                <w:szCs w:val="20"/>
              </w:rPr>
            </w:pPr>
            <w:r>
              <w:rPr>
                <w:rFonts w:ascii="宋体" w:hAnsi="宋体" w:cs="宋体" w:eastAsia="宋体" w:hint="default"/>
                <w:b/>
                <w:bCs/>
                <w:sz w:val="20"/>
                <w:szCs w:val="20"/>
              </w:rPr>
              <w:t>（万元）</w:t>
            </w:r>
            <w:r>
              <w:rPr>
                <w:rFonts w:ascii="宋体" w:hAnsi="宋体" w:cs="宋体" w:eastAsia="宋体" w:hint="default"/>
                <w:sz w:val="20"/>
                <w:szCs w:val="20"/>
              </w:rPr>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5,000.00</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花旗银行（中国）有限公司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15,000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7,178.12</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汇丰银行（中国）有限公司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7,000.00</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宁波银行股份有限公司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13,000</w:t>
            </w:r>
            <w:r>
              <w:rPr>
                <w:rFonts w:ascii="Times New Roman"/>
                <w:sz w:val="20"/>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10,000.00</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上海农村商业银行股份有限公司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上海浦东发展银行股份有限公司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招商银行股份有限公司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w:t>
            </w:r>
            <w:r>
              <w:rPr>
                <w:rFonts w:ascii="Times New Roman"/>
                <w:sz w:val="20"/>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中国工商银行股份有限公司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5,500.00</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w w:val="100"/>
                <w:sz w:val="20"/>
              </w:rPr>
              <w:t>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中国光大银行股份有限公司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中国建设银行股份有限公司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5,000.00</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中国民生银行股份有限公司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5,000.00</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渣打银行（中国）有限公司</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15,000</w:t>
            </w:r>
            <w:r>
              <w:rPr>
                <w:rFonts w:ascii="Times New Roman"/>
                <w:sz w:val="20"/>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13,000.00</w:t>
            </w:r>
          </w:p>
        </w:tc>
      </w:tr>
      <w:tr>
        <w:trPr>
          <w:trHeight w:val="342" w:hRule="exact"/>
        </w:trPr>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13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三菱东京</w:t>
            </w:r>
            <w:r>
              <w:rPr>
                <w:rFonts w:ascii="Times New Roman" w:hAnsi="Times New Roman" w:cs="Times New Roman" w:eastAsia="Times New Roman" w:hint="default"/>
                <w:sz w:val="20"/>
                <w:szCs w:val="20"/>
              </w:rPr>
              <w:t>UFJ</w:t>
            </w:r>
            <w:r>
              <w:rPr>
                <w:rFonts w:ascii="宋体" w:hAnsi="宋体" w:cs="宋体" w:eastAsia="宋体" w:hint="default"/>
                <w:sz w:val="20"/>
                <w:szCs w:val="20"/>
              </w:rPr>
              <w:t>银行</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5,227.36</w:t>
            </w:r>
          </w:p>
        </w:tc>
      </w:tr>
      <w:tr>
        <w:trPr>
          <w:trHeight w:val="343" w:hRule="exact"/>
        </w:trPr>
        <w:tc>
          <w:tcPr>
            <w:tcW w:w="714"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20"/>
                <w:szCs w:val="20"/>
              </w:rPr>
            </w:pPr>
            <w:r>
              <w:rPr>
                <w:rFonts w:ascii="Times New Roman"/>
                <w:b/>
                <w:spacing w:val="-1"/>
                <w:sz w:val="20"/>
              </w:rPr>
              <w:t>190,000</w:t>
            </w:r>
            <w:r>
              <w:rPr>
                <w:rFonts w:ascii="Times New Roman"/>
                <w:spacing w:val="-1"/>
                <w:sz w:val="20"/>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20"/>
                <w:szCs w:val="20"/>
              </w:rPr>
            </w:pPr>
            <w:r>
              <w:rPr>
                <w:rFonts w:ascii="Times New Roman"/>
                <w:b/>
                <w:spacing w:val="-1"/>
                <w:sz w:val="20"/>
              </w:rPr>
              <w:t>62,905.48</w:t>
            </w:r>
            <w:r>
              <w:rPr>
                <w:rFonts w:ascii="Times New Roman"/>
                <w:spacing w:val="-1"/>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102"/>
        <w:jc w:val="left"/>
        <w:rPr>
          <w:b w:val="0"/>
          <w:bCs w:val="0"/>
        </w:rPr>
      </w:pP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102"/>
        <w:jc w:val="left"/>
      </w:pPr>
      <w:r>
        <w:rPr/>
        <w:t>报告期内，公司严格按照公开发行可转换公司债券募集说明书的相关约定或承诺进行募集资金存放与</w:t>
      </w:r>
    </w:p>
    <w:p>
      <w:pPr>
        <w:spacing w:after="0" w:line="240"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使用等事项，不存在违反可转债募集说明书相关约定或承诺的情况。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99" w:lineRule="auto" w:before="142"/>
        <w:ind w:right="6397"/>
        <w:jc w:val="left"/>
        <w:rPr>
          <w:b w:val="0"/>
          <w:bCs w:val="0"/>
        </w:rPr>
      </w:pPr>
      <w:r>
        <w:rPr/>
        <w:t>十二、报告期内发生的重大事项</w:t>
      </w:r>
      <w:r>
        <w:rPr>
          <w:spacing w:val="1"/>
          <w:w w:val="99"/>
        </w:rPr>
        <w:t> </w:t>
      </w:r>
      <w:r>
        <w:rPr>
          <w:rFonts w:ascii="宋体" w:hAnsi="宋体" w:cs="宋体" w:eastAsia="宋体" w:hint="default"/>
          <w:b w:val="0"/>
          <w:bCs w:val="0"/>
          <w:sz w:val="21"/>
          <w:szCs w:val="21"/>
        </w:rPr>
        <w:t>无。 </w:t>
      </w:r>
      <w:r>
        <w:rPr/>
        <w:t>十三、公司债券是否存在保证人</w:t>
      </w:r>
      <w:r>
        <w:rPr>
          <w:b w:val="0"/>
          <w:bCs w:val="0"/>
        </w:rPr>
      </w:r>
    </w:p>
    <w:p>
      <w:pPr>
        <w:spacing w:before="8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0" w:right="16"/>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北京中证天通会计师事务所（特殊普通合伙）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中证天通</w:t>
            </w:r>
            <w:r>
              <w:rPr>
                <w:rFonts w:ascii="Times New Roman" w:hAnsi="Times New Roman" w:cs="Times New Roman" w:eastAsia="Times New Roman" w:hint="default"/>
                <w:sz w:val="18"/>
                <w:szCs w:val="18"/>
              </w:rPr>
              <w:t>(2018)</w:t>
            </w:r>
            <w:r>
              <w:rPr>
                <w:rFonts w:ascii="宋体" w:hAnsi="宋体" w:cs="宋体" w:eastAsia="宋体" w:hint="default"/>
                <w:sz w:val="18"/>
                <w:szCs w:val="18"/>
              </w:rPr>
              <w:t>证审字第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李朝辉、孙太宏</w:t>
            </w:r>
          </w:p>
        </w:tc>
      </w:tr>
    </w:tbl>
    <w:p>
      <w:pPr>
        <w:spacing w:before="51"/>
        <w:ind w:left="0" w:right="1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tabs>
          <w:tab w:pos="668" w:val="left" w:leader="none"/>
          <w:tab w:pos="1336" w:val="left" w:leader="none"/>
          <w:tab w:pos="2005" w:val="left" w:leader="none"/>
        </w:tabs>
        <w:spacing w:before="0"/>
        <w:ind w:left="0" w:right="17"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3"/>
        <w:rPr>
          <w:rFonts w:ascii="宋体" w:hAnsi="宋体" w:cs="宋体" w:eastAsia="宋体" w:hint="default"/>
          <w:b/>
          <w:bCs/>
          <w:sz w:val="49"/>
          <w:szCs w:val="49"/>
        </w:rPr>
      </w:pPr>
    </w:p>
    <w:p>
      <w:pPr>
        <w:pStyle w:val="Heading3"/>
        <w:spacing w:line="240" w:lineRule="auto" w:before="0"/>
        <w:ind w:left="5987" w:right="0" w:firstLine="0"/>
        <w:jc w:val="left"/>
        <w:rPr>
          <w:rFonts w:ascii="宋体" w:hAnsi="宋体" w:cs="宋体" w:eastAsia="宋体" w:hint="default"/>
        </w:rPr>
      </w:pPr>
      <w:r>
        <w:rPr>
          <w:rFonts w:ascii="宋体" w:hAnsi="宋体" w:cs="宋体" w:eastAsia="宋体" w:hint="default"/>
        </w:rPr>
        <w:t>中证天通</w:t>
      </w:r>
      <w:r>
        <w:rPr>
          <w:rFonts w:ascii="Times New Roman" w:hAnsi="Times New Roman" w:cs="Times New Roman" w:eastAsia="Times New Roman" w:hint="default"/>
        </w:rPr>
        <w:t>(2018)</w:t>
      </w:r>
      <w:r>
        <w:rPr>
          <w:rFonts w:ascii="宋体" w:hAnsi="宋体" w:cs="宋体" w:eastAsia="宋体" w:hint="default"/>
        </w:rPr>
        <w:t>证审字第</w:t>
      </w:r>
      <w:r>
        <w:rPr>
          <w:rFonts w:ascii="Times New Roman" w:hAnsi="Times New Roman" w:cs="Times New Roman" w:eastAsia="Times New Roman" w:hint="default"/>
        </w:rPr>
        <w:t>04001</w:t>
      </w:r>
      <w:r>
        <w:rPr>
          <w:rFonts w:ascii="宋体" w:hAnsi="宋体" w:cs="宋体" w:eastAsia="宋体" w:hint="default"/>
        </w:rPr>
        <w:t>号</w:t>
      </w:r>
    </w:p>
    <w:p>
      <w:pPr>
        <w:spacing w:line="240" w:lineRule="auto" w:before="5"/>
        <w:rPr>
          <w:rFonts w:ascii="宋体" w:hAnsi="宋体" w:cs="宋体" w:eastAsia="宋体" w:hint="default"/>
          <w:sz w:val="20"/>
          <w:szCs w:val="20"/>
        </w:rPr>
      </w:pPr>
    </w:p>
    <w:p>
      <w:pPr>
        <w:pStyle w:val="Heading4"/>
        <w:spacing w:line="410" w:lineRule="auto"/>
        <w:ind w:left="542" w:right="6036" w:hanging="389"/>
        <w:jc w:val="left"/>
        <w:rPr>
          <w:b w:val="0"/>
          <w:bCs w:val="0"/>
        </w:rPr>
      </w:pPr>
      <w:r>
        <w:rPr/>
        <w:t>众信旅游集团股份有限公司全体股东：</w:t>
      </w:r>
      <w:r>
        <w:rPr>
          <w:spacing w:val="1"/>
          <w:w w:val="99"/>
        </w:rPr>
        <w:t> </w:t>
      </w:r>
      <w:r>
        <w:rPr/>
        <w:t>一、审计意见</w:t>
      </w:r>
      <w:r>
        <w:rPr>
          <w:b w:val="0"/>
          <w:bCs w:val="0"/>
        </w:rPr>
      </w:r>
    </w:p>
    <w:p>
      <w:pPr>
        <w:pStyle w:val="Heading5"/>
        <w:spacing w:line="240" w:lineRule="auto" w:before="140"/>
        <w:ind w:left="594" w:right="0"/>
        <w:jc w:val="left"/>
      </w:pPr>
      <w:r>
        <w:rPr>
          <w:w w:val="95"/>
        </w:rPr>
        <w:t>我们审计了后附的众信旅游集团股份有限公司（以下简称</w:t>
      </w:r>
      <w:r>
        <w:rPr>
          <w:rFonts w:ascii="Times New Roman" w:hAnsi="Times New Roman" w:cs="Times New Roman" w:eastAsia="Times New Roman" w:hint="default"/>
          <w:w w:val="95"/>
        </w:rPr>
        <w:t>“</w:t>
      </w:r>
      <w:r>
        <w:rPr>
          <w:w w:val="95"/>
        </w:rPr>
        <w:t>众信旅游</w:t>
      </w:r>
      <w:r>
        <w:rPr>
          <w:rFonts w:ascii="Times New Roman" w:hAnsi="Times New Roman" w:cs="Times New Roman" w:eastAsia="Times New Roman" w:hint="default"/>
          <w:w w:val="95"/>
        </w:rPr>
        <w:t>”</w:t>
      </w:r>
      <w:r>
        <w:rPr>
          <w:w w:val="95"/>
        </w:rPr>
        <w:t>）的财务报表，包括  </w:t>
      </w:r>
      <w:r>
        <w:rPr>
          <w:rFonts w:ascii="Times New Roman" w:hAnsi="Times New Roman" w:cs="Times New Roman" w:eastAsia="Times New Roman" w:hint="default"/>
          <w:w w:val="95"/>
        </w:rPr>
        <w:t>2017    </w:t>
      </w:r>
      <w:r>
        <w:rPr>
          <w:rFonts w:ascii="Times New Roman" w:hAnsi="Times New Roman" w:cs="Times New Roman" w:eastAsia="Times New Roman" w:hint="default"/>
          <w:spacing w:val="22"/>
          <w:w w:val="95"/>
        </w:rPr>
        <w:t> </w:t>
      </w:r>
      <w:r>
        <w:rPr>
          <w:w w:val="95"/>
        </w:rPr>
        <w:t>年</w:t>
      </w:r>
      <w:r>
        <w:rPr/>
      </w:r>
    </w:p>
    <w:p>
      <w:pPr>
        <w:pStyle w:val="Heading5"/>
        <w:spacing w:line="338" w:lineRule="auto" w:before="122"/>
        <w:ind w:right="108" w:hanging="1"/>
        <w:jc w:val="left"/>
      </w:pPr>
      <w:r>
        <w:rPr>
          <w:rFonts w:ascii="Times New Roman" w:hAnsi="Times New Roman" w:cs="Times New Roman" w:eastAsia="Times New Roman" w:hint="default"/>
          <w:w w:val="99"/>
        </w:rPr>
        <w:t>12</w:t>
      </w:r>
      <w:r>
        <w:rPr>
          <w:rFonts w:ascii="Times New Roman" w:hAnsi="Times New Roman" w:cs="Times New Roman" w:eastAsia="Times New Roman" w:hint="default"/>
          <w:spacing w:val="3"/>
          <w:w w:val="99"/>
        </w:rPr>
        <w:t> </w:t>
      </w:r>
      <w:r>
        <w:rPr>
          <w:w w:val="99"/>
        </w:rPr>
        <w:t>月</w:t>
      </w:r>
      <w:r>
        <w:rPr>
          <w:spacing w:val="-52"/>
          <w:w w:val="99"/>
        </w:rPr>
        <w:t> </w:t>
      </w:r>
      <w:r>
        <w:rPr>
          <w:rFonts w:ascii="Times New Roman" w:hAnsi="Times New Roman" w:cs="Times New Roman" w:eastAsia="Times New Roman" w:hint="default"/>
          <w:spacing w:val="-1"/>
          <w:w w:val="99"/>
        </w:rPr>
        <w:t>31</w:t>
      </w:r>
      <w:r>
        <w:rPr>
          <w:rFonts w:ascii="Times New Roman" w:hAnsi="Times New Roman" w:cs="Times New Roman" w:eastAsia="Times New Roman" w:hint="default"/>
          <w:spacing w:val="3"/>
          <w:w w:val="99"/>
        </w:rPr>
        <w:t> </w:t>
      </w:r>
      <w:r>
        <w:rPr>
          <w:spacing w:val="-6"/>
          <w:w w:val="99"/>
        </w:rPr>
        <w:t>日的合并及母公司资产负债表，</w:t>
      </w:r>
      <w:r>
        <w:rPr>
          <w:rFonts w:ascii="Times New Roman" w:hAnsi="Times New Roman" w:cs="Times New Roman" w:eastAsia="Times New Roman" w:hint="default"/>
          <w:spacing w:val="-6"/>
          <w:w w:val="99"/>
        </w:rPr>
        <w:t>2017</w:t>
      </w:r>
      <w:r>
        <w:rPr>
          <w:rFonts w:ascii="Times New Roman" w:hAnsi="Times New Roman" w:cs="Times New Roman" w:eastAsia="Times New Roman" w:hint="default"/>
          <w:spacing w:val="2"/>
          <w:w w:val="99"/>
        </w:rPr>
        <w:t> </w:t>
      </w:r>
      <w:r>
        <w:rPr>
          <w:spacing w:val="-4"/>
          <w:w w:val="99"/>
        </w:rPr>
        <w:t>年度的合并及母公司利润表、合并及母公司现金流量表、</w:t>
      </w:r>
      <w:r>
        <w:rPr>
          <w:w w:val="99"/>
        </w:rPr>
        <w:t> </w:t>
      </w:r>
      <w:r>
        <w:rPr/>
        <w:t>合并及母公司股东权益变动表以及财务报表附注。</w:t>
      </w:r>
    </w:p>
    <w:p>
      <w:pPr>
        <w:pStyle w:val="Heading5"/>
        <w:spacing w:line="240" w:lineRule="auto" w:before="90"/>
        <w:ind w:left="594" w:right="0"/>
        <w:jc w:val="left"/>
      </w:pPr>
      <w:r>
        <w:rPr/>
        <w:t>我们认为，后附的财务报表在所有重大方面按照企业会计准则的规定编制，公允反映了众信旅游</w:t>
      </w:r>
    </w:p>
    <w:p>
      <w:pPr>
        <w:pStyle w:val="Heading5"/>
        <w:spacing w:line="460" w:lineRule="auto" w:before="139"/>
        <w:ind w:left="545" w:right="0" w:hanging="392"/>
        <w:jc w:val="left"/>
        <w:rPr>
          <w:rFonts w:ascii="宋体" w:hAnsi="宋体" w:cs="宋体" w:eastAsia="宋体"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日合并及母公司的财务状况以及</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年度合并及母公司的经营成果和现金流量。</w:t>
      </w:r>
      <w:r>
        <w:rPr>
          <w:w w:val="99"/>
        </w:rPr>
        <w:t> </w:t>
      </w:r>
      <w:r>
        <w:rPr>
          <w:rFonts w:ascii="宋体" w:hAnsi="宋体" w:cs="宋体" w:eastAsia="宋体" w:hint="default"/>
          <w:b/>
          <w:bCs/>
        </w:rPr>
        <w:t>二、形成审计意见的基础</w:t>
      </w:r>
      <w:r>
        <w:rPr>
          <w:rFonts w:ascii="宋体" w:hAnsi="宋体" w:cs="宋体" w:eastAsia="宋体" w:hint="default"/>
        </w:rPr>
      </w:r>
    </w:p>
    <w:p>
      <w:pPr>
        <w:pStyle w:val="Heading5"/>
        <w:spacing w:line="343" w:lineRule="auto" w:before="94"/>
        <w:ind w:right="113" w:firstLine="44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w:t>
      </w:r>
      <w:r>
        <w:rPr>
          <w:w w:val="99"/>
        </w:rPr>
        <w:t> </w:t>
      </w:r>
      <w:r>
        <w:rPr>
          <w:spacing w:val="-2"/>
        </w:rPr>
        <w:t>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部分进一步阐述了我们在这些准则下的责任。按照中国注册会计师职业道德守则，我们独立</w:t>
      </w:r>
      <w:r>
        <w:rPr>
          <w:spacing w:val="-107"/>
        </w:rPr>
        <w:t> </w:t>
      </w:r>
      <w:r>
        <w:rPr>
          <w:spacing w:val="-107"/>
        </w:rPr>
      </w:r>
      <w:r>
        <w:rPr/>
        <w:t>于众信旅游，并履行了职业道德方面的其他责任。我们相信，我们获取的审计证据是充分、适当的，</w:t>
      </w:r>
      <w:r>
        <w:rPr>
          <w:spacing w:val="-103"/>
        </w:rPr>
        <w:t> </w:t>
      </w:r>
      <w:r>
        <w:rPr>
          <w:spacing w:val="-103"/>
        </w:rPr>
      </w:r>
      <w:r>
        <w:rPr/>
        <w:t>为发表审计意见提供了基础。</w:t>
      </w:r>
    </w:p>
    <w:p>
      <w:pPr>
        <w:spacing w:line="240" w:lineRule="auto" w:before="6"/>
        <w:rPr>
          <w:rFonts w:ascii="宋体" w:hAnsi="宋体" w:cs="宋体" w:eastAsia="宋体" w:hint="default"/>
          <w:sz w:val="15"/>
          <w:szCs w:val="15"/>
        </w:rPr>
      </w:pPr>
    </w:p>
    <w:p>
      <w:pPr>
        <w:pStyle w:val="Heading5"/>
        <w:spacing w:line="487" w:lineRule="auto" w:before="0"/>
        <w:ind w:left="594" w:right="110" w:hanging="50"/>
        <w:jc w:val="left"/>
      </w:pPr>
      <w:r>
        <w:rPr>
          <w:rFonts w:ascii="宋体" w:hAnsi="宋体" w:cs="宋体" w:eastAsia="宋体" w:hint="default"/>
          <w:b/>
          <w:bCs/>
        </w:rPr>
        <w:t>三、关键审计事项</w:t>
      </w:r>
      <w:r>
        <w:rPr>
          <w:rFonts w:ascii="宋体" w:hAnsi="宋体" w:cs="宋体" w:eastAsia="宋体" w:hint="default"/>
          <w:b/>
          <w:bCs/>
          <w:spacing w:val="1"/>
          <w:w w:val="99"/>
        </w:rPr>
        <w:t> </w:t>
      </w:r>
      <w:r>
        <w:rPr/>
        <w:t>关键审计事项是根据我们的职业判断，认为对本期财务报表审计最为重要的事项。这些事项的应</w:t>
      </w:r>
    </w:p>
    <w:p>
      <w:pPr>
        <w:spacing w:after="0" w:line="487" w:lineRule="auto"/>
        <w:jc w:val="left"/>
        <w:sectPr>
          <w:pgSz w:w="11910" w:h="16840"/>
          <w:pgMar w:header="877" w:footer="982" w:top="1100" w:bottom="1180" w:left="980" w:right="960"/>
        </w:sectPr>
      </w:pPr>
    </w:p>
    <w:p>
      <w:pPr>
        <w:spacing w:line="240" w:lineRule="auto" w:before="4"/>
        <w:rPr>
          <w:rFonts w:ascii="宋体" w:hAnsi="宋体" w:cs="宋体" w:eastAsia="宋体" w:hint="default"/>
          <w:sz w:val="19"/>
          <w:szCs w:val="19"/>
        </w:rPr>
      </w:pPr>
    </w:p>
    <w:p>
      <w:pPr>
        <w:pStyle w:val="Heading5"/>
        <w:spacing w:line="357" w:lineRule="auto"/>
        <w:ind w:right="155"/>
        <w:jc w:val="both"/>
      </w:pPr>
      <w:r>
        <w:rPr/>
        <w:t>对以对财务报表整体进行审计并形成审计意见为背景，我们不对这些事项单独发表意见。我们确定下</w:t>
      </w:r>
      <w:r>
        <w:rPr>
          <w:spacing w:val="-103"/>
        </w:rPr>
        <w:t> </w:t>
      </w:r>
      <w:r>
        <w:rPr>
          <w:spacing w:val="-103"/>
        </w:rPr>
      </w:r>
      <w:r>
        <w:rPr/>
        <w:t>列事项是需要在审计报告中沟通的关键审计事项。</w:t>
      </w:r>
    </w:p>
    <w:p>
      <w:pPr>
        <w:pStyle w:val="Heading5"/>
        <w:spacing w:line="240" w:lineRule="auto" w:before="72"/>
        <w:ind w:left="594" w:right="6771"/>
        <w:jc w:val="left"/>
      </w:pPr>
      <w:r>
        <w:rPr/>
        <w:t>（一）收入确认</w:t>
      </w:r>
    </w:p>
    <w:p>
      <w:pPr>
        <w:pStyle w:val="Heading5"/>
        <w:spacing w:line="336" w:lineRule="auto" w:before="180"/>
        <w:ind w:left="153" w:right="102" w:firstLine="440"/>
        <w:jc w:val="left"/>
      </w:pPr>
      <w:r>
        <w:rPr>
          <w:rFonts w:ascii="Times New Roman" w:hAnsi="Times New Roman" w:cs="Times New Roman" w:eastAsia="Times New Roman" w:hint="default"/>
        </w:rPr>
        <w:t>1</w:t>
      </w:r>
      <w:r>
        <w:rPr/>
        <w:t>、 如合并财务报表附注</w:t>
      </w:r>
      <w:r>
        <w:rPr>
          <w:rFonts w:ascii="Times New Roman" w:hAnsi="Times New Roman" w:cs="Times New Roman" w:eastAsia="Times New Roman" w:hint="default"/>
        </w:rPr>
        <w:t>“</w:t>
      </w:r>
      <w:r>
        <w:rPr/>
        <w:t>三、主要会计政策及会计估计</w:t>
      </w:r>
      <w:r>
        <w:rPr>
          <w:rFonts w:ascii="Times New Roman" w:hAnsi="Times New Roman" w:cs="Times New Roman" w:eastAsia="Times New Roman" w:hint="default"/>
        </w:rPr>
        <w:t>” 25</w:t>
      </w:r>
      <w:r>
        <w:rPr>
          <w:rFonts w:ascii="Times New Roman" w:hAnsi="Times New Roman" w:cs="Times New Roman" w:eastAsia="Times New Roman" w:hint="default"/>
          <w:spacing w:val="2"/>
        </w:rPr>
        <w:t> </w:t>
      </w:r>
      <w:r>
        <w:rPr/>
        <w:t>所述的会计政策及</w:t>
      </w:r>
      <w:r>
        <w:rPr>
          <w:rFonts w:ascii="Times New Roman" w:hAnsi="Times New Roman" w:cs="Times New Roman" w:eastAsia="Times New Roman" w:hint="default"/>
        </w:rPr>
        <w:t>“</w:t>
      </w:r>
      <w:r>
        <w:rPr/>
        <w:t>五、合并财务报</w:t>
      </w:r>
      <w:r>
        <w:rPr>
          <w:w w:val="99"/>
        </w:rPr>
        <w:t> </w:t>
      </w:r>
      <w:r>
        <w:rPr/>
        <w:t>表主要项目注释</w:t>
      </w:r>
      <w:r>
        <w:rPr>
          <w:rFonts w:ascii="Times New Roman" w:hAnsi="Times New Roman" w:cs="Times New Roman" w:eastAsia="Times New Roman" w:hint="default"/>
        </w:rPr>
        <w:t>” 35 </w:t>
      </w:r>
      <w:r>
        <w:rPr/>
        <w:t>所示，</w:t>
      </w:r>
      <w:r>
        <w:rPr>
          <w:rFonts w:ascii="Times New Roman" w:hAnsi="Times New Roman" w:cs="Times New Roman" w:eastAsia="Times New Roman" w:hint="default"/>
        </w:rPr>
        <w:t>2017 </w:t>
      </w:r>
      <w:r>
        <w:rPr/>
        <w:t>年度，众信旅游营业收入为 </w:t>
      </w:r>
      <w:r>
        <w:rPr>
          <w:rFonts w:ascii="Times New Roman" w:hAnsi="Times New Roman" w:cs="Times New Roman" w:eastAsia="Times New Roman" w:hint="default"/>
        </w:rPr>
        <w:t>120.29 </w:t>
      </w:r>
      <w:r>
        <w:rPr/>
        <w:t>亿元，较 </w:t>
      </w:r>
      <w:r>
        <w:rPr>
          <w:rFonts w:ascii="Times New Roman" w:hAnsi="Times New Roman" w:cs="Times New Roman" w:eastAsia="Times New Roman" w:hint="default"/>
        </w:rPr>
        <w:t>2016 </w:t>
      </w:r>
      <w:r>
        <w:rPr/>
        <w:t>年增长</w:t>
      </w:r>
      <w:r>
        <w:rPr>
          <w:spacing w:val="-65"/>
        </w:rPr>
        <w:t> </w:t>
      </w:r>
      <w:r>
        <w:rPr>
          <w:rFonts w:ascii="Times New Roman" w:hAnsi="Times New Roman" w:cs="Times New Roman" w:eastAsia="Times New Roman" w:hint="default"/>
        </w:rPr>
        <w:t>19.19%</w:t>
      </w:r>
      <w:r>
        <w:rPr/>
        <w:t>。</w:t>
      </w:r>
      <w:r>
        <w:rPr>
          <w:w w:val="99"/>
        </w:rPr>
        <w:t> </w:t>
      </w:r>
      <w:r>
        <w:rPr/>
        <w:t>营业收入为合并利润表重要组成项目，因此我们将收入确认确定为关键审计事项。</w:t>
      </w:r>
    </w:p>
    <w:p>
      <w:pPr>
        <w:pStyle w:val="Heading5"/>
        <w:spacing w:line="369" w:lineRule="auto" w:before="92"/>
        <w:ind w:left="594" w:right="6310"/>
        <w:jc w:val="left"/>
      </w:pPr>
      <w:r>
        <w:rPr>
          <w:rFonts w:ascii="Times New Roman" w:hAnsi="Times New Roman" w:cs="Times New Roman" w:eastAsia="Times New Roman" w:hint="default"/>
        </w:rPr>
        <w:t>2</w:t>
      </w:r>
      <w:r>
        <w:rPr/>
        <w:t>、审计应对</w:t>
      </w:r>
      <w:r>
        <w:rPr>
          <w:w w:val="99"/>
        </w:rPr>
        <w:t> </w:t>
      </w:r>
      <w:r>
        <w:rPr/>
        <w:t>我们实施的主要审计程序如下：</w:t>
      </w:r>
    </w:p>
    <w:p>
      <w:pPr>
        <w:pStyle w:val="Heading5"/>
        <w:spacing w:line="336" w:lineRule="auto" w:before="61"/>
        <w:ind w:right="102" w:firstLine="440"/>
        <w:jc w:val="left"/>
      </w:pPr>
      <w:r>
        <w:rPr/>
        <w:t>（</w:t>
      </w:r>
      <w:r>
        <w:rPr>
          <w:rFonts w:ascii="Times New Roman" w:hAnsi="Times New Roman" w:cs="Times New Roman" w:eastAsia="Times New Roman" w:hint="default"/>
        </w:rPr>
        <w:t>1</w:t>
      </w:r>
      <w:r>
        <w:rPr/>
        <w:t>）了解和评估众信旅游管理层对营业收入确认相关内部控制的设计，并测试了关键控制执行</w:t>
      </w:r>
      <w:r>
        <w:rPr>
          <w:w w:val="99"/>
        </w:rPr>
        <w:t> </w:t>
      </w:r>
      <w:r>
        <w:rPr/>
        <w:t>的有效性。</w:t>
      </w:r>
    </w:p>
    <w:p>
      <w:pPr>
        <w:pStyle w:val="Heading5"/>
        <w:spacing w:line="338" w:lineRule="auto" w:before="92"/>
        <w:ind w:left="153" w:right="102" w:firstLine="440"/>
        <w:jc w:val="left"/>
      </w:pPr>
      <w:r>
        <w:rPr>
          <w:spacing w:val="-4"/>
        </w:rPr>
        <w:t>（</w:t>
      </w:r>
      <w:r>
        <w:rPr>
          <w:rFonts w:ascii="Times New Roman" w:hAnsi="Times New Roman" w:cs="Times New Roman" w:eastAsia="Times New Roman" w:hint="default"/>
          <w:spacing w:val="-4"/>
        </w:rPr>
        <w:t>2</w:t>
      </w:r>
      <w:r>
        <w:rPr>
          <w:spacing w:val="-4"/>
        </w:rPr>
        <w:t>）对收入和成本执行分析性程序，包括分析收入、成本、毛利情况，具体纵向比较各月变动，</w:t>
      </w:r>
      <w:r>
        <w:rPr>
          <w:w w:val="99"/>
        </w:rPr>
        <w:t> </w:t>
      </w:r>
      <w:r>
        <w:rPr/>
        <w:t>占总体比重分析；横向包括整体与上年比较、各月与上年比较。</w:t>
      </w:r>
    </w:p>
    <w:p>
      <w:pPr>
        <w:pStyle w:val="Heading5"/>
        <w:spacing w:line="348" w:lineRule="auto" w:before="90"/>
        <w:ind w:right="208" w:firstLine="440"/>
        <w:jc w:val="both"/>
      </w:pPr>
      <w:r>
        <w:rPr/>
        <w:t>（</w:t>
      </w:r>
      <w:r>
        <w:rPr>
          <w:rFonts w:ascii="Times New Roman" w:hAnsi="Times New Roman" w:cs="Times New Roman" w:eastAsia="Times New Roman" w:hint="default"/>
        </w:rPr>
        <w:t>3</w:t>
      </w:r>
      <w:r>
        <w:rPr/>
        <w:t>）针对旅游服务销售收入进行了抽样测试，核对至相关销售合同、订单中风险及报酬条款和</w:t>
      </w:r>
      <w:r>
        <w:rPr>
          <w:w w:val="99"/>
        </w:rPr>
        <w:t> </w:t>
      </w:r>
      <w:r>
        <w:rPr>
          <w:spacing w:val="-1"/>
        </w:rPr>
        <w:t>团队返回、活动结束并确认服务完成等支持性文件。另外，针对主要客户执行函证程序以确认应收账</w:t>
      </w:r>
      <w:r>
        <w:rPr>
          <w:w w:val="99"/>
        </w:rPr>
        <w:t> </w:t>
      </w:r>
      <w:r>
        <w:rPr/>
        <w:t>款余额和销售收入金额。</w:t>
      </w:r>
    </w:p>
    <w:p>
      <w:pPr>
        <w:pStyle w:val="Heading5"/>
        <w:spacing w:line="338" w:lineRule="auto" w:before="81"/>
        <w:ind w:right="102" w:firstLine="440"/>
        <w:jc w:val="left"/>
      </w:pPr>
      <w:r>
        <w:rPr/>
        <w:t>（</w:t>
      </w:r>
      <w:r>
        <w:rPr>
          <w:rFonts w:ascii="Times New Roman" w:hAnsi="Times New Roman" w:cs="Times New Roman" w:eastAsia="Times New Roman" w:hint="default"/>
        </w:rPr>
        <w:t>4</w:t>
      </w:r>
      <w:r>
        <w:rPr/>
        <w:t>）针对资产负债表日前后确认的销售收入执行截止性测试程序，核对团队服务已完成相关时</w:t>
      </w:r>
      <w:r>
        <w:rPr>
          <w:w w:val="99"/>
        </w:rPr>
        <w:t> </w:t>
      </w:r>
      <w:r>
        <w:rPr/>
        <w:t>间节点，以评估销售收入是否在恰当的期间，</w:t>
      </w:r>
      <w:r>
        <w:rPr>
          <w:spacing w:val="-2"/>
        </w:rPr>
        <w:t> </w:t>
      </w:r>
      <w:r>
        <w:rPr/>
        <w:t>确认是否存在跨期问题。</w:t>
      </w:r>
    </w:p>
    <w:p>
      <w:pPr>
        <w:pStyle w:val="Heading5"/>
        <w:spacing w:line="240" w:lineRule="auto" w:before="90"/>
        <w:ind w:left="594" w:right="6771"/>
        <w:jc w:val="left"/>
      </w:pPr>
      <w:r>
        <w:rPr/>
        <w:t>（二）商誉减值</w:t>
      </w:r>
    </w:p>
    <w:p>
      <w:pPr>
        <w:pStyle w:val="Heading5"/>
        <w:spacing w:line="338" w:lineRule="auto" w:before="180"/>
        <w:ind w:left="153" w:right="199" w:firstLine="440"/>
        <w:jc w:val="left"/>
      </w:pPr>
      <w:r>
        <w:rPr>
          <w:rFonts w:ascii="Times New Roman" w:hAnsi="Times New Roman" w:cs="Times New Roman" w:eastAsia="Times New Roman" w:hint="default"/>
        </w:rPr>
        <w:t>1</w:t>
      </w:r>
      <w:r>
        <w:rPr/>
        <w:t>、 如合并财务报表附注</w:t>
      </w:r>
      <w:r>
        <w:rPr>
          <w:rFonts w:ascii="Times New Roman" w:hAnsi="Times New Roman" w:cs="Times New Roman" w:eastAsia="Times New Roman" w:hint="default"/>
        </w:rPr>
        <w:t>“</w:t>
      </w:r>
      <w:r>
        <w:rPr/>
        <w:t>三、主要会计政策及会计估计</w:t>
      </w:r>
      <w:r>
        <w:rPr>
          <w:rFonts w:ascii="Times New Roman" w:hAnsi="Times New Roman" w:cs="Times New Roman" w:eastAsia="Times New Roman" w:hint="default"/>
        </w:rPr>
        <w:t>” 20</w:t>
      </w:r>
      <w:r>
        <w:rPr>
          <w:rFonts w:ascii="Times New Roman" w:hAnsi="Times New Roman" w:cs="Times New Roman" w:eastAsia="Times New Roman" w:hint="default"/>
          <w:spacing w:val="-11"/>
        </w:rPr>
        <w:t> </w:t>
      </w:r>
      <w:r>
        <w:rPr/>
        <w:t>所述的会计政策及</w:t>
      </w:r>
      <w:r>
        <w:rPr>
          <w:rFonts w:ascii="Times New Roman" w:hAnsi="Times New Roman" w:cs="Times New Roman" w:eastAsia="Times New Roman" w:hint="default"/>
        </w:rPr>
        <w:t>“</w:t>
      </w:r>
      <w:r>
        <w:rPr/>
        <w:t>五、合并财务报</w:t>
      </w:r>
      <w:r>
        <w:rPr>
          <w:w w:val="99"/>
        </w:rPr>
        <w:t> </w:t>
      </w:r>
      <w:r>
        <w:rPr/>
        <w:t>表主要项目注释</w:t>
      </w:r>
      <w:r>
        <w:rPr>
          <w:rFonts w:ascii="Times New Roman" w:hAnsi="Times New Roman" w:cs="Times New Roman" w:eastAsia="Times New Roman" w:hint="default"/>
        </w:rPr>
        <w:t>” 13  </w:t>
      </w:r>
      <w:r>
        <w:rPr>
          <w:spacing w:val="-9"/>
        </w:rPr>
        <w:t>所示，截止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日，众信旅游合并财务报表中商誉的账面原值为</w:t>
      </w:r>
    </w:p>
    <w:p>
      <w:pPr>
        <w:pStyle w:val="Heading5"/>
        <w:spacing w:line="348" w:lineRule="auto" w:before="22"/>
        <w:ind w:left="153" w:right="209"/>
        <w:jc w:val="both"/>
      </w:pPr>
      <w:r>
        <w:rPr>
          <w:rFonts w:ascii="Times New Roman" w:hAnsi="Times New Roman" w:cs="Times New Roman" w:eastAsia="Times New Roman" w:hint="default"/>
          <w:w w:val="95"/>
        </w:rPr>
        <w:t>8.07 </w:t>
      </w:r>
      <w:r>
        <w:rPr>
          <w:w w:val="95"/>
        </w:rPr>
        <w:t>亿元。根据企业会计准则的规定，众信旅游管理层需要每年对商誉进行减值测试，以确定是否需</w:t>
      </w:r>
      <w:r>
        <w:rPr>
          <w:spacing w:val="17"/>
          <w:w w:val="95"/>
        </w:rPr>
        <w:t> </w:t>
      </w:r>
      <w:r>
        <w:rPr>
          <w:spacing w:val="17"/>
          <w:w w:val="95"/>
        </w:rPr>
      </w:r>
      <w:r>
        <w:rPr>
          <w:spacing w:val="-1"/>
        </w:rPr>
        <w:t>要确认减值损失。商誉金额重大，减值测试过程较为复杂且需要众信旅游管理层作出重大判断。因此</w:t>
      </w:r>
      <w:r>
        <w:rPr>
          <w:w w:val="99"/>
        </w:rPr>
        <w:t> </w:t>
      </w:r>
      <w:r>
        <w:rPr/>
        <w:t>我们将商誉减值确定为关键审计事项。</w:t>
      </w:r>
    </w:p>
    <w:p>
      <w:pPr>
        <w:pStyle w:val="Heading5"/>
        <w:spacing w:line="369" w:lineRule="auto" w:before="81"/>
        <w:ind w:left="594" w:right="6310"/>
        <w:jc w:val="left"/>
      </w:pPr>
      <w:r>
        <w:rPr>
          <w:rFonts w:ascii="Times New Roman" w:hAnsi="Times New Roman" w:cs="Times New Roman" w:eastAsia="Times New Roman" w:hint="default"/>
        </w:rPr>
        <w:t>2</w:t>
      </w:r>
      <w:r>
        <w:rPr/>
        <w:t>、审计应对</w:t>
      </w:r>
      <w:r>
        <w:rPr>
          <w:w w:val="99"/>
        </w:rPr>
        <w:t> </w:t>
      </w:r>
      <w:r>
        <w:rPr/>
        <w:t>我们实施的主要审计程序如下：</w:t>
      </w:r>
    </w:p>
    <w:p>
      <w:pPr>
        <w:pStyle w:val="Heading5"/>
        <w:spacing w:line="240" w:lineRule="auto" w:before="61"/>
        <w:ind w:left="594" w:right="102"/>
        <w:jc w:val="left"/>
      </w:pPr>
      <w:r>
        <w:rPr/>
        <w:t>（</w:t>
      </w:r>
      <w:r>
        <w:rPr>
          <w:rFonts w:ascii="Times New Roman" w:hAnsi="Times New Roman" w:cs="Times New Roman" w:eastAsia="Times New Roman" w:hint="default"/>
        </w:rPr>
        <w:t>1</w:t>
      </w:r>
      <w:r>
        <w:rPr/>
        <w:t>）测试与商誉减值相关的主要内部控制。</w:t>
      </w:r>
    </w:p>
    <w:p>
      <w:pPr>
        <w:pStyle w:val="Heading5"/>
        <w:spacing w:line="338" w:lineRule="auto" w:before="163"/>
        <w:ind w:left="153" w:right="102" w:firstLine="440"/>
        <w:jc w:val="left"/>
      </w:pPr>
      <w:r>
        <w:rPr/>
        <w:t>（</w:t>
      </w:r>
      <w:r>
        <w:rPr>
          <w:rFonts w:ascii="Times New Roman" w:hAnsi="Times New Roman" w:cs="Times New Roman" w:eastAsia="Times New Roman" w:hint="default"/>
        </w:rPr>
        <w:t>2</w:t>
      </w:r>
      <w:r>
        <w:rPr/>
        <w:t>）与管理层讨论商誉减值评估的方法，包括每个组成部分的预测未来收入、现金流折现率等</w:t>
      </w:r>
      <w:r>
        <w:rPr>
          <w:w w:val="99"/>
        </w:rPr>
        <w:t> </w:t>
      </w:r>
      <w:r>
        <w:rPr/>
        <w:t>假设的合理性及每个组成部分盈利状况的判断和评估。</w:t>
      </w:r>
    </w:p>
    <w:p>
      <w:pPr>
        <w:pStyle w:val="Heading5"/>
        <w:spacing w:line="240" w:lineRule="auto" w:before="90"/>
        <w:ind w:left="594" w:right="102"/>
        <w:jc w:val="left"/>
      </w:pPr>
      <w:r>
        <w:rPr/>
        <w:t>（</w:t>
      </w:r>
      <w:r>
        <w:rPr>
          <w:rFonts w:ascii="Times New Roman" w:hAnsi="Times New Roman" w:cs="Times New Roman" w:eastAsia="Times New Roman" w:hint="default"/>
        </w:rPr>
        <w:t>3</w:t>
      </w:r>
      <w:r>
        <w:rPr/>
        <w:t>）评估了商誉减值测试关键假设及数据的合理性。</w:t>
      </w:r>
    </w:p>
    <w:p>
      <w:pPr>
        <w:pStyle w:val="Heading5"/>
        <w:spacing w:line="338" w:lineRule="auto" w:before="163"/>
        <w:ind w:right="102" w:firstLine="440"/>
        <w:jc w:val="left"/>
      </w:pPr>
      <w:r>
        <w:rPr/>
        <w:t>（</w:t>
      </w:r>
      <w:r>
        <w:rPr>
          <w:rFonts w:ascii="Times New Roman" w:hAnsi="Times New Roman" w:cs="Times New Roman" w:eastAsia="Times New Roman" w:hint="default"/>
        </w:rPr>
        <w:t>4</w:t>
      </w:r>
      <w:r>
        <w:rPr/>
        <w:t>）我们复核了被收购单位可回收金额计算是否正确，评估管理层对商誉及其减值估计结果、</w:t>
      </w:r>
      <w:r>
        <w:rPr>
          <w:w w:val="99"/>
        </w:rPr>
        <w:t> </w:t>
      </w:r>
      <w:r>
        <w:rPr/>
        <w:t>财务报表的披露是否恰当。</w:t>
      </w:r>
    </w:p>
    <w:p>
      <w:pPr>
        <w:spacing w:after="0" w:line="338" w:lineRule="auto"/>
        <w:jc w:val="left"/>
        <w:sectPr>
          <w:pgSz w:w="11910" w:h="16840"/>
          <w:pgMar w:header="877" w:footer="982" w:top="1100" w:bottom="1180" w:left="980" w:right="920"/>
        </w:sectPr>
      </w:pPr>
    </w:p>
    <w:p>
      <w:pPr>
        <w:spacing w:line="240" w:lineRule="auto" w:before="4"/>
        <w:rPr>
          <w:rFonts w:ascii="宋体" w:hAnsi="宋体" w:cs="宋体" w:eastAsia="宋体" w:hint="default"/>
          <w:sz w:val="19"/>
          <w:szCs w:val="19"/>
        </w:rPr>
      </w:pPr>
    </w:p>
    <w:p>
      <w:pPr>
        <w:pStyle w:val="Heading4"/>
        <w:spacing w:line="240" w:lineRule="auto" w:before="31"/>
        <w:ind w:right="0"/>
        <w:jc w:val="left"/>
        <w:rPr>
          <w:b w:val="0"/>
          <w:bCs w:val="0"/>
        </w:rPr>
      </w:pPr>
      <w:r>
        <w:rPr/>
        <w:t>四、其他信息</w:t>
      </w:r>
      <w:r>
        <w:rPr>
          <w:b w:val="0"/>
          <w:bCs w:val="0"/>
        </w:rPr>
      </w:r>
    </w:p>
    <w:p>
      <w:pPr>
        <w:spacing w:line="240" w:lineRule="auto" w:before="9"/>
        <w:rPr>
          <w:rFonts w:ascii="宋体" w:hAnsi="宋体" w:cs="宋体" w:eastAsia="宋体" w:hint="default"/>
          <w:b/>
          <w:bCs/>
          <w:sz w:val="22"/>
          <w:szCs w:val="22"/>
        </w:rPr>
      </w:pPr>
    </w:p>
    <w:p>
      <w:pPr>
        <w:pStyle w:val="Heading5"/>
        <w:spacing w:line="336" w:lineRule="auto" w:before="0"/>
        <w:ind w:right="329" w:firstLine="440"/>
        <w:jc w:val="both"/>
      </w:pPr>
      <w:r>
        <w:rPr/>
        <w:t>管理层对其他信息负责。其他信息包括众信旅游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年度报告中涵盖的信息，但不包括财务报</w:t>
      </w:r>
      <w:r>
        <w:rPr>
          <w:w w:val="99"/>
        </w:rPr>
        <w:t> </w:t>
      </w:r>
      <w:r>
        <w:rPr/>
        <w:t>表和我们的审计报告。</w:t>
      </w:r>
    </w:p>
    <w:p>
      <w:pPr>
        <w:pStyle w:val="Heading5"/>
        <w:spacing w:line="240" w:lineRule="auto" w:before="52"/>
        <w:ind w:left="594" w:right="0"/>
        <w:jc w:val="left"/>
      </w:pPr>
      <w:r>
        <w:rPr/>
        <w:t>我们对财务报表发表的审计意见不涵盖其他信息，我们也不对其他信息发表任何形式的鉴证结论。</w:t>
      </w:r>
    </w:p>
    <w:p>
      <w:pPr>
        <w:spacing w:line="240" w:lineRule="auto" w:before="9"/>
        <w:rPr>
          <w:rFonts w:ascii="宋体" w:hAnsi="宋体" w:cs="宋体" w:eastAsia="宋体" w:hint="default"/>
          <w:sz w:val="22"/>
          <w:szCs w:val="22"/>
        </w:rPr>
      </w:pPr>
    </w:p>
    <w:p>
      <w:pPr>
        <w:pStyle w:val="Heading5"/>
        <w:spacing w:line="357" w:lineRule="auto" w:before="0"/>
        <w:ind w:right="329" w:firstLine="440"/>
        <w:jc w:val="both"/>
      </w:pPr>
      <w:r>
        <w:rPr>
          <w:spacing w:val="-1"/>
        </w:rPr>
        <w:t>结合我们对财务报表的审计，我们的责任是阅读其他信息，在此过程中，考虑其他信息是否与财</w:t>
      </w:r>
      <w:r>
        <w:rPr>
          <w:w w:val="99"/>
        </w:rPr>
        <w:t> </w:t>
      </w:r>
      <w:r>
        <w:rPr>
          <w:spacing w:val="-1"/>
        </w:rPr>
        <w:t>务报表或我们在审计过程中了解到的情况存在重大不一致或者似乎存在重大错报。基于我们已经执行</w:t>
      </w:r>
      <w:r>
        <w:rPr>
          <w:w w:val="99"/>
        </w:rPr>
        <w:t> </w:t>
      </w:r>
      <w:r>
        <w:rPr>
          <w:spacing w:val="-1"/>
        </w:rPr>
        <w:t>的工作，如果我们确定其他信息存在重大错报，我们应当报告该事实。在这方面，我们无任何事项需</w:t>
      </w:r>
      <w:r>
        <w:rPr>
          <w:w w:val="99"/>
        </w:rPr>
        <w:t> </w:t>
      </w:r>
      <w:r>
        <w:rPr/>
        <w:t>要报告。</w:t>
      </w:r>
    </w:p>
    <w:p>
      <w:pPr>
        <w:spacing w:line="357" w:lineRule="auto" w:before="188"/>
        <w:ind w:left="594" w:right="312" w:firstLine="1"/>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1"/>
          <w:sz w:val="22"/>
          <w:szCs w:val="22"/>
        </w:rPr>
        <w:t>众信旅游管理层负责按照企业会计准则的规定编制财务报表，使其实现公允反映，并设计、执行</w:t>
      </w:r>
    </w:p>
    <w:p>
      <w:pPr>
        <w:pStyle w:val="Heading5"/>
        <w:spacing w:line="357" w:lineRule="auto"/>
        <w:ind w:left="594" w:right="312" w:hanging="441"/>
        <w:jc w:val="left"/>
      </w:pPr>
      <w:r>
        <w:rPr/>
        <w:t>和维护必要的内部控制，以使财务报表不存在由于舞弊或错误导致的重大错报。</w:t>
      </w:r>
      <w:r>
        <w:rPr>
          <w:w w:val="99"/>
        </w:rPr>
        <w:t> </w:t>
      </w:r>
      <w:r>
        <w:rPr>
          <w:spacing w:val="-1"/>
        </w:rPr>
        <w:t>在编制财务报表时，管理层负责评估众信旅游的持续经营能力，披露与持续经营相关的事项（如</w:t>
      </w:r>
    </w:p>
    <w:p>
      <w:pPr>
        <w:pStyle w:val="Heading5"/>
        <w:spacing w:line="355" w:lineRule="auto" w:before="32"/>
        <w:ind w:left="594" w:right="491" w:hanging="441"/>
        <w:jc w:val="left"/>
      </w:pPr>
      <w:r>
        <w:rPr/>
        <w:t>适用），并运用持续经营假设，除非管理层计划清算众信旅游、终止营运或别无其他现实的选择。</w:t>
      </w:r>
      <w:r>
        <w:rPr>
          <w:w w:val="99"/>
        </w:rPr>
        <w:t> </w:t>
      </w:r>
      <w:r>
        <w:rPr/>
        <w:t>治理层负责监督众信旅游的财务报告过程。</w:t>
      </w:r>
    </w:p>
    <w:p>
      <w:pPr>
        <w:pStyle w:val="Heading4"/>
        <w:spacing w:line="240" w:lineRule="auto" w:before="191"/>
        <w:ind w:right="0"/>
        <w:jc w:val="left"/>
        <w:rPr>
          <w:b w:val="0"/>
          <w:bCs w:val="0"/>
        </w:rPr>
      </w:pPr>
      <w:r>
        <w:rPr/>
        <w:t>六、注册会计师对财务报表审计的责任</w:t>
      </w:r>
      <w:r>
        <w:rPr>
          <w:b w:val="0"/>
          <w:bCs w:val="0"/>
        </w:rPr>
      </w:r>
    </w:p>
    <w:p>
      <w:pPr>
        <w:spacing w:line="240" w:lineRule="auto" w:before="9"/>
        <w:rPr>
          <w:rFonts w:ascii="宋体" w:hAnsi="宋体" w:cs="宋体" w:eastAsia="宋体" w:hint="default"/>
          <w:b/>
          <w:bCs/>
          <w:sz w:val="22"/>
          <w:szCs w:val="22"/>
        </w:rPr>
      </w:pPr>
    </w:p>
    <w:p>
      <w:pPr>
        <w:pStyle w:val="Heading5"/>
        <w:spacing w:line="357" w:lineRule="auto" w:before="0"/>
        <w:ind w:left="153" w:right="329" w:firstLine="440"/>
        <w:jc w:val="both"/>
      </w:pPr>
      <w:r>
        <w:rPr>
          <w:spacing w:val="-1"/>
        </w:rPr>
        <w:t>我们的目标是对财务报表整体是否不存在由于舞弊或错误导致的重大错报获取合理保证，并出具</w:t>
      </w:r>
      <w:r>
        <w:rPr>
          <w:w w:val="99"/>
        </w:rPr>
        <w:t> </w:t>
      </w:r>
      <w:r>
        <w:rPr>
          <w:spacing w:val="-1"/>
        </w:rPr>
        <w:t>包含审计意见的审计报告。合理保证是高水平的保证，但并不能保证按照审计准则执行的审计在某一</w:t>
      </w:r>
      <w:r>
        <w:rPr>
          <w:w w:val="99"/>
        </w:rPr>
        <w:t> </w:t>
      </w:r>
      <w:r>
        <w:rPr>
          <w:spacing w:val="-1"/>
        </w:rPr>
        <w:t>重大错报存在时总能发现。错报可能由舞弊或错误所导致，如果合理预期错报单独或汇总起来可能影</w:t>
      </w:r>
      <w:r>
        <w:rPr>
          <w:w w:val="99"/>
        </w:rPr>
        <w:t> </w:t>
      </w:r>
      <w:r>
        <w:rPr/>
        <w:t>响财务报表使用者依据财务报表作出的经济决策，则通常认为错报是重大的。</w:t>
      </w:r>
    </w:p>
    <w:p>
      <w:pPr>
        <w:pStyle w:val="Heading5"/>
        <w:spacing w:line="357" w:lineRule="auto"/>
        <w:ind w:left="153" w:right="329" w:firstLine="440"/>
        <w:jc w:val="both"/>
      </w:pPr>
      <w:r>
        <w:rPr>
          <w:spacing w:val="-1"/>
        </w:rPr>
        <w:t>在按照审计准则执行审计的过程中，我们运用职业判断，并保持职业怀疑。同时，我们也执行以</w:t>
      </w:r>
      <w:r>
        <w:rPr>
          <w:w w:val="99"/>
        </w:rPr>
        <w:t> </w:t>
      </w:r>
      <w:r>
        <w:rPr/>
        <w:t>下工作：</w:t>
      </w:r>
    </w:p>
    <w:p>
      <w:pPr>
        <w:pStyle w:val="Heading5"/>
        <w:spacing w:line="350" w:lineRule="auto"/>
        <w:ind w:left="153" w:right="0" w:firstLine="44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w:t>
      </w:r>
      <w:r>
        <w:rPr>
          <w:w w:val="99"/>
        </w:rPr>
        <w:t> </w:t>
      </w:r>
      <w:r>
        <w:rPr/>
        <w:t>些风险，并获取充分、适当的审计证据，作为发表审计意见的基础。由于舞弊可能涉及串通、伪造、</w:t>
      </w:r>
      <w:r>
        <w:rPr>
          <w:spacing w:val="-58"/>
        </w:rPr>
        <w:t> </w:t>
      </w:r>
      <w:r>
        <w:rPr>
          <w:spacing w:val="-58"/>
        </w:rPr>
      </w:r>
      <w:r>
        <w:rPr/>
        <w:t>故意遗漏、虚假陈述或凌驾于内部控制之上，未能发现由于舞弊导致的重大错报的风险高于未能发现</w:t>
      </w:r>
      <w:r>
        <w:rPr>
          <w:w w:val="99"/>
        </w:rPr>
        <w:t> </w:t>
      </w:r>
      <w:r>
        <w:rPr/>
        <w:t>由于错误导致的重大错报的风险。</w:t>
      </w:r>
    </w:p>
    <w:p>
      <w:pPr>
        <w:pStyle w:val="Heading5"/>
        <w:spacing w:line="240" w:lineRule="auto" w:before="39"/>
        <w:ind w:left="594" w:right="0"/>
        <w:jc w:val="left"/>
      </w:pPr>
      <w:r>
        <w:rPr/>
        <w:t>（</w:t>
      </w:r>
      <w:r>
        <w:rPr>
          <w:rFonts w:ascii="Times New Roman" w:hAnsi="Times New Roman" w:cs="Times New Roman" w:eastAsia="Times New Roman" w:hint="default"/>
        </w:rPr>
        <w:t>2</w:t>
      </w:r>
      <w:r>
        <w:rPr/>
        <w:t>）了解与审计相关的内部控制，以设计恰当的审计程序。</w:t>
      </w:r>
    </w:p>
    <w:p>
      <w:pPr>
        <w:pStyle w:val="Heading5"/>
        <w:spacing w:line="240" w:lineRule="auto" w:before="124"/>
        <w:ind w:left="59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5"/>
        <w:spacing w:line="348" w:lineRule="auto" w:before="122"/>
        <w:ind w:right="328" w:firstLine="44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w:t>
      </w:r>
      <w:r>
        <w:rPr>
          <w:w w:val="99"/>
        </w:rPr>
        <w:t> </w:t>
      </w:r>
      <w:r>
        <w:rPr>
          <w:spacing w:val="-1"/>
        </w:rPr>
        <w:t>对众信旅游的持续经营能力产生重大疑虑的事项或情况是否存在重大不确定性得出结论。如果我们得</w:t>
      </w:r>
      <w:r>
        <w:rPr>
          <w:w w:val="99"/>
        </w:rPr>
        <w:t> </w:t>
      </w:r>
      <w:r>
        <w:rPr>
          <w:spacing w:val="-1"/>
        </w:rPr>
        <w:t>出结论认为存在重大不确定性，审计准则要求我们在审计报告中提请报告使用者注意财务报表中的相</w:t>
      </w:r>
    </w:p>
    <w:p>
      <w:pPr>
        <w:spacing w:after="0" w:line="348" w:lineRule="auto"/>
        <w:jc w:val="both"/>
        <w:sectPr>
          <w:footerReference w:type="default" r:id="rId20"/>
          <w:pgSz w:w="11910" w:h="16840"/>
          <w:pgMar w:footer="982" w:header="877" w:top="1100" w:bottom="1180" w:left="980" w:right="800"/>
        </w:sectPr>
      </w:pPr>
    </w:p>
    <w:p>
      <w:pPr>
        <w:spacing w:line="240" w:lineRule="auto" w:before="4"/>
        <w:rPr>
          <w:rFonts w:ascii="宋体" w:hAnsi="宋体" w:cs="宋体" w:eastAsia="宋体" w:hint="default"/>
          <w:sz w:val="19"/>
          <w:szCs w:val="19"/>
        </w:rPr>
      </w:pPr>
    </w:p>
    <w:p>
      <w:pPr>
        <w:pStyle w:val="Heading5"/>
        <w:spacing w:line="357" w:lineRule="auto"/>
        <w:ind w:right="194"/>
        <w:jc w:val="left"/>
      </w:pPr>
      <w:r>
        <w:rPr>
          <w:spacing w:val="-1"/>
        </w:rPr>
        <w:t>关披露；如果披露不充分，我们应当发表非无保留意见。我们的结论基于截至审计报告日可获得的信</w:t>
      </w:r>
      <w:r>
        <w:rPr>
          <w:w w:val="99"/>
        </w:rPr>
        <w:t> </w:t>
      </w:r>
      <w:r>
        <w:rPr/>
        <w:t>息。然而，未来的事项或情况可能导致众信旅游不能持续经营。</w:t>
      </w:r>
    </w:p>
    <w:p>
      <w:pPr>
        <w:pStyle w:val="Heading5"/>
        <w:spacing w:line="338" w:lineRule="auto"/>
        <w:ind w:right="102" w:firstLine="44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w:t>
      </w:r>
      <w:r>
        <w:rPr>
          <w:w w:val="99"/>
        </w:rPr>
        <w:t> </w:t>
      </w:r>
      <w:r>
        <w:rPr/>
        <w:t>交易和事项。</w:t>
      </w:r>
    </w:p>
    <w:p>
      <w:pPr>
        <w:pStyle w:val="Heading5"/>
        <w:spacing w:line="338" w:lineRule="auto" w:before="90"/>
        <w:ind w:right="102" w:firstLine="440"/>
        <w:jc w:val="left"/>
      </w:pPr>
      <w:r>
        <w:rPr/>
        <w:t>（</w:t>
      </w:r>
      <w:r>
        <w:rPr>
          <w:rFonts w:ascii="Times New Roman" w:hAnsi="Times New Roman" w:cs="Times New Roman" w:eastAsia="Times New Roman" w:hint="default"/>
        </w:rPr>
        <w:t>6</w:t>
      </w:r>
      <w:r>
        <w:rPr/>
        <w:t>）就众信旅游实体或业务活动的财务信息获取充分、适当的审计证据，以对财务报表发表审</w:t>
      </w:r>
      <w:r>
        <w:rPr>
          <w:w w:val="99"/>
        </w:rPr>
        <w:t> </w:t>
      </w:r>
      <w:r>
        <w:rPr/>
        <w:t>计意见。我们负责指导、监督和执行集团审计，并对审计意见承担全部责任。</w:t>
      </w:r>
    </w:p>
    <w:p>
      <w:pPr>
        <w:pStyle w:val="Heading5"/>
        <w:spacing w:line="355" w:lineRule="auto" w:before="90"/>
        <w:ind w:left="153" w:right="193" w:firstLine="440"/>
        <w:jc w:val="left"/>
      </w:pPr>
      <w:r>
        <w:rPr>
          <w:spacing w:val="-1"/>
        </w:rPr>
        <w:t>我们与治理层就计划的审计范围、时间安排和重大审计发现等事项进行沟通，包括沟通我们在审</w:t>
      </w:r>
      <w:r>
        <w:rPr>
          <w:w w:val="99"/>
        </w:rPr>
        <w:t> </w:t>
      </w:r>
      <w:r>
        <w:rPr/>
        <w:t>计中识别出的值得关注的内部控制缺陷。</w:t>
      </w:r>
    </w:p>
    <w:p>
      <w:pPr>
        <w:pStyle w:val="Heading5"/>
        <w:spacing w:line="355" w:lineRule="auto" w:before="35"/>
        <w:ind w:left="153" w:right="193" w:firstLine="440"/>
        <w:jc w:val="left"/>
      </w:pPr>
      <w:r>
        <w:rPr>
          <w:spacing w:val="-1"/>
        </w:rPr>
        <w:t>我们还就已遵守与独立性相关的职业道德要求向治理层提供声明，并与治理层沟通可能被合理认</w:t>
      </w:r>
      <w:r>
        <w:rPr>
          <w:w w:val="99"/>
        </w:rPr>
        <w:t> </w:t>
      </w:r>
      <w:r>
        <w:rPr/>
        <w:t>为影响我们独立性的所有关系和其他事项，以及相关的防范措施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Heading5"/>
        <w:spacing w:line="357" w:lineRule="auto" w:before="7"/>
        <w:ind w:left="153" w:right="102" w:firstLine="440"/>
        <w:jc w:val="left"/>
      </w:pPr>
      <w:r>
        <w:rPr/>
        <w:t>从与治理层沟通的事项中，我们确定哪些事项对当期财务报表审计最为重要，因而构成关键审计</w:t>
      </w:r>
      <w:r>
        <w:rPr>
          <w:w w:val="99"/>
        </w:rPr>
        <w:t> </w:t>
      </w:r>
      <w:r>
        <w:rPr/>
        <w:t>事项。我们在审计报告中描述这些事项，除非法律法规禁止公开披露这些事项，或在极少数情形下，</w:t>
      </w:r>
      <w:r>
        <w:rPr>
          <w:spacing w:val="-58"/>
        </w:rPr>
        <w:t> </w:t>
      </w:r>
      <w:r>
        <w:rPr>
          <w:spacing w:val="-58"/>
        </w:rPr>
      </w:r>
      <w:r>
        <w:rPr/>
        <w:t>如果合理预期在审计报告中沟通某事项造成的负面后果超过在公众利益方面产生的益处，我们确定不</w:t>
      </w:r>
      <w:r>
        <w:rPr>
          <w:w w:val="99"/>
        </w:rPr>
        <w:t> </w:t>
      </w:r>
      <w:r>
        <w:rPr/>
        <w:t>应在审计报告中沟通该事项。</w:t>
      </w:r>
    </w:p>
    <w:p>
      <w:pPr>
        <w:spacing w:line="240" w:lineRule="auto" w:before="1"/>
        <w:rPr>
          <w:rFonts w:ascii="宋体" w:hAnsi="宋体" w:cs="宋体" w:eastAsia="宋体" w:hint="default"/>
          <w:sz w:val="28"/>
          <w:szCs w:val="28"/>
        </w:rPr>
      </w:pPr>
    </w:p>
    <w:p>
      <w:pPr>
        <w:pStyle w:val="Heading5"/>
        <w:tabs>
          <w:tab w:pos="5885" w:val="left" w:leader="none"/>
        </w:tabs>
        <w:spacing w:line="240" w:lineRule="auto" w:before="0"/>
        <w:ind w:left="643" w:right="102"/>
        <w:jc w:val="left"/>
      </w:pPr>
      <w:r>
        <w:rPr>
          <w:w w:val="95"/>
        </w:rPr>
        <w:t>北京中证天通会计师事务所</w:t>
        <w:tab/>
      </w:r>
      <w:r>
        <w:rPr/>
        <w:t>中国注册会计师：李朝辉</w:t>
      </w:r>
    </w:p>
    <w:p>
      <w:pPr>
        <w:pStyle w:val="Heading5"/>
        <w:tabs>
          <w:tab w:pos="5390" w:val="left" w:leader="none"/>
        </w:tabs>
        <w:spacing w:line="240" w:lineRule="auto" w:before="44"/>
        <w:ind w:left="0" w:right="1204"/>
        <w:jc w:val="center"/>
      </w:pPr>
      <w:r>
        <w:rPr>
          <w:w w:val="95"/>
        </w:rPr>
        <w:t>（特殊普通合伙）</w:t>
        <w:tab/>
      </w:r>
      <w:r>
        <w:rPr/>
        <w:t>（项目合伙人）</w:t>
      </w:r>
    </w:p>
    <w:p>
      <w:pPr>
        <w:pStyle w:val="Heading5"/>
        <w:spacing w:line="240" w:lineRule="auto" w:before="43"/>
        <w:ind w:left="5885" w:right="102"/>
        <w:jc w:val="left"/>
      </w:pPr>
      <w:r>
        <w:rPr/>
        <w:t>中国注册会计师：孙太宏</w:t>
      </w:r>
    </w:p>
    <w:p>
      <w:pPr>
        <w:pStyle w:val="Heading5"/>
        <w:spacing w:line="240" w:lineRule="auto" w:before="44"/>
        <w:ind w:left="1373" w:right="6771"/>
        <w:jc w:val="left"/>
      </w:pPr>
      <w:r>
        <w:rPr/>
        <w:t>中国 </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北京</w:t>
      </w:r>
    </w:p>
    <w:p>
      <w:pPr>
        <w:pStyle w:val="Heading5"/>
        <w:spacing w:line="240" w:lineRule="auto" w:before="28"/>
        <w:ind w:left="6539" w:right="10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p>
    <w:p>
      <w:pPr>
        <w:spacing w:after="0" w:line="240" w:lineRule="auto"/>
        <w:jc w:val="left"/>
        <w:sectPr>
          <w:footerReference w:type="default" r:id="rId21"/>
          <w:pgSz w:w="11910" w:h="16840"/>
          <w:pgMar w:footer="982" w:header="877" w:top="1100" w:bottom="1180" w:left="980" w:right="920"/>
          <w:pgNumType w:start="101"/>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编制单位：众信旅游集团股份有限公司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00" w:bottom="280" w:left="980" w:right="980"/>
          <w:cols w:num="3" w:equalWidth="0">
            <w:col w:w="3215" w:space="862"/>
            <w:col w:w="1639" w:space="3203"/>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1,367,368,101.02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932,278,326.87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574,439,214.55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519,347,994.82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599,956,017.24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607,019,028.44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9,840,940.37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3,624,496.76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357,485,390.20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346,226,422.52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2,147,449.81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1,409,678.44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244,730,707.44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19,034,833.96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3,155,967,820.63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2,428,940,781.81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292,523,862.30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166,400,911.27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379,322,405.90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431,962,718.80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400" w:bottom="2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76,429,185.23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67,512,136.24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82,267,065.35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55,925,752.91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57,653,284.35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24,588,032.61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806,867,790.28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606,292,248.12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71,252,683.13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69,817,677.65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31,316,273.60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21,191,081.13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142,172,757.36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129,521,822.37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1,939,805,307.50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1,573,212,381.10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5,095,773,128.13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4,002,153,162.91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637,737,210.00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802,554,184.00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706,808,241.81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611,996,747.25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390,129,047.51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299,826,443.32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33,054,489.72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28,755,554.28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48,935,729.05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38,409,630.35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763,605.52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1,128,414.84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213,575,793.54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211,135,859.39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10,986,519.68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9,895,157.08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2,041,990,636.83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2,003,894,590.51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6,732,921.62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482,445,448.47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66,034,325.78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35,814,666.25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59,428,612.89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614,641,308.76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35,814,666.25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2,656,631,945.59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2,039,709,256.76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850,060,820.00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843,802,180.00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157,880,395.55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414,192,440.81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395,575,601.00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82,184,050.00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121,662,406.00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127,013.92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367,644.88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50,011,591.46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844,446,707.36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633,305,321.85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2,234,534,919.10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1,801,005,532.88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204,606,263.44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161,438,373.27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2,439,141,182.54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1,962,443,906.15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5,095,773,128.13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4,002,153,162.91</w:t>
            </w:r>
          </w:p>
        </w:tc>
      </w:tr>
    </w:tbl>
    <w:p>
      <w:pPr>
        <w:tabs>
          <w:tab w:pos="3419" w:val="left" w:leader="none"/>
          <w:tab w:pos="7559" w:val="left" w:leader="none"/>
        </w:tabs>
        <w:spacing w:before="10"/>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法定代表人：曹建</w:t>
        <w:tab/>
        <w:t>主管会计工作负责人：贺武</w:t>
        <w:tab/>
        <w:t>会计机构负责人：李海涛</w:t>
      </w:r>
    </w:p>
    <w:p>
      <w:pPr>
        <w:spacing w:line="240" w:lineRule="auto" w:before="12"/>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880,057,208.47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418,025,118.41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48,645,021.91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42,957,244.80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282,004,995.57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257,844,617.12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483,333.33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579,782,442.04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428,232,785.56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1,635,343.74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1,354,528.35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2,484,705.97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14,431,411.68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1,795,093,051.03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1,162,845,705.92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116,871,493.45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171,915,700.00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1,560,461,270.44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1,417,733,726.72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2,910,811.78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3,905,098.19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24,696,593.11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21,581,867.41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56,923,341.99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60,412,060.52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9,213,122.64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5,215,397.28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68,680,638.58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86,935,687.28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1,839,757,271.99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1,767,699,537.40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3,634,850,323.02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2,930,545,243.32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576,781,160.00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758,614,484.00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252,722,548.20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288,464,361.31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214,164,541.07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143,579,267.00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4,665,140.88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4,524,118.99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7,511,072.79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625,708.34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886,263.33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280,975,831.21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171,547,502.81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10,986,519.68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9,895,157.08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1,340,926,823.61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1,385,214,827.31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482,445,448.47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51,921,137.89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534,366,586.36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1,875,293,409.97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1,385,214,827.31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850,060,820.00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843,802,180.00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157,880,395.55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432,746,541.89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404,753,813.34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82,184,050.00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121,662,406.00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-69,940.85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169,449.82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50,011,591.46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351,111,555.00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368,650,187.70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1,759,556,913.05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1,545,330,416.01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3,634,850,323.02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2,930,545,243.32</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12,047,980,836.24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10,103,998,634.10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12,029,753,608.83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10,092,528,071.07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18,227,227.41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11,470,563.03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11,710,379,033.60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9,796,528,989.89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10,839,961,812.50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9,048,017,215.66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177.841202pt;margin-top:536.880005pt;width:193.1pt;height:19.650pt;mso-position-horizontal-relative:page;mso-position-vertical-relative:page;z-index:-10911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0.960007pt;margin-top:400.679993pt;width:160pt;height:19.650pt;mso-position-horizontal-relative:page;mso-position-vertical-relative:page;z-index:-1091104" coordorigin="4219,8014" coordsize="3200,393">
            <v:group style="position:absolute;left:7396;top:8014;width:23;height:393" coordorigin="7396,8014" coordsize="23,393">
              <v:shape style="position:absolute;left:7396;top:8014;width:23;height:393" coordorigin="7396,8014" coordsize="23,393" path="m7396,8406l7418,8406,7418,8014,7396,8014,7396,8406xe" filled="true" fillcolor="#ffffff" stroked="false">
                <v:path arrowok="t"/>
                <v:fill type="solid"/>
              </v:shape>
            </v:group>
            <v:group style="position:absolute;left:4219;top:8014;width:23;height:393" coordorigin="4219,8014" coordsize="23,393">
              <v:shape style="position:absolute;left:4219;top:8014;width:23;height:393" coordorigin="4219,8014" coordsize="23,393" path="m4219,8406l4242,8406,4242,8014,4219,8014,4219,8406xe" filled="true" fillcolor="#ffffff" stroked="false">
                <v:path arrowok="t"/>
                <v:fill type="solid"/>
              </v:shape>
            </v:group>
            <v:group style="position:absolute;left:4242;top:8014;width:3154;height:393" coordorigin="4242,8014" coordsize="3154,393">
              <v:shape style="position:absolute;left:4242;top:8014;width:3154;height:393" coordorigin="4242,8014" coordsize="3154,393" path="m4242,8406l7396,8406,7396,8014,4242,8014,4242,840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3,779,184.66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16,506,155.39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679,922,906.65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547,499,577.82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160,874,710.72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152,621,151.39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3,206,128.02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15,368,506.79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22,634,291.05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16,516,382.84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11,631,074.18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5,806,059.22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8,690,231.13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5,806,059.22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349,232,876.82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313,275,703.43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4,247,868.08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5,233,441.44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886,566.99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588,892.82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352,594,177.91</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317,920,252.05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72,798,297.75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72,438,702.46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279,795,880.16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245,481,549.59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279,795,880.16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245,481,549.59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232,624,021.32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214,864,942.83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47,171,858.84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30,616,606.76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160,595.93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557,607.87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-240,630.96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354,471.95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-240,630.96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354,471.95</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-406,964.06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288,064.69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166,333.10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66,407.26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401,226.89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203,135.92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279,956,476.09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246,039,157.46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232,383,390.36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215,219,414.78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47,573,085.73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30,819,742.68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0.256</w:t>
            </w:r>
          </w:p>
        </w:tc>
      </w:tr>
    </w:tbl>
    <w:p>
      <w:pPr>
        <w:tabs>
          <w:tab w:pos="3419" w:val="left" w:leader="none"/>
          <w:tab w:pos="7559" w:val="left" w:leader="none"/>
        </w:tabs>
        <w:spacing w:before="51"/>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法定代表人：曹建</w:t>
        <w:tab/>
        <w:t>主管会计工作负责人：贺武</w:t>
        <w:tab/>
        <w:t>会计机构负责人：李海涛</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3,545,021,301.58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3,597,442,349.25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3,149,391,296.05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3,180,322,796.91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3"/>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257,889.44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6,099,453.06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299,370,674.13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266,126,293.83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73,560,787.41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76,108,134.35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30,108,809.38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30,373,083.02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8,836,573.71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631,944.05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10,847,204.91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2,953,320.15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-332,124.72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-46,679.85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-5,657,523.63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40,733,964.18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380,401.32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258,558.71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-5,695,215.09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40,855,806.79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-9,639,218.20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7,172,356.26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3,944,003.11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33,683,450.53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3,944,003.11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33,683,450.53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169,449.82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169,449.82</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169,449.82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3,704,612.44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33,852,900.35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12,151,477,784.09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9,960,920,718.86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149" w:type="dxa"/>
            <w:tcBorders>
              <w:top w:val="single" w:sz="4" w:space="0" w:color="000000"/>
              <w:left w:val="single" w:sz="9"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13,015,872.46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7,724,150.07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12,209,894.33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50,974,859.86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79,490,351.92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12,227,678,410.74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10,048,135,220.85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10,693,177,551.15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8,926,508,647.16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128,043,605.11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80,313,574.08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439,743,188.94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357,493,136.03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123,923,653.23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115,866,669.33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649,851,934.92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517,565,534.41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12,034,739,933.35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9,997,747,561.01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192,938,477.39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50,387,659.84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168,133,432.55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2,940,843.05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224,300.00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149" w:type="dxa"/>
            <w:tcBorders>
              <w:top w:val="single" w:sz="4" w:space="0" w:color="000000"/>
              <w:left w:val="single" w:sz="9"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171,089,575.60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18,224,300.00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54,670,622.19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79,626,289.49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120,319,429.40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208,739,638.95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240,151,307.83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15,215,293.36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415,141,359.42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303,581,221.80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-244,051,783.82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-285,356,921.80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9,247,988.60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104,308,664.13</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 到的现金</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981,312.00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1,744,918.13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839,754,585.11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1,014,709,150.86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1,539,132,573.71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1,119,017,814.99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1,008,896,259.38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839,294,797.87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54,405,805.10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55,270,765.61</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1,063,302,064.48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894,565,563.48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475,830,509.23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224,452,251.51</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 响</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9,872,571.35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-345,095.73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434,589,774.15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-10,862,106.18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932,278,326.87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943,140,433.05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1,366,868,101.02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932,278,326.87</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3,683,748,574.31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3,660,079,193.69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10,686,968.42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10,574,936.89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14,125,839.70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3,705,010,479.62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3,674,205,033.39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3,190,727,137.06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3,178,016,671.93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155,810,712.44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139,605,566.63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493,091.45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19,478,064.78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346,717,729.16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313,975,811.29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3,693,748,670.11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3,651,076,114.63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11,261,809.51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23,128,918.76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113,044,206.55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11,153,604.00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期资产收回的现金净额</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149" w:type="dxa"/>
            <w:tcBorders>
              <w:top w:val="single" w:sz="4" w:space="0" w:color="000000"/>
              <w:left w:val="single" w:sz="9"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19"/>
        <w:gridCol w:w="3149"/>
        <w:gridCol w:w="330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124,206,210.55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 期资产支付的现金</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10,476,150.81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73,403,847.82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109,616,403.62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266,175,012.50</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15,636,085.49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135,728,639.92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346,478,860.32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-11,522,429.37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-328,478,860.32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8,266,676.60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102,563,746.00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723,949,400.00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912,446,042.49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1,422,346,076.60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1,015,009,788.49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908,614,484.00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728,831,558.49</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 现金</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51,436,311.65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53,243,073.88</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49"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960,050,795.65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782,074,632.37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462,295,280.95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232,935,156.12</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 响</w:t>
            </w:r>
          </w:p>
        </w:tc>
        <w:tc>
          <w:tcPr>
            <w:tcW w:w="314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-2,416,105.51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462,032,090.06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-74,830,890.95</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418,025,118.41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492,856,009.36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880,057,208.47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418,025,118.41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6"/>
        <w:spacing w:line="240" w:lineRule="auto"/>
        <w:ind w:left="13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36"/>
        <w:gridCol w:w="1182"/>
        <w:gridCol w:w="373"/>
        <w:gridCol w:w="373"/>
        <w:gridCol w:w="1183"/>
        <w:gridCol w:w="1183"/>
        <w:gridCol w:w="1182"/>
        <w:gridCol w:w="1007"/>
        <w:gridCol w:w="439"/>
        <w:gridCol w:w="1093"/>
        <w:gridCol w:w="575"/>
        <w:gridCol w:w="1183"/>
        <w:gridCol w:w="1183"/>
        <w:gridCol w:w="1320"/>
      </w:tblGrid>
      <w:tr>
        <w:trPr>
          <w:trHeight w:val="402" w:hRule="exact"/>
        </w:trPr>
        <w:tc>
          <w:tcPr>
            <w:tcW w:w="1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7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736" w:type="dxa"/>
            <w:vMerge/>
            <w:tcBorders>
              <w:left w:val="single" w:sz="4" w:space="0" w:color="000000"/>
              <w:right w:val="single" w:sz="4" w:space="0" w:color="000000"/>
            </w:tcBorders>
            <w:shd w:val="clear" w:color="auto" w:fill="D3D3D3"/>
          </w:tcPr>
          <w:p>
            <w:pPr/>
          </w:p>
        </w:tc>
        <w:tc>
          <w:tcPr>
            <w:tcW w:w="977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736" w:type="dxa"/>
            <w:vMerge/>
            <w:tcBorders>
              <w:left w:val="single" w:sz="4" w:space="0" w:color="000000"/>
              <w:right w:val="single" w:sz="4" w:space="0" w:color="000000"/>
            </w:tcBorders>
            <w:shd w:val="clear" w:color="auto" w:fill="D3D3D3"/>
          </w:tcPr>
          <w:p>
            <w:pP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9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409" w:right="4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3" w:type="dxa"/>
            <w:vMerge/>
            <w:tcBorders>
              <w:left w:val="single" w:sz="4" w:space="0" w:color="000000"/>
              <w:right w:val="single" w:sz="4" w:space="0" w:color="000000"/>
            </w:tcBorders>
            <w:shd w:val="clear" w:color="auto" w:fill="D3D3D3"/>
          </w:tcPr>
          <w:p>
            <w:pPr/>
          </w:p>
        </w:tc>
        <w:tc>
          <w:tcPr>
            <w:tcW w:w="1320" w:type="dxa"/>
            <w:vMerge/>
            <w:tcBorders>
              <w:left w:val="single" w:sz="4" w:space="0" w:color="000000"/>
              <w:right w:val="single" w:sz="4" w:space="0" w:color="000000"/>
            </w:tcBorders>
            <w:shd w:val="clear" w:color="auto" w:fill="D3D3D3"/>
          </w:tcPr>
          <w:p>
            <w:pPr/>
          </w:p>
        </w:tc>
      </w:tr>
      <w:tr>
        <w:trPr>
          <w:trHeight w:val="1026" w:hRule="exact"/>
        </w:trPr>
        <w:tc>
          <w:tcPr>
            <w:tcW w:w="1736"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1007" w:type="dxa"/>
            <w:vMerge/>
            <w:tcBorders>
              <w:left w:val="single" w:sz="4" w:space="0" w:color="000000"/>
              <w:bottom w:val="single" w:sz="4" w:space="0" w:color="000000"/>
              <w:right w:val="single" w:sz="4" w:space="0" w:color="000000"/>
            </w:tcBorders>
            <w:shd w:val="clear" w:color="auto" w:fill="D3D3D3"/>
          </w:tcPr>
          <w:p>
            <w:pPr/>
          </w:p>
        </w:tc>
        <w:tc>
          <w:tcPr>
            <w:tcW w:w="439"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575"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3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843,802,180.00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395,575,601.00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121,662,406.00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367,644.88</w:t>
            </w: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633,305,321.85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161,438,373.27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1,962,443,906.15</w:t>
            </w: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2"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843,802,180.00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395,575,601.00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121,662,406.00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367,644.88</w:t>
            </w: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633,305,321.85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161,438,373.27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1,962,443,906.15</w:t>
            </w:r>
          </w:p>
        </w:tc>
      </w:tr>
      <w:tr>
        <w:trPr>
          <w:trHeight w:val="1026"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6,258,640.00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157,880,395.55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18,616,839.81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-39,478,356.00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-240,630.96</w:t>
            </w: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394,400.31</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211,141,385.51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43,167,890.17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476,697,276.39</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-240,630.96</w:t>
            </w: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232,624,021.32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47,573,085.73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279,956,476.09</w:t>
            </w: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6,258,640.00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157,880,395.55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27,992,728.55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-39,478,356.00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2,781,312.00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234,391,432.10</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．股东投入的普通股</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2,781,312.00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2,781,312.00</w:t>
            </w:r>
          </w:p>
        </w:tc>
      </w:tr>
    </w:tbl>
    <w:p>
      <w:pPr>
        <w:spacing w:after="0" w:line="240" w:lineRule="auto"/>
        <w:jc w:val="right"/>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867" w:footer="978" w:top="1060" w:bottom="1160" w:left="1300" w:right="1300"/>
          <w:pgNumType w:start="115"/>
        </w:sectPr>
      </w:pPr>
    </w:p>
    <w:p>
      <w:pPr>
        <w:spacing w:line="240" w:lineRule="auto" w:before="12"/>
        <w:rPr>
          <w:rFonts w:ascii="宋体" w:hAnsi="宋体" w:cs="宋体" w:eastAsia="宋体" w:hint="default"/>
          <w:sz w:val="2"/>
          <w:szCs w:val="2"/>
        </w:rPr>
      </w:pPr>
      <w:r>
        <w:rPr/>
        <w:pict>
          <v:shape style="position:absolute;margin-left:124.551399pt;margin-top:208.979996pt;width:91.75pt;height:35.25pt;mso-position-horizontal-relative:page;mso-position-vertical-relative:page;z-index:-10910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或股东）</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736"/>
        <w:gridCol w:w="1182"/>
        <w:gridCol w:w="373"/>
        <w:gridCol w:w="373"/>
        <w:gridCol w:w="1183"/>
        <w:gridCol w:w="1183"/>
        <w:gridCol w:w="1182"/>
        <w:gridCol w:w="1007"/>
        <w:gridCol w:w="439"/>
        <w:gridCol w:w="1093"/>
        <w:gridCol w:w="575"/>
        <w:gridCol w:w="1183"/>
        <w:gridCol w:w="1183"/>
        <w:gridCol w:w="1320"/>
      </w:tblGrid>
      <w:tr>
        <w:trPr>
          <w:trHeight w:val="728" w:hRule="exact"/>
        </w:trPr>
        <w:tc>
          <w:tcPr>
            <w:tcW w:w="173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w:t>
            </w:r>
            <w:r>
              <w:rPr>
                <w:rFonts w:ascii="宋体" w:hAnsi="宋体" w:cs="宋体" w:eastAsia="宋体" w:hint="default"/>
                <w:sz w:val="18"/>
                <w:szCs w:val="18"/>
              </w:rPr>
              <w:t> 者投入资本</w:t>
            </w:r>
          </w:p>
        </w:tc>
        <w:tc>
          <w:tcPr>
            <w:tcW w:w="1182" w:type="dxa"/>
            <w:tcBorders>
              <w:top w:val="single" w:sz="15" w:space="0" w:color="000000"/>
              <w:left w:val="single" w:sz="4" w:space="0" w:color="000000"/>
              <w:bottom w:val="single" w:sz="4" w:space="0" w:color="000000"/>
              <w:right w:val="single" w:sz="4" w:space="0" w:color="000000"/>
            </w:tcBorders>
          </w:tcPr>
          <w:p>
            <w:pPr/>
          </w:p>
        </w:tc>
        <w:tc>
          <w:tcPr>
            <w:tcW w:w="373" w:type="dxa"/>
            <w:tcBorders>
              <w:top w:val="single" w:sz="15" w:space="0" w:color="000000"/>
              <w:left w:val="single" w:sz="4" w:space="0" w:color="000000"/>
              <w:bottom w:val="single" w:sz="4" w:space="0" w:color="000000"/>
              <w:right w:val="single" w:sz="4" w:space="0" w:color="000000"/>
            </w:tcBorders>
          </w:tcPr>
          <w:p>
            <w:pPr/>
          </w:p>
        </w:tc>
        <w:tc>
          <w:tcPr>
            <w:tcW w:w="373"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157,880,395.55</w:t>
            </w:r>
          </w:p>
        </w:tc>
        <w:tc>
          <w:tcPr>
            <w:tcW w:w="1183" w:type="dxa"/>
            <w:tcBorders>
              <w:top w:val="single" w:sz="15" w:space="0" w:color="000000"/>
              <w:left w:val="single" w:sz="4" w:space="0" w:color="000000"/>
              <w:bottom w:val="single" w:sz="4" w:space="0" w:color="000000"/>
              <w:right w:val="single" w:sz="4" w:space="0" w:color="000000"/>
            </w:tcBorders>
          </w:tcPr>
          <w:p>
            <w:pPr/>
          </w:p>
        </w:tc>
        <w:tc>
          <w:tcPr>
            <w:tcW w:w="1182" w:type="dxa"/>
            <w:tcBorders>
              <w:top w:val="single" w:sz="15" w:space="0" w:color="000000"/>
              <w:left w:val="single" w:sz="4" w:space="0" w:color="000000"/>
              <w:bottom w:val="single" w:sz="4" w:space="0" w:color="000000"/>
              <w:right w:val="single" w:sz="4" w:space="0" w:color="000000"/>
            </w:tcBorders>
          </w:tcPr>
          <w:p>
            <w:pPr/>
          </w:p>
        </w:tc>
        <w:tc>
          <w:tcPr>
            <w:tcW w:w="1007" w:type="dxa"/>
            <w:tcBorders>
              <w:top w:val="single" w:sz="15" w:space="0" w:color="000000"/>
              <w:left w:val="single" w:sz="4" w:space="0" w:color="000000"/>
              <w:bottom w:val="single" w:sz="4" w:space="0" w:color="000000"/>
              <w:right w:val="single" w:sz="4" w:space="0" w:color="000000"/>
            </w:tcBorders>
          </w:tcPr>
          <w:p>
            <w:pPr/>
          </w:p>
        </w:tc>
        <w:tc>
          <w:tcPr>
            <w:tcW w:w="439"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575"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157,880,395.55</w:t>
            </w: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w:t>
            </w:r>
            <w:r>
              <w:rPr>
                <w:rFonts w:ascii="宋体" w:hAnsi="宋体" w:cs="宋体" w:eastAsia="宋体" w:hint="default"/>
                <w:sz w:val="18"/>
                <w:szCs w:val="18"/>
              </w:rPr>
              <w:t> 者权益的金额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6,258,640.00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27,992,728.55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-39,478,356.00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73,729,724.55</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394,400.31</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-21,482,635.81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-22,588,235.50</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394,400.31</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-394,400.31</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653"/>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．对所有者（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的分配</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58.65pt;height:35.25pt;mso-position-horizontal-relative:char;mso-position-vertical-relative:line" coordorigin="0,0" coordsize="1173,705">
                  <v:group style="position:absolute;left:0;top:0;width:1173;height:705" coordorigin="0,0" coordsize="1173,705">
                    <v:shape style="position:absolute;left:0;top:0;width:1173;height:705" coordorigin="0,0" coordsize="1173,705" path="m0,0l0,704,1172,704,1172,0,0,0xe" filled="true" fillcolor="#ffffff" stroked="false">
                      <v:path arrowok="t"/>
                      <v:fill type="solid"/>
                    </v:shape>
                  </v:group>
                  <v:group style="position:absolute;left:23;top:156;width:1127;height:393" coordorigin="23,156" coordsize="1127,393">
                    <v:shape style="position:absolute;left:23;top:156;width:1127;height:393" coordorigin="23,156" coordsize="1127,393" path="m23,156l23,548,1150,548,1150,156,23,156xe" filled="true" fillcolor="#ffffff" stroked="false">
                      <v:path arrowok="t"/>
                      <v:fill type="solid"/>
                    </v:shape>
                  </v:group>
                </v:group>
              </w:pict>
            </w:r>
            <w:r>
              <w:rPr>
                <w:rFonts w:ascii="宋体" w:hAnsi="宋体" w:cs="宋体" w:eastAsia="宋体" w:hint="default"/>
                <w:position w:val="-13"/>
                <w:sz w:val="20"/>
                <w:szCs w:val="20"/>
              </w:rPr>
            </w: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-21,088,235.50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-22,588,235.50</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-9,375,888.74</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-5,686,507.56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-15,062,396.30</w:t>
            </w:r>
          </w:p>
        </w:tc>
      </w:tr>
      <w:tr>
        <w:trPr>
          <w:trHeight w:val="402" w:hRule="exact"/>
        </w:trPr>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850,060,820.00</w:t>
            </w:r>
          </w:p>
        </w:tc>
        <w:tc>
          <w:tcPr>
            <w:tcW w:w="373" w:type="dxa"/>
            <w:tcBorders>
              <w:top w:val="single" w:sz="4" w:space="0" w:color="000000"/>
              <w:left w:val="single" w:sz="4" w:space="0" w:color="000000"/>
              <w:bottom w:val="single" w:sz="4" w:space="0" w:color="000000"/>
              <w:right w:val="single" w:sz="4" w:space="0" w:color="000000"/>
            </w:tcBorders>
          </w:tcPr>
          <w:p>
            <w:pPr/>
          </w:p>
        </w:tc>
        <w:tc>
          <w:tcPr>
            <w:tcW w:w="37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157,880,395.55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414,192,440.81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82,184,050.00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127,013.92</w:t>
            </w:r>
          </w:p>
        </w:tc>
        <w:tc>
          <w:tcPr>
            <w:tcW w:w="43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50,011,591.46</w:t>
            </w:r>
          </w:p>
        </w:tc>
        <w:tc>
          <w:tcPr>
            <w:tcW w:w="57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844,446,707.36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204,606,263.44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2,439,141,182.54</w:t>
            </w: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20"/>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00"/>
        <w:gridCol w:w="1183"/>
        <w:gridCol w:w="426"/>
        <w:gridCol w:w="426"/>
        <w:gridCol w:w="331"/>
        <w:gridCol w:w="1243"/>
        <w:gridCol w:w="1183"/>
        <w:gridCol w:w="1009"/>
        <w:gridCol w:w="521"/>
        <w:gridCol w:w="1093"/>
        <w:gridCol w:w="709"/>
        <w:gridCol w:w="1186"/>
        <w:gridCol w:w="1183"/>
        <w:gridCol w:w="132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200" w:type="dxa"/>
            <w:vMerge/>
            <w:tcBorders>
              <w:left w:val="single" w:sz="4" w:space="0" w:color="000000"/>
              <w:right w:val="single" w:sz="4" w:space="0" w:color="000000"/>
            </w:tcBorders>
            <w:shd w:val="clear" w:color="auto" w:fill="D3D3D3"/>
          </w:tcPr>
          <w:p>
            <w:pPr/>
          </w:p>
        </w:tc>
        <w:tc>
          <w:tcPr>
            <w:tcW w:w="931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200" w:type="dxa"/>
            <w:vMerge/>
            <w:tcBorders>
              <w:left w:val="single" w:sz="4" w:space="0" w:color="000000"/>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09" w:right="4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3" w:type="dxa"/>
            <w:vMerge/>
            <w:tcBorders>
              <w:left w:val="single" w:sz="4" w:space="0" w:color="000000"/>
              <w:right w:val="single" w:sz="4" w:space="0" w:color="000000"/>
            </w:tcBorders>
            <w:shd w:val="clear" w:color="auto" w:fill="D3D3D3"/>
          </w:tcPr>
          <w:p>
            <w:pPr/>
          </w:p>
        </w:tc>
        <w:tc>
          <w:tcPr>
            <w:tcW w:w="1320" w:type="dxa"/>
            <w:vMerge/>
            <w:tcBorders>
              <w:left w:val="single" w:sz="4" w:space="0" w:color="000000"/>
              <w:right w:val="single" w:sz="4" w:space="0" w:color="000000"/>
            </w:tcBorders>
            <w:shd w:val="clear" w:color="auto" w:fill="D3D3D3"/>
          </w:tcPr>
          <w:p>
            <w:pPr/>
          </w:p>
        </w:tc>
      </w:tr>
      <w:tr>
        <w:trPr>
          <w:trHeight w:val="713" w:hRule="exact"/>
        </w:trPr>
        <w:tc>
          <w:tcPr>
            <w:tcW w:w="2200"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70"/>
              <w:jc w:val="left"/>
              <w:rPr>
                <w:rFonts w:ascii="宋体" w:hAnsi="宋体" w:cs="宋体" w:eastAsia="宋体" w:hint="default"/>
                <w:sz w:val="18"/>
                <w:szCs w:val="18"/>
              </w:rPr>
            </w:pPr>
            <w:r>
              <w:rPr>
                <w:rFonts w:ascii="宋体" w:hAnsi="宋体" w:cs="宋体" w:eastAsia="宋体" w:hint="default"/>
                <w:sz w:val="18"/>
                <w:szCs w:val="18"/>
              </w:rPr>
              <w:t>其 他</w:t>
            </w:r>
          </w:p>
        </w:tc>
        <w:tc>
          <w:tcPr>
            <w:tcW w:w="1243"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009" w:type="dxa"/>
            <w:vMerge/>
            <w:tcBorders>
              <w:left w:val="single" w:sz="4" w:space="0" w:color="000000"/>
              <w:bottom w:val="single" w:sz="4" w:space="0" w:color="000000"/>
              <w:right w:val="single" w:sz="4" w:space="0" w:color="000000"/>
            </w:tcBorders>
            <w:shd w:val="clear" w:color="auto" w:fill="D3D3D3"/>
          </w:tcPr>
          <w:p>
            <w:pPr/>
          </w:p>
        </w:tc>
        <w:tc>
          <w:tcPr>
            <w:tcW w:w="521"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186"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3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417,534,990.00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691,927,335.40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34,442,400.00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13,172.93</w:t>
            </w: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46,248,846.10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443,137,394.83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110,802,892.22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1,675,222,231.48</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6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6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4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417,534,990.00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691,927,335.40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34,442,400.00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13,172.93</w:t>
            </w: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46,248,846.10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443,137,394.83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110,802,892.22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1,675,222,231.48</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426,267,190.00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-296,351,734.40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87,220,006.00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354,471.95</w:t>
            </w: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3,368,345.05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190,167,927.02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50,635,481.05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287,221,674.67</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354,471.95</w:t>
            </w: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214,864,942.83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30,819,742.68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246,039,157.46</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8,782,600.00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121,132,855.60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87,220,006.00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1,744,918.13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44,440,367.73</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8,782,600.00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center"/>
              <w:rPr>
                <w:rFonts w:ascii="Times New Roman" w:hAnsi="Times New Roman" w:cs="Times New Roman" w:eastAsia="Times New Roman" w:hint="default"/>
                <w:sz w:val="18"/>
                <w:szCs w:val="18"/>
              </w:rPr>
            </w:pPr>
            <w:r>
              <w:rPr>
                <w:rFonts w:ascii="Times New Roman"/>
                <w:sz w:val="18"/>
              </w:rPr>
              <w:t>89,722,985.71</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1,744,918.13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100,250,503.84</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31,409,869.89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87,220,006.00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-55,810,136.11</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3,368,345.05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-24,242,574.55</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-20,874,229.50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00"/>
        <w:gridCol w:w="1183"/>
        <w:gridCol w:w="426"/>
        <w:gridCol w:w="426"/>
        <w:gridCol w:w="331"/>
        <w:gridCol w:w="1243"/>
        <w:gridCol w:w="1183"/>
        <w:gridCol w:w="1009"/>
        <w:gridCol w:w="521"/>
        <w:gridCol w:w="1093"/>
        <w:gridCol w:w="709"/>
        <w:gridCol w:w="1186"/>
        <w:gridCol w:w="1183"/>
        <w:gridCol w:w="1320"/>
      </w:tblGrid>
      <w:tr>
        <w:trPr>
          <w:trHeight w:val="416" w:hRule="exact"/>
        </w:trPr>
        <w:tc>
          <w:tcPr>
            <w:tcW w:w="220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331" w:type="dxa"/>
            <w:tcBorders>
              <w:top w:val="single" w:sz="15" w:space="0" w:color="000000"/>
              <w:left w:val="single" w:sz="4" w:space="0" w:color="000000"/>
              <w:bottom w:val="single" w:sz="4" w:space="0" w:color="000000"/>
              <w:right w:val="single" w:sz="4" w:space="0" w:color="000000"/>
            </w:tcBorders>
          </w:tcPr>
          <w:p>
            <w:pPr/>
          </w:p>
        </w:tc>
        <w:tc>
          <w:tcPr>
            <w:tcW w:w="1243"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009" w:type="dxa"/>
            <w:tcBorders>
              <w:top w:val="single" w:sz="15" w:space="0" w:color="000000"/>
              <w:left w:val="single" w:sz="4" w:space="0" w:color="000000"/>
              <w:bottom w:val="single" w:sz="4" w:space="0" w:color="000000"/>
              <w:right w:val="single" w:sz="4" w:space="0" w:color="000000"/>
            </w:tcBorders>
          </w:tcPr>
          <w:p>
            <w:pPr/>
          </w:p>
        </w:tc>
        <w:tc>
          <w:tcPr>
            <w:tcW w:w="521"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3,368,345.05</w:t>
            </w:r>
          </w:p>
        </w:tc>
        <w:tc>
          <w:tcPr>
            <w:tcW w:w="709" w:type="dxa"/>
            <w:tcBorders>
              <w:top w:val="single" w:sz="15" w:space="0" w:color="000000"/>
              <w:left w:val="single" w:sz="4" w:space="0" w:color="000000"/>
              <w:bottom w:val="single" w:sz="4" w:space="0" w:color="000000"/>
              <w:right w:val="single" w:sz="4" w:space="0" w:color="000000"/>
            </w:tcBorders>
          </w:tcPr>
          <w:p>
            <w:pPr/>
          </w:p>
        </w:tc>
        <w:tc>
          <w:tcPr>
            <w:tcW w:w="1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-3,368,345.05</w:t>
            </w:r>
          </w:p>
        </w:tc>
        <w:tc>
          <w:tcPr>
            <w:tcW w:w="1183"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-20,874,229.50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-20,874,229.50</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417,484,590.00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-417,484,590.00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417,484,590.00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-417,484,590.00</w:t>
            </w: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-454,441.26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18,070,820.24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17,616,378.98</w:t>
            </w: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843,802,180.00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395,575,601.00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121,662,406.00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367,644.88</w:t>
            </w:r>
          </w:p>
        </w:tc>
        <w:tc>
          <w:tcPr>
            <w:tcW w:w="52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49,617,191.15</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633,305,321.85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161,438,373.27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1,962,443,906.15</w:t>
            </w:r>
          </w:p>
        </w:tc>
      </w:tr>
    </w:tbl>
    <w:p>
      <w:pPr>
        <w:spacing w:line="240" w:lineRule="auto" w:before="2"/>
        <w:rPr>
          <w:rFonts w:ascii="宋体" w:hAnsi="宋体" w:cs="宋体" w:eastAsia="宋体" w:hint="default"/>
          <w:sz w:val="19"/>
          <w:szCs w:val="19"/>
        </w:rPr>
      </w:pPr>
    </w:p>
    <w:p>
      <w:pPr>
        <w:pStyle w:val="Heading6"/>
        <w:spacing w:line="240" w:lineRule="auto" w:before="35"/>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923"/>
        <w:gridCol w:w="1182"/>
        <w:gridCol w:w="514"/>
        <w:gridCol w:w="512"/>
        <w:gridCol w:w="1183"/>
        <w:gridCol w:w="1183"/>
        <w:gridCol w:w="1183"/>
        <w:gridCol w:w="1087"/>
        <w:gridCol w:w="649"/>
        <w:gridCol w:w="1093"/>
        <w:gridCol w:w="1183"/>
        <w:gridCol w:w="1320"/>
      </w:tblGrid>
      <w:tr>
        <w:trPr>
          <w:trHeight w:val="402" w:hRule="exact"/>
        </w:trPr>
        <w:tc>
          <w:tcPr>
            <w:tcW w:w="29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0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9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20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47" w:right="8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64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9" w:right="4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923"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087" w:type="dxa"/>
            <w:vMerge/>
            <w:tcBorders>
              <w:left w:val="single" w:sz="4" w:space="0" w:color="000000"/>
              <w:bottom w:val="single" w:sz="4" w:space="0" w:color="000000"/>
              <w:right w:val="single" w:sz="4" w:space="0" w:color="000000"/>
            </w:tcBorders>
            <w:shd w:val="clear" w:color="auto" w:fill="D3D3D3"/>
          </w:tcPr>
          <w:p>
            <w:pPr/>
          </w:p>
        </w:tc>
        <w:tc>
          <w:tcPr>
            <w:tcW w:w="649"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c>
          <w:tcPr>
            <w:tcW w:w="1320"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923"/>
        <w:gridCol w:w="1183"/>
        <w:gridCol w:w="514"/>
        <w:gridCol w:w="512"/>
        <w:gridCol w:w="1183"/>
        <w:gridCol w:w="1183"/>
        <w:gridCol w:w="1183"/>
        <w:gridCol w:w="1087"/>
        <w:gridCol w:w="649"/>
        <w:gridCol w:w="1093"/>
        <w:gridCol w:w="1183"/>
        <w:gridCol w:w="1320"/>
      </w:tblGrid>
      <w:tr>
        <w:trPr>
          <w:trHeight w:val="377" w:hRule="exact"/>
        </w:trPr>
        <w:tc>
          <w:tcPr>
            <w:tcW w:w="2923"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1183"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51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12"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1183"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1183"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1183"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1087"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649"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1093"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1183" w:type="dxa"/>
            <w:tcBorders>
              <w:top w:val="single" w:sz="15" w:space="0" w:color="000000"/>
              <w:left w:val="single" w:sz="4" w:space="0" w:color="000000"/>
              <w:bottom w:val="single" w:sz="4" w:space="0" w:color="000000"/>
              <w:right w:val="single" w:sz="4" w:space="0" w:color="000000"/>
            </w:tcBorders>
            <w:shd w:val="clear" w:color="auto" w:fill="D3D3D3"/>
          </w:tcPr>
          <w:p>
            <w:pPr/>
          </w:p>
        </w:tc>
        <w:tc>
          <w:tcPr>
            <w:tcW w:w="1320" w:type="dxa"/>
            <w:tcBorders>
              <w:top w:val="single" w:sz="15"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843,802,180.00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404,753,813.34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121,662,406.00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169,449.82</w:t>
            </w: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368,650,187.70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1,545,330,416.01</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843,802,180.00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404,753,813.34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121,662,406.00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169,449.82</w:t>
            </w: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368,650,187.70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1,545,330,416.01</w:t>
            </w:r>
          </w:p>
        </w:tc>
      </w:tr>
      <w:tr>
        <w:trPr>
          <w:trHeight w:val="714"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1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6,258,640.00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157,880,395.55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27,992,728.55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-39,478,356.00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-239,390.67</w:t>
            </w: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394,400.31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-17,538,632.70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214,226,497.04</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-239,390.67</w:t>
            </w: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3,944,003.11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3,704,612.44</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6,258,640.00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157,880,395.55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27,992,728.55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-39,478,356.00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231,610,120.10</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157,880,395.55</w:t>
            </w: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157,880,395.55</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6,258,640.00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27,992,728.55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-39,478,356.00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73,729,724.55</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394,400.31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-21,482,635.81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-21,088,235.50</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394,400.31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-394,400.31</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-21,088,235.50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-21,088,235.50</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08.730194pt;margin-top:351.720001pt;width:91.7pt;height:19.6pt;mso-position-horizontal-relative:page;mso-position-vertical-relative:page;z-index:-109098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2923"/>
        <w:gridCol w:w="1183"/>
        <w:gridCol w:w="514"/>
        <w:gridCol w:w="512"/>
        <w:gridCol w:w="1183"/>
        <w:gridCol w:w="1183"/>
        <w:gridCol w:w="1183"/>
        <w:gridCol w:w="1087"/>
        <w:gridCol w:w="649"/>
        <w:gridCol w:w="1093"/>
        <w:gridCol w:w="1183"/>
        <w:gridCol w:w="1320"/>
      </w:tblGrid>
      <w:tr>
        <w:trPr>
          <w:trHeight w:val="416" w:hRule="exact"/>
        </w:trPr>
        <w:tc>
          <w:tcPr>
            <w:tcW w:w="2923"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3" w:type="dxa"/>
            <w:tcBorders>
              <w:top w:val="single" w:sz="15" w:space="0" w:color="000000"/>
              <w:left w:val="single" w:sz="4" w:space="0" w:color="000000"/>
              <w:bottom w:val="single" w:sz="4" w:space="0" w:color="000000"/>
              <w:right w:val="single" w:sz="4" w:space="0" w:color="000000"/>
            </w:tcBorders>
          </w:tcPr>
          <w:p>
            <w:pPr/>
          </w:p>
        </w:tc>
        <w:tc>
          <w:tcPr>
            <w:tcW w:w="514" w:type="dxa"/>
            <w:tcBorders>
              <w:top w:val="single" w:sz="15" w:space="0" w:color="000000"/>
              <w:left w:val="single" w:sz="4" w:space="0" w:color="000000"/>
              <w:bottom w:val="single" w:sz="4" w:space="0" w:color="000000"/>
              <w:right w:val="single" w:sz="4" w:space="0" w:color="000000"/>
            </w:tcBorders>
          </w:tcPr>
          <w:p>
            <w:pPr/>
          </w:p>
        </w:tc>
        <w:tc>
          <w:tcPr>
            <w:tcW w:w="512"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087" w:type="dxa"/>
            <w:tcBorders>
              <w:top w:val="single" w:sz="15" w:space="0" w:color="000000"/>
              <w:left w:val="single" w:sz="4" w:space="0" w:color="000000"/>
              <w:bottom w:val="single" w:sz="4" w:space="0" w:color="000000"/>
              <w:right w:val="single" w:sz="4" w:space="0" w:color="000000"/>
            </w:tcBorders>
          </w:tcPr>
          <w:p>
            <w:pPr/>
          </w:p>
        </w:tc>
        <w:tc>
          <w:tcPr>
            <w:tcW w:w="649" w:type="dxa"/>
            <w:tcBorders>
              <w:top w:val="single" w:sz="15" w:space="0" w:color="000000"/>
              <w:left w:val="single" w:sz="4" w:space="0" w:color="000000"/>
              <w:bottom w:val="single" w:sz="4" w:space="0" w:color="000000"/>
              <w:right w:val="single" w:sz="4" w:space="0" w:color="000000"/>
            </w:tcBorders>
          </w:tcPr>
          <w:p>
            <w:pPr/>
          </w:p>
        </w:tc>
        <w:tc>
          <w:tcPr>
            <w:tcW w:w="1093" w:type="dxa"/>
            <w:tcBorders>
              <w:top w:val="single" w:sz="15" w:space="0" w:color="000000"/>
              <w:left w:val="single" w:sz="4" w:space="0" w:color="000000"/>
              <w:bottom w:val="single" w:sz="4" w:space="0" w:color="000000"/>
              <w:right w:val="single" w:sz="4" w:space="0" w:color="000000"/>
            </w:tcBorders>
          </w:tcPr>
          <w:p>
            <w:pPr/>
          </w:p>
        </w:tc>
        <w:tc>
          <w:tcPr>
            <w:tcW w:w="1183"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850,060,820.00</w:t>
            </w: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157,880,395.55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432,746,541.89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82,184,050.00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-69,940.85</w:t>
            </w:r>
          </w:p>
        </w:tc>
        <w:tc>
          <w:tcPr>
            <w:tcW w:w="64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50,011,591.46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351,111,555.00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1,759,556,913.05</w:t>
            </w: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23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421"/>
        <w:gridCol w:w="1181"/>
        <w:gridCol w:w="571"/>
        <w:gridCol w:w="570"/>
        <w:gridCol w:w="403"/>
        <w:gridCol w:w="1242"/>
        <w:gridCol w:w="1181"/>
        <w:gridCol w:w="1118"/>
        <w:gridCol w:w="737"/>
        <w:gridCol w:w="1091"/>
        <w:gridCol w:w="1182"/>
        <w:gridCol w:w="1316"/>
      </w:tblGrid>
      <w:tr>
        <w:trPr>
          <w:trHeight w:val="402" w:hRule="exact"/>
        </w:trPr>
        <w:tc>
          <w:tcPr>
            <w:tcW w:w="3421" w:type="dxa"/>
            <w:vMerge w:val="restart"/>
            <w:tcBorders>
              <w:top w:val="single" w:sz="4" w:space="0" w:color="000000"/>
              <w:left w:val="single" w:sz="4" w:space="0" w:color="000000"/>
              <w:right w:val="single" w:sz="4" w:space="0" w:color="000000"/>
            </w:tcBorders>
            <w:shd w:val="clear" w:color="auto" w:fill="D3D3D3"/>
          </w:tcPr>
          <w:p>
            <w:pPr/>
          </w:p>
        </w:tc>
        <w:tc>
          <w:tcPr>
            <w:tcW w:w="1059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1" w:hRule="exact"/>
        </w:trPr>
        <w:tc>
          <w:tcPr>
            <w:tcW w:w="342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4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64" w:right="102"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1" w:hRule="exact"/>
        </w:trPr>
        <w:tc>
          <w:tcPr>
            <w:tcW w:w="34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3D3D3"/>
          </w:tcPr>
          <w:p>
            <w:pPr/>
          </w:p>
        </w:tc>
        <w:tc>
          <w:tcPr>
            <w:tcW w:w="1544" w:type="dxa"/>
            <w:gridSpan w:val="3"/>
            <w:vMerge/>
            <w:tcBorders>
              <w:left w:val="single" w:sz="4" w:space="0" w:color="000000"/>
              <w:bottom w:val="single" w:sz="4" w:space="0" w:color="000000"/>
              <w:right w:val="single" w:sz="4" w:space="0" w:color="000000"/>
            </w:tcBorders>
            <w:shd w:val="clear" w:color="auto" w:fill="D3D3D3"/>
          </w:tcPr>
          <w:p>
            <w:pPr/>
          </w:p>
        </w:tc>
        <w:tc>
          <w:tcPr>
            <w:tcW w:w="1242"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118"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right w:val="single" w:sz="4" w:space="0" w:color="000000"/>
            </w:tcBorders>
            <w:shd w:val="clear" w:color="auto" w:fill="D3D3D3"/>
          </w:tcPr>
          <w:p>
            <w:pPr/>
          </w:p>
        </w:tc>
        <w:tc>
          <w:tcPr>
            <w:tcW w:w="1182"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151" w:hRule="exact"/>
        </w:trPr>
        <w:tc>
          <w:tcPr>
            <w:tcW w:w="342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5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89" w:right="10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89"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6" w:right="104"/>
              <w:jc w:val="left"/>
              <w:rPr>
                <w:rFonts w:ascii="宋体" w:hAnsi="宋体" w:cs="宋体" w:eastAsia="宋体" w:hint="default"/>
                <w:sz w:val="18"/>
                <w:szCs w:val="18"/>
              </w:rPr>
            </w:pPr>
            <w:r>
              <w:rPr>
                <w:rFonts w:ascii="宋体" w:hAnsi="宋体" w:cs="宋体" w:eastAsia="宋体" w:hint="default"/>
                <w:sz w:val="18"/>
                <w:szCs w:val="18"/>
              </w:rPr>
              <w:t>其 他</w:t>
            </w:r>
          </w:p>
        </w:tc>
        <w:tc>
          <w:tcPr>
            <w:tcW w:w="1242"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c>
          <w:tcPr>
            <w:tcW w:w="1118"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right w:val="single" w:sz="4" w:space="0" w:color="000000"/>
            </w:tcBorders>
            <w:shd w:val="clear" w:color="auto" w:fill="D3D3D3"/>
          </w:tcPr>
          <w:p>
            <w:pPr/>
          </w:p>
        </w:tc>
        <w:tc>
          <w:tcPr>
            <w:tcW w:w="1182"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right w:val="single" w:sz="4" w:space="0" w:color="000000"/>
            </w:tcBorders>
            <w:shd w:val="clear" w:color="auto" w:fill="D3D3D3"/>
          </w:tcPr>
          <w:p>
            <w:pPr/>
          </w:p>
        </w:tc>
      </w:tr>
      <w:tr>
        <w:trPr>
          <w:trHeight w:val="563" w:hRule="exact"/>
        </w:trPr>
        <w:tc>
          <w:tcPr>
            <w:tcW w:w="34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571" w:type="dxa"/>
            <w:vMerge/>
            <w:tcBorders>
              <w:left w:val="single" w:sz="4" w:space="0" w:color="000000"/>
              <w:bottom w:val="single" w:sz="4" w:space="0" w:color="000000"/>
              <w:right w:val="single" w:sz="4" w:space="0" w:color="000000"/>
            </w:tcBorders>
            <w:shd w:val="clear" w:color="auto" w:fill="D3D3D3"/>
          </w:tcPr>
          <w:p>
            <w:pPr/>
          </w:p>
        </w:tc>
        <w:tc>
          <w:tcPr>
            <w:tcW w:w="570" w:type="dxa"/>
            <w:vMerge/>
            <w:tcBorders>
              <w:left w:val="single" w:sz="4" w:space="0" w:color="000000"/>
              <w:bottom w:val="single" w:sz="4" w:space="0" w:color="000000"/>
              <w:right w:val="single" w:sz="4" w:space="0" w:color="000000"/>
            </w:tcBorders>
            <w:shd w:val="clear" w:color="auto" w:fill="D3D3D3"/>
          </w:tcPr>
          <w:p>
            <w:pPr/>
          </w:p>
        </w:tc>
        <w:tc>
          <w:tcPr>
            <w:tcW w:w="403" w:type="dxa"/>
            <w:vMerge/>
            <w:tcBorders>
              <w:left w:val="single" w:sz="4" w:space="0" w:color="000000"/>
              <w:bottom w:val="single" w:sz="4" w:space="0" w:color="000000"/>
              <w:right w:val="single" w:sz="4" w:space="0" w:color="000000"/>
            </w:tcBorders>
            <w:shd w:val="clear" w:color="auto" w:fill="D3D3D3"/>
          </w:tcPr>
          <w:p>
            <w:pPr/>
          </w:p>
        </w:tc>
        <w:tc>
          <w:tcPr>
            <w:tcW w:w="1242"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18" w:type="dxa"/>
            <w:vMerge/>
            <w:tcBorders>
              <w:left w:val="single" w:sz="4" w:space="0" w:color="000000"/>
              <w:bottom w:val="single" w:sz="4" w:space="0" w:color="000000"/>
              <w:right w:val="single" w:sz="4" w:space="0" w:color="000000"/>
            </w:tcBorders>
            <w:shd w:val="clear" w:color="auto" w:fill="D3D3D3"/>
          </w:tcPr>
          <w:p>
            <w:pPr/>
          </w:p>
        </w:tc>
        <w:tc>
          <w:tcPr>
            <w:tcW w:w="737" w:type="dxa"/>
            <w:vMerge/>
            <w:tcBorders>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417,534,990.00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697,047,387.45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34,442,400.00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46,248,846.10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359,209,311.72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1,485,598,135.27</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417,534,990.00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697,047,387.45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34,442,400.00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46,248,846.10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359,209,311.72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1,485,598,135.27</w:t>
            </w:r>
          </w:p>
        </w:tc>
      </w:tr>
      <w:tr>
        <w:trPr>
          <w:trHeight w:val="402" w:hRule="exact"/>
        </w:trPr>
        <w:tc>
          <w:tcPr>
            <w:tcW w:w="3421"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三、本期增减变动金额（减少以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8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426,267,190.00</w:t>
            </w:r>
          </w:p>
        </w:tc>
        <w:tc>
          <w:tcPr>
            <w:tcW w:w="571" w:type="dxa"/>
            <w:tcBorders>
              <w:top w:val="single" w:sz="4" w:space="0" w:color="000000"/>
              <w:left w:val="single" w:sz="13" w:space="0" w:color="FFFFFF"/>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-292,293,574.11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87,220,006.00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169,449.82</w:t>
            </w: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3,368,345.05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9,440,875.98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59,732,280.74</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169,449.82</w:t>
            </w: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33,683,450.53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33,852,900.35</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8,782,600.00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125,191,015.89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87,220,006.00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46,753,609.89</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8,782,600.00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93,781,146.00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102,563,746.00</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31,409,869.89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87,220,006.00</w:t>
            </w: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-55,810,136.11</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3,368,345.05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-24,242,574.55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-20,874,229.50</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3,368,345.05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-3,368,345.05</w:t>
            </w: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421"/>
        <w:gridCol w:w="1181"/>
        <w:gridCol w:w="571"/>
        <w:gridCol w:w="570"/>
        <w:gridCol w:w="403"/>
        <w:gridCol w:w="1242"/>
        <w:gridCol w:w="1181"/>
        <w:gridCol w:w="1118"/>
        <w:gridCol w:w="737"/>
        <w:gridCol w:w="1091"/>
        <w:gridCol w:w="1182"/>
        <w:gridCol w:w="1316"/>
      </w:tblGrid>
      <w:tr>
        <w:trPr>
          <w:trHeight w:val="416" w:hRule="exact"/>
        </w:trPr>
        <w:tc>
          <w:tcPr>
            <w:tcW w:w="3421"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71" w:type="dxa"/>
            <w:tcBorders>
              <w:top w:val="single" w:sz="15" w:space="0" w:color="000000"/>
              <w:left w:val="single" w:sz="4" w:space="0" w:color="000000"/>
              <w:bottom w:val="single" w:sz="4" w:space="0" w:color="000000"/>
              <w:right w:val="single" w:sz="4" w:space="0" w:color="000000"/>
            </w:tcBorders>
          </w:tcPr>
          <w:p>
            <w:pPr/>
          </w:p>
        </w:tc>
        <w:tc>
          <w:tcPr>
            <w:tcW w:w="570" w:type="dxa"/>
            <w:tcBorders>
              <w:top w:val="single" w:sz="15" w:space="0" w:color="000000"/>
              <w:left w:val="single" w:sz="4" w:space="0" w:color="000000"/>
              <w:bottom w:val="single" w:sz="4" w:space="0" w:color="000000"/>
              <w:right w:val="single" w:sz="4" w:space="0" w:color="000000"/>
            </w:tcBorders>
          </w:tcPr>
          <w:p>
            <w:pPr/>
          </w:p>
        </w:tc>
        <w:tc>
          <w:tcPr>
            <w:tcW w:w="403"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18" w:type="dxa"/>
            <w:tcBorders>
              <w:top w:val="single" w:sz="15" w:space="0" w:color="000000"/>
              <w:left w:val="single" w:sz="4" w:space="0" w:color="000000"/>
              <w:bottom w:val="single" w:sz="4" w:space="0" w:color="000000"/>
              <w:right w:val="single" w:sz="4" w:space="0" w:color="000000"/>
            </w:tcBorders>
          </w:tcPr>
          <w:p>
            <w:pPr/>
          </w:p>
        </w:tc>
        <w:tc>
          <w:tcPr>
            <w:tcW w:w="73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-20,874,229.50</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-20,874,229.50</w:t>
            </w: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417,484,590.00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-417,484,590.00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417,484,590.00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-417,484,590.00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843,802,180.00</w:t>
            </w:r>
          </w:p>
        </w:tc>
        <w:tc>
          <w:tcPr>
            <w:tcW w:w="571"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404,753,813.34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121,662,406.00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169,449.82</w:t>
            </w:r>
          </w:p>
        </w:tc>
        <w:tc>
          <w:tcPr>
            <w:tcW w:w="73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49,617,191.15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368,650,187.70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1,545,330,416.01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30"/>
          <w:szCs w:val="30"/>
        </w:rPr>
      </w:pPr>
    </w:p>
    <w:p>
      <w:pPr>
        <w:spacing w:line="386" w:lineRule="auto" w:before="0"/>
        <w:ind w:left="574" w:right="158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、注册地及总部地址</w:t>
      </w:r>
      <w:r>
        <w:rPr>
          <w:rFonts w:ascii="宋体" w:hAnsi="宋体" w:cs="宋体" w:eastAsia="宋体" w:hint="default"/>
          <w:b/>
          <w:bCs/>
          <w:spacing w:val="1"/>
          <w:w w:val="99"/>
          <w:sz w:val="21"/>
          <w:szCs w:val="21"/>
        </w:rPr>
        <w:t> </w:t>
      </w:r>
      <w:r>
        <w:rPr>
          <w:rFonts w:ascii="宋体" w:hAnsi="宋体" w:cs="宋体" w:eastAsia="宋体" w:hint="default"/>
          <w:sz w:val="21"/>
          <w:szCs w:val="21"/>
        </w:rPr>
        <w:t>公司注册地址为北京市朝阳区朝阳公园路</w:t>
      </w:r>
      <w:r>
        <w:rPr>
          <w:rFonts w:ascii="Times New Roman" w:hAnsi="Times New Roman" w:cs="Times New Roman" w:eastAsia="Times New Roman" w:hint="default"/>
          <w:sz w:val="21"/>
          <w:szCs w:val="21"/>
        </w:rPr>
        <w:t>8</w:t>
      </w:r>
      <w:r>
        <w:rPr>
          <w:rFonts w:ascii="宋体" w:hAnsi="宋体" w:cs="宋体" w:eastAsia="宋体" w:hint="default"/>
          <w:sz w:val="21"/>
          <w:szCs w:val="21"/>
        </w:rPr>
        <w:t>号西</w:t>
      </w:r>
      <w:r>
        <w:rPr>
          <w:rFonts w:ascii="Times New Roman" w:hAnsi="Times New Roman" w:cs="Times New Roman" w:eastAsia="Times New Roman" w:hint="default"/>
          <w:sz w:val="21"/>
          <w:szCs w:val="21"/>
        </w:rPr>
        <w:t>2</w:t>
      </w:r>
      <w:r>
        <w:rPr>
          <w:rFonts w:ascii="宋体" w:hAnsi="宋体" w:cs="宋体" w:eastAsia="宋体" w:hint="default"/>
          <w:sz w:val="21"/>
          <w:szCs w:val="21"/>
        </w:rPr>
        <w:t>门</w:t>
      </w:r>
      <w:r>
        <w:rPr>
          <w:rFonts w:ascii="Times New Roman" w:hAnsi="Times New Roman" w:cs="Times New Roman" w:eastAsia="Times New Roman" w:hint="default"/>
          <w:sz w:val="21"/>
          <w:szCs w:val="21"/>
        </w:rPr>
        <w:t>01</w:t>
      </w:r>
      <w:r>
        <w:rPr>
          <w:rFonts w:ascii="宋体" w:hAnsi="宋体" w:cs="宋体" w:eastAsia="宋体" w:hint="default"/>
          <w:sz w:val="21"/>
          <w:szCs w:val="21"/>
        </w:rPr>
        <w:t>号，总部地址与注册地址一致。</w:t>
      </w:r>
    </w:p>
    <w:p>
      <w:pPr>
        <w:spacing w:line="386" w:lineRule="auto" w:before="35"/>
        <w:ind w:left="578" w:right="150"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、业务性质及主要经营活动</w:t>
      </w:r>
      <w:r>
        <w:rPr>
          <w:rFonts w:ascii="宋体" w:hAnsi="宋体" w:cs="宋体" w:eastAsia="宋体" w:hint="default"/>
          <w:b/>
          <w:bCs/>
          <w:w w:val="99"/>
          <w:sz w:val="21"/>
          <w:szCs w:val="21"/>
        </w:rPr>
        <w:t> </w:t>
      </w:r>
      <w:r>
        <w:rPr>
          <w:rFonts w:ascii="宋体" w:hAnsi="宋体" w:cs="宋体" w:eastAsia="宋体" w:hint="default"/>
          <w:spacing w:val="-1"/>
          <w:sz w:val="21"/>
          <w:szCs w:val="21"/>
        </w:rPr>
        <w:t>公司属于旅游服务行业，主要经营出境游批发、出境游零售及整合营销服务。经营范围为：入境旅游</w:t>
      </w:r>
    </w:p>
    <w:p>
      <w:pPr>
        <w:pStyle w:val="BodyText"/>
        <w:spacing w:line="405" w:lineRule="auto" w:before="65"/>
        <w:ind w:right="146"/>
        <w:jc w:val="both"/>
      </w:pPr>
      <w:r>
        <w:rPr>
          <w:spacing w:val="-1"/>
        </w:rPr>
        <w:t>业务；国内旅游业务；出境旅游业务；保险兼业代理；因特网信息服务业务（除新闻、出版、教育、医疗</w:t>
      </w:r>
      <w:r>
        <w:rPr>
          <w:spacing w:val="-85"/>
        </w:rPr>
        <w:t> </w:t>
      </w:r>
      <w:r>
        <w:rPr>
          <w:spacing w:val="-85"/>
        </w:rPr>
      </w:r>
      <w:r>
        <w:rPr>
          <w:spacing w:val="-1"/>
        </w:rPr>
        <w:t>保健、药品、医疗器械以外的内容）；图书、报纸、期刊、电子出版物、音像制品零售、网上销售（出版</w:t>
      </w:r>
      <w:r>
        <w:rPr>
          <w:spacing w:val="-88"/>
        </w:rPr>
        <w:t> </w:t>
      </w:r>
      <w:r>
        <w:rPr>
          <w:spacing w:val="-88"/>
        </w:rPr>
      </w:r>
      <w:r>
        <w:rPr/>
        <w:t>物经营许可证有效期至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日）；民用航空运输销售代理；承办展览展示活动；会议服务；销售</w:t>
      </w:r>
      <w:r>
        <w:rPr>
          <w:spacing w:val="-36"/>
        </w:rPr>
        <w:t> </w:t>
      </w:r>
      <w:r>
        <w:rPr>
          <w:spacing w:val="-36"/>
        </w:rPr>
      </w:r>
      <w:r>
        <w:rPr>
          <w:spacing w:val="-6"/>
        </w:rPr>
        <w:t>纺织品、服装、日用品、文化用品、体育用品及器材、家用电器、电子产品、五金、家具、室内装饰材料；</w:t>
      </w:r>
      <w:r>
        <w:rPr>
          <w:spacing w:val="-66"/>
        </w:rPr>
        <w:t> </w:t>
      </w:r>
      <w:r>
        <w:rPr>
          <w:spacing w:val="-66"/>
        </w:rPr>
      </w:r>
      <w:r>
        <w:rPr>
          <w:spacing w:val="-1"/>
        </w:rPr>
        <w:t>组织文化艺术交流（演出除外）；企业营销及形象策划；公关活动策划；技术开发；软件开发；电脑图文</w:t>
      </w:r>
      <w:r>
        <w:rPr>
          <w:spacing w:val="-85"/>
        </w:rPr>
        <w:t> </w:t>
      </w:r>
      <w:r>
        <w:rPr>
          <w:spacing w:val="-85"/>
        </w:rPr>
      </w:r>
      <w:r>
        <w:rPr>
          <w:spacing w:val="-1"/>
        </w:rPr>
        <w:t>设计、制作；设计、制作、代理、发布广告；翻译服务；摄影扩印服务；汽车租赁；计算机及通讯设备租</w:t>
      </w:r>
      <w:r>
        <w:rPr>
          <w:spacing w:val="-86"/>
        </w:rPr>
        <w:t> </w:t>
      </w:r>
      <w:r>
        <w:rPr>
          <w:spacing w:val="-86"/>
        </w:rPr>
      </w:r>
      <w:r>
        <w:rPr/>
        <w:t>赁；投资咨询；房地产信息咨询（房地产经纪除外）；经济贸易咨询。</w:t>
      </w:r>
    </w:p>
    <w:p>
      <w:pPr>
        <w:pStyle w:val="BodyText"/>
        <w:spacing w:line="386" w:lineRule="auto" w:before="48"/>
        <w:ind w:left="574" w:right="215" w:hanging="421"/>
        <w:jc w:val="left"/>
      </w:pPr>
      <w:r>
        <w:rPr>
          <w:rFonts w:ascii="Times New Roman" w:hAnsi="Times New Roman" w:cs="Times New Roman" w:eastAsia="Times New Roman" w:hint="default"/>
          <w:b/>
          <w:bCs/>
        </w:rPr>
        <w:t>3</w:t>
      </w:r>
      <w:r>
        <w:rPr>
          <w:rFonts w:ascii="宋体" w:hAnsi="宋体" w:cs="宋体" w:eastAsia="宋体" w:hint="default"/>
          <w:b/>
          <w:bCs/>
        </w:rPr>
        <w:t>、财务报告批准报出日</w:t>
      </w:r>
      <w:r>
        <w:rPr>
          <w:rFonts w:ascii="宋体" w:hAnsi="宋体" w:cs="宋体" w:eastAsia="宋体" w:hint="default"/>
          <w:b/>
          <w:bCs/>
          <w:w w:val="99"/>
        </w:rPr>
        <w:t> </w:t>
      </w:r>
      <w:r>
        <w:rPr/>
        <w:t>公司</w:t>
      </w:r>
      <w:r>
        <w:rPr>
          <w:rFonts w:ascii="Times New Roman" w:hAnsi="Times New Roman" w:cs="Times New Roman" w:eastAsia="Times New Roman" w:hint="default"/>
        </w:rPr>
        <w:t>2017</w:t>
      </w:r>
      <w:r>
        <w:rPr/>
        <w:t>年度财务报告经第三届董事会第七十三次会议审议通过，并于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日批准报出。 报告期公司非同一控制下企业合并下属公司</w:t>
      </w:r>
      <w:r>
        <w:rPr>
          <w:rFonts w:ascii="Times New Roman" w:hAnsi="Times New Roman" w:cs="Times New Roman" w:eastAsia="Times New Roman" w:hint="default"/>
        </w:rPr>
        <w:t>6</w:t>
      </w:r>
      <w:r>
        <w:rPr/>
        <w:t>家，新设子公司</w:t>
      </w:r>
      <w:r>
        <w:rPr>
          <w:rFonts w:ascii="Times New Roman" w:hAnsi="Times New Roman" w:cs="Times New Roman" w:eastAsia="Times New Roman" w:hint="default"/>
        </w:rPr>
        <w:t>1</w:t>
      </w:r>
      <w:r>
        <w:rPr/>
        <w:t>家，注销子公司</w:t>
      </w:r>
      <w:r>
        <w:rPr>
          <w:rFonts w:ascii="Times New Roman" w:hAnsi="Times New Roman" w:cs="Times New Roman" w:eastAsia="Times New Roman" w:hint="default"/>
        </w:rPr>
        <w:t>1</w:t>
      </w:r>
      <w:r>
        <w:rPr/>
        <w:t>家，详见本附注八、</w:t>
      </w:r>
    </w:p>
    <w:p>
      <w:pPr>
        <w:spacing w:line="386" w:lineRule="auto" w:before="35"/>
        <w:ind w:left="154" w:right="4660" w:firstLine="0"/>
        <w:jc w:val="left"/>
        <w:rPr>
          <w:rFonts w:ascii="宋体" w:hAnsi="宋体" w:cs="宋体" w:eastAsia="宋体" w:hint="default"/>
          <w:sz w:val="21"/>
          <w:szCs w:val="21"/>
        </w:rPr>
      </w:pPr>
      <w:r>
        <w:rPr>
          <w:rFonts w:ascii="宋体" w:hAnsi="宋体" w:cs="宋体" w:eastAsia="宋体" w:hint="default"/>
          <w:sz w:val="21"/>
          <w:szCs w:val="21"/>
        </w:rPr>
        <w:t>合并范围的变更</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本附注九、在其他主体中的权益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r>
        <w:rPr>
          <w:rFonts w:ascii="宋体" w:hAnsi="宋体" w:cs="宋体" w:eastAsia="宋体" w:hint="default"/>
          <w:b/>
          <w:bCs/>
          <w:sz w:val="21"/>
          <w:szCs w:val="21"/>
        </w:rPr>
        <w:t>四、财务报表的编制基础</w:t>
      </w:r>
      <w:r>
        <w:rPr>
          <w:rFonts w:ascii="宋体" w:hAnsi="宋体" w:cs="宋体" w:eastAsia="宋体" w:hint="default"/>
          <w:sz w:val="21"/>
          <w:szCs w:val="21"/>
        </w:rPr>
      </w:r>
    </w:p>
    <w:p>
      <w:pPr>
        <w:pStyle w:val="Heading6"/>
        <w:spacing w:line="240" w:lineRule="auto" w:before="65"/>
        <w:ind w:right="0"/>
        <w:jc w:val="left"/>
        <w:rPr>
          <w:b w:val="0"/>
          <w:bCs w:val="0"/>
        </w:rPr>
      </w:pPr>
      <w:r>
        <w:rPr>
          <w:rFonts w:ascii="Times New Roman" w:hAnsi="Times New Roman" w:cs="Times New Roman" w:eastAsia="Times New Roman" w:hint="default"/>
        </w:rPr>
        <w:t>1</w:t>
      </w:r>
      <w:r>
        <w:rPr/>
        <w:t>、编制基础</w:t>
      </w:r>
      <w:r>
        <w:rPr>
          <w:b w:val="0"/>
          <w:bCs w:val="0"/>
        </w:rPr>
      </w:r>
    </w:p>
    <w:p>
      <w:pPr>
        <w:pStyle w:val="BodyText"/>
        <w:spacing w:line="386" w:lineRule="auto" w:before="177"/>
        <w:ind w:right="149" w:firstLine="420"/>
        <w:jc w:val="both"/>
      </w:pPr>
      <w:r>
        <w:rPr>
          <w:spacing w:val="-1"/>
        </w:rPr>
        <w:t>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基本准</w:t>
      </w:r>
      <w:r>
        <w:rPr/>
        <w:t> 则》和各项具体会计准则、企业会计准则应用指南、企业会计准则解释及其他相关规定</w:t>
      </w:r>
      <w:r>
        <w:rPr>
          <w:rFonts w:ascii="Times New Roman" w:hAnsi="Times New Roman" w:cs="Times New Roman" w:eastAsia="Times New Roman" w:hint="default"/>
        </w:rPr>
        <w:t>(</w:t>
      </w:r>
      <w:r>
        <w:rPr/>
        <w:t>下合称</w:t>
      </w:r>
      <w:r>
        <w:rPr>
          <w:rFonts w:ascii="Times New Roman" w:hAnsi="Times New Roman" w:cs="Times New Roman" w:eastAsia="Times New Roman" w:hint="default"/>
        </w:rPr>
        <w:t>“</w:t>
      </w:r>
      <w:r>
        <w:rPr/>
        <w:t>企业会计 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 般规定》</w:t>
      </w:r>
      <w:r>
        <w:rPr>
          <w:spacing w:val="-24"/>
        </w:rPr>
        <w:t> </w:t>
      </w:r>
      <w:r>
        <w:rPr/>
        <w:t>（</w:t>
      </w:r>
      <w:r>
        <w:rPr>
          <w:rFonts w:ascii="Times New Roman" w:hAnsi="Times New Roman" w:cs="Times New Roman" w:eastAsia="Times New Roman" w:hint="default"/>
        </w:rPr>
        <w:t>2014</w:t>
      </w:r>
      <w:r>
        <w:rPr/>
        <w:t>年修订）的披露规定编制财务报表。</w:t>
      </w:r>
    </w:p>
    <w:p>
      <w:pPr>
        <w:pStyle w:val="Heading6"/>
        <w:spacing w:line="240" w:lineRule="auto" w:before="35"/>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386" w:lineRule="auto" w:before="177"/>
        <w:ind w:left="154" w:right="1580" w:firstLine="420"/>
        <w:jc w:val="left"/>
        <w:rPr>
          <w:rFonts w:ascii="宋体" w:hAnsi="宋体" w:cs="宋体" w:eastAsia="宋体" w:hint="default"/>
          <w:sz w:val="21"/>
          <w:szCs w:val="21"/>
        </w:rPr>
      </w:pPr>
      <w:r>
        <w:rPr>
          <w:rFonts w:ascii="宋体" w:hAnsi="宋体" w:cs="宋体" w:eastAsia="宋体" w:hint="default"/>
          <w:sz w:val="21"/>
          <w:szCs w:val="21"/>
        </w:rPr>
        <w:t>公司自本报告期末至少</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个月具备持续经营能力，无影响持续经营能力的重大事项。 </w:t>
      </w:r>
      <w:r>
        <w:rPr>
          <w:rFonts w:ascii="宋体" w:hAnsi="宋体" w:cs="宋体" w:eastAsia="宋体" w:hint="default"/>
          <w:b/>
          <w:bCs/>
          <w:sz w:val="21"/>
          <w:szCs w:val="21"/>
        </w:rPr>
        <w:t>五、重要会计政策及会计估计</w:t>
      </w:r>
      <w:r>
        <w:rPr>
          <w:rFonts w:ascii="宋体" w:hAnsi="宋体" w:cs="宋体" w:eastAsia="宋体" w:hint="default"/>
          <w:sz w:val="21"/>
          <w:szCs w:val="21"/>
        </w:rPr>
      </w:r>
    </w:p>
    <w:p>
      <w:pPr>
        <w:pStyle w:val="BodyText"/>
        <w:spacing w:line="408" w:lineRule="auto" w:before="65"/>
        <w:ind w:right="6200"/>
        <w:jc w:val="left"/>
      </w:pPr>
      <w:r>
        <w:rPr/>
        <w:t>公司是否需要遵守特殊行业的披露要求 否</w:t>
      </w:r>
    </w:p>
    <w:p>
      <w:pPr>
        <w:pStyle w:val="BodyText"/>
        <w:spacing w:line="408" w:lineRule="auto"/>
        <w:ind w:left="574" w:right="0" w:hanging="420"/>
        <w:jc w:val="left"/>
      </w:pPr>
      <w:r>
        <w:rPr/>
        <w:t>具体会计政策和会计估计提示： </w:t>
      </w:r>
      <w:r>
        <w:rPr>
          <w:spacing w:val="-1"/>
        </w:rPr>
        <w:t>本公司及各子公司主从事旅游服务业务。本公司及各子公司根据实际生产经营特点，依据相关企业会</w:t>
      </w:r>
    </w:p>
    <w:p>
      <w:pPr>
        <w:spacing w:after="0" w:line="408" w:lineRule="auto"/>
        <w:jc w:val="left"/>
        <w:sectPr>
          <w:headerReference w:type="default" r:id="rId24"/>
          <w:footerReference w:type="default" r:id="rId25"/>
          <w:pgSz w:w="11910" w:h="16840"/>
          <w:pgMar w:header="877" w:footer="982" w:top="1100" w:bottom="1180" w:left="980" w:right="980"/>
          <w:pgNumType w:start="122"/>
        </w:sectPr>
      </w:pPr>
    </w:p>
    <w:p>
      <w:pPr>
        <w:spacing w:line="240" w:lineRule="auto" w:before="8"/>
        <w:rPr>
          <w:rFonts w:ascii="宋体" w:hAnsi="宋体" w:cs="宋体" w:eastAsia="宋体" w:hint="default"/>
          <w:sz w:val="26"/>
          <w:szCs w:val="26"/>
        </w:rPr>
      </w:pPr>
    </w:p>
    <w:p>
      <w:pPr>
        <w:pStyle w:val="BodyText"/>
        <w:spacing w:line="386" w:lineRule="auto" w:before="35"/>
        <w:ind w:left="153" w:right="228"/>
        <w:jc w:val="left"/>
      </w:pPr>
      <w:r>
        <w:rPr/>
        <w:t>计准则的规定，对收入确认等交易和事项制定了若干项具体会计政策和会计估计，详见本附注五、</w:t>
      </w:r>
      <w:r>
        <w:rPr>
          <w:rFonts w:ascii="Times New Roman" w:hAnsi="Times New Roman" w:cs="Times New Roman" w:eastAsia="Times New Roman" w:hint="default"/>
        </w:rPr>
        <w:t>25“</w:t>
      </w:r>
      <w:r>
        <w:rPr/>
        <w:t>收 入</w:t>
      </w:r>
      <w:r>
        <w:rPr>
          <w:rFonts w:ascii="Times New Roman" w:hAnsi="Times New Roman" w:cs="Times New Roman" w:eastAsia="Times New Roman" w:hint="default"/>
        </w:rPr>
        <w:t>”</w:t>
      </w:r>
      <w:r>
        <w:rPr/>
        <w:t>各项描述。</w:t>
      </w:r>
    </w:p>
    <w:p>
      <w:pPr>
        <w:spacing w:line="386" w:lineRule="auto" w:before="35"/>
        <w:ind w:left="884" w:right="220" w:hanging="73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本公司声明编制的财务报表符合《企业会计准则》的要求，真实、完整地反映了本公司的财务状</w:t>
      </w:r>
    </w:p>
    <w:p>
      <w:pPr>
        <w:pStyle w:val="BodyText"/>
        <w:spacing w:line="240" w:lineRule="auto" w:before="65"/>
        <w:ind w:left="572" w:right="0"/>
        <w:jc w:val="left"/>
      </w:pPr>
      <w:r>
        <w:rPr/>
        <w:t>况、经营成果和现金流量等财务信息。</w:t>
      </w:r>
    </w:p>
    <w:p>
      <w:pPr>
        <w:spacing w:line="240" w:lineRule="auto" w:before="10"/>
        <w:rPr>
          <w:rFonts w:ascii="宋体" w:hAnsi="宋体" w:cs="宋体" w:eastAsia="宋体" w:hint="default"/>
          <w:sz w:val="14"/>
          <w:szCs w:val="14"/>
        </w:rPr>
      </w:pPr>
    </w:p>
    <w:p>
      <w:pPr>
        <w:pStyle w:val="Heading6"/>
        <w:spacing w:line="240" w:lineRule="auto"/>
        <w:ind w:left="153" w:right="0"/>
        <w:jc w:val="both"/>
        <w:rPr>
          <w:b w:val="0"/>
          <w:bCs w:val="0"/>
        </w:rPr>
      </w:pPr>
      <w:r>
        <w:rPr>
          <w:rFonts w:ascii="Times New Roman" w:hAnsi="Times New Roman" w:cs="Times New Roman" w:eastAsia="Times New Roman" w:hint="default"/>
        </w:rPr>
        <w:t>2</w:t>
      </w:r>
      <w:r>
        <w:rPr/>
        <w:t>、会计期间</w:t>
      </w:r>
      <w:r>
        <w:rPr>
          <w:b w:val="0"/>
          <w:bCs w:val="0"/>
        </w:rPr>
      </w:r>
    </w:p>
    <w:p>
      <w:pPr>
        <w:pStyle w:val="BodyText"/>
        <w:spacing w:line="240" w:lineRule="auto" w:before="177"/>
        <w:ind w:left="633" w:right="0"/>
        <w:jc w:val="left"/>
      </w:pPr>
      <w:r>
        <w:rPr/>
        <w:t>本公司采用公历制，自每年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Heading6"/>
        <w:spacing w:line="240" w:lineRule="auto" w:before="177"/>
        <w:ind w:right="0"/>
        <w:jc w:val="both"/>
        <w:rPr>
          <w:b w:val="0"/>
          <w:bCs w:val="0"/>
        </w:rPr>
      </w:pPr>
      <w:r>
        <w:rPr>
          <w:rFonts w:ascii="Times New Roman" w:hAnsi="Times New Roman" w:cs="Times New Roman" w:eastAsia="Times New Roman" w:hint="default"/>
        </w:rPr>
        <w:t>3</w:t>
      </w:r>
      <w:r>
        <w:rPr/>
        <w:t>、营业周期</w:t>
      </w:r>
      <w:r>
        <w:rPr>
          <w:b w:val="0"/>
          <w:bCs w:val="0"/>
        </w:rPr>
      </w:r>
    </w:p>
    <w:p>
      <w:pPr>
        <w:pStyle w:val="BodyText"/>
        <w:spacing w:line="240" w:lineRule="auto" w:before="177"/>
        <w:ind w:left="634" w:right="0"/>
        <w:jc w:val="left"/>
      </w:pPr>
      <w:r>
        <w:rPr/>
        <w:t>本公司营业周期</w:t>
      </w:r>
      <w:r>
        <w:rPr>
          <w:rFonts w:ascii="Times New Roman" w:hAnsi="Times New Roman" w:cs="Times New Roman" w:eastAsia="Times New Roman" w:hint="default"/>
        </w:rPr>
        <w:t>12</w:t>
      </w:r>
      <w:r>
        <w:rPr/>
        <w:t>个月。</w:t>
      </w:r>
    </w:p>
    <w:p>
      <w:pPr>
        <w:pStyle w:val="Heading6"/>
        <w:spacing w:line="240" w:lineRule="auto" w:before="177"/>
        <w:ind w:right="0"/>
        <w:jc w:val="both"/>
        <w:rPr>
          <w:b w:val="0"/>
          <w:bCs w:val="0"/>
        </w:rPr>
      </w:pPr>
      <w:r>
        <w:rPr>
          <w:rFonts w:ascii="Times New Roman" w:hAnsi="Times New Roman" w:cs="Times New Roman" w:eastAsia="Times New Roman" w:hint="default"/>
        </w:rPr>
        <w:t>4</w:t>
      </w:r>
      <w:r>
        <w:rPr/>
        <w:t>、记账本位币</w:t>
      </w:r>
      <w:r>
        <w:rPr>
          <w:b w:val="0"/>
          <w:bCs w:val="0"/>
        </w:rPr>
      </w:r>
    </w:p>
    <w:p>
      <w:pPr>
        <w:pStyle w:val="BodyText"/>
        <w:spacing w:line="393" w:lineRule="auto" w:before="177"/>
        <w:ind w:right="149" w:firstLine="424"/>
        <w:jc w:val="both"/>
      </w:pPr>
      <w:r>
        <w:rPr>
          <w:spacing w:val="-1"/>
        </w:rPr>
        <w:t>人民币为本公司及境内子公司经营所处的主要经济环境中的货币，本公司及境内子公司以人民币为记</w:t>
      </w:r>
      <w:r>
        <w:rPr/>
        <w:t> 账本位币。本公司之境外子公司</w:t>
      </w:r>
      <w:r>
        <w:rPr>
          <w:rFonts w:ascii="Times New Roman" w:hAnsi="Times New Roman" w:cs="Times New Roman" w:eastAsia="Times New Roman" w:hint="default"/>
        </w:rPr>
        <w:t>Kai Yuan Information &amp; Business GmbH</w:t>
      </w:r>
      <w:r>
        <w:rPr/>
        <w:t>、 </w:t>
      </w:r>
      <w:r>
        <w:rPr>
          <w:rFonts w:ascii="Times New Roman" w:hAnsi="Times New Roman" w:cs="Times New Roman" w:eastAsia="Times New Roman" w:hint="default"/>
        </w:rPr>
        <w:t>Activo Travel</w:t>
      </w:r>
      <w:r>
        <w:rPr>
          <w:rFonts w:ascii="Times New Roman" w:hAnsi="Times New Roman" w:cs="Times New Roman" w:eastAsia="Times New Roman" w:hint="default"/>
          <w:spacing w:val="14"/>
        </w:rPr>
        <w:t> </w:t>
      </w:r>
      <w:r>
        <w:rPr>
          <w:rFonts w:ascii="Times New Roman" w:hAnsi="Times New Roman" w:cs="Times New Roman" w:eastAsia="Times New Roman" w:hint="default"/>
        </w:rPr>
        <w:t>GmbH</w:t>
      </w:r>
      <w:r>
        <w:rPr/>
        <w:t>、株式会社 </w:t>
      </w:r>
      <w:r>
        <w:rPr>
          <w:rFonts w:ascii="Times New Roman" w:hAnsi="Times New Roman" w:cs="Times New Roman" w:eastAsia="Times New Roman" w:hint="default"/>
          <w:spacing w:val="-1"/>
        </w:rPr>
        <w:t>RCC</w:t>
      </w:r>
      <w:r>
        <w:rPr>
          <w:spacing w:val="-1"/>
        </w:rPr>
        <w:t>、株式会社三利，根据其经营所处的主要经济环境中的货币确定欧元、日元为其记账本位币。本公司</w:t>
      </w:r>
      <w:r>
        <w:rPr>
          <w:spacing w:val="-82"/>
        </w:rPr>
        <w:t> </w:t>
      </w:r>
      <w:r>
        <w:rPr>
          <w:spacing w:val="-82"/>
        </w:rPr>
      </w:r>
      <w:r>
        <w:rPr/>
        <w:t>编制本财务报表时所采用的货币为人民币。</w:t>
      </w:r>
    </w:p>
    <w:p>
      <w:pPr>
        <w:pStyle w:val="Heading6"/>
        <w:spacing w:line="240" w:lineRule="auto" w:before="59"/>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386" w:lineRule="auto" w:before="177"/>
        <w:ind w:left="634" w:right="138" w:hanging="1"/>
        <w:jc w:val="left"/>
      </w:pPr>
      <w:r>
        <w:rPr/>
        <w:t>（</w:t>
      </w:r>
      <w:r>
        <w:rPr>
          <w:rFonts w:ascii="Times New Roman" w:hAnsi="Times New Roman" w:cs="Times New Roman" w:eastAsia="Times New Roman" w:hint="default"/>
        </w:rPr>
        <w:t>1</w:t>
      </w:r>
      <w:r>
        <w:rPr/>
        <w:t>）同一控制下企业合并 </w:t>
      </w:r>
      <w:r>
        <w:rPr>
          <w:spacing w:val="-2"/>
        </w:rPr>
        <w:t>同一控制下的企业合并，合并方在企业合并中取得的资产和负债，按照合并日在被合并方的账面价值</w:t>
      </w:r>
    </w:p>
    <w:p>
      <w:pPr>
        <w:pStyle w:val="BodyText"/>
        <w:spacing w:line="408" w:lineRule="auto" w:before="65"/>
        <w:ind w:right="149"/>
        <w:jc w:val="both"/>
      </w:pPr>
      <w:r>
        <w:rPr>
          <w:spacing w:val="-1"/>
        </w:rPr>
        <w:t>计量。合并方取得的净资产账面价值与支付的合并对价账面价值（或发行股份面值总额）的差额，调整资</w:t>
      </w:r>
      <w:r>
        <w:rPr>
          <w:spacing w:val="-82"/>
        </w:rPr>
        <w:t> </w:t>
      </w:r>
      <w:r>
        <w:rPr>
          <w:spacing w:val="-82"/>
        </w:rPr>
      </w:r>
      <w:r>
        <w:rPr>
          <w:spacing w:val="-1"/>
        </w:rPr>
        <w:t>本公积；资本公积不足冲减的，调整留存收益。合并方为进行企业合并发生的各项直接相关费用，包括为</w:t>
      </w:r>
      <w:r>
        <w:rPr>
          <w:spacing w:val="-82"/>
        </w:rPr>
        <w:t> </w:t>
      </w:r>
      <w:r>
        <w:rPr>
          <w:spacing w:val="-82"/>
        </w:rPr>
      </w:r>
      <w:r>
        <w:rPr>
          <w:spacing w:val="-1"/>
        </w:rPr>
        <w:t>进行企业合并而支付的审计费用、评估费用、法律服务费用等，于发生时计入当期损益。合并形成母子公</w:t>
      </w:r>
      <w:r>
        <w:rPr>
          <w:spacing w:val="-82"/>
        </w:rPr>
        <w:t> </w:t>
      </w:r>
      <w:r>
        <w:rPr>
          <w:spacing w:val="-82"/>
        </w:rPr>
      </w:r>
      <w:r>
        <w:rPr>
          <w:spacing w:val="-1"/>
        </w:rPr>
        <w:t>司关系的，母公司编制合并日的合并资产负债表、合并利润表和合并现金流量表。合并资产负债表中被合</w:t>
      </w:r>
      <w:r>
        <w:rPr>
          <w:spacing w:val="-83"/>
        </w:rPr>
        <w:t> </w:t>
      </w:r>
      <w:r>
        <w:rPr>
          <w:spacing w:val="-83"/>
        </w:rPr>
      </w:r>
      <w:r>
        <w:rPr>
          <w:spacing w:val="-1"/>
        </w:rPr>
        <w:t>并方的各项资产、负债，按其账面价值计量。合并利润表包括参与合并各方自合并当期期初至合并日所发</w:t>
      </w:r>
      <w:r>
        <w:rPr>
          <w:spacing w:val="-83"/>
        </w:rPr>
        <w:t> </w:t>
      </w:r>
      <w:r>
        <w:rPr>
          <w:spacing w:val="-83"/>
        </w:rPr>
      </w:r>
      <w:r>
        <w:rPr>
          <w:spacing w:val="-1"/>
        </w:rPr>
        <w:t>生的收入、费用和利润。被合并方在合并前实现的净利润，在合并利润表中单列项目反映。合并现金流量</w:t>
      </w:r>
      <w:r>
        <w:rPr>
          <w:spacing w:val="-82"/>
        </w:rPr>
        <w:t> </w:t>
      </w:r>
      <w:r>
        <w:rPr>
          <w:spacing w:val="-82"/>
        </w:rPr>
      </w:r>
      <w:r>
        <w:rPr/>
        <w:t>表包括参与合并各方自合并当期期初至合并日的现金流量。</w:t>
      </w:r>
    </w:p>
    <w:p>
      <w:pPr>
        <w:pStyle w:val="BodyText"/>
        <w:spacing w:line="408" w:lineRule="auto"/>
        <w:ind w:right="149" w:firstLine="480"/>
        <w:jc w:val="both"/>
      </w:pPr>
      <w:r>
        <w:rPr>
          <w:spacing w:val="-2"/>
        </w:rPr>
        <w:t>通过多次交易分步实现同一控制下企业合并的，在母公司财务报表中，以合并日持股比例计算的合并</w:t>
      </w:r>
      <w:r>
        <w:rPr/>
        <w:t> </w:t>
      </w:r>
      <w:r>
        <w:rPr>
          <w:spacing w:val="-1"/>
        </w:rPr>
        <w:t>日应享有被合并方账面所有者权益份额作为该项投资的初始投资成本，初始投资成本与其原长期股权投资</w:t>
      </w:r>
      <w:r>
        <w:rPr>
          <w:spacing w:val="-81"/>
        </w:rPr>
        <w:t> </w:t>
      </w:r>
      <w:r>
        <w:rPr>
          <w:spacing w:val="-81"/>
        </w:rPr>
      </w:r>
      <w:r>
        <w:rPr>
          <w:spacing w:val="-1"/>
        </w:rPr>
        <w:t>账面价值加上合并日取得进一步股份新支付对价的账面价值之和的差额，调整资本公积（股本溢价），资</w:t>
      </w:r>
      <w:r>
        <w:rPr>
          <w:spacing w:val="-82"/>
        </w:rPr>
        <w:t> </w:t>
      </w:r>
      <w:r>
        <w:rPr>
          <w:spacing w:val="-82"/>
        </w:rPr>
      </w:r>
      <w:r>
        <w:rPr>
          <w:spacing w:val="-1"/>
        </w:rPr>
        <w:t>本公积不足冲减的，冲减留存收益。在合并财务报表中，对于合并日之前取得的对被合并方的股权以及合</w:t>
      </w:r>
      <w:r>
        <w:rPr>
          <w:spacing w:val="-83"/>
        </w:rPr>
        <w:t> </w:t>
      </w:r>
      <w:r>
        <w:rPr>
          <w:spacing w:val="-83"/>
        </w:rPr>
      </w:r>
      <w:r>
        <w:rPr>
          <w:spacing w:val="-1"/>
        </w:rPr>
        <w:t>并日新取得的对被合并方的股权，按照其在合并日应享有被合并方账面所有者权益份额作为合并日初始投</w:t>
      </w:r>
      <w:r>
        <w:rPr>
          <w:spacing w:val="-81"/>
        </w:rPr>
        <w:t> </w:t>
      </w:r>
      <w:r>
        <w:rPr>
          <w:spacing w:val="-81"/>
        </w:rPr>
      </w:r>
      <w:r>
        <w:rPr>
          <w:spacing w:val="-1"/>
        </w:rPr>
        <w:t>资成本，合并日初始投资成本与其原长期股权投资账面价值加上合并日取得进一步股份新支付对价的账面</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102"/>
        <w:jc w:val="left"/>
      </w:pPr>
      <w:r>
        <w:rPr/>
        <w:t>价值之和的差额，调整资本公积（股本溢价），资本公积不足冲减的，冲减留存收益。</w:t>
      </w:r>
    </w:p>
    <w:p>
      <w:pPr>
        <w:spacing w:line="240" w:lineRule="auto" w:before="10"/>
        <w:rPr>
          <w:rFonts w:ascii="宋体" w:hAnsi="宋体" w:cs="宋体" w:eastAsia="宋体" w:hint="default"/>
          <w:sz w:val="14"/>
          <w:szCs w:val="14"/>
        </w:rPr>
      </w:pPr>
    </w:p>
    <w:p>
      <w:pPr>
        <w:pStyle w:val="BodyText"/>
        <w:spacing w:line="386" w:lineRule="auto" w:before="0"/>
        <w:ind w:left="634" w:right="198" w:hanging="1"/>
        <w:jc w:val="left"/>
      </w:pPr>
      <w:r>
        <w:rPr/>
        <w:t>（</w:t>
      </w:r>
      <w:r>
        <w:rPr>
          <w:rFonts w:ascii="Times New Roman" w:hAnsi="Times New Roman" w:cs="Times New Roman" w:eastAsia="Times New Roman" w:hint="default"/>
        </w:rPr>
        <w:t>2</w:t>
      </w:r>
      <w:r>
        <w:rPr/>
        <w:t>）非同一控制下企业合并 </w:t>
      </w:r>
      <w:r>
        <w:rPr>
          <w:spacing w:val="-2"/>
        </w:rPr>
        <w:t>非同一控制下的企业合并，合并成本为购买方在购买日为取得对被购买方的控制权而付出的资产、发</w:t>
      </w:r>
    </w:p>
    <w:p>
      <w:pPr>
        <w:pStyle w:val="BodyText"/>
        <w:spacing w:line="408" w:lineRule="auto" w:before="65"/>
        <w:ind w:right="102"/>
        <w:jc w:val="left"/>
      </w:pPr>
      <w:r>
        <w:rPr/>
        <w:t>生或承担的负债以及发行的权益性证券的公允价值；如果是通过多次交换交易分步实现的企业合并，合并 成本为每一单项交易成本之和；购买方为企业合并发生的审计、法律服务、评估咨询等中介费用以及其他 相关费用，应于发生时计入当期损益；在合并合同或协议中对可能影响合并成本的未来事项作出约定的，</w:t>
      </w:r>
      <w:r>
        <w:rPr>
          <w:spacing w:val="-36"/>
        </w:rPr>
        <w:t> </w:t>
      </w:r>
      <w:r>
        <w:rPr>
          <w:spacing w:val="-36"/>
        </w:rPr>
      </w:r>
      <w:r>
        <w:rPr/>
        <w:t>如果在购买日估计未来事项很可能发生并且对合并成本的影响金额能够可靠计量的，购买方应当将其计入</w:t>
      </w:r>
      <w:r>
        <w:rPr/>
        <w:t> 合并成本。</w:t>
      </w:r>
    </w:p>
    <w:p>
      <w:pPr>
        <w:pStyle w:val="BodyText"/>
        <w:spacing w:line="408" w:lineRule="auto"/>
        <w:ind w:right="209" w:firstLine="480"/>
        <w:jc w:val="both"/>
      </w:pPr>
      <w:r>
        <w:rPr>
          <w:spacing w:val="-2"/>
        </w:rPr>
        <w:t>非同一控制下企业合并中所取得的被购买方符合确认条件的可辨认资产、负债及或有负债，在购买日</w:t>
      </w:r>
      <w:r>
        <w:rPr/>
        <w:t> </w:t>
      </w:r>
      <w:r>
        <w:rPr>
          <w:spacing w:val="-1"/>
        </w:rPr>
        <w:t>以公允价值计量。购买方对合并成本大于合并中取得的被购买方可辨认净资产公允价值份额的差额，确认</w:t>
      </w:r>
      <w:r>
        <w:rPr>
          <w:spacing w:val="-81"/>
        </w:rPr>
        <w:t> </w:t>
      </w:r>
      <w:r>
        <w:rPr>
          <w:spacing w:val="-81"/>
        </w:rPr>
      </w:r>
      <w:r>
        <w:rPr>
          <w:spacing w:val="-1"/>
        </w:rPr>
        <w:t>为商誉。购买方对合并成本小于合并中取得的被购买方可辨认净资产公允价值份额的，经复核后合并成本</w:t>
      </w:r>
      <w:r>
        <w:rPr>
          <w:spacing w:val="-81"/>
        </w:rPr>
        <w:t> </w:t>
      </w:r>
      <w:r>
        <w:rPr>
          <w:spacing w:val="-81"/>
        </w:rPr>
      </w:r>
      <w:r>
        <w:rPr>
          <w:spacing w:val="-1"/>
        </w:rPr>
        <w:t>仍小于合并中取得的被购买方可辨认净资产公允价值份额的差额，计入当期损益。通过多次交易分步实现</w:t>
      </w:r>
      <w:r>
        <w:rPr>
          <w:spacing w:val="-81"/>
        </w:rPr>
        <w:t> </w:t>
      </w:r>
      <w:r>
        <w:rPr>
          <w:spacing w:val="-81"/>
        </w:rPr>
      </w:r>
      <w:r>
        <w:rPr>
          <w:spacing w:val="-1"/>
        </w:rPr>
        <w:t>非同一控制下企业合并的，在母公司财务报表中，以购买日之前所持被购买方的股权投资的账面价值与购</w:t>
      </w:r>
      <w:r>
        <w:rPr>
          <w:spacing w:val="-81"/>
        </w:rPr>
        <w:t> </w:t>
      </w:r>
      <w:r>
        <w:rPr>
          <w:spacing w:val="-81"/>
        </w:rPr>
      </w:r>
      <w:r>
        <w:rPr>
          <w:spacing w:val="-1"/>
        </w:rPr>
        <w:t>买日新增投资成本之和，作为该项投资的初始投资成本；购买日之前持有的被购买方的股权涉及其他综合</w:t>
      </w:r>
      <w:r>
        <w:rPr>
          <w:spacing w:val="-81"/>
        </w:rPr>
        <w:t> </w:t>
      </w:r>
      <w:r>
        <w:rPr>
          <w:spacing w:val="-81"/>
        </w:rPr>
      </w:r>
      <w:r>
        <w:rPr>
          <w:spacing w:val="-1"/>
        </w:rPr>
        <w:t>收益的，应当在处置该项投资时将与其相关的其他综合收益转入当期投资收益。在合并财务报表中，对于</w:t>
      </w:r>
      <w:r>
        <w:rPr>
          <w:spacing w:val="-83"/>
        </w:rPr>
        <w:t> </w:t>
      </w:r>
      <w:r>
        <w:rPr>
          <w:spacing w:val="-83"/>
        </w:rPr>
      </w:r>
      <w:r>
        <w:rPr>
          <w:spacing w:val="-1"/>
        </w:rPr>
        <w:t>购买日之前持有的被购买方的股权，按照该股权在购买日的公允价值进行重新计量，公允价值与其账面价</w:t>
      </w:r>
      <w:r>
        <w:rPr>
          <w:spacing w:val="-81"/>
        </w:rPr>
        <w:t> </w:t>
      </w:r>
      <w:r>
        <w:rPr>
          <w:spacing w:val="-81"/>
        </w:rPr>
      </w:r>
      <w:r>
        <w:rPr>
          <w:spacing w:val="-1"/>
        </w:rPr>
        <w:t>值的差额计入当期投资收益；购买日之前持有的被购买方的股权涉及其他综合收益的，与其相关的其他综</w:t>
      </w:r>
      <w:r>
        <w:rPr>
          <w:spacing w:val="-81"/>
        </w:rPr>
        <w:t> </w:t>
      </w:r>
      <w:r>
        <w:rPr>
          <w:spacing w:val="-81"/>
        </w:rPr>
      </w:r>
      <w:r>
        <w:rPr>
          <w:spacing w:val="-1"/>
        </w:rPr>
        <w:t>合收益应当转为购买日所属当期投资收益；以购买日之前所持被购买方的股权于购买日的公允价值与与购</w:t>
      </w:r>
      <w:r>
        <w:rPr>
          <w:spacing w:val="-81"/>
        </w:rPr>
        <w:t> </w:t>
      </w:r>
      <w:r>
        <w:rPr>
          <w:spacing w:val="-81"/>
        </w:rPr>
      </w:r>
      <w:r>
        <w:rPr>
          <w:spacing w:val="-1"/>
        </w:rPr>
        <w:t>买日新购入股权所支付对价的公允价值之和作为合并成本，与购买方取得的按购买日持股比例计算应享有</w:t>
      </w:r>
      <w:r>
        <w:rPr>
          <w:spacing w:val="-81"/>
        </w:rPr>
        <w:t> </w:t>
      </w:r>
      <w:r>
        <w:rPr>
          <w:spacing w:val="-81"/>
        </w:rPr>
      </w:r>
      <w:r>
        <w:rPr>
          <w:spacing w:val="-1"/>
        </w:rPr>
        <w:t>的被购买方可辨认净资产于购买日的公允价值的份额比较，确定购买日应予确认的商誉或应计入合并当期</w:t>
      </w:r>
      <w:r>
        <w:rPr>
          <w:spacing w:val="-81"/>
        </w:rPr>
        <w:t> </w:t>
      </w:r>
      <w:r>
        <w:rPr>
          <w:spacing w:val="-81"/>
        </w:rPr>
      </w:r>
      <w:r>
        <w:rPr/>
        <w:t>损益的金额。</w:t>
      </w:r>
    </w:p>
    <w:p>
      <w:pPr>
        <w:pStyle w:val="Heading6"/>
        <w:spacing w:line="240" w:lineRule="auto" w:before="46"/>
        <w:ind w:right="6771"/>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386" w:lineRule="auto" w:before="177"/>
        <w:ind w:left="634" w:right="198" w:hanging="1"/>
        <w:jc w:val="left"/>
      </w:pPr>
      <w:r>
        <w:rPr/>
        <w:t>（</w:t>
      </w: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w:t>
      </w:r>
    </w:p>
    <w:p>
      <w:pPr>
        <w:pStyle w:val="BodyText"/>
        <w:spacing w:line="240" w:lineRule="auto" w:before="65"/>
        <w:ind w:right="102"/>
        <w:jc w:val="left"/>
      </w:pPr>
      <w:r>
        <w:rPr/>
        <w:t>割的部分）均纳入合并财务报表。</w:t>
      </w:r>
    </w:p>
    <w:p>
      <w:pPr>
        <w:spacing w:line="240" w:lineRule="auto" w:before="10"/>
        <w:rPr>
          <w:rFonts w:ascii="宋体" w:hAnsi="宋体" w:cs="宋体" w:eastAsia="宋体" w:hint="default"/>
          <w:sz w:val="14"/>
          <w:szCs w:val="14"/>
        </w:rPr>
      </w:pPr>
    </w:p>
    <w:p>
      <w:pPr>
        <w:pStyle w:val="BodyText"/>
        <w:spacing w:line="386" w:lineRule="auto" w:before="0"/>
        <w:ind w:left="634" w:right="198" w:hanging="1"/>
        <w:jc w:val="left"/>
      </w:pPr>
      <w:r>
        <w:rPr/>
        <w:t>（</w:t>
      </w: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w:t>
      </w:r>
    </w:p>
    <w:p>
      <w:pPr>
        <w:pStyle w:val="BodyText"/>
        <w:spacing w:line="408" w:lineRule="auto" w:before="65"/>
        <w:ind w:right="102"/>
        <w:jc w:val="left"/>
      </w:pP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240" w:lineRule="auto"/>
        <w:ind w:left="634" w:right="88"/>
        <w:jc w:val="left"/>
      </w:pPr>
      <w:r>
        <w:rPr/>
        <w:t>所有纳入合并财务报表合并范围的子公司所采用的会计政策、会计期间与本公司一致，如子公司采用</w:t>
      </w:r>
    </w:p>
    <w:p>
      <w:pPr>
        <w:spacing w:after="0" w:line="240" w:lineRule="auto"/>
        <w:jc w:val="left"/>
        <w:sectPr>
          <w:footerReference w:type="default" r:id="rId26"/>
          <w:pgSz w:w="11910" w:h="16840"/>
          <w:pgMar w:footer="982" w:header="877" w:top="1100" w:bottom="1180" w:left="980" w:right="920"/>
          <w:pgNumType w:start="124"/>
        </w:sectPr>
      </w:pPr>
    </w:p>
    <w:p>
      <w:pPr>
        <w:spacing w:line="240" w:lineRule="auto" w:before="8"/>
        <w:rPr>
          <w:rFonts w:ascii="宋体" w:hAnsi="宋体" w:cs="宋体" w:eastAsia="宋体" w:hint="default"/>
          <w:sz w:val="26"/>
          <w:szCs w:val="26"/>
        </w:rPr>
      </w:pPr>
    </w:p>
    <w:p>
      <w:pPr>
        <w:pStyle w:val="BodyText"/>
        <w:spacing w:line="408" w:lineRule="auto" w:before="35"/>
        <w:ind w:right="151"/>
        <w:jc w:val="both"/>
      </w:pP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408" w:lineRule="auto"/>
        <w:ind w:left="153" w:right="151" w:firstLine="480"/>
        <w:jc w:val="both"/>
      </w:pPr>
      <w:r>
        <w:rPr>
          <w:spacing w:val="-2"/>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408" w:lineRule="auto"/>
        <w:ind w:left="633" w:right="139"/>
        <w:jc w:val="left"/>
      </w:pPr>
      <w:r>
        <w:rPr/>
        <w:t>①</w:t>
      </w:r>
      <w:r>
        <w:rPr>
          <w:spacing w:val="-21"/>
        </w:rPr>
        <w:t> </w:t>
      </w:r>
      <w:r>
        <w:rPr/>
        <w:t>增加子公司或业务</w:t>
      </w:r>
      <w:r>
        <w:rPr/>
        <w:t> </w:t>
      </w:r>
      <w:r>
        <w:rPr>
          <w:spacing w:val="-2"/>
        </w:rPr>
        <w:t>在报告期内，若因同一控制下企业合并增加子公司或业务的，则调整合并资产负债表的期初数；将子</w:t>
      </w:r>
    </w:p>
    <w:p>
      <w:pPr>
        <w:pStyle w:val="BodyText"/>
        <w:spacing w:line="408" w:lineRule="auto"/>
        <w:ind w:left="153" w:right="15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left="153" w:right="151" w:firstLine="480"/>
        <w:jc w:val="both"/>
      </w:pPr>
      <w:r>
        <w:rPr>
          <w:spacing w:val="-2"/>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ind w:left="153" w:right="150" w:firstLine="480"/>
        <w:jc w:val="both"/>
      </w:pPr>
      <w:r>
        <w:rPr>
          <w:spacing w:val="-2"/>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left="153" w:right="151" w:firstLine="480"/>
        <w:jc w:val="both"/>
      </w:pPr>
      <w:r>
        <w:rPr>
          <w:spacing w:val="-2"/>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633" w:right="0"/>
        <w:jc w:val="left"/>
      </w:pPr>
      <w:r>
        <w:rPr/>
        <w:t>②</w:t>
      </w:r>
      <w:r>
        <w:rPr>
          <w:spacing w:val="-21"/>
        </w:rPr>
        <w:t> </w:t>
      </w:r>
      <w:r>
        <w:rPr/>
        <w:t>处置子公司或业务</w:t>
      </w:r>
    </w:p>
    <w:p>
      <w:pPr>
        <w:spacing w:line="240" w:lineRule="auto" w:before="10"/>
        <w:rPr>
          <w:rFonts w:ascii="宋体" w:hAnsi="宋体" w:cs="宋体" w:eastAsia="宋体" w:hint="default"/>
          <w:sz w:val="14"/>
          <w:szCs w:val="14"/>
        </w:rPr>
      </w:pPr>
    </w:p>
    <w:p>
      <w:pPr>
        <w:pStyle w:val="BodyText"/>
        <w:spacing w:line="386" w:lineRule="auto" w:before="0"/>
        <w:ind w:left="633" w:right="139"/>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一般处理方法 </w:t>
      </w:r>
      <w:r>
        <w:rPr>
          <w:spacing w:val="-2"/>
        </w:rPr>
        <w:t>在报告期内，本公司处置子公司或业务，则该子公司或业务期初至处置日的收入、费用、利润纳入合</w:t>
      </w:r>
    </w:p>
    <w:p>
      <w:pPr>
        <w:pStyle w:val="BodyText"/>
        <w:spacing w:line="408" w:lineRule="auto" w:before="65"/>
        <w:ind w:left="633" w:right="139" w:hanging="480"/>
        <w:jc w:val="left"/>
      </w:pPr>
      <w:r>
        <w:rPr/>
        <w:t>并利润表；该子公司或业务期初至处置日的现金流量纳入合并现金流量表。 </w:t>
      </w:r>
      <w:r>
        <w:rPr>
          <w:spacing w:val="-2"/>
        </w:rPr>
        <w:t>因处置部分股权投资或其他原因丧失了对被投资方控制权时，对于处置后的剩余股权投资，本公司按</w:t>
      </w:r>
    </w:p>
    <w:p>
      <w:pPr>
        <w:pStyle w:val="BodyText"/>
        <w:spacing w:line="240" w:lineRule="auto"/>
        <w:ind w:left="153" w:right="0"/>
        <w:jc w:val="both"/>
      </w:pPr>
      <w:r>
        <w:rPr/>
        <w:t>照其在丧失控制权日的公允价值进行重新计量。处置股权取得的对价与剩余股权公允价值之和，减去按原</w:t>
      </w:r>
    </w:p>
    <w:p>
      <w:pPr>
        <w:spacing w:after="0" w:line="240" w:lineRule="auto"/>
        <w:jc w:val="both"/>
        <w:sectPr>
          <w:footerReference w:type="default" r:id="rId27"/>
          <w:pgSz w:w="11910" w:h="16840"/>
          <w:pgMar w:footer="982" w:header="877" w:top="1100" w:bottom="1180" w:left="980" w:right="980"/>
          <w:pgNumType w:start="125"/>
        </w:sectPr>
      </w:pPr>
    </w:p>
    <w:p>
      <w:pPr>
        <w:spacing w:line="240" w:lineRule="auto" w:before="8"/>
        <w:rPr>
          <w:rFonts w:ascii="宋体" w:hAnsi="宋体" w:cs="宋体" w:eastAsia="宋体" w:hint="default"/>
          <w:sz w:val="26"/>
          <w:szCs w:val="26"/>
        </w:rPr>
      </w:pPr>
    </w:p>
    <w:p>
      <w:pPr>
        <w:pStyle w:val="BodyText"/>
        <w:spacing w:line="408" w:lineRule="auto" w:before="35"/>
        <w:ind w:right="211"/>
        <w:jc w:val="both"/>
      </w:pP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386" w:lineRule="auto"/>
        <w:ind w:left="633" w:right="199"/>
        <w:jc w:val="left"/>
      </w:pP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w:t>
      </w:r>
    </w:p>
    <w:p>
      <w:pPr>
        <w:pStyle w:val="BodyText"/>
        <w:spacing w:line="408" w:lineRule="auto" w:before="65"/>
        <w:ind w:left="153" w:right="21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489" w:right="3741"/>
        <w:jc w:val="left"/>
      </w:pPr>
      <w:r>
        <w:rPr/>
        <w:t>ⅰ</w:t>
      </w:r>
      <w:r>
        <w:rPr>
          <w:spacing w:val="-21"/>
        </w:rPr>
        <w:t> </w:t>
      </w:r>
      <w:r>
        <w:rPr/>
        <w:t>．这些交易是同时或者在考虑了彼此影响的情况下订立的；</w:t>
      </w:r>
      <w:r>
        <w:rPr/>
        <w:t> ⅱ</w:t>
      </w:r>
      <w:r>
        <w:rPr>
          <w:spacing w:val="-21"/>
        </w:rPr>
        <w:t> </w:t>
      </w:r>
      <w:r>
        <w:rPr/>
        <w:t>．这些交易整体才能达成一项完整的商业结果；</w:t>
      </w:r>
      <w:r>
        <w:rPr/>
        <w:t> ⅲ．一项交易的发生取决于其他至少一项交易的发生；</w:t>
      </w:r>
    </w:p>
    <w:p>
      <w:pPr>
        <w:pStyle w:val="BodyText"/>
        <w:spacing w:line="408" w:lineRule="auto"/>
        <w:ind w:left="489" w:right="255" w:firstLine="22"/>
        <w:jc w:val="left"/>
      </w:pPr>
      <w:r>
        <w:rPr/>
        <w:t>ⅳ．一项交易单独看是不经济的，但是和其他交易一并考虑时是经济的。 处置对子公司股权投资直至丧失控制权的各项交易属于一揽子交易的，本公司将各项交易作为一项处</w:t>
      </w:r>
    </w:p>
    <w:p>
      <w:pPr>
        <w:pStyle w:val="BodyText"/>
        <w:spacing w:line="408" w:lineRule="auto"/>
        <w:ind w:left="153" w:right="21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left="153" w:right="211" w:firstLine="480"/>
        <w:jc w:val="both"/>
      </w:pPr>
      <w:r>
        <w:rPr>
          <w:spacing w:val="-2"/>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ind w:left="633" w:right="199"/>
        <w:jc w:val="left"/>
      </w:pPr>
      <w:r>
        <w:rPr>
          <w:rFonts w:ascii="Times New Roman" w:hAnsi="Times New Roman" w:cs="Times New Roman" w:eastAsia="Times New Roman" w:hint="default"/>
        </w:rPr>
        <w:t>c.</w:t>
      </w:r>
      <w:r>
        <w:rPr/>
        <w:t>购买子公司少数股权 </w:t>
      </w:r>
      <w:r>
        <w:rPr>
          <w:spacing w:val="-2"/>
        </w:rPr>
        <w:t>本公司因购买少数股权新取得的长期股权投资与按照新增持股比例计算应享有子公司自购买日（或合</w:t>
      </w:r>
    </w:p>
    <w:p>
      <w:pPr>
        <w:pStyle w:val="BodyText"/>
        <w:spacing w:line="408" w:lineRule="auto" w:before="65"/>
        <w:ind w:left="153" w:right="210"/>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408" w:lineRule="auto"/>
        <w:ind w:left="633" w:right="321"/>
        <w:jc w:val="left"/>
      </w:pPr>
      <w:r>
        <w:rPr/>
        <w:t>③</w:t>
      </w:r>
      <w:r>
        <w:rPr>
          <w:spacing w:val="-21"/>
        </w:rPr>
        <w:t> </w:t>
      </w:r>
      <w:r>
        <w:rPr/>
        <w:t>不丧失控制权的情况下部分处置对子公司的股权投资</w:t>
      </w:r>
      <w:r>
        <w:rPr/>
        <w:t> 在不丧失控制权的情况下因部分处置对子公司的长期股权投资而取得的处置价款与处置长期股权投</w:t>
      </w:r>
    </w:p>
    <w:p>
      <w:pPr>
        <w:pStyle w:val="BodyText"/>
        <w:spacing w:line="408" w:lineRule="auto"/>
        <w:ind w:left="153" w:right="102"/>
        <w:jc w:val="left"/>
        <w:rPr>
          <w:rFonts w:ascii="宋体" w:hAnsi="宋体" w:cs="宋体" w:eastAsia="宋体" w:hint="default"/>
        </w:rPr>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 </w:t>
      </w:r>
      <w:r>
        <w:rPr>
          <w:rFonts w:ascii="Times New Roman" w:hAnsi="Times New Roman" w:cs="Times New Roman" w:eastAsia="Times New Roman" w:hint="default"/>
          <w:b/>
          <w:bCs/>
        </w:rPr>
        <w:t>7</w:t>
      </w:r>
      <w:r>
        <w:rPr>
          <w:rFonts w:ascii="宋体" w:hAnsi="宋体" w:cs="宋体" w:eastAsia="宋体" w:hint="default"/>
          <w:b/>
          <w:bCs/>
        </w:rPr>
        <w:t>、合营安排分类及共同经营会计处理方法</w:t>
      </w:r>
      <w:r>
        <w:rPr>
          <w:rFonts w:ascii="宋体" w:hAnsi="宋体" w:cs="宋体" w:eastAsia="宋体" w:hint="default"/>
        </w:rPr>
      </w:r>
    </w:p>
    <w:p>
      <w:pPr>
        <w:pStyle w:val="BodyText"/>
        <w:spacing w:line="386" w:lineRule="auto" w:before="14"/>
        <w:ind w:left="578" w:right="91" w:hanging="1"/>
        <w:jc w:val="left"/>
      </w:pPr>
      <w:r>
        <w:rPr/>
        <w:t>（</w:t>
      </w:r>
      <w:r>
        <w:rPr>
          <w:rFonts w:ascii="Times New Roman" w:hAnsi="Times New Roman" w:cs="Times New Roman" w:eastAsia="Times New Roman" w:hint="default"/>
        </w:rPr>
        <w:t>1</w:t>
      </w:r>
      <w:r>
        <w:rPr/>
        <w:t>）合营安排的分类 </w:t>
      </w:r>
      <w:r>
        <w:rPr>
          <w:spacing w:val="-3"/>
        </w:rPr>
        <w:t>合营安排，是指一项由两个或两个以上的参与方共同控制的安排。合营安排分为共同经营和合营企业。</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210"/>
        <w:jc w:val="both"/>
      </w:pPr>
      <w:r>
        <w:rPr>
          <w:spacing w:val="-1"/>
        </w:rPr>
        <w:t>共同经营，是指合营方享有该安排相关资产且承担该安排相关负债的合营安排。合营企业，是指合营方仅</w:t>
      </w:r>
      <w:r>
        <w:rPr>
          <w:spacing w:val="-83"/>
        </w:rPr>
        <w:t> </w:t>
      </w:r>
      <w:r>
        <w:rPr>
          <w:spacing w:val="-83"/>
        </w:rPr>
      </w:r>
      <w:r>
        <w:rPr/>
        <w:t>对该安排的净资产享有权利的合营</w:t>
      </w:r>
      <w:r>
        <w:rPr>
          <w:spacing w:val="-21"/>
        </w:rPr>
        <w:t> </w:t>
      </w:r>
      <w:r>
        <w:rPr/>
        <w:t>安排。</w:t>
      </w:r>
    </w:p>
    <w:p>
      <w:pPr>
        <w:pStyle w:val="BodyText"/>
        <w:spacing w:line="386" w:lineRule="auto"/>
        <w:ind w:left="634" w:right="102" w:hanging="56"/>
        <w:jc w:val="left"/>
      </w:pPr>
      <w:r>
        <w:rPr/>
        <w:t>（</w:t>
      </w:r>
      <w:r>
        <w:rPr>
          <w:rFonts w:ascii="Times New Roman" w:hAnsi="Times New Roman" w:cs="Times New Roman" w:eastAsia="Times New Roman" w:hint="default"/>
        </w:rPr>
        <w:t>2</w:t>
      </w:r>
      <w:r>
        <w:rPr/>
        <w:t>）共同经营的会计处理方法 本公司确认与共同经营中利益份额相关的下列项目，并按照相关企业会计准则的规定进行会计处理：</w:t>
      </w:r>
    </w:p>
    <w:p>
      <w:pPr>
        <w:pStyle w:val="BodyText"/>
        <w:spacing w:line="240" w:lineRule="auto" w:before="65"/>
        <w:ind w:left="634" w:right="102"/>
        <w:jc w:val="left"/>
      </w:pPr>
      <w:r>
        <w:rPr/>
        <w:t>①</w:t>
      </w:r>
      <w:r>
        <w:rPr>
          <w:spacing w:val="-21"/>
        </w:rPr>
        <w:t> </w:t>
      </w:r>
      <w:r>
        <w:rPr/>
        <w:t>确认单独所持有的资产，以及按其份额确认共同持有的资产；</w:t>
      </w:r>
    </w:p>
    <w:p>
      <w:pPr>
        <w:spacing w:line="240" w:lineRule="auto" w:before="10"/>
        <w:rPr>
          <w:rFonts w:ascii="宋体" w:hAnsi="宋体" w:cs="宋体" w:eastAsia="宋体" w:hint="default"/>
          <w:sz w:val="14"/>
          <w:szCs w:val="14"/>
        </w:rPr>
      </w:pPr>
    </w:p>
    <w:p>
      <w:pPr>
        <w:pStyle w:val="BodyText"/>
        <w:spacing w:line="240" w:lineRule="auto" w:before="0"/>
        <w:ind w:left="634" w:right="102"/>
        <w:jc w:val="left"/>
      </w:pPr>
      <w:r>
        <w:rPr/>
        <w:t>②</w:t>
      </w:r>
      <w:r>
        <w:rPr>
          <w:spacing w:val="-21"/>
        </w:rPr>
        <w:t> </w:t>
      </w:r>
      <w:r>
        <w:rPr/>
        <w:t>确认单独所承担的负债，以及按其份额确认共同承担的负债；</w:t>
      </w:r>
    </w:p>
    <w:p>
      <w:pPr>
        <w:spacing w:line="240" w:lineRule="auto" w:before="10"/>
        <w:rPr>
          <w:rFonts w:ascii="宋体" w:hAnsi="宋体" w:cs="宋体" w:eastAsia="宋体" w:hint="default"/>
          <w:sz w:val="14"/>
          <w:szCs w:val="14"/>
        </w:rPr>
      </w:pPr>
    </w:p>
    <w:p>
      <w:pPr>
        <w:pStyle w:val="BodyText"/>
        <w:spacing w:line="240" w:lineRule="auto" w:before="0"/>
        <w:ind w:left="634" w:right="102"/>
        <w:jc w:val="left"/>
      </w:pPr>
      <w:r>
        <w:rPr/>
        <w:t>③</w:t>
      </w:r>
      <w:r>
        <w:rPr>
          <w:spacing w:val="-21"/>
        </w:rPr>
        <w:t> </w:t>
      </w:r>
      <w:r>
        <w:rPr/>
        <w:t>确认出售其享有的共同经营产出份额所产生的收入；</w:t>
      </w:r>
    </w:p>
    <w:p>
      <w:pPr>
        <w:spacing w:line="240" w:lineRule="auto" w:before="10"/>
        <w:rPr>
          <w:rFonts w:ascii="宋体" w:hAnsi="宋体" w:cs="宋体" w:eastAsia="宋体" w:hint="default"/>
          <w:sz w:val="14"/>
          <w:szCs w:val="14"/>
        </w:rPr>
      </w:pPr>
    </w:p>
    <w:p>
      <w:pPr>
        <w:pStyle w:val="BodyText"/>
        <w:spacing w:line="240" w:lineRule="auto" w:before="0"/>
        <w:ind w:left="634" w:right="102"/>
        <w:jc w:val="left"/>
      </w:pPr>
      <w:r>
        <w:rPr/>
        <w:t>④</w:t>
      </w:r>
      <w:r>
        <w:rPr>
          <w:spacing w:val="-21"/>
        </w:rPr>
        <w:t> </w:t>
      </w:r>
      <w:r>
        <w:rPr/>
        <w:t>按其份额确认共同经营因出售产出所产生的收入；</w:t>
      </w:r>
    </w:p>
    <w:p>
      <w:pPr>
        <w:spacing w:line="240" w:lineRule="auto" w:before="10"/>
        <w:rPr>
          <w:rFonts w:ascii="宋体" w:hAnsi="宋体" w:cs="宋体" w:eastAsia="宋体" w:hint="default"/>
          <w:sz w:val="14"/>
          <w:szCs w:val="14"/>
        </w:rPr>
      </w:pPr>
    </w:p>
    <w:p>
      <w:pPr>
        <w:pStyle w:val="BodyText"/>
        <w:spacing w:line="240" w:lineRule="auto" w:before="0"/>
        <w:ind w:left="634" w:right="102"/>
        <w:jc w:val="left"/>
      </w:pPr>
      <w:r>
        <w:rPr/>
        <w:t>⑤</w:t>
      </w:r>
      <w:r>
        <w:rPr>
          <w:spacing w:val="-21"/>
        </w:rPr>
        <w:t> </w:t>
      </w:r>
      <w:r>
        <w:rPr/>
        <w:t>确认单独所发生的费用，以及按其份额确认共同经营发生的费用</w:t>
      </w:r>
    </w:p>
    <w:p>
      <w:pPr>
        <w:spacing w:line="240" w:lineRule="auto" w:before="10"/>
        <w:rPr>
          <w:rFonts w:ascii="宋体" w:hAnsi="宋体" w:cs="宋体" w:eastAsia="宋体" w:hint="default"/>
          <w:sz w:val="14"/>
          <w:szCs w:val="14"/>
        </w:rPr>
      </w:pPr>
    </w:p>
    <w:p>
      <w:pPr>
        <w:spacing w:line="386" w:lineRule="auto" w:before="0"/>
        <w:ind w:left="578" w:right="210" w:hanging="42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本公司在编制现金流量表时所确定的现金是指本公司库存现金以及可以随时用于支付的存款。本公司</w:t>
      </w:r>
    </w:p>
    <w:p>
      <w:pPr>
        <w:pStyle w:val="BodyText"/>
        <w:spacing w:line="408" w:lineRule="auto" w:before="65"/>
        <w:ind w:left="153" w:right="102"/>
        <w:jc w:val="left"/>
      </w:pPr>
      <w:r>
        <w:rPr>
          <w:spacing w:val="-3"/>
        </w:rPr>
        <w:t>在编制现金流量表时所确定的现金等价物是指本公司持有的期限短、流动性强、易于转换为已知金额现金、</w:t>
      </w:r>
      <w:r>
        <w:rPr>
          <w:spacing w:val="-92"/>
        </w:rPr>
        <w:t> </w:t>
      </w:r>
      <w:r>
        <w:rPr>
          <w:spacing w:val="-92"/>
        </w:rPr>
      </w:r>
      <w:r>
        <w:rPr/>
        <w:t>价值变动风险很小的投资。</w:t>
      </w:r>
    </w:p>
    <w:p>
      <w:pPr>
        <w:pStyle w:val="Heading6"/>
        <w:spacing w:line="240" w:lineRule="auto" w:before="46"/>
        <w:ind w:right="6771"/>
        <w:jc w:val="left"/>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386" w:lineRule="auto" w:before="177"/>
        <w:ind w:left="578" w:right="210" w:hanging="1"/>
        <w:jc w:val="left"/>
      </w:pPr>
      <w:r>
        <w:rPr/>
        <w:t>（</w:t>
      </w:r>
      <w:r>
        <w:rPr>
          <w:rFonts w:ascii="Times New Roman" w:hAnsi="Times New Roman" w:cs="Times New Roman" w:eastAsia="Times New Roman" w:hint="default"/>
        </w:rPr>
        <w:t>1</w:t>
      </w:r>
      <w:r>
        <w:rPr/>
        <w:t>）外币业务 </w:t>
      </w:r>
      <w:r>
        <w:rPr>
          <w:spacing w:val="-1"/>
        </w:rPr>
        <w:t>对于发生的外币交易，在初始确认时，采用与交易发生日的即期汇率相近似的汇率将外币金额折算为</w:t>
      </w:r>
    </w:p>
    <w:p>
      <w:pPr>
        <w:pStyle w:val="BodyText"/>
        <w:spacing w:line="408" w:lineRule="auto" w:before="65"/>
        <w:ind w:right="209"/>
        <w:jc w:val="both"/>
      </w:pPr>
      <w:r>
        <w:rPr>
          <w:spacing w:val="-1"/>
        </w:rPr>
        <w:t>记账本位币金额。资产负债表日外币货币性项目，因资产负债表日即期汇率与初始确认时或者前一资产负</w:t>
      </w:r>
      <w:r>
        <w:rPr>
          <w:spacing w:val="-81"/>
        </w:rPr>
        <w:t> </w:t>
      </w:r>
      <w:r>
        <w:rPr>
          <w:spacing w:val="-81"/>
        </w:rPr>
      </w:r>
      <w:r>
        <w:rPr>
          <w:spacing w:val="-1"/>
        </w:rPr>
        <w:t>债表日即期汇率不同而产生的汇兑差额，计入当期损益；与购建或生产符合资本化条件的资产相关的外币</w:t>
      </w:r>
      <w:r>
        <w:rPr>
          <w:spacing w:val="-81"/>
        </w:rPr>
        <w:t> </w:t>
      </w:r>
      <w:r>
        <w:rPr>
          <w:spacing w:val="-81"/>
        </w:rPr>
      </w:r>
      <w:r>
        <w:rPr>
          <w:spacing w:val="-1"/>
        </w:rPr>
        <w:t>借款产生的汇兑差额，按照借款费用资本化的原则进行处理。资产负债表日以历史成本计量的外币非货币</w:t>
      </w:r>
      <w:r>
        <w:rPr>
          <w:spacing w:val="-81"/>
        </w:rPr>
        <w:t> </w:t>
      </w:r>
      <w:r>
        <w:rPr>
          <w:spacing w:val="-81"/>
        </w:rPr>
      </w:r>
      <w:r>
        <w:rPr/>
        <w:t>性项目，仍采用交易发生日的即期汇率折算，不改变其记账本位币金额。</w:t>
      </w:r>
    </w:p>
    <w:p>
      <w:pPr>
        <w:pStyle w:val="BodyText"/>
        <w:spacing w:line="386" w:lineRule="auto"/>
        <w:ind w:left="578" w:right="210" w:firstLine="84"/>
        <w:jc w:val="left"/>
      </w:pPr>
      <w:r>
        <w:rPr/>
        <w:t>（</w:t>
      </w:r>
      <w:r>
        <w:rPr>
          <w:rFonts w:ascii="Times New Roman" w:hAnsi="Times New Roman" w:cs="Times New Roman" w:eastAsia="Times New Roman" w:hint="default"/>
        </w:rPr>
        <w:t>2</w:t>
      </w:r>
      <w:r>
        <w:rPr/>
        <w:t>）外币财务报表的折算 </w:t>
      </w:r>
      <w:r>
        <w:rPr>
          <w:spacing w:val="-1"/>
        </w:rPr>
        <w:t>本公司对控股子公司、合营企业、联营企业等，采用与本公司不同的记账本位币对外币财务报表折算</w:t>
      </w:r>
    </w:p>
    <w:p>
      <w:pPr>
        <w:pStyle w:val="BodyText"/>
        <w:spacing w:line="408" w:lineRule="auto" w:before="65"/>
        <w:ind w:left="578" w:right="283" w:hanging="425"/>
        <w:jc w:val="left"/>
      </w:pPr>
      <w:r>
        <w:rPr/>
        <w:t>后，进行会计核算及合并财务报表的编报。 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386" w:lineRule="auto" w:before="14"/>
        <w:ind w:right="304"/>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汇率折算。折算产生的外币财务报表折算差额，在资产负债表中其他综合收益项目下单独列示。</w:t>
      </w:r>
    </w:p>
    <w:p>
      <w:pPr>
        <w:pStyle w:val="BodyText"/>
        <w:spacing w:line="408" w:lineRule="auto" w:before="65"/>
        <w:ind w:right="91" w:firstLine="424"/>
        <w:jc w:val="left"/>
      </w:pPr>
      <w:r>
        <w:rPr>
          <w:spacing w:val="-3"/>
        </w:rPr>
        <w:t>外币现金流量按照系统合理方法确定的，采用交易发生日的即期汇率折算。汇率变动对现金的影响额，</w:t>
      </w:r>
      <w:r>
        <w:rPr/>
        <w:t> 在现金流量表中单独列示。</w:t>
      </w:r>
    </w:p>
    <w:p>
      <w:pPr>
        <w:pStyle w:val="BodyText"/>
        <w:spacing w:line="408" w:lineRule="auto"/>
        <w:ind w:right="210" w:firstLine="424"/>
        <w:jc w:val="left"/>
      </w:pPr>
      <w:r>
        <w:rPr>
          <w:spacing w:val="-1"/>
        </w:rPr>
        <w:t>处置境外经营时，与该境外经营有关的外币报表折算差额，全部或按处置该境外经营的比例转入处置</w:t>
      </w:r>
      <w:r>
        <w:rPr/>
        <w:t> 当期损益。</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Heading6"/>
        <w:spacing w:line="240" w:lineRule="auto" w:before="35"/>
        <w:ind w:right="0"/>
        <w:jc w:val="both"/>
        <w:rPr>
          <w:b w:val="0"/>
          <w:bCs w:val="0"/>
        </w:rPr>
      </w:pPr>
      <w:r>
        <w:rPr>
          <w:rFonts w:ascii="Times New Roman" w:hAnsi="Times New Roman" w:cs="Times New Roman" w:eastAsia="Times New Roman" w:hint="default"/>
        </w:rPr>
        <w:t>10</w:t>
      </w:r>
      <w:r>
        <w:rPr/>
        <w:t>、金融工具</w:t>
      </w:r>
      <w:r>
        <w:rPr>
          <w:b w:val="0"/>
          <w:bCs w:val="0"/>
        </w:rPr>
      </w:r>
    </w:p>
    <w:p>
      <w:pPr>
        <w:pStyle w:val="BodyText"/>
        <w:spacing w:line="386" w:lineRule="auto" w:before="177"/>
        <w:ind w:left="634" w:right="320" w:hanging="1"/>
        <w:jc w:val="left"/>
      </w:pPr>
      <w:r>
        <w:rPr/>
        <w:t>（</w:t>
      </w:r>
      <w:r>
        <w:rPr>
          <w:rFonts w:ascii="Times New Roman" w:hAnsi="Times New Roman" w:cs="Times New Roman" w:eastAsia="Times New Roman" w:hint="default"/>
        </w:rPr>
        <w:t>1</w:t>
      </w:r>
      <w:r>
        <w:rPr/>
        <w:t>）金融资产、金融负债的分类 本公司按照投资目的和经济实质对拥有的金融资产分为以公允价值计量且其变动计入当期损益的金</w:t>
      </w:r>
    </w:p>
    <w:p>
      <w:pPr>
        <w:pStyle w:val="BodyText"/>
        <w:spacing w:line="408" w:lineRule="auto" w:before="65"/>
        <w:ind w:right="211"/>
        <w:jc w:val="both"/>
      </w:pPr>
      <w:r>
        <w:rPr>
          <w:spacing w:val="-1"/>
        </w:rPr>
        <w:t>融资产、持有至到期投资、贷款及应收款项、可供出售金融资产四大类。按照经济实质将金融负债划分为</w:t>
      </w:r>
      <w:r>
        <w:rPr>
          <w:spacing w:val="-82"/>
        </w:rPr>
        <w:t> </w:t>
      </w:r>
      <w:r>
        <w:rPr>
          <w:spacing w:val="-82"/>
        </w:rPr>
      </w:r>
      <w:r>
        <w:rPr/>
        <w:t>以公允价值计量且其变动计入当期损益的金融负债和其他金融负债两大类。</w:t>
      </w:r>
    </w:p>
    <w:p>
      <w:pPr>
        <w:pStyle w:val="BodyText"/>
        <w:spacing w:line="240" w:lineRule="auto"/>
        <w:ind w:left="574" w:right="102"/>
        <w:jc w:val="left"/>
      </w:pPr>
      <w:r>
        <w:rPr/>
        <w:t>（</w:t>
      </w:r>
      <w:r>
        <w:rPr>
          <w:rFonts w:ascii="Times New Roman" w:hAnsi="Times New Roman" w:cs="Times New Roman" w:eastAsia="Times New Roman" w:hint="default"/>
        </w:rPr>
        <w:t>2</w:t>
      </w:r>
      <w:r>
        <w:rPr/>
        <w:t>）金融工具确认依据和计量方法</w:t>
      </w:r>
    </w:p>
    <w:p>
      <w:pPr>
        <w:pStyle w:val="BodyText"/>
        <w:spacing w:line="408" w:lineRule="auto" w:before="177"/>
        <w:ind w:left="578" w:right="210"/>
        <w:jc w:val="left"/>
      </w:pPr>
      <w:r>
        <w:rPr/>
        <w:t>①</w:t>
      </w:r>
      <w:r>
        <w:rPr>
          <w:spacing w:val="-21"/>
        </w:rPr>
        <w:t> </w:t>
      </w:r>
      <w:r>
        <w:rPr/>
        <w:t>以公允价值计量且其变动计入当期损益的金融资产（金融负债）</w:t>
      </w:r>
      <w:r>
        <w:rPr/>
        <w:t> </w:t>
      </w:r>
      <w:r>
        <w:rPr>
          <w:spacing w:val="-1"/>
        </w:rPr>
        <w:t>取得时以公允价值（扣除已宣告但尚未发放的现金股利或已到付息期但尚未领取的债券利息）作为初</w:t>
      </w:r>
    </w:p>
    <w:p>
      <w:pPr>
        <w:pStyle w:val="BodyText"/>
        <w:spacing w:line="408" w:lineRule="auto"/>
        <w:ind w:right="211"/>
        <w:jc w:val="both"/>
      </w:pPr>
      <w:r>
        <w:rPr>
          <w:spacing w:val="-1"/>
        </w:rPr>
        <w:t>始确认金额，相关的交易费用计入当期损益。持有期间将取得的利息或现金股利确认为投资收益，期末将</w:t>
      </w:r>
      <w:r>
        <w:rPr>
          <w:spacing w:val="-83"/>
        </w:rPr>
        <w:t> </w:t>
      </w:r>
      <w:r>
        <w:rPr>
          <w:spacing w:val="-83"/>
        </w:rPr>
      </w:r>
      <w:r>
        <w:rPr>
          <w:spacing w:val="-1"/>
        </w:rPr>
        <w:t>公允价值变动计入当期损益。处置时，其公允价值与初始入账金额之间的差额确认为投资收益，同时调整</w:t>
      </w:r>
      <w:r>
        <w:rPr>
          <w:spacing w:val="-83"/>
        </w:rPr>
        <w:t> </w:t>
      </w:r>
      <w:r>
        <w:rPr>
          <w:spacing w:val="-83"/>
        </w:rPr>
      </w:r>
      <w:r>
        <w:rPr/>
        <w:t>公允价值变动损益。</w:t>
      </w:r>
    </w:p>
    <w:p>
      <w:pPr>
        <w:pStyle w:val="BodyText"/>
        <w:spacing w:line="408" w:lineRule="auto"/>
        <w:ind w:left="578" w:right="91" w:hanging="89"/>
        <w:jc w:val="left"/>
      </w:pPr>
      <w:r>
        <w:rPr/>
        <w:t>②</w:t>
      </w:r>
      <w:r>
        <w:rPr>
          <w:spacing w:val="-21"/>
        </w:rPr>
        <w:t> </w:t>
      </w:r>
      <w:r>
        <w:rPr/>
        <w:t>持有至到期投资</w:t>
      </w:r>
      <w:r>
        <w:rPr/>
        <w:t> </w:t>
      </w:r>
      <w:r>
        <w:rPr>
          <w:spacing w:val="-3"/>
        </w:rPr>
        <w:t>取得时按公允价值（扣除已到付息期但尚未领取的债券利息）和相关交易费用之和作为初始确认金额。</w:t>
      </w:r>
    </w:p>
    <w:p>
      <w:pPr>
        <w:pStyle w:val="BodyText"/>
        <w:spacing w:line="408" w:lineRule="auto"/>
        <w:ind w:left="153" w:right="208"/>
        <w:jc w:val="both"/>
      </w:pPr>
      <w:r>
        <w:rPr>
          <w:spacing w:val="-5"/>
        </w:rPr>
        <w:t>持有期间按照摊余成本和实际利率（如实际利率与票面利率差别较小的，按票面利率）计算确认利息收入，</w:t>
      </w:r>
      <w:r>
        <w:rPr>
          <w:spacing w:val="-101"/>
        </w:rPr>
        <w:t> </w:t>
      </w:r>
      <w:r>
        <w:rPr>
          <w:spacing w:val="-101"/>
        </w:rPr>
      </w:r>
      <w:r>
        <w:rPr>
          <w:spacing w:val="-1"/>
        </w:rPr>
        <w:t>计入投资收益。实际利率在取得时确定，在该预期存续期间或适用的更短期间内保持不变。处置时，将所</w:t>
      </w:r>
      <w:r>
        <w:rPr>
          <w:spacing w:val="-82"/>
        </w:rPr>
        <w:t> </w:t>
      </w:r>
      <w:r>
        <w:rPr>
          <w:spacing w:val="-82"/>
        </w:rPr>
      </w:r>
      <w:r>
        <w:rPr/>
        <w:t>取得价款与该投资账面价值之间的差额计入投资收益。</w:t>
      </w:r>
    </w:p>
    <w:p>
      <w:pPr>
        <w:pStyle w:val="BodyText"/>
        <w:spacing w:line="408" w:lineRule="auto"/>
        <w:ind w:left="578" w:right="210" w:hanging="89"/>
        <w:jc w:val="left"/>
      </w:pPr>
      <w:r>
        <w:rPr/>
        <w:t>③</w:t>
      </w:r>
      <w:r>
        <w:rPr>
          <w:spacing w:val="-21"/>
        </w:rPr>
        <w:t> </w:t>
      </w:r>
      <w:r>
        <w:rPr/>
        <w:t>应收款项</w:t>
      </w:r>
      <w:r>
        <w:rPr/>
        <w:t> </w:t>
      </w:r>
      <w:r>
        <w:rPr>
          <w:spacing w:val="-1"/>
        </w:rPr>
        <w:t>公司对外销售商品或提供劳务形成的应收债权，以及公司持有的其他企业的不包括在活跃市场上有报</w:t>
      </w:r>
    </w:p>
    <w:p>
      <w:pPr>
        <w:pStyle w:val="BodyText"/>
        <w:spacing w:line="408" w:lineRule="auto"/>
        <w:ind w:left="153" w:right="210"/>
        <w:jc w:val="both"/>
      </w:pPr>
      <w:r>
        <w:rPr>
          <w:spacing w:val="-1"/>
        </w:rPr>
        <w:t>价的债务工具的债权，包括应收账款、其他应收款等，以向购货方应收的合同或协议价款作为初始确认金</w:t>
      </w:r>
      <w:r>
        <w:rPr>
          <w:spacing w:val="-83"/>
        </w:rPr>
        <w:t> </w:t>
      </w:r>
      <w:r>
        <w:rPr>
          <w:spacing w:val="-83"/>
        </w:rPr>
      </w:r>
      <w:r>
        <w:rPr>
          <w:spacing w:val="-1"/>
        </w:rPr>
        <w:t>额；具有融资性质的，按其现值进行初始确认。收回或处置时，将取得的价款与该应收款项账面价值之间</w:t>
      </w:r>
      <w:r>
        <w:rPr>
          <w:spacing w:val="-82"/>
        </w:rPr>
        <w:t> </w:t>
      </w:r>
      <w:r>
        <w:rPr>
          <w:spacing w:val="-82"/>
        </w:rPr>
      </w:r>
      <w:r>
        <w:rPr/>
        <w:t>的差额计入当期损益。</w:t>
      </w:r>
    </w:p>
    <w:p>
      <w:pPr>
        <w:pStyle w:val="BodyText"/>
        <w:spacing w:line="408" w:lineRule="auto"/>
        <w:ind w:left="573" w:right="102" w:hanging="84"/>
        <w:jc w:val="left"/>
      </w:pPr>
      <w:r>
        <w:rPr/>
        <w:t>④</w:t>
      </w:r>
      <w:r>
        <w:rPr>
          <w:spacing w:val="-21"/>
        </w:rPr>
        <w:t> </w:t>
      </w:r>
      <w:r>
        <w:rPr/>
        <w:t>可供出售金融资产</w:t>
      </w:r>
      <w:r>
        <w:rPr/>
        <w:t> </w:t>
      </w:r>
      <w:r>
        <w:rPr>
          <w:spacing w:val="-1"/>
        </w:rPr>
        <w:t>取得时按公允价值（扣除已宣告但尚未发放的现金股利或已到付息期但尚未领取的债券利息）和相关</w:t>
      </w:r>
    </w:p>
    <w:p>
      <w:pPr>
        <w:pStyle w:val="BodyText"/>
        <w:spacing w:line="408" w:lineRule="auto"/>
        <w:ind w:left="153" w:right="208"/>
        <w:jc w:val="both"/>
      </w:pPr>
      <w:r>
        <w:rPr>
          <w:spacing w:val="-1"/>
        </w:rPr>
        <w:t>交易费用之和作为初始确认金额。持有期间将取得的利息或现金股利确认为投资收益。期末以公允价值计</w:t>
      </w:r>
      <w:r>
        <w:rPr>
          <w:spacing w:val="-81"/>
        </w:rPr>
        <w:t> </w:t>
      </w:r>
      <w:r>
        <w:rPr>
          <w:spacing w:val="-81"/>
        </w:rPr>
      </w:r>
      <w:r>
        <w:rPr>
          <w:spacing w:val="-1"/>
        </w:rPr>
        <w:t>量且将公允价值变动计入其他综合收益。但是，在活跃市场中没有报价且其公允价值不能可靠计量的权益</w:t>
      </w:r>
      <w:r>
        <w:rPr>
          <w:spacing w:val="-81"/>
        </w:rPr>
        <w:t> </w:t>
      </w:r>
      <w:r>
        <w:rPr>
          <w:spacing w:val="-81"/>
        </w:rPr>
      </w:r>
      <w:r>
        <w:rPr>
          <w:spacing w:val="-5"/>
        </w:rPr>
        <w:t>工具投资，以及与该权益工具挂钩并须通过交付该权益工具结算的衍生金融资产，按照成本计量。处置时，</w:t>
      </w:r>
      <w:r>
        <w:rPr>
          <w:spacing w:val="-101"/>
        </w:rPr>
        <w:t> </w:t>
      </w:r>
      <w:r>
        <w:rPr>
          <w:spacing w:val="-101"/>
        </w:rPr>
      </w:r>
      <w:r>
        <w:rPr>
          <w:spacing w:val="-1"/>
        </w:rPr>
        <w:t>将取得的价款与该金融资产账面价值之间的差额，计入投资损益；同时，将原直接计入其他综合收益的公</w:t>
      </w:r>
      <w:r>
        <w:rPr>
          <w:spacing w:val="-83"/>
        </w:rPr>
        <w:t> </w:t>
      </w:r>
      <w:r>
        <w:rPr>
          <w:spacing w:val="-83"/>
        </w:rPr>
      </w:r>
      <w:r>
        <w:rPr/>
        <w:t>允价值变动累计额对应处置部分的金额转出，计入当期损益。</w:t>
      </w:r>
    </w:p>
    <w:p>
      <w:pPr>
        <w:pStyle w:val="BodyText"/>
        <w:spacing w:line="408" w:lineRule="auto"/>
        <w:ind w:left="633" w:right="1581"/>
        <w:jc w:val="left"/>
      </w:pPr>
      <w:r>
        <w:rPr/>
        <w:t>⑤</w:t>
      </w:r>
      <w:r>
        <w:rPr>
          <w:spacing w:val="-21"/>
        </w:rPr>
        <w:t> </w:t>
      </w:r>
      <w:r>
        <w:rPr/>
        <w:t>其他金融负债</w:t>
      </w:r>
      <w:r>
        <w:rPr/>
        <w:t> 按其公允价值和相关交易费用之和作为初始确认金额。采用摊余成本进行后续计量。</w:t>
      </w:r>
    </w:p>
    <w:p>
      <w:pPr>
        <w:spacing w:after="0" w:line="408"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386" w:lineRule="auto" w:before="35"/>
        <w:ind w:left="574" w:right="0" w:firstLine="60"/>
        <w:jc w:val="left"/>
      </w:pPr>
      <w:r>
        <w:rPr/>
        <w:t>（</w:t>
      </w:r>
      <w:r>
        <w:rPr>
          <w:rFonts w:ascii="Times New Roman" w:hAnsi="Times New Roman" w:cs="Times New Roman" w:eastAsia="Times New Roman" w:hint="default"/>
        </w:rPr>
        <w:t>3</w:t>
      </w:r>
      <w:r>
        <w:rPr/>
        <w:t>）金融资产转移的确认依据和计量方法 </w:t>
      </w:r>
      <w:r>
        <w:rPr>
          <w:spacing w:val="-1"/>
        </w:rPr>
        <w:t>公司发生金融资产转移时，如已将金融资产所有权上几乎所有的风险和报酬转移给转入方，则终止确</w:t>
      </w:r>
    </w:p>
    <w:p>
      <w:pPr>
        <w:pStyle w:val="BodyText"/>
        <w:spacing w:line="408" w:lineRule="auto" w:before="65"/>
        <w:ind w:left="490" w:right="194" w:hanging="336"/>
        <w:jc w:val="left"/>
      </w:pPr>
      <w:r>
        <w:rPr/>
        <w:t>认该金融资产；如保留了金融资产所有权上几乎所有的风险和报酬的，则不终止确认该金融资产。 在判断金融资产转移是否满足上述金融资产终止确认条件时，采用实质重于形式的原则。公司将金融</w:t>
      </w:r>
    </w:p>
    <w:p>
      <w:pPr>
        <w:pStyle w:val="BodyText"/>
        <w:spacing w:line="408" w:lineRule="auto"/>
        <w:ind w:right="151"/>
        <w:jc w:val="both"/>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490" w:right="0"/>
        <w:jc w:val="left"/>
      </w:pPr>
      <w:r>
        <w:rPr/>
        <w:t>①</w:t>
      </w:r>
      <w:r>
        <w:rPr>
          <w:spacing w:val="-20"/>
        </w:rPr>
        <w:t> </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131" w:firstLine="336"/>
        <w:jc w:val="left"/>
      </w:pPr>
      <w:r>
        <w:rPr/>
        <w:t>②</w:t>
      </w:r>
      <w:r>
        <w:rPr>
          <w:spacing w:val="-42"/>
        </w:rPr>
        <w:t> </w:t>
      </w:r>
      <w:r>
        <w:rPr/>
        <w:t>因转移而收到的对价，与原直接计入所有者权益的公允价值变动累计额（涉及转移的金融资产为可</w:t>
      </w:r>
      <w:r>
        <w:rPr/>
        <w:t> 供出售金融资产的情形）之和。</w:t>
      </w:r>
    </w:p>
    <w:p>
      <w:pPr>
        <w:pStyle w:val="BodyText"/>
        <w:spacing w:line="408" w:lineRule="auto"/>
        <w:ind w:left="160" w:right="15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496" w:right="0"/>
        <w:jc w:val="left"/>
      </w:pPr>
      <w:r>
        <w:rPr/>
        <w:t>①</w:t>
      </w:r>
      <w:r>
        <w:rPr>
          <w:spacing w:val="-20"/>
        </w:rPr>
        <w:t> </w:t>
      </w:r>
      <w:r>
        <w:rPr/>
        <w:t>终止确认部分的账面价值；</w:t>
      </w:r>
    </w:p>
    <w:p>
      <w:pPr>
        <w:spacing w:line="240" w:lineRule="auto" w:before="10"/>
        <w:rPr>
          <w:rFonts w:ascii="宋体" w:hAnsi="宋体" w:cs="宋体" w:eastAsia="宋体" w:hint="default"/>
          <w:sz w:val="14"/>
          <w:szCs w:val="14"/>
        </w:rPr>
      </w:pPr>
    </w:p>
    <w:p>
      <w:pPr>
        <w:pStyle w:val="BodyText"/>
        <w:spacing w:line="240" w:lineRule="auto" w:before="0"/>
        <w:ind w:left="496" w:right="0"/>
        <w:jc w:val="left"/>
      </w:pPr>
      <w:r>
        <w:rPr/>
        <w:t>②</w:t>
      </w:r>
      <w:r>
        <w:rPr>
          <w:spacing w:val="-49"/>
        </w:rPr>
        <w:t> </w:t>
      </w:r>
      <w:r>
        <w:rPr/>
        <w:t>终止确认部分的对价，与原直接计入所有者权益的公允价值变动累计额中对应终止确认部分的金额</w:t>
      </w:r>
    </w:p>
    <w:p>
      <w:pPr>
        <w:spacing w:line="240" w:lineRule="auto" w:before="10"/>
        <w:rPr>
          <w:rFonts w:ascii="宋体" w:hAnsi="宋体" w:cs="宋体" w:eastAsia="宋体" w:hint="default"/>
          <w:sz w:val="14"/>
          <w:szCs w:val="14"/>
        </w:rPr>
      </w:pPr>
    </w:p>
    <w:p>
      <w:pPr>
        <w:pStyle w:val="BodyText"/>
        <w:spacing w:line="408" w:lineRule="auto" w:before="0"/>
        <w:ind w:left="633" w:right="261" w:hanging="474"/>
        <w:jc w:val="left"/>
      </w:pPr>
      <w:r>
        <w:rPr/>
        <w:t>（涉及转移的金融资产为可供出售金融资产的情形）之和。 金融资产转移不满足终止确认条件的，继续确认该金融资产，所收到的对价确认为一项金融负债。</w:t>
      </w:r>
    </w:p>
    <w:p>
      <w:pPr>
        <w:pStyle w:val="BodyText"/>
        <w:spacing w:line="386" w:lineRule="auto"/>
        <w:ind w:left="634" w:right="138" w:hanging="1"/>
        <w:jc w:val="left"/>
      </w:pPr>
      <w:r>
        <w:rPr/>
        <w:t>（</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w:t>
      </w:r>
    </w:p>
    <w:p>
      <w:pPr>
        <w:pStyle w:val="BodyText"/>
        <w:spacing w:line="408" w:lineRule="auto" w:before="65"/>
        <w:ind w:right="149"/>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right="149" w:firstLine="480"/>
        <w:jc w:val="both"/>
      </w:pPr>
      <w:r>
        <w:rPr>
          <w:spacing w:val="-2"/>
        </w:rPr>
        <w:t>对现存金融负债全部或部分合同条款作出实质性修改的，则终止确认现存金融负债或其一部分，同时</w:t>
      </w:r>
      <w:r>
        <w:rPr/>
        <w:t> </w:t>
      </w:r>
      <w:r>
        <w:rPr>
          <w:spacing w:val="-1"/>
        </w:rPr>
        <w:t>将修改条款后的金融负债确认为一项新金融负债。金融负债全部或部分终止确认时，终止确认的金融负债</w:t>
      </w:r>
      <w:r>
        <w:rPr>
          <w:spacing w:val="-81"/>
        </w:rPr>
        <w:t> </w:t>
      </w:r>
      <w:r>
        <w:rPr>
          <w:spacing w:val="-81"/>
        </w:rPr>
      </w:r>
      <w:r>
        <w:rPr>
          <w:spacing w:val="-1"/>
        </w:rPr>
        <w:t>账面价值与支付对价（包括转出的非现金资产或承担的新金融负债）之间的差额，计入当期损益。本公司</w:t>
      </w:r>
      <w:r>
        <w:rPr>
          <w:spacing w:val="-82"/>
        </w:rPr>
        <w:t> </w:t>
      </w:r>
      <w:r>
        <w:rPr>
          <w:spacing w:val="-82"/>
        </w:rPr>
      </w:r>
      <w:r>
        <w:rPr>
          <w:spacing w:val="-1"/>
        </w:rPr>
        <w:t>若回购部分金融负债的，在回购日按照继续确认部分与终止确认部分的相对公允价值，将该金融负债整体</w:t>
      </w:r>
      <w:r>
        <w:rPr>
          <w:spacing w:val="-81"/>
        </w:rPr>
        <w:t> </w:t>
      </w:r>
      <w:r>
        <w:rPr>
          <w:spacing w:val="-81"/>
        </w:rPr>
      </w:r>
      <w:r>
        <w:rPr>
          <w:spacing w:val="-1"/>
        </w:rPr>
        <w:t>的账面价值进行分配。分配给终止确认部分的账面价值与支付的对价（包括转出的非现金资产或承担的新</w:t>
      </w:r>
      <w:r>
        <w:rPr>
          <w:spacing w:val="-81"/>
        </w:rPr>
        <w:t> </w:t>
      </w:r>
      <w:r>
        <w:rPr>
          <w:spacing w:val="-81"/>
        </w:rPr>
      </w:r>
      <w:r>
        <w:rPr/>
        <w:t>金融负债）之间的差额，计入当期损益。</w:t>
      </w:r>
    </w:p>
    <w:p>
      <w:pPr>
        <w:pStyle w:val="BodyText"/>
        <w:spacing w:line="386" w:lineRule="auto"/>
        <w:ind w:left="634" w:right="138" w:hanging="120"/>
        <w:jc w:val="left"/>
      </w:pPr>
      <w:r>
        <w:rPr/>
        <w:t>（</w:t>
      </w:r>
      <w:r>
        <w:rPr>
          <w:rFonts w:ascii="Times New Roman" w:hAnsi="Times New Roman" w:cs="Times New Roman" w:eastAsia="Times New Roman" w:hint="default"/>
        </w:rPr>
        <w:t>5</w:t>
      </w:r>
      <w:r>
        <w:rPr/>
        <w:t>）金融资产和金融负债公允价值的确定方法 </w:t>
      </w:r>
      <w:r>
        <w:rPr>
          <w:spacing w:val="-2"/>
        </w:rPr>
        <w:t>存在活跃市场的金融资产或金融负债，以活跃市场的报价确定其公允价值，活跃市场的报价包括易于</w:t>
      </w:r>
    </w:p>
    <w:p>
      <w:pPr>
        <w:pStyle w:val="BodyText"/>
        <w:spacing w:line="408" w:lineRule="auto" w:before="65"/>
        <w:ind w:right="149"/>
        <w:jc w:val="both"/>
      </w:pPr>
      <w:r>
        <w:rPr>
          <w:spacing w:val="-1"/>
        </w:rPr>
        <w:t>定期从交易所、经纪商、行业协会、定价服务机构等获得的价格，且代表了在公平交易中实际发生的市场</w:t>
      </w:r>
      <w:r>
        <w:rPr>
          <w:spacing w:val="-82"/>
        </w:rPr>
        <w:t> </w:t>
      </w:r>
      <w:r>
        <w:rPr>
          <w:spacing w:val="-82"/>
        </w:rPr>
      </w:r>
      <w:r>
        <w:rPr>
          <w:spacing w:val="-1"/>
        </w:rPr>
        <w:t>交易的价格；不存在活跃市场的金融资产或金融负债，采用估值技术确定其公允价值。估值技术包括参考</w:t>
      </w:r>
      <w:r>
        <w:rPr>
          <w:spacing w:val="-83"/>
        </w:rPr>
        <w:t> </w:t>
      </w:r>
      <w:r>
        <w:rPr>
          <w:spacing w:val="-83"/>
        </w:rPr>
      </w:r>
      <w:r>
        <w:rPr>
          <w:spacing w:val="-1"/>
        </w:rPr>
        <w:t>熟悉情况并自愿交易的各方最近进行的市场交易中使用的价格、参照实质上相同的其他金融资产或金融负</w:t>
      </w:r>
    </w:p>
    <w:p>
      <w:pPr>
        <w:spacing w:after="0" w:line="408"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债的当前公允价值、现金流量折现法和期权定价模型等。</w:t>
      </w:r>
    </w:p>
    <w:p>
      <w:pPr>
        <w:spacing w:line="240" w:lineRule="auto" w:before="10"/>
        <w:rPr>
          <w:rFonts w:ascii="宋体" w:hAnsi="宋体" w:cs="宋体" w:eastAsia="宋体" w:hint="default"/>
          <w:sz w:val="14"/>
          <w:szCs w:val="14"/>
        </w:rPr>
      </w:pPr>
    </w:p>
    <w:p>
      <w:pPr>
        <w:pStyle w:val="BodyText"/>
        <w:spacing w:line="386" w:lineRule="auto" w:before="0"/>
        <w:ind w:left="634" w:right="138" w:hanging="1"/>
        <w:jc w:val="left"/>
      </w:pPr>
      <w:r>
        <w:rPr/>
        <w:t>（</w:t>
      </w:r>
      <w:r>
        <w:rPr>
          <w:rFonts w:ascii="Times New Roman" w:hAnsi="Times New Roman" w:cs="Times New Roman" w:eastAsia="Times New Roman" w:hint="default"/>
        </w:rPr>
        <w:t>6</w:t>
      </w:r>
      <w:r>
        <w:rPr/>
        <w:t>）金融资产（不含应收款项）减值测试方法、减值准备计提方法 </w:t>
      </w:r>
      <w:r>
        <w:rPr>
          <w:spacing w:val="-2"/>
        </w:rPr>
        <w:t>除以公允价值计量且其变动计入当期损益的金融资产外，本公司于资产负债表日对金融资产的账面价</w:t>
      </w:r>
    </w:p>
    <w:p>
      <w:pPr>
        <w:pStyle w:val="BodyText"/>
        <w:spacing w:line="240" w:lineRule="auto" w:before="65"/>
        <w:ind w:right="0"/>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08" w:lineRule="auto" w:before="0"/>
        <w:ind w:left="575" w:right="0"/>
        <w:jc w:val="left"/>
      </w:pPr>
      <w:r>
        <w:rPr/>
        <w:t>①</w:t>
      </w:r>
      <w:r>
        <w:rPr>
          <w:spacing w:val="-22"/>
        </w:rPr>
        <w:t> </w:t>
      </w:r>
      <w:r>
        <w:rPr/>
        <w:t>可供出售金融资产的减值准备</w:t>
      </w:r>
      <w:r>
        <w:rPr/>
        <w:t> </w:t>
      </w:r>
      <w:r>
        <w:rPr>
          <w:spacing w:val="-1"/>
        </w:rPr>
        <w:t>期末如果可供出售金融资产的公允价值发生严重下降，或在综合考虑各种相关因素后，预期这种下降</w:t>
      </w:r>
    </w:p>
    <w:p>
      <w:pPr>
        <w:pStyle w:val="BodyText"/>
        <w:spacing w:line="408" w:lineRule="auto"/>
        <w:ind w:right="236"/>
        <w:jc w:val="left"/>
      </w:pPr>
      <w:r>
        <w:rPr/>
        <w:t>趋势属于非暂时性的，</w:t>
      </w:r>
      <w:r>
        <w:rPr>
          <w:spacing w:val="-21"/>
        </w:rPr>
        <w:t> </w:t>
      </w:r>
      <w:r>
        <w:rPr/>
        <w:t>就认定其已发生减值，将原直接计入所有者权益的公允价值下降形成的累计损失</w:t>
      </w:r>
      <w:r>
        <w:rPr/>
        <w:t> 一并转出，确认减值损失。</w:t>
      </w:r>
    </w:p>
    <w:p>
      <w:pPr>
        <w:pStyle w:val="BodyText"/>
        <w:spacing w:line="408" w:lineRule="auto"/>
        <w:ind w:right="194" w:firstLine="336"/>
        <w:jc w:val="left"/>
      </w:pPr>
      <w:r>
        <w:rPr/>
        <w:t>对于已确认减值损失的可供出售债务工具，在随后的会计期间公允价值已上升且客观上与确认原减值 损失确认后发生的事项有关的，原确认的减值损失予以转回，计入当期损益。</w:t>
      </w:r>
    </w:p>
    <w:p>
      <w:pPr>
        <w:pStyle w:val="BodyText"/>
        <w:spacing w:line="408" w:lineRule="auto"/>
        <w:ind w:left="575" w:right="197"/>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a.</w:t>
      </w:r>
      <w:r>
        <w:rPr/>
        <w:t>被投资人发生严重财务困难，很</w:t>
      </w:r>
    </w:p>
    <w:p>
      <w:pPr>
        <w:pStyle w:val="BodyText"/>
        <w:spacing w:line="386" w:lineRule="auto" w:before="14"/>
        <w:ind w:left="153" w:right="163"/>
        <w:jc w:val="left"/>
      </w:pPr>
      <w:r>
        <w:rPr/>
        <w:t>可能倒闭或者财务重组；</w:t>
      </w:r>
      <w:r>
        <w:rPr>
          <w:rFonts w:ascii="Times New Roman" w:hAnsi="Times New Roman" w:cs="Times New Roman" w:eastAsia="Times New Roman" w:hint="default"/>
        </w:rPr>
        <w:t>b.</w:t>
      </w:r>
      <w:r>
        <w:rPr/>
        <w:t>被投资人经营所处的技术、市场、经济或法律环境等发生重大不利变化，可能 无法收回投资成本。</w:t>
      </w:r>
    </w:p>
    <w:p>
      <w:pPr>
        <w:pStyle w:val="BodyText"/>
        <w:spacing w:line="408" w:lineRule="auto" w:before="65"/>
        <w:ind w:left="633" w:right="2781" w:hanging="144"/>
        <w:jc w:val="left"/>
      </w:pPr>
      <w:r>
        <w:rPr/>
        <w:t>②</w:t>
      </w:r>
      <w:r>
        <w:rPr>
          <w:spacing w:val="-21"/>
        </w:rPr>
        <w:t> </w:t>
      </w:r>
      <w:r>
        <w:rPr/>
        <w:t>持有至到期投资的减值准备</w:t>
      </w:r>
      <w:r>
        <w:rPr/>
        <w:t> 持有至到期投资减值损失的计量比照应收款项减值损失计量方法处理。</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期末余额占应收账款余额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及以上的应收款项。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对单项金额重大的应收账款，单独进行减值测试，有客观证 据表明其发生了减值的，根据其未来现金流量现值低于其账 面价值的差额计提坏账准备。单项金额重大经单</w:t>
            </w:r>
            <w:r>
              <w:rPr>
                <w:rFonts w:ascii="宋体" w:hAnsi="宋体" w:cs="宋体" w:eastAsia="宋体" w:hint="default"/>
                <w:spacing w:val="-37"/>
                <w:sz w:val="18"/>
                <w:szCs w:val="18"/>
              </w:rPr>
              <w:t> </w:t>
            </w:r>
            <w:r>
              <w:rPr>
                <w:rFonts w:ascii="宋体" w:hAnsi="宋体" w:cs="宋体" w:eastAsia="宋体" w:hint="default"/>
                <w:sz w:val="18"/>
                <w:szCs w:val="18"/>
              </w:rPr>
              <w:t>独测试未发</w:t>
            </w:r>
            <w:r>
              <w:rPr>
                <w:rFonts w:ascii="宋体" w:hAnsi="宋体" w:cs="宋体" w:eastAsia="宋体" w:hint="default"/>
                <w:sz w:val="18"/>
                <w:szCs w:val="18"/>
              </w:rPr>
              <w:t> 生减值的应收账款，再按组合计提坏账准备。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个月，以下同）</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单项金额不重大但债务人已出现经营状况和财务状况恶化、 债务人偿债能力降低或逾期未履行偿债义务超过三年以上、 债务人可能倒闭或进行其他财务重组等情形的应收款项。</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单项金额虽不重大但单项计提坏账准备的应收账款，有客观</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证据表明其发生了减值的，且未来现金流量现值与以账龄为</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信用风险特征的应收账款组合未来现金流量现值存在显著差</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异，则单独进行减值测试，根据其未来现金流量现值低于其</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账面价值的差额计提坏账准备。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4</w:t>
      </w:r>
      <w:r>
        <w:rPr/>
        <w:t>）</w:t>
      </w:r>
      <w:r>
        <w:rPr>
          <w:spacing w:val="-2"/>
        </w:rPr>
        <w:t> </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left="153" w:right="148" w:firstLine="482"/>
        <w:jc w:val="both"/>
      </w:pPr>
      <w:r>
        <w:rPr>
          <w:spacing w:val="-2"/>
        </w:rPr>
        <w:t>其他应收款：期末余额占其他应收款余额</w:t>
      </w:r>
      <w:r>
        <w:rPr>
          <w:rFonts w:ascii="Times New Roman" w:hAnsi="Times New Roman" w:cs="Times New Roman" w:eastAsia="Times New Roman" w:hint="default"/>
          <w:spacing w:val="-2"/>
        </w:rPr>
        <w:t>15%</w:t>
      </w:r>
      <w:r>
        <w:rPr>
          <w:spacing w:val="-2"/>
        </w:rPr>
        <w:t>及以上的其他应收款为单项金额重大的其他应收款。其</w:t>
      </w:r>
      <w:r>
        <w:rPr/>
        <w:t> </w:t>
      </w:r>
      <w:r>
        <w:rPr>
          <w:spacing w:val="-1"/>
        </w:rPr>
        <w:t>他应收款均进行单独测试，有客观证据表明其发生减值的，根据其未来现金流量现值低于其账面价值的差</w:t>
      </w:r>
      <w:r>
        <w:rPr>
          <w:spacing w:val="-81"/>
        </w:rPr>
        <w:t> </w:t>
      </w:r>
      <w:r>
        <w:rPr>
          <w:spacing w:val="-81"/>
        </w:rPr>
      </w:r>
      <w:r>
        <w:rPr/>
        <w:t>额计提坏账准备。</w:t>
      </w:r>
    </w:p>
    <w:p>
      <w:pPr>
        <w:pStyle w:val="BodyText"/>
        <w:spacing w:line="408" w:lineRule="auto" w:before="54"/>
        <w:ind w:left="153" w:right="151" w:firstLine="482"/>
        <w:jc w:val="both"/>
      </w:pPr>
      <w:r>
        <w:rPr>
          <w:spacing w:val="-3"/>
        </w:rPr>
        <w:t>对于其他应收款项（包括应收票据、预付款项、应收利息、长期应收款等），有客观证据表明其发生</w:t>
      </w:r>
      <w:r>
        <w:rPr/>
        <w:t> 减值的，根据其未来现金流量现值低于其账面价值的差额计提坏账准备。</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77"/>
        <w:ind w:left="634" w:right="3620" w:hanging="1"/>
        <w:jc w:val="left"/>
      </w:pPr>
      <w:r>
        <w:rPr>
          <w:rFonts w:ascii="Times New Roman" w:hAnsi="Times New Roman" w:cs="Times New Roman" w:eastAsia="Times New Roman" w:hint="default"/>
        </w:rPr>
        <w:t>1</w:t>
      </w:r>
      <w:r>
        <w:rPr/>
        <w:t>）存货的分类 公司为旅游服务类企业，存货主要为库存商品及低值易耗品。</w:t>
      </w:r>
    </w:p>
    <w:p>
      <w:pPr>
        <w:pStyle w:val="BodyText"/>
        <w:spacing w:line="386" w:lineRule="auto" w:before="65"/>
        <w:ind w:left="634" w:right="6876" w:hanging="1"/>
        <w:jc w:val="left"/>
      </w:pPr>
      <w:r>
        <w:rPr/>
        <w:t>（</w:t>
      </w:r>
      <w:r>
        <w:rPr>
          <w:rFonts w:ascii="Times New Roman" w:hAnsi="Times New Roman" w:cs="Times New Roman" w:eastAsia="Times New Roman" w:hint="default"/>
        </w:rPr>
        <w:t>2</w:t>
      </w:r>
      <w:r>
        <w:rPr/>
        <w:t>）发出存货的计价方法 计价方法：先进先出法</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left="634" w:right="102"/>
        <w:jc w:val="left"/>
      </w:pPr>
      <w:r>
        <w:rPr/>
        <w:t>取得的存货按实际成本进行初始计量，发出按先进先出法计价。</w:t>
      </w:r>
    </w:p>
    <w:p>
      <w:pPr>
        <w:spacing w:line="240" w:lineRule="auto" w:before="10"/>
        <w:rPr>
          <w:rFonts w:ascii="宋体" w:hAnsi="宋体" w:cs="宋体" w:eastAsia="宋体" w:hint="default"/>
          <w:sz w:val="14"/>
          <w:szCs w:val="14"/>
        </w:rPr>
      </w:pPr>
    </w:p>
    <w:p>
      <w:pPr>
        <w:pStyle w:val="BodyText"/>
        <w:spacing w:line="386" w:lineRule="auto" w:before="0"/>
        <w:ind w:left="634" w:right="7250" w:hanging="1"/>
        <w:jc w:val="left"/>
      </w:pPr>
      <w:r>
        <w:rPr/>
        <w:t>（</w:t>
      </w:r>
      <w:r>
        <w:rPr>
          <w:rFonts w:ascii="Times New Roman" w:hAnsi="Times New Roman" w:cs="Times New Roman" w:eastAsia="Times New Roman" w:hint="default"/>
        </w:rPr>
        <w:t>3</w:t>
      </w:r>
      <w:r>
        <w:rPr/>
        <w:t>）存货的盘存制度 盘存制度：永续盘存制</w:t>
      </w:r>
    </w:p>
    <w:p>
      <w:pPr>
        <w:pStyle w:val="BodyText"/>
        <w:spacing w:line="386" w:lineRule="auto" w:before="65"/>
        <w:ind w:left="634" w:right="5886" w:hanging="1"/>
        <w:jc w:val="left"/>
      </w:pPr>
      <w:r>
        <w:rPr/>
        <w:t>（</w:t>
      </w:r>
      <w:r>
        <w:rPr>
          <w:rFonts w:ascii="Times New Roman" w:hAnsi="Times New Roman" w:cs="Times New Roman" w:eastAsia="Times New Roman" w:hint="default"/>
        </w:rPr>
        <w:t>4</w:t>
      </w:r>
      <w:r>
        <w:rPr/>
        <w:t>）低值易耗品和包装物的摊销方法 低值易耗品采用一次摊销法。</w:t>
      </w:r>
    </w:p>
    <w:p>
      <w:pPr>
        <w:pStyle w:val="BodyText"/>
        <w:spacing w:line="240" w:lineRule="auto" w:before="65"/>
        <w:ind w:left="471" w:right="7182"/>
        <w:jc w:val="center"/>
      </w:pPr>
      <w:r>
        <w:rPr/>
        <w:t>包装物采用一次摊销法。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6"/>
        <w:spacing w:line="240" w:lineRule="auto"/>
        <w:ind w:right="6771"/>
        <w:jc w:val="left"/>
        <w:rPr>
          <w:b w:val="0"/>
          <w:bCs w:val="0"/>
        </w:rPr>
      </w:pPr>
      <w:r>
        <w:rPr>
          <w:rFonts w:ascii="Times New Roman" w:hAnsi="Times New Roman" w:cs="Times New Roman" w:eastAsia="Times New Roman" w:hint="default"/>
        </w:rPr>
        <w:t>13</w:t>
      </w:r>
      <w:r>
        <w:rPr/>
        <w:t>、</w:t>
      </w:r>
      <w:r>
        <w:rPr>
          <w:spacing w:val="-2"/>
        </w:rPr>
        <w:t> </w:t>
      </w:r>
      <w:r>
        <w:rPr/>
        <w:t>发放贷款及垫款</w:t>
      </w:r>
      <w:r>
        <w:rPr>
          <w:b w:val="0"/>
          <w:bCs w:val="0"/>
        </w:rPr>
      </w:r>
    </w:p>
    <w:p>
      <w:pPr>
        <w:spacing w:line="240" w:lineRule="auto" w:before="0"/>
        <w:rPr>
          <w:rFonts w:ascii="宋体" w:hAnsi="宋体" w:cs="宋体" w:eastAsia="宋体" w:hint="default"/>
          <w:b/>
          <w:bCs/>
          <w:sz w:val="22"/>
          <w:szCs w:val="22"/>
        </w:rPr>
      </w:pPr>
    </w:p>
    <w:p>
      <w:pPr>
        <w:pStyle w:val="Heading6"/>
        <w:spacing w:line="240" w:lineRule="auto" w:before="189"/>
        <w:ind w:left="153" w:right="6771"/>
        <w:jc w:val="left"/>
        <w:rPr>
          <w:b w:val="0"/>
          <w:bCs w:val="0"/>
        </w:rPr>
      </w:pPr>
      <w:r>
        <w:rPr/>
        <w:t>（</w:t>
      </w:r>
      <w:r>
        <w:rPr>
          <w:rFonts w:ascii="Times New Roman" w:hAnsi="Times New Roman" w:cs="Times New Roman" w:eastAsia="Times New Roman" w:hint="default"/>
        </w:rPr>
        <w:t>1</w:t>
      </w:r>
      <w:r>
        <w:rPr/>
        <w:t>）贷款</w:t>
      </w:r>
      <w:r>
        <w:rPr>
          <w:b w:val="0"/>
          <w:bCs w:val="0"/>
        </w:rPr>
      </w:r>
    </w:p>
    <w:p>
      <w:pPr>
        <w:pStyle w:val="BodyText"/>
        <w:spacing w:line="408" w:lineRule="auto" w:before="177"/>
        <w:ind w:left="153" w:right="199" w:firstLine="480"/>
        <w:jc w:val="left"/>
      </w:pPr>
      <w:r>
        <w:rPr>
          <w:spacing w:val="-2"/>
        </w:rPr>
        <w:t>本公司按当前市场条件发放的贷款，按发放贷款的本金作为初始确认金额。贷款持有期间所确认的利</w:t>
      </w:r>
      <w:r>
        <w:rPr/>
        <w:t> 息收入，根据实际利率计算。实际利率在发放贷款时确定，在贷款合同规定期间内保持不变。</w:t>
      </w:r>
    </w:p>
    <w:p>
      <w:pPr>
        <w:spacing w:line="386" w:lineRule="auto" w:before="46"/>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）贷款减值准备的确认标准和计提方法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期末对每一单项贷款按其资产质量分为正常、关注、次级、可疑和损失五类，其主要分类标准和计提</w:t>
      </w:r>
    </w:p>
    <w:p>
      <w:pPr>
        <w:pStyle w:val="BodyText"/>
        <w:spacing w:line="408" w:lineRule="auto" w:before="65"/>
        <w:ind w:left="633" w:right="102" w:hanging="480"/>
        <w:jc w:val="left"/>
        <w:rPr>
          <w:rFonts w:ascii="Times New Roman" w:hAnsi="Times New Roman" w:cs="Times New Roman" w:eastAsia="Times New Roman" w:hint="default"/>
        </w:rPr>
      </w:pPr>
      <w:r>
        <w:rPr/>
        <w:t>损失准备的比例为： </w:t>
      </w:r>
      <w:r>
        <w:rPr>
          <w:spacing w:val="-3"/>
        </w:rPr>
        <w:t>正常：交易对手能够履行合同或协议，没有足够理由怀疑债务本金和利息不能按时足额偿还，按</w:t>
      </w:r>
      <w:r>
        <w:rPr>
          <w:rFonts w:ascii="Times New Roman" w:hAnsi="Times New Roman" w:cs="Times New Roman" w:eastAsia="Times New Roman" w:hint="default"/>
          <w:spacing w:val="-3"/>
        </w:rPr>
        <w:t>1.5%</w:t>
      </w:r>
    </w:p>
    <w:p>
      <w:pPr>
        <w:pStyle w:val="BodyText"/>
        <w:spacing w:line="240" w:lineRule="auto" w:before="14"/>
        <w:ind w:left="153" w:right="6771"/>
        <w:jc w:val="left"/>
      </w:pPr>
      <w:r>
        <w:rPr/>
        <w:t>计提损失准备。</w:t>
      </w:r>
    </w:p>
    <w:p>
      <w:pPr>
        <w:spacing w:line="240" w:lineRule="auto" w:before="10"/>
        <w:rPr>
          <w:rFonts w:ascii="宋体" w:hAnsi="宋体" w:cs="宋体" w:eastAsia="宋体" w:hint="default"/>
          <w:sz w:val="14"/>
          <w:szCs w:val="14"/>
        </w:rPr>
      </w:pPr>
    </w:p>
    <w:p>
      <w:pPr>
        <w:pStyle w:val="BodyText"/>
        <w:spacing w:line="408" w:lineRule="auto" w:before="0"/>
        <w:ind w:left="153" w:right="102" w:firstLine="480"/>
        <w:jc w:val="left"/>
      </w:pPr>
      <w:r>
        <w:rPr>
          <w:spacing w:val="-2"/>
        </w:rPr>
        <w:t>关注：尽管交易对手目前有能力偿还，但存在一些可能对偿还产生不利影响的因素的债权类资产；交</w:t>
      </w:r>
      <w:r>
        <w:rPr/>
        <w:t> 易对手的现金偿还能力出现明显问题，但交易对手的抵押或质押的可变现资产大于等于债务本金及收益，</w:t>
      </w:r>
      <w:r>
        <w:rPr>
          <w:spacing w:val="-36"/>
        </w:rPr>
        <w:t> </w:t>
      </w:r>
      <w:r>
        <w:rPr>
          <w:spacing w:val="-36"/>
        </w:rPr>
      </w:r>
      <w:r>
        <w:rPr/>
        <w:t>按</w:t>
      </w:r>
      <w:r>
        <w:rPr>
          <w:rFonts w:ascii="Times New Roman" w:hAnsi="Times New Roman" w:cs="Times New Roman" w:eastAsia="Times New Roman" w:hint="default"/>
        </w:rPr>
        <w:t>3%</w:t>
      </w:r>
      <w:r>
        <w:rPr/>
        <w:t>计提损失准备。</w:t>
      </w:r>
    </w:p>
    <w:p>
      <w:pPr>
        <w:pStyle w:val="BodyText"/>
        <w:spacing w:line="408" w:lineRule="auto" w:before="14"/>
        <w:ind w:left="153" w:right="102" w:firstLine="480"/>
        <w:jc w:val="left"/>
      </w:pPr>
      <w:r>
        <w:rPr/>
        <w:t>次级：交易对手的偿还能力出现明显问题，完全依靠其正常经营收入无法足额偿还债务本金及收益，</w:t>
      </w:r>
      <w:r>
        <w:rPr>
          <w:spacing w:val="1"/>
        </w:rPr>
        <w:t> </w:t>
      </w:r>
      <w:r>
        <w:rPr/>
        <w:t>即使执行担保，也可能会造成一定损失，按</w:t>
      </w:r>
      <w:r>
        <w:rPr>
          <w:rFonts w:ascii="Times New Roman" w:hAnsi="Times New Roman" w:cs="Times New Roman" w:eastAsia="Times New Roman" w:hint="default"/>
        </w:rPr>
        <w:t>30%</w:t>
      </w:r>
      <w:r>
        <w:rPr/>
        <w:t>计提损失准备。</w:t>
      </w:r>
    </w:p>
    <w:p>
      <w:pPr>
        <w:pStyle w:val="BodyText"/>
        <w:spacing w:line="386" w:lineRule="auto" w:before="14"/>
        <w:ind w:left="153" w:right="102" w:firstLine="480"/>
        <w:jc w:val="left"/>
      </w:pPr>
      <w:r>
        <w:rPr>
          <w:spacing w:val="-2"/>
        </w:rPr>
        <w:t>可疑：交易对手无法足额偿还债务本金及利息，即使执行担保，也肯定要造成较大损失，按</w:t>
      </w:r>
      <w:r>
        <w:rPr>
          <w:rFonts w:ascii="Times New Roman" w:hAnsi="Times New Roman" w:cs="Times New Roman" w:eastAsia="Times New Roman" w:hint="default"/>
          <w:spacing w:val="-2"/>
        </w:rPr>
        <w:t>60%</w:t>
      </w:r>
      <w:r>
        <w:rPr>
          <w:spacing w:val="-2"/>
        </w:rPr>
        <w:t>计提</w:t>
      </w:r>
      <w:r>
        <w:rPr/>
        <w:t> 损失准备。</w:t>
      </w:r>
    </w:p>
    <w:p>
      <w:pPr>
        <w:pStyle w:val="BodyText"/>
        <w:spacing w:line="408" w:lineRule="auto" w:before="106"/>
        <w:ind w:left="153" w:right="196"/>
        <w:jc w:val="left"/>
      </w:pPr>
      <w:r>
        <w:rPr>
          <w:spacing w:val="-5"/>
        </w:rPr>
        <w:t>损失：在采取所有可能的措施或一切必要的法律程序后，资产及收益仍然无法收回，或只能收回极少部分，</w:t>
      </w:r>
      <w:r>
        <w:rPr>
          <w:spacing w:val="-101"/>
        </w:rPr>
        <w:t> </w:t>
      </w:r>
      <w:r>
        <w:rPr>
          <w:spacing w:val="-101"/>
        </w:rPr>
      </w:r>
      <w:r>
        <w:rPr/>
        <w:t>按</w:t>
      </w:r>
      <w:r>
        <w:rPr>
          <w:rFonts w:ascii="Times New Roman" w:hAnsi="Times New Roman" w:cs="Times New Roman" w:eastAsia="Times New Roman" w:hint="default"/>
        </w:rPr>
        <w:t>100%</w:t>
      </w:r>
      <w:r>
        <w:rPr/>
        <w:t>计提损失准备。</w:t>
      </w:r>
    </w:p>
    <w:p>
      <w:pPr>
        <w:spacing w:line="240" w:lineRule="auto" w:before="0"/>
        <w:rPr>
          <w:rFonts w:ascii="宋体" w:hAnsi="宋体" w:cs="宋体" w:eastAsia="宋体" w:hint="default"/>
          <w:sz w:val="24"/>
          <w:szCs w:val="24"/>
        </w:rPr>
      </w:pPr>
    </w:p>
    <w:p>
      <w:pPr>
        <w:pStyle w:val="Heading6"/>
        <w:spacing w:line="240" w:lineRule="auto"/>
        <w:ind w:right="6771"/>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spacing w:line="386" w:lineRule="auto" w:before="188"/>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2"/>
          <w:sz w:val="21"/>
          <w:szCs w:val="21"/>
        </w:rPr>
        <w:t>共同控制，是指按照相关约定对某项安排所共有的控制，并且该安排的相关活动必须经过分享控制权</w:t>
      </w:r>
    </w:p>
    <w:p>
      <w:pPr>
        <w:spacing w:after="0" w:line="38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0" w:lineRule="auto" w:before="35"/>
        <w:ind w:right="150"/>
        <w:jc w:val="both"/>
        <w:rPr>
          <w:rFonts w:ascii="Times New Roman" w:hAnsi="Times New Roman" w:cs="Times New Roman" w:eastAsia="Times New Roman" w:hint="default"/>
        </w:rPr>
      </w:pPr>
      <w:r>
        <w:rPr>
          <w:spacing w:val="-1"/>
        </w:rPr>
        <w:t>的参与方一致同意后才能决策。本公司与其他合营方一同对被投资单位实施共同控制且对被投资单位净资</w:t>
      </w:r>
      <w:r>
        <w:rPr>
          <w:spacing w:val="-81"/>
        </w:rPr>
        <w:t> </w:t>
      </w:r>
      <w:r>
        <w:rPr>
          <w:spacing w:val="-81"/>
        </w:rPr>
      </w:r>
      <w:r>
        <w:rPr>
          <w:spacing w:val="-1"/>
        </w:rPr>
        <w:t>产享有权利的，被投资单位为本公司的合营企业。重大影响，是指对一个企业的财务和经营决策有参与决</w:t>
      </w:r>
      <w:r>
        <w:rPr>
          <w:spacing w:val="-83"/>
        </w:rPr>
        <w:t> </w:t>
      </w:r>
      <w:r>
        <w:rPr>
          <w:spacing w:val="-83"/>
        </w:rPr>
      </w:r>
      <w:r>
        <w:rPr/>
        <w:t>策的权力，但并不能够控制或者与其他方一起共同控制这些政策的制定。</w:t>
      </w:r>
      <w:r>
        <w:rPr>
          <w:spacing w:val="-59"/>
        </w:rPr>
        <w:t> </w:t>
      </w:r>
      <w:r>
        <w:rPr>
          <w:rFonts w:ascii="Times New Roman" w:hAnsi="Times New Roman" w:cs="Times New Roman" w:eastAsia="Times New Roman" w:hint="default"/>
        </w:rPr>
        <w:t>??</w:t>
      </w:r>
      <w:r>
        <w:rPr/>
        <w:t>够对</w:t>
      </w:r>
      <w:r>
        <w:rPr>
          <w:rFonts w:ascii="Times New Roman" w:hAnsi="Times New Roman" w:cs="Times New Roman" w:eastAsia="Times New Roman" w:hint="default"/>
        </w:rPr>
        <w:t>??</w:t>
      </w:r>
      <w:r>
        <w:rPr/>
        <w:t>资单</w:t>
      </w:r>
      <w:r>
        <w:rPr>
          <w:rFonts w:ascii="Times New Roman" w:hAnsi="Times New Roman" w:cs="Times New Roman" w:eastAsia="Times New Roman" w:hint="default"/>
        </w:rPr>
        <w:t>??????</w:t>
      </w:r>
      <w:r>
        <w:rPr/>
        <w:t>响</w:t>
      </w:r>
      <w:r>
        <w:rPr>
          <w:rFonts w:ascii="Times New Roman" w:hAnsi="Times New Roman" w:cs="Times New Roman" w:eastAsia="Times New Roman" w:hint="default"/>
        </w:rPr>
        <w:t>????</w:t>
      </w:r>
      <w:r>
        <w:rPr/>
        <w:t>资单</w:t>
      </w:r>
      <w:r>
        <w:rPr>
          <w:rFonts w:ascii="Times New Roman" w:hAnsi="Times New Roman" w:cs="Times New Roman" w:eastAsia="Times New Roman" w:hint="default"/>
        </w:rPr>
        <w:t>? </w:t>
      </w:r>
      <w:r>
        <w:rPr/>
        <w:t>为</w:t>
      </w:r>
      <w:r>
        <w:rPr>
          <w:rFonts w:ascii="Times New Roman" w:hAnsi="Times New Roman" w:cs="Times New Roman" w:eastAsia="Times New Roman" w:hint="default"/>
        </w:rPr>
        <w:t>???</w:t>
      </w:r>
      <w:r>
        <w:rPr/>
        <w:t>联营</w:t>
      </w:r>
      <w:r>
        <w:rPr>
          <w:rFonts w:ascii="Times New Roman" w:hAnsi="Times New Roman" w:cs="Times New Roman" w:eastAsia="Times New Roman" w:hint="default"/>
        </w:rPr>
        <w:t>?</w:t>
      </w:r>
      <w:r>
        <w:rPr/>
        <w:t>业</w:t>
      </w:r>
      <w:r>
        <w:rPr>
          <w:rFonts w:ascii="Times New Roman" w:hAnsi="Times New Roman" w:cs="Times New Roman" w:eastAsia="Times New Roman" w:hint="default"/>
        </w:rPr>
        <w:t>?</w:t>
      </w:r>
    </w:p>
    <w:p>
      <w:pPr>
        <w:pStyle w:val="Heading6"/>
        <w:spacing w:line="240" w:lineRule="auto" w:before="21"/>
        <w:ind w:right="0"/>
        <w:jc w:val="both"/>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408" w:lineRule="auto" w:before="177"/>
        <w:ind w:left="574" w:right="0" w:firstLine="60"/>
        <w:jc w:val="left"/>
      </w:pPr>
      <w:r>
        <w:rPr/>
        <w:t>①</w:t>
      </w:r>
      <w:r>
        <w:rPr>
          <w:spacing w:val="-21"/>
        </w:rPr>
        <w:t> </w:t>
      </w:r>
      <w:r>
        <w:rPr/>
        <w:t>企业合并形成的长期股权投资</w:t>
      </w:r>
      <w:r>
        <w:rPr/>
        <w:t> </w:t>
      </w:r>
      <w:r>
        <w:rPr>
          <w:spacing w:val="-1"/>
        </w:rPr>
        <w:t>同一控制下的企业合并：公司以支付现金、转让非现金资产或承担债务方式以及以发行权益性证券作</w:t>
      </w:r>
    </w:p>
    <w:p>
      <w:pPr>
        <w:pStyle w:val="BodyText"/>
        <w:spacing w:line="408" w:lineRule="auto"/>
        <w:ind w:right="0"/>
        <w:jc w:val="left"/>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t>日</w:t>
      </w:r>
      <w:r>
        <w:rPr>
          <w:spacing w:val="-21"/>
        </w:rPr>
        <w:t> </w:t>
      </w:r>
      <w:r>
        <w:rPr/>
        <w:t>进一步取得股份新支付对价的账面价值之和的差额，调整股本溢价，股本溢价不足冲减的，冲减留存</w:t>
      </w:r>
      <w:r>
        <w:rPr/>
        <w:t> 收益。</w:t>
      </w:r>
    </w:p>
    <w:p>
      <w:pPr>
        <w:pStyle w:val="BodyText"/>
        <w:spacing w:line="408" w:lineRule="auto"/>
        <w:ind w:right="149"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8" w:lineRule="auto"/>
        <w:ind w:left="634" w:right="138"/>
        <w:jc w:val="left"/>
      </w:pPr>
      <w:r>
        <w:rPr/>
        <w:t>②</w:t>
      </w:r>
      <w:r>
        <w:rPr>
          <w:spacing w:val="-21"/>
        </w:rPr>
        <w:t> </w:t>
      </w:r>
      <w:r>
        <w:rPr/>
        <w:t>其他方式取得的长期股权投资</w:t>
      </w:r>
      <w:r>
        <w:rPr/>
        <w:t>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w:t>
      </w:r>
    </w:p>
    <w:p>
      <w:pPr>
        <w:pStyle w:val="BodyText"/>
        <w:spacing w:line="408" w:lineRule="auto"/>
        <w:ind w:right="149"/>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634"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Heading6"/>
        <w:spacing w:line="240" w:lineRule="auto"/>
        <w:ind w:right="0"/>
        <w:jc w:val="both"/>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408" w:lineRule="auto" w:before="177"/>
        <w:ind w:left="634" w:right="138"/>
        <w:jc w:val="left"/>
      </w:pPr>
      <w:r>
        <w:rPr/>
        <w:t>①</w:t>
      </w:r>
      <w:r>
        <w:rPr>
          <w:spacing w:val="-21"/>
        </w:rPr>
        <w:t> </w:t>
      </w:r>
      <w:r>
        <w:rPr/>
        <w:t>成本法核算的长期股权投资</w:t>
      </w:r>
      <w:r>
        <w:rPr/>
        <w:t> </w:t>
      </w:r>
      <w:r>
        <w:rPr>
          <w:spacing w:val="-2"/>
        </w:rPr>
        <w:t>公司对子公司的长期股权投资，采用成本法核算。除取得投资时实际支付的价款或对价中包含的已宣</w:t>
      </w:r>
    </w:p>
    <w:p>
      <w:pPr>
        <w:pStyle w:val="BodyText"/>
        <w:spacing w:line="408" w:lineRule="auto"/>
        <w:ind w:right="149"/>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240" w:lineRule="auto"/>
        <w:ind w:left="634" w:right="0"/>
        <w:jc w:val="left"/>
      </w:pPr>
      <w:r>
        <w:rPr/>
        <w:t>②</w:t>
      </w:r>
      <w:r>
        <w:rPr>
          <w:spacing w:val="-21"/>
        </w:rPr>
        <w:t> </w:t>
      </w:r>
      <w:r>
        <w:rPr/>
        <w:t>权益法核算的长期股权投资</w:t>
      </w:r>
    </w:p>
    <w:p>
      <w:pPr>
        <w:spacing w:after="0" w:line="240" w:lineRule="auto"/>
        <w:jc w:val="left"/>
        <w:sectPr>
          <w:footerReference w:type="default" r:id="rId28"/>
          <w:pgSz w:w="11910" w:h="16840"/>
          <w:pgMar w:footer="982" w:header="877" w:top="1100" w:bottom="1180" w:left="980" w:right="980"/>
          <w:pgNumType w:start="133"/>
        </w:sectPr>
      </w:pPr>
    </w:p>
    <w:p>
      <w:pPr>
        <w:spacing w:line="240" w:lineRule="auto" w:before="8"/>
        <w:rPr>
          <w:rFonts w:ascii="宋体" w:hAnsi="宋体" w:cs="宋体" w:eastAsia="宋体" w:hint="default"/>
          <w:sz w:val="26"/>
          <w:szCs w:val="26"/>
        </w:rPr>
      </w:pPr>
    </w:p>
    <w:p>
      <w:pPr>
        <w:pStyle w:val="BodyText"/>
        <w:spacing w:line="408" w:lineRule="auto" w:before="35"/>
        <w:ind w:right="311" w:firstLine="480"/>
        <w:jc w:val="both"/>
      </w:pPr>
      <w:r>
        <w:rPr>
          <w:spacing w:val="-2"/>
        </w:rPr>
        <w:t>对联营企业和合营企业的长期股权投资，采用权益法核算。初始投资成本大于投资时应享有被投资单</w:t>
      </w:r>
      <w:r>
        <w:rPr/>
        <w:t> </w:t>
      </w: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ind w:right="311" w:firstLine="480"/>
        <w:jc w:val="both"/>
      </w:pPr>
      <w:r>
        <w:rPr>
          <w:spacing w:val="-2"/>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408" w:lineRule="auto"/>
        <w:ind w:right="90" w:firstLine="480"/>
        <w:jc w:val="left"/>
      </w:pPr>
      <w:r>
        <w:rPr>
          <w:spacing w:val="-2"/>
        </w:rPr>
        <w:t>在确认应享有被投资单位净损益的份额时，以取得投资时被投资单位可辨认净资产的公允价值为基础，</w:t>
      </w:r>
      <w:r>
        <w:rPr/>
        <w:t>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BodyText"/>
        <w:spacing w:line="403" w:lineRule="auto"/>
        <w:ind w:right="90" w:firstLine="480"/>
        <w:jc w:val="left"/>
      </w:pPr>
      <w:r>
        <w:rPr>
          <w:spacing w:val="-2"/>
        </w:rPr>
        <w:t>公司与联营企业、合营企业之间发生的未实现内部交易损益按照应享有的比例计算归属于公司的部分，</w:t>
      </w:r>
      <w:r>
        <w:rPr/>
        <w:t> 予以抵销，在此基础上确认投资收益。与被投资单位发生的未实现内部交易损失，属于资产减值损失的，</w:t>
      </w:r>
      <w:r>
        <w:rPr>
          <w:spacing w:val="-36"/>
        </w:rPr>
        <w:t> </w:t>
      </w:r>
      <w:r>
        <w:rPr>
          <w:spacing w:val="-36"/>
        </w:rPr>
      </w:r>
      <w:r>
        <w:rPr/>
        <w:t>全额确认。公司与联营企业、 合营企业之间发生投出或出售资产的交易，</w:t>
      </w:r>
      <w:r>
        <w:rPr>
          <w:spacing w:val="-42"/>
        </w:rPr>
        <w:t> </w:t>
      </w:r>
      <w:r>
        <w:rPr/>
        <w:t>该资产构成业务的，按照本附</w:t>
      </w:r>
      <w:r>
        <w:rPr/>
        <w:t> 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5</w:t>
      </w:r>
      <w:r>
        <w:rPr/>
        <w:t>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中披露 的相关政策进行会计处理。</w:t>
      </w:r>
    </w:p>
    <w:p>
      <w:pPr>
        <w:pStyle w:val="BodyText"/>
        <w:spacing w:line="408" w:lineRule="auto" w:before="50"/>
        <w:ind w:right="311" w:firstLine="480"/>
        <w:jc w:val="both"/>
      </w:pPr>
      <w:r>
        <w:rPr>
          <w:spacing w:val="-2"/>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spacing w:line="386" w:lineRule="auto" w:before="46"/>
        <w:ind w:left="634" w:right="298"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2"/>
          <w:sz w:val="21"/>
          <w:szCs w:val="21"/>
        </w:rPr>
        <w:t>处置长期股权投资，其账面价值与实际取得价款的差额，计入当期损益。采用权益法核算的长期股权</w:t>
      </w:r>
    </w:p>
    <w:p>
      <w:pPr>
        <w:pStyle w:val="BodyText"/>
        <w:spacing w:line="408" w:lineRule="auto" w:before="65"/>
        <w:ind w:right="309"/>
        <w:jc w:val="both"/>
      </w:pPr>
      <w:r>
        <w:rPr>
          <w:spacing w:val="-1"/>
        </w:rPr>
        <w:t>投资，在处置该项投资时，采用与被投资单位直接处置相关资产或负债相同的基础，按相应比例对原计入</w:t>
      </w:r>
      <w:r>
        <w:rPr>
          <w:spacing w:val="-83"/>
        </w:rPr>
        <w:t> </w:t>
      </w:r>
      <w:r>
        <w:rPr>
          <w:spacing w:val="-83"/>
        </w:rPr>
      </w:r>
      <w:r>
        <w:rPr>
          <w:spacing w:val="-1"/>
        </w:rPr>
        <w:t>其他综合收益的部分进行会计处理。因被投资单位除净损益、其他综合收益和利润分配以外的其他所有者</w:t>
      </w:r>
      <w:r>
        <w:rPr>
          <w:spacing w:val="-81"/>
        </w:rPr>
        <w:t> </w:t>
      </w:r>
      <w:r>
        <w:rPr>
          <w:spacing w:val="-81"/>
        </w:rPr>
      </w:r>
      <w:r>
        <w:rPr>
          <w:spacing w:val="-1"/>
        </w:rPr>
        <w:t>权益变动而确认的所有者权益，按比例结转入当期损益，由于被投资方重新计量设定受益计划净负债或净</w:t>
      </w:r>
      <w:r>
        <w:rPr>
          <w:spacing w:val="-81"/>
        </w:rPr>
        <w:t> </w:t>
      </w:r>
      <w:r>
        <w:rPr>
          <w:spacing w:val="-81"/>
        </w:rPr>
      </w:r>
      <w:r>
        <w:rPr/>
        <w:t>资产变动而产生的其他综合收益除外。</w:t>
      </w:r>
    </w:p>
    <w:p>
      <w:pPr>
        <w:pStyle w:val="BodyText"/>
        <w:spacing w:line="408" w:lineRule="auto"/>
        <w:ind w:right="309" w:firstLine="480"/>
        <w:jc w:val="both"/>
      </w:pPr>
      <w:r>
        <w:rPr>
          <w:spacing w:val="-2"/>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p>
    <w:p>
      <w:pPr>
        <w:spacing w:after="0" w:line="408" w:lineRule="auto"/>
        <w:jc w:val="both"/>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08" w:lineRule="auto" w:before="35"/>
        <w:ind w:left="633" w:right="199" w:hanging="480"/>
        <w:jc w:val="left"/>
      </w:pPr>
      <w:r>
        <w:rPr/>
        <w:t>外的其他所有者权益变动而确认的所有者权益，在终止采用权益法核算时全部转入当期损益。 </w:t>
      </w:r>
      <w:r>
        <w:rPr>
          <w:spacing w:val="-2"/>
        </w:rPr>
        <w:t>因处置部分股权投资等原因丧失了对被投资单位控制权的，在编制个别财务报表时，处置后的剩余股</w:t>
      </w:r>
    </w:p>
    <w:p>
      <w:pPr>
        <w:pStyle w:val="BodyText"/>
        <w:spacing w:line="408" w:lineRule="auto"/>
        <w:ind w:left="153" w:right="211"/>
        <w:jc w:val="both"/>
      </w:pP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left="153" w:right="211" w:firstLine="480"/>
        <w:jc w:val="both"/>
      </w:pPr>
      <w:r>
        <w:rPr>
          <w:spacing w:val="-2"/>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0"/>
          <w:szCs w:val="20"/>
        </w:rPr>
      </w:pPr>
    </w:p>
    <w:p>
      <w:pPr>
        <w:pStyle w:val="Heading6"/>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153" w:right="7731"/>
        <w:jc w:val="left"/>
      </w:pPr>
      <w:r>
        <w:rPr/>
        <w:t>投资性房地产计量模式 成本法计量</w:t>
      </w:r>
    </w:p>
    <w:p>
      <w:pPr>
        <w:spacing w:line="240" w:lineRule="auto" w:before="4"/>
        <w:rPr>
          <w:rFonts w:ascii="宋体" w:hAnsi="宋体" w:cs="宋体" w:eastAsia="宋体" w:hint="default"/>
          <w:sz w:val="28"/>
          <w:szCs w:val="28"/>
        </w:rPr>
      </w:pPr>
    </w:p>
    <w:p>
      <w:pPr>
        <w:pStyle w:val="BodyText"/>
        <w:spacing w:line="307" w:lineRule="auto" w:before="0"/>
        <w:ind w:left="573" w:right="8361" w:hanging="420"/>
        <w:jc w:val="left"/>
      </w:pPr>
      <w:r>
        <w:rPr/>
        <w:t>折旧或摊销方法 直线法</w:t>
      </w:r>
    </w:p>
    <w:p>
      <w:pPr>
        <w:spacing w:line="240" w:lineRule="auto" w:before="5"/>
        <w:rPr>
          <w:rFonts w:ascii="宋体" w:hAnsi="宋体" w:cs="宋体" w:eastAsia="宋体" w:hint="default"/>
          <w:sz w:val="21"/>
          <w:szCs w:val="21"/>
        </w:rPr>
      </w:pPr>
    </w:p>
    <w:p>
      <w:pPr>
        <w:pStyle w:val="Heading6"/>
        <w:spacing w:line="240" w:lineRule="auto"/>
        <w:ind w:left="153"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153" w:right="102"/>
        <w:jc w:val="left"/>
      </w:pPr>
      <w:r>
        <w:rPr/>
        <w:t>固定资产指为生产商品、提供劳务、出租或经营管理而持有的，使用寿命超过一个会计年度的有形资产。</w:t>
      </w:r>
      <w:r>
        <w:rPr>
          <w:spacing w:val="-36"/>
        </w:rPr>
        <w:t> </w:t>
      </w:r>
      <w:r>
        <w:rPr>
          <w:spacing w:val="-36"/>
        </w:rPr>
      </w:r>
      <w:r>
        <w:rPr/>
        <w:t>同时满足以下条件时予以确认：</w:t>
      </w:r>
    </w:p>
    <w:p>
      <w:pPr>
        <w:pStyle w:val="BodyText"/>
        <w:spacing w:line="240" w:lineRule="auto" w:before="47"/>
        <w:ind w:left="153" w:right="0"/>
        <w:jc w:val="both"/>
      </w:pPr>
      <w:r>
        <w:rPr/>
        <w:t>①与该固定资产有关的经济利益很可能流入企业；</w:t>
      </w:r>
    </w:p>
    <w:p>
      <w:pPr>
        <w:pStyle w:val="BodyText"/>
        <w:spacing w:line="240" w:lineRule="auto" w:before="76"/>
        <w:ind w:left="153" w:right="0"/>
        <w:jc w:val="both"/>
      </w:pPr>
      <w:r>
        <w:rPr/>
        <w:t>②该固定资产的成本能够可靠地计量。</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9.5%-11.88%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386" w:lineRule="auto" w:before="63"/>
        <w:ind w:left="154"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融资租入固定资产的认定依据：实质上转移了与资产所有权有关的全部风险和报酬的租赁。具体认定依据</w:t>
      </w:r>
    </w:p>
    <w:p>
      <w:pPr>
        <w:spacing w:after="0" w:line="386"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6771"/>
        <w:jc w:val="left"/>
      </w:pPr>
      <w:r>
        <w:rPr/>
        <w:t>为符合下列一项或数项条件的：</w:t>
      </w:r>
    </w:p>
    <w:p>
      <w:pPr>
        <w:spacing w:line="240" w:lineRule="auto" w:before="10"/>
        <w:rPr>
          <w:rFonts w:ascii="宋体" w:hAnsi="宋体" w:cs="宋体" w:eastAsia="宋体" w:hint="default"/>
          <w:sz w:val="14"/>
          <w:szCs w:val="14"/>
        </w:rPr>
      </w:pPr>
    </w:p>
    <w:p>
      <w:pPr>
        <w:pStyle w:val="BodyText"/>
        <w:tabs>
          <w:tab w:pos="725" w:val="left" w:leader="none"/>
        </w:tabs>
        <w:spacing w:line="240" w:lineRule="auto" w:before="0"/>
        <w:ind w:left="153" w:right="102"/>
        <w:jc w:val="left"/>
      </w:pPr>
      <w:r>
        <w:rPr>
          <w:rFonts w:ascii="新宋体" w:hAnsi="新宋体" w:cs="新宋体" w:eastAsia="新宋体" w:hint="default"/>
        </w:rPr>
        <w:t>①</w:t>
        <w:tab/>
      </w:r>
      <w:r>
        <w:rPr/>
        <w:t>在租赁期届满时，租赁资产的所有权转移给承租人；</w:t>
      </w:r>
    </w:p>
    <w:p>
      <w:pPr>
        <w:spacing w:line="240" w:lineRule="auto" w:before="10"/>
        <w:rPr>
          <w:rFonts w:ascii="宋体" w:hAnsi="宋体" w:cs="宋体" w:eastAsia="宋体" w:hint="default"/>
          <w:sz w:val="14"/>
          <w:szCs w:val="14"/>
        </w:rPr>
      </w:pPr>
    </w:p>
    <w:p>
      <w:pPr>
        <w:pStyle w:val="BodyText"/>
        <w:spacing w:line="408" w:lineRule="auto" w:before="0"/>
        <w:ind w:left="153" w:right="87"/>
        <w:jc w:val="left"/>
      </w:pPr>
      <w:r>
        <w:rPr/>
        <w:t>②</w:t>
      </w:r>
      <w:r>
        <w:rPr>
          <w:spacing w:val="-21"/>
        </w:rPr>
        <w:t> </w:t>
      </w:r>
      <w:r>
        <w:rPr/>
        <w:t>承租人有购买租赁资产的选择权，所订立的购买价款预计将远低于行使选择权时租赁资产的公允价值，</w:t>
      </w:r>
      <w:r>
        <w:rPr/>
        <w:t> 因而在租赁开始日就可以合理确定承租人会行使这种选择权；</w:t>
      </w:r>
    </w:p>
    <w:p>
      <w:pPr>
        <w:pStyle w:val="BodyText"/>
        <w:tabs>
          <w:tab w:pos="573" w:val="left" w:leader="none"/>
        </w:tabs>
        <w:spacing w:line="240" w:lineRule="auto"/>
        <w:ind w:left="153" w:right="102"/>
        <w:jc w:val="left"/>
      </w:pPr>
      <w:r>
        <w:rPr/>
        <w:t>③</w:t>
        <w:tab/>
        <w:t>即使资产的所有权不转移，但租赁期占租赁资产使用寿命的大部分；</w:t>
      </w:r>
    </w:p>
    <w:p>
      <w:pPr>
        <w:spacing w:line="240" w:lineRule="auto" w:before="10"/>
        <w:rPr>
          <w:rFonts w:ascii="宋体" w:hAnsi="宋体" w:cs="宋体" w:eastAsia="宋体" w:hint="default"/>
          <w:sz w:val="14"/>
          <w:szCs w:val="14"/>
        </w:rPr>
      </w:pPr>
    </w:p>
    <w:p>
      <w:pPr>
        <w:pStyle w:val="BodyText"/>
        <w:tabs>
          <w:tab w:pos="573" w:val="left" w:leader="none"/>
        </w:tabs>
        <w:spacing w:line="240" w:lineRule="auto" w:before="0"/>
        <w:ind w:left="153" w:right="102"/>
        <w:jc w:val="left"/>
      </w:pPr>
      <w:r>
        <w:rPr/>
        <w:t>④</w:t>
        <w:tab/>
        <w:t>承租人在租赁开始日的最低租赁付款额现值，几乎相当于租赁开始日租赁资产公允价值；</w:t>
      </w:r>
    </w:p>
    <w:p>
      <w:pPr>
        <w:spacing w:line="240" w:lineRule="auto" w:before="10"/>
        <w:rPr>
          <w:rFonts w:ascii="宋体" w:hAnsi="宋体" w:cs="宋体" w:eastAsia="宋体" w:hint="default"/>
          <w:sz w:val="14"/>
          <w:szCs w:val="14"/>
        </w:rPr>
      </w:pPr>
    </w:p>
    <w:p>
      <w:pPr>
        <w:pStyle w:val="BodyText"/>
        <w:spacing w:line="408" w:lineRule="auto" w:before="0"/>
        <w:ind w:left="153" w:right="210"/>
        <w:jc w:val="both"/>
      </w:pPr>
      <w:r>
        <w:rPr/>
        <w:t>⑤</w:t>
      </w:r>
      <w:r>
        <w:rPr>
          <w:spacing w:val="82"/>
        </w:rPr>
        <w:t> </w:t>
      </w:r>
      <w:r>
        <w:rPr/>
        <w:t>租赁资产性质特殊，如不作较大改造只有承租人才能使用。融资租入固定资产的计价方法：融资租入</w:t>
      </w:r>
      <w:r>
        <w:rPr/>
        <w:t> </w:t>
      </w:r>
      <w:r>
        <w:rPr>
          <w:spacing w:val="-1"/>
        </w:rPr>
        <w:t>固定资产初始计价为租赁期开始日租赁资产公允价值与最低租赁付款额现值较低者作为入账价值；融资租</w:t>
      </w:r>
      <w:r>
        <w:rPr>
          <w:spacing w:val="-81"/>
        </w:rPr>
        <w:t> </w:t>
      </w:r>
      <w:r>
        <w:rPr>
          <w:spacing w:val="-81"/>
        </w:rPr>
      </w:r>
      <w:r>
        <w:rPr/>
        <w:t>入固定资产后续计价采用与自有固定资产相一致的折旧政策计提折旧及减值准备。</w:t>
      </w:r>
    </w:p>
    <w:p>
      <w:pPr>
        <w:spacing w:line="398" w:lineRule="auto" w:before="46"/>
        <w:ind w:left="153" w:right="62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 否</w:t>
      </w:r>
    </w:p>
    <w:p>
      <w:pPr>
        <w:spacing w:line="386" w:lineRule="auto" w:before="54"/>
        <w:ind w:left="573" w:right="6471"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在建工程按工程项目分类核算。</w:t>
      </w:r>
    </w:p>
    <w:p>
      <w:pPr>
        <w:spacing w:line="386" w:lineRule="auto" w:before="65"/>
        <w:ind w:left="574"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在工程完工验收合格交付使用的当月结转固定资产。对已达到预定可使用状态但尚未办理竣工决算的</w:t>
      </w:r>
    </w:p>
    <w:p>
      <w:pPr>
        <w:pStyle w:val="BodyText"/>
        <w:spacing w:line="408" w:lineRule="auto" w:before="65"/>
        <w:ind w:left="153" w:right="196"/>
        <w:jc w:val="left"/>
      </w:pPr>
      <w:r>
        <w:rPr>
          <w:spacing w:val="-5"/>
        </w:rPr>
        <w:t>固定资产，按照估计价值确定其成本，并计提折旧；待办理竣工决算后，按实际成本调整原来的暂估价值，</w:t>
      </w:r>
      <w:r>
        <w:rPr>
          <w:spacing w:val="-102"/>
        </w:rPr>
        <w:t> </w:t>
      </w:r>
      <w:r>
        <w:rPr>
          <w:spacing w:val="-102"/>
        </w:rPr>
      </w:r>
      <w:r>
        <w:rPr/>
        <w:t>但不调整原已计提的折旧额。</w:t>
      </w:r>
    </w:p>
    <w:p>
      <w:pPr>
        <w:spacing w:line="386" w:lineRule="auto" w:before="46"/>
        <w:ind w:left="578" w:right="102" w:hanging="42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资产负债表日，本公司对在建工程检查是否存在可能发生减值的迹象，当存在减值迹象时应进行减值</w:t>
      </w:r>
    </w:p>
    <w:p>
      <w:pPr>
        <w:pStyle w:val="BodyText"/>
        <w:spacing w:line="408" w:lineRule="auto" w:before="65"/>
        <w:ind w:right="102"/>
        <w:jc w:val="left"/>
      </w:pPr>
      <w:r>
        <w:rPr>
          <w:spacing w:val="-1"/>
        </w:rPr>
        <w:t>测试确认其可收回金额，按账面价值与可收回金额孰低计提减值准备，减值损失一经计提，在以后会计期</w:t>
      </w:r>
      <w:r>
        <w:rPr>
          <w:spacing w:val="-83"/>
        </w:rPr>
        <w:t> </w:t>
      </w:r>
      <w:r>
        <w:rPr>
          <w:spacing w:val="-83"/>
        </w:rPr>
      </w:r>
      <w:r>
        <w:rPr/>
        <w:t>间不再转回。</w:t>
      </w:r>
    </w:p>
    <w:p>
      <w:pPr>
        <w:pStyle w:val="BodyText"/>
        <w:spacing w:line="408" w:lineRule="auto"/>
        <w:ind w:right="380" w:firstLine="420"/>
        <w:jc w:val="left"/>
      </w:pPr>
      <w:r>
        <w:rPr/>
        <w:t>在建工程可收回金额根据资产公允价值减去处置费用后的净额与资产预计未来现金流量的现值两者 孰高确定。</w:t>
      </w:r>
    </w:p>
    <w:p>
      <w:pPr>
        <w:pStyle w:val="Heading6"/>
        <w:spacing w:line="240" w:lineRule="auto" w:before="46"/>
        <w:ind w:right="6771"/>
        <w:jc w:val="left"/>
        <w:rPr>
          <w:b w:val="0"/>
          <w:bCs w:val="0"/>
        </w:rPr>
      </w:pPr>
      <w:r>
        <w:rPr>
          <w:rFonts w:ascii="Times New Roman" w:hAnsi="Times New Roman" w:cs="Times New Roman" w:eastAsia="Times New Roman" w:hint="default"/>
        </w:rPr>
        <w:t>18</w:t>
      </w:r>
      <w:r>
        <w:rPr/>
        <w:t>、借款费用</w:t>
      </w:r>
      <w:r>
        <w:rPr>
          <w:b w:val="0"/>
          <w:bCs w:val="0"/>
        </w:rPr>
      </w:r>
    </w:p>
    <w:p>
      <w:pPr>
        <w:pStyle w:val="BodyText"/>
        <w:spacing w:line="386" w:lineRule="auto" w:before="177"/>
        <w:ind w:left="153" w:right="102"/>
        <w:jc w:val="left"/>
      </w:pPr>
      <w:r>
        <w:rPr/>
        <w:t>（</w:t>
      </w:r>
      <w:r>
        <w:rPr>
          <w:rFonts w:ascii="Times New Roman" w:hAnsi="Times New Roman" w:cs="Times New Roman" w:eastAsia="Times New Roman" w:hint="default"/>
        </w:rPr>
        <w:t>1</w:t>
      </w:r>
      <w:r>
        <w:rPr/>
        <w:t>）借款费用包括借款面值发生的利息、折价或溢价的摊销和辅助费用以及因外币借款而发生的汇兑差 </w:t>
      </w:r>
      <w:r>
        <w:rPr>
          <w:spacing w:val="-2"/>
        </w:rPr>
        <w:t>额，因专门借款而发生的利息、折价或溢价的摊销和汇兑差额</w:t>
      </w:r>
      <w:r>
        <w:rPr>
          <w:rFonts w:ascii="Times New Roman" w:hAnsi="Times New Roman" w:cs="Times New Roman" w:eastAsia="Times New Roman" w:hint="default"/>
          <w:spacing w:val="-2"/>
        </w:rPr>
        <w:t>,</w:t>
      </w:r>
      <w:r>
        <w:rPr>
          <w:spacing w:val="-2"/>
        </w:rPr>
        <w:t>在同时具备下列三个条件时，借款费用予以</w:t>
      </w:r>
      <w:r>
        <w:rPr>
          <w:spacing w:val="-89"/>
        </w:rPr>
        <w:t> </w:t>
      </w:r>
      <w:r>
        <w:rPr>
          <w:spacing w:val="-89"/>
        </w:rPr>
      </w:r>
      <w:r>
        <w:rPr/>
        <w:t>资本化：</w:t>
      </w:r>
    </w:p>
    <w:p>
      <w:pPr>
        <w:pStyle w:val="BodyText"/>
        <w:spacing w:line="240" w:lineRule="auto" w:before="65"/>
        <w:ind w:left="573" w:right="6771"/>
        <w:jc w:val="left"/>
      </w:pPr>
      <w:r>
        <w:rPr/>
        <w:t>①</w:t>
      </w:r>
      <w:r>
        <w:rPr>
          <w:spacing w:val="-21"/>
        </w:rPr>
        <w:t> </w:t>
      </w:r>
      <w:r>
        <w:rPr/>
        <w:t>资产支出已经发生；</w:t>
      </w:r>
    </w:p>
    <w:p>
      <w:pPr>
        <w:spacing w:line="240" w:lineRule="auto" w:before="10"/>
        <w:rPr>
          <w:rFonts w:ascii="宋体" w:hAnsi="宋体" w:cs="宋体" w:eastAsia="宋体" w:hint="default"/>
          <w:sz w:val="14"/>
          <w:szCs w:val="14"/>
        </w:rPr>
      </w:pPr>
    </w:p>
    <w:p>
      <w:pPr>
        <w:pStyle w:val="BodyText"/>
        <w:spacing w:line="240" w:lineRule="auto" w:before="0"/>
        <w:ind w:left="573" w:right="6771"/>
        <w:jc w:val="left"/>
      </w:pPr>
      <w:r>
        <w:rPr/>
        <w:t>②</w:t>
      </w:r>
      <w:r>
        <w:rPr>
          <w:spacing w:val="-21"/>
        </w:rPr>
        <w:t> </w:t>
      </w:r>
      <w:r>
        <w:rPr/>
        <w:t>借款费用已经发生；</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left="573" w:right="1867"/>
        <w:jc w:val="left"/>
      </w:pPr>
      <w:r>
        <w:rPr/>
        <w:t>③</w:t>
      </w:r>
      <w:r>
        <w:rPr>
          <w:spacing w:val="-21"/>
        </w:rPr>
        <w:t> </w:t>
      </w:r>
      <w:r>
        <w:rPr/>
        <w:t>为使资产达到预定可使用或者可销售状态所必要的购建或者生产活动已经开始。</w:t>
      </w:r>
      <w:r>
        <w:rPr/>
        <w:t> 其他的借款利息、折价或溢价的摊销和汇兑差额，在发生当期确认费用。</w:t>
      </w:r>
    </w:p>
    <w:p>
      <w:pPr>
        <w:pStyle w:val="BodyText"/>
        <w:spacing w:line="386" w:lineRule="auto"/>
        <w:ind w:left="634" w:right="90" w:hanging="480"/>
        <w:jc w:val="left"/>
      </w:pPr>
      <w:r>
        <w:rPr/>
        <w:t>（</w:t>
      </w:r>
      <w:r>
        <w:rPr>
          <w:rFonts w:ascii="Times New Roman" w:hAnsi="Times New Roman" w:cs="Times New Roman" w:eastAsia="Times New Roman" w:hint="default"/>
        </w:rPr>
        <w:t>2</w:t>
      </w:r>
      <w:r>
        <w:rPr/>
        <w:t>）资本化金额的确定 </w:t>
      </w:r>
      <w:r>
        <w:rPr>
          <w:spacing w:val="-2"/>
        </w:rPr>
        <w:t>为购建或者生产符合资本化条件的资产而借入专门借款的，应当以专门借款当期实际发生的利息费用，</w:t>
      </w:r>
    </w:p>
    <w:p>
      <w:pPr>
        <w:pStyle w:val="BodyText"/>
        <w:spacing w:line="408" w:lineRule="auto" w:before="65"/>
        <w:ind w:right="311"/>
        <w:jc w:val="both"/>
      </w:pPr>
      <w:r>
        <w:rPr>
          <w:spacing w:val="-1"/>
        </w:rPr>
        <w:t>减去将尚未动用的借款资金存入银行取得的利息收入或进行暂时性投资取得的投资收益后的金额确定。为</w:t>
      </w:r>
      <w:r>
        <w:rPr>
          <w:spacing w:val="-81"/>
        </w:rPr>
        <w:t> </w:t>
      </w:r>
      <w:r>
        <w:rPr>
          <w:spacing w:val="-81"/>
        </w:rPr>
      </w:r>
      <w:r>
        <w:rPr>
          <w:spacing w:val="-1"/>
        </w:rPr>
        <w:t>购建或者生产符合资本化条件的资产而占用了一般借款的，根据项目的累计资产支出超出专门借款部分的</w:t>
      </w:r>
      <w:r>
        <w:rPr>
          <w:spacing w:val="-81"/>
        </w:rPr>
        <w:t> </w:t>
      </w:r>
      <w:r>
        <w:rPr>
          <w:spacing w:val="-81"/>
        </w:rPr>
      </w:r>
      <w:r>
        <w:rPr/>
        <w:t>支出加权平均数乘以所占用一般借款的资本化率，确认一般借款应予资本化的利息金额。</w:t>
      </w:r>
    </w:p>
    <w:p>
      <w:pPr>
        <w:pStyle w:val="BodyText"/>
        <w:spacing w:line="408" w:lineRule="auto"/>
        <w:ind w:right="90" w:firstLine="480"/>
        <w:jc w:val="left"/>
      </w:pPr>
      <w:r>
        <w:rPr>
          <w:spacing w:val="-2"/>
        </w:rPr>
        <w:t>专门借款发生的辅助费用，在所购建或者生产的符合资本化条件的资产达到预定可使用或者可销售状</w:t>
      </w:r>
      <w:r>
        <w:rPr/>
        <w:t> 态之前，应当在发生时根据其发生额予以资本化，计入符合资本化条件的资产的成本；在所购建或者生产 的符合资本化条件的资产达到预定可使用或者可销售状态之后，应当在发生时根据其发生额确认为费用，</w:t>
      </w:r>
      <w:r>
        <w:rPr>
          <w:spacing w:val="-36"/>
        </w:rPr>
        <w:t> </w:t>
      </w:r>
      <w:r>
        <w:rPr>
          <w:spacing w:val="-36"/>
        </w:rPr>
      </w:r>
      <w:r>
        <w:rPr/>
        <w:t>计入当期损益。一般借款发生的辅助费用，于发生时计入当期损益。</w:t>
      </w:r>
    </w:p>
    <w:p>
      <w:pPr>
        <w:pStyle w:val="BodyText"/>
        <w:spacing w:line="240" w:lineRule="auto"/>
        <w:ind w:right="0"/>
        <w:jc w:val="both"/>
      </w:pPr>
      <w:r>
        <w:rPr/>
        <w:t>（</w:t>
      </w:r>
      <w:r>
        <w:rPr>
          <w:rFonts w:ascii="Times New Roman" w:hAnsi="Times New Roman" w:cs="Times New Roman" w:eastAsia="Times New Roman" w:hint="default"/>
        </w:rPr>
        <w:t>3</w:t>
      </w:r>
      <w:r>
        <w:rPr/>
        <w:t>）资本化率的确定</w:t>
      </w:r>
    </w:p>
    <w:p>
      <w:pPr>
        <w:pStyle w:val="BodyText"/>
        <w:spacing w:line="240" w:lineRule="auto" w:before="177"/>
        <w:ind w:left="721" w:right="90"/>
        <w:jc w:val="left"/>
      </w:pPr>
      <w:r>
        <w:rPr/>
        <w:t>①</w:t>
      </w:r>
      <w:r>
        <w:rPr>
          <w:spacing w:val="-21"/>
        </w:rPr>
        <w:t> </w:t>
      </w:r>
      <w:r>
        <w:rPr/>
        <w:t>为购建固定资产借入一笔专门借款，资本化率为该项借款的利率；</w:t>
      </w:r>
    </w:p>
    <w:p>
      <w:pPr>
        <w:spacing w:line="240" w:lineRule="auto" w:before="10"/>
        <w:rPr>
          <w:rFonts w:ascii="宋体" w:hAnsi="宋体" w:cs="宋体" w:eastAsia="宋体" w:hint="default"/>
          <w:sz w:val="14"/>
          <w:szCs w:val="14"/>
        </w:rPr>
      </w:pPr>
    </w:p>
    <w:p>
      <w:pPr>
        <w:pStyle w:val="BodyText"/>
        <w:spacing w:line="240" w:lineRule="auto" w:before="0"/>
        <w:ind w:left="721" w:right="90"/>
        <w:jc w:val="left"/>
      </w:pPr>
      <w:r>
        <w:rPr/>
        <w:t>②</w:t>
      </w:r>
      <w:r>
        <w:rPr>
          <w:spacing w:val="-21"/>
        </w:rPr>
        <w:t> </w:t>
      </w:r>
      <w:r>
        <w:rPr/>
        <w:t>为购入固定资产借入一笔以上的专门借款，资本化率为这些借款的加权平均利率。</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w:t>
      </w:r>
      <w:r>
        <w:rPr>
          <w:rFonts w:ascii="Times New Roman" w:hAnsi="Times New Roman" w:cs="Times New Roman" w:eastAsia="Times New Roman" w:hint="default"/>
        </w:rPr>
        <w:t>4</w:t>
      </w:r>
      <w:r>
        <w:rPr/>
        <w:t>）暂停资本化</w:t>
      </w:r>
    </w:p>
    <w:p>
      <w:pPr>
        <w:pStyle w:val="BodyText"/>
        <w:spacing w:line="398" w:lineRule="auto" w:before="177"/>
        <w:ind w:right="309" w:firstLine="480"/>
        <w:jc w:val="both"/>
      </w:pPr>
      <w:r>
        <w:rPr/>
        <w:t>若资产在购建或者生产过程中发生非正常中断、且中断时间连续超过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个月的，应当暂停借款费用 </w:t>
      </w:r>
      <w:r>
        <w:rPr>
          <w:spacing w:val="-1"/>
        </w:rPr>
        <w:t>的资本化。在中断期间发生的借款费用应当确认为费用，计入当期损益，直至资产的购建或者生产活动重</w:t>
      </w:r>
      <w:r>
        <w:rPr>
          <w:spacing w:val="-83"/>
        </w:rPr>
        <w:t> </w:t>
      </w:r>
      <w:r>
        <w:rPr>
          <w:spacing w:val="-83"/>
        </w:rPr>
      </w:r>
      <w:r>
        <w:rPr/>
        <w:t>新开始。</w:t>
      </w:r>
    </w:p>
    <w:p>
      <w:pPr>
        <w:pStyle w:val="BodyText"/>
        <w:spacing w:line="240" w:lineRule="auto" w:before="54"/>
        <w:ind w:right="0"/>
        <w:jc w:val="both"/>
      </w:pPr>
      <w:r>
        <w:rPr/>
        <w:t>（</w:t>
      </w:r>
      <w:r>
        <w:rPr>
          <w:rFonts w:ascii="Times New Roman" w:hAnsi="Times New Roman" w:cs="Times New Roman" w:eastAsia="Times New Roman" w:hint="default"/>
        </w:rPr>
        <w:t>5</w:t>
      </w:r>
      <w:r>
        <w:rPr/>
        <w:t>）停止资本化</w:t>
      </w:r>
    </w:p>
    <w:p>
      <w:pPr>
        <w:pStyle w:val="BodyText"/>
        <w:spacing w:line="408" w:lineRule="auto" w:before="177"/>
        <w:ind w:right="90" w:firstLine="480"/>
        <w:jc w:val="left"/>
      </w:pPr>
      <w:r>
        <w:rPr/>
        <w:t>购建或者生产符合资本化条件的资产达到预定可使用或者可销售状态时，借款费用应当停止资本化。</w:t>
      </w:r>
      <w:r>
        <w:rPr>
          <w:spacing w:val="1"/>
        </w:rPr>
        <w:t> </w:t>
      </w:r>
      <w:r>
        <w:rPr/>
        <w:t>在符合资本化条件的资产达到预定可使用或者可销售状态之后所发生的借款费用，应当在发生时根据其发</w:t>
      </w:r>
      <w:r>
        <w:rPr/>
        <w:t> 生额确认为费用，计入当期损益。</w:t>
      </w:r>
    </w:p>
    <w:p>
      <w:pPr>
        <w:pStyle w:val="BodyText"/>
        <w:spacing w:line="408" w:lineRule="auto"/>
        <w:ind w:right="298" w:firstLine="480"/>
        <w:jc w:val="left"/>
      </w:pPr>
      <w:r>
        <w:rPr>
          <w:spacing w:val="-2"/>
        </w:rPr>
        <w:t>购建或者生产的资产的各部分分别完工，但必须等到整体完工后才可使用或者可对外销售的，应当在</w:t>
      </w:r>
      <w:r>
        <w:rPr/>
        <w:t> 该资产整体完工时停止借款费用的资本化。</w:t>
      </w:r>
    </w:p>
    <w:p>
      <w:pPr>
        <w:pStyle w:val="Heading6"/>
        <w:spacing w:line="240" w:lineRule="auto" w:before="46"/>
        <w:ind w:right="0"/>
        <w:jc w:val="both"/>
        <w:rPr>
          <w:b w:val="0"/>
          <w:bCs w:val="0"/>
        </w:rPr>
      </w:pPr>
      <w:r>
        <w:rPr>
          <w:rFonts w:ascii="Times New Roman" w:hAnsi="Times New Roman" w:cs="Times New Roman" w:eastAsia="Times New Roman" w:hint="default"/>
        </w:rPr>
        <w:t>19</w:t>
      </w:r>
      <w:r>
        <w:rPr/>
        <w:t>、无形资产</w:t>
      </w:r>
      <w:r>
        <w:rPr>
          <w:b w:val="0"/>
          <w:bCs w:val="0"/>
        </w:rPr>
      </w:r>
    </w:p>
    <w:p>
      <w:pPr>
        <w:pStyle w:val="Heading6"/>
        <w:spacing w:line="240" w:lineRule="auto" w:before="177"/>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Heading6"/>
        <w:spacing w:line="240" w:lineRule="auto" w:before="177"/>
        <w:ind w:right="0"/>
        <w:jc w:val="both"/>
        <w:rPr>
          <w:b w:val="0"/>
          <w:bCs w:val="0"/>
        </w:rPr>
      </w:pPr>
      <w:r>
        <w:rPr/>
        <w:t>（</w:t>
      </w:r>
      <w:r>
        <w:rPr>
          <w:rFonts w:ascii="Times New Roman" w:hAnsi="Times New Roman" w:cs="Times New Roman" w:eastAsia="Times New Roman" w:hint="default"/>
        </w:rPr>
        <w:t>1</w:t>
      </w:r>
      <w:r>
        <w:rPr/>
        <w:t>）无形资产计价方法</w:t>
      </w:r>
      <w:r>
        <w:rPr>
          <w:b w:val="0"/>
          <w:bCs w:val="0"/>
        </w:rPr>
      </w:r>
    </w:p>
    <w:p>
      <w:pPr>
        <w:pStyle w:val="BodyText"/>
        <w:spacing w:line="408" w:lineRule="auto" w:before="177"/>
        <w:ind w:right="90" w:firstLine="420"/>
        <w:jc w:val="left"/>
      </w:pPr>
      <w:r>
        <w:rPr/>
        <w:t>①</w:t>
      </w:r>
      <w:r>
        <w:rPr>
          <w:spacing w:val="48"/>
        </w:rPr>
        <w:t> </w:t>
      </w:r>
      <w:r>
        <w:rPr/>
        <w:t>外购的无形资产应按照其购买价款、相关税费以及直接归属于使该资产达到预定用途所发生的实</w:t>
      </w:r>
      <w:r>
        <w:rPr>
          <w:spacing w:val="2"/>
        </w:rPr>
        <w:t> </w:t>
      </w:r>
      <w:r>
        <w:rPr/>
        <w:t>际成本入账；</w:t>
      </w:r>
    </w:p>
    <w:p>
      <w:pPr>
        <w:pStyle w:val="BodyText"/>
        <w:spacing w:line="240" w:lineRule="auto"/>
        <w:ind w:left="577" w:right="90"/>
        <w:jc w:val="left"/>
      </w:pPr>
      <w:r>
        <w:rPr/>
        <w:t>②</w:t>
      </w:r>
      <w:r>
        <w:rPr>
          <w:spacing w:val="-21"/>
        </w:rPr>
        <w:t> </w:t>
      </w:r>
      <w:r>
        <w:rPr/>
        <w:t>投资者投入的无形资产按投资合同或协议约定的价值计价；</w:t>
      </w:r>
    </w:p>
    <w:p>
      <w:pPr>
        <w:spacing w:after="0" w:line="240" w:lineRule="auto"/>
        <w:jc w:val="left"/>
        <w:sectPr>
          <w:footerReference w:type="default" r:id="rId29"/>
          <w:pgSz w:w="11910" w:h="16840"/>
          <w:pgMar w:footer="982" w:header="877" w:top="1100" w:bottom="1180" w:left="980" w:right="820"/>
          <w:pgNumType w:start="137"/>
        </w:sectPr>
      </w:pPr>
    </w:p>
    <w:p>
      <w:pPr>
        <w:spacing w:line="240" w:lineRule="auto" w:before="8"/>
        <w:rPr>
          <w:rFonts w:ascii="宋体" w:hAnsi="宋体" w:cs="宋体" w:eastAsia="宋体" w:hint="default"/>
          <w:sz w:val="26"/>
          <w:szCs w:val="26"/>
        </w:rPr>
      </w:pPr>
    </w:p>
    <w:p>
      <w:pPr>
        <w:pStyle w:val="BodyText"/>
        <w:spacing w:line="408" w:lineRule="auto" w:before="35"/>
        <w:ind w:right="233" w:firstLine="423"/>
        <w:jc w:val="left"/>
      </w:pPr>
      <w:r>
        <w:rPr/>
        <w:t>③</w:t>
      </w:r>
      <w:r>
        <w:rPr>
          <w:spacing w:val="-21"/>
        </w:rPr>
        <w:t> </w:t>
      </w:r>
      <w:r>
        <w:rPr/>
        <w:t>企业内部研究开发的无形资产，在研究阶段发生的支出计入当期损益，在开发阶段发生的支出，</w:t>
      </w:r>
      <w:r>
        <w:rPr/>
        <w:t> 在满足下列条件时，作为无形资产成本入账：</w:t>
      </w:r>
    </w:p>
    <w:p>
      <w:pPr>
        <w:pStyle w:val="BodyText"/>
        <w:spacing w:line="386" w:lineRule="auto"/>
        <w:ind w:left="153" w:right="131" w:firstLine="42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开发的无形资产在完成后，能够直接使用或者出售，且运用该无形资产生产的产品存在市场，能够 为企业带来经济利益（或该无形资产自身存在市场且出售后有足够的技术支持）。</w:t>
      </w:r>
    </w:p>
    <w:p>
      <w:pPr>
        <w:pStyle w:val="BodyText"/>
        <w:spacing w:line="240" w:lineRule="auto" w:before="65"/>
        <w:ind w:left="577"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t>该无形资产的开发支出能够可靠的计量</w:t>
      </w:r>
    </w:p>
    <w:p>
      <w:pPr>
        <w:spacing w:line="386" w:lineRule="auto" w:before="177"/>
        <w:ind w:left="578" w:right="150" w:hanging="42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本公司将无法预见该资产为公司带来经济利益的期限，或使用期限不确定等无形资产确定为使用寿命</w:t>
      </w:r>
    </w:p>
    <w:p>
      <w:pPr>
        <w:pStyle w:val="BodyText"/>
        <w:spacing w:line="408" w:lineRule="auto" w:before="65"/>
        <w:ind w:left="153" w:right="7041"/>
        <w:jc w:val="left"/>
      </w:pPr>
      <w:r>
        <w:rPr/>
        <w:t>不确定的无形资产。 使用寿命不确定的判断依据：</w:t>
      </w:r>
    </w:p>
    <w:p>
      <w:pPr>
        <w:pStyle w:val="BodyText"/>
        <w:spacing w:line="240" w:lineRule="auto"/>
        <w:ind w:left="647" w:right="0"/>
        <w:jc w:val="left"/>
      </w:pPr>
      <w:r>
        <w:rPr/>
        <w:t>①源于合同性权利或其他法定权利，但合同规定或法律规定无明确使用年限；</w:t>
      </w:r>
    </w:p>
    <w:p>
      <w:pPr>
        <w:spacing w:line="240" w:lineRule="auto" w:before="10"/>
        <w:rPr>
          <w:rFonts w:ascii="宋体" w:hAnsi="宋体" w:cs="宋体" w:eastAsia="宋体" w:hint="default"/>
          <w:sz w:val="14"/>
          <w:szCs w:val="14"/>
        </w:rPr>
      </w:pPr>
    </w:p>
    <w:p>
      <w:pPr>
        <w:pStyle w:val="BodyText"/>
        <w:spacing w:line="408" w:lineRule="auto" w:before="0"/>
        <w:ind w:left="573" w:right="0" w:firstLine="73"/>
        <w:jc w:val="left"/>
      </w:pPr>
      <w:r>
        <w:rPr/>
        <w:t>②综合同行业情况或相关专家论证等，仍无法判断无形资产为公司带来经济利益的期限。 </w:t>
      </w:r>
      <w:r>
        <w:rPr>
          <w:spacing w:val="-1"/>
        </w:rPr>
        <w:t>每年年末，对使用寿命不确定无形资产使用寿命进行复核，主要采取自下而上的方式，由无形资产使</w:t>
      </w:r>
    </w:p>
    <w:p>
      <w:pPr>
        <w:pStyle w:val="BodyText"/>
        <w:spacing w:line="240" w:lineRule="auto"/>
        <w:ind w:left="153" w:right="0"/>
        <w:jc w:val="left"/>
      </w:pPr>
      <w:r>
        <w:rPr/>
        <w:t>用相关部门进行基础复核，评价使用寿命不确定判断依据是否存在变化等。</w:t>
      </w:r>
    </w:p>
    <w:p>
      <w:pPr>
        <w:spacing w:line="240" w:lineRule="auto" w:before="10"/>
        <w:rPr>
          <w:rFonts w:ascii="宋体" w:hAnsi="宋体" w:cs="宋体" w:eastAsia="宋体" w:hint="default"/>
          <w:sz w:val="14"/>
          <w:szCs w:val="14"/>
        </w:rPr>
      </w:pPr>
    </w:p>
    <w:p>
      <w:pPr>
        <w:spacing w:line="386" w:lineRule="auto" w:before="0"/>
        <w:ind w:left="574" w:right="242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本公司对使用寿命有限的无形资产，估计其使用寿命时通常考虑以下因素：</w:t>
      </w:r>
    </w:p>
    <w:p>
      <w:pPr>
        <w:pStyle w:val="BodyText"/>
        <w:spacing w:line="240" w:lineRule="auto" w:before="65"/>
        <w:ind w:left="577" w:right="0"/>
        <w:jc w:val="left"/>
      </w:pPr>
      <w:r>
        <w:rPr/>
        <w:t>①运用该资产生产的产品通常的寿命周期、可获得的类似资产使用寿命的信息；</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②</w:t>
      </w:r>
      <w:r>
        <w:rPr>
          <w:spacing w:val="-21"/>
        </w:rPr>
        <w:t> </w:t>
      </w:r>
      <w:r>
        <w:rPr/>
        <w:t>技术、工艺等方面的现阶段情况及对未来发展趋势的估计；</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③</w:t>
      </w:r>
      <w:r>
        <w:rPr>
          <w:spacing w:val="-21"/>
        </w:rPr>
        <w:t> </w:t>
      </w:r>
      <w:r>
        <w:rPr/>
        <w:t>以该资产生产的产品或提供劳务的市场需求情况；</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④</w:t>
      </w:r>
      <w:r>
        <w:rPr>
          <w:spacing w:val="-21"/>
        </w:rPr>
        <w:t> </w:t>
      </w:r>
      <w:r>
        <w:rPr/>
        <w:t>现在或潜在的竞争者预期采取的行动；</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⑤</w:t>
      </w:r>
      <w:r>
        <w:rPr>
          <w:spacing w:val="-21"/>
        </w:rPr>
        <w:t> </w:t>
      </w:r>
      <w:r>
        <w:rPr/>
        <w:t>为维持该资产带来经济利益能力的预期维护支出，以及公司预计支付有关支出的能力；</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⑥</w:t>
      </w:r>
      <w:r>
        <w:rPr>
          <w:spacing w:val="-21"/>
        </w:rPr>
        <w:t> </w:t>
      </w:r>
      <w:r>
        <w:rPr/>
        <w:t>对该资产控制期限的相关法律规定或类似限制，如特许使用期、租赁期等；</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⑦</w:t>
      </w:r>
      <w:r>
        <w:rPr>
          <w:spacing w:val="-21"/>
        </w:rPr>
        <w:t> </w:t>
      </w:r>
      <w:r>
        <w:rPr/>
        <w:t>与公司持有其他资产使用寿命的关联性等。</w:t>
      </w:r>
    </w:p>
    <w:p>
      <w:pPr>
        <w:spacing w:line="240" w:lineRule="auto" w:before="10"/>
        <w:rPr>
          <w:rFonts w:ascii="宋体" w:hAnsi="宋体" w:cs="宋体" w:eastAsia="宋体" w:hint="default"/>
          <w:sz w:val="14"/>
          <w:szCs w:val="14"/>
        </w:rPr>
      </w:pPr>
    </w:p>
    <w:p>
      <w:pPr>
        <w:spacing w:line="386" w:lineRule="auto" w:before="0"/>
        <w:ind w:left="634" w:right="138"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资产负债表日，本公司对无形资产检查是否存在可能发生减值的迹象，当存在减值迹象时应进行减值</w:t>
      </w:r>
    </w:p>
    <w:p>
      <w:pPr>
        <w:pStyle w:val="BodyText"/>
        <w:spacing w:line="408" w:lineRule="auto" w:before="65"/>
        <w:ind w:right="0"/>
        <w:jc w:val="left"/>
      </w:pPr>
      <w:r>
        <w:rPr>
          <w:spacing w:val="-1"/>
        </w:rPr>
        <w:t>测试确认其可收回金额，按账面价值与可收回金额孰低计提减值准备，减值损失一经计提，在以后会计期</w:t>
      </w:r>
      <w:r>
        <w:rPr>
          <w:spacing w:val="-83"/>
        </w:rPr>
        <w:t> </w:t>
      </w:r>
      <w:r>
        <w:rPr>
          <w:spacing w:val="-83"/>
        </w:rPr>
      </w:r>
      <w:r>
        <w:rPr/>
        <w:t>间不再转回。</w:t>
      </w:r>
    </w:p>
    <w:p>
      <w:pPr>
        <w:pStyle w:val="BodyText"/>
        <w:spacing w:line="408" w:lineRule="auto"/>
        <w:ind w:right="320" w:firstLine="420"/>
        <w:jc w:val="left"/>
      </w:pPr>
      <w:r>
        <w:rPr/>
        <w:t>无形资产可收回金额根据资产公允价值减去处置费用后的净额与资产预计未来现金流量的现值两者 孰高确定。</w:t>
      </w:r>
    </w:p>
    <w:p>
      <w:pPr>
        <w:pStyle w:val="Heading6"/>
        <w:spacing w:line="386" w:lineRule="auto" w:before="46"/>
        <w:ind w:right="6713"/>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）内部研究开发支出会计政策</w:t>
      </w:r>
      <w:r>
        <w:rPr>
          <w:spacing w:val="1"/>
          <w:w w:val="99"/>
        </w:rPr>
        <w:t> </w:t>
      </w:r>
      <w:r>
        <w:rPr>
          <w:rFonts w:ascii="宋体" w:hAnsi="宋体" w:cs="宋体" w:eastAsia="宋体" w:hint="default"/>
          <w:b w:val="0"/>
          <w:bCs w:val="0"/>
        </w:rPr>
        <w:t>无</w:t>
      </w:r>
    </w:p>
    <w:p>
      <w:pPr>
        <w:spacing w:after="0" w:line="386" w:lineRule="auto"/>
        <w:jc w:val="left"/>
        <w:rPr>
          <w:rFonts w:ascii="宋体" w:hAnsi="宋体" w:cs="宋体" w:eastAsia="宋体" w:hint="default"/>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86" w:lineRule="auto" w:before="35"/>
        <w:ind w:left="580" w:right="148" w:hanging="426"/>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spacing w:val="1"/>
          <w:w w:val="99"/>
        </w:rPr>
        <w:t> </w:t>
      </w:r>
      <w:r>
        <w:rPr>
          <w:spacing w:val="-1"/>
        </w:rPr>
        <w:t>资产减值，是指资产的可收回金额低于其账面价值。公司应在资产负债表日判断资产是否存在可能发</w:t>
      </w:r>
    </w:p>
    <w:p>
      <w:pPr>
        <w:pStyle w:val="BodyText"/>
        <w:spacing w:line="408" w:lineRule="auto" w:before="65"/>
        <w:ind w:left="155" w:right="148"/>
        <w:jc w:val="both"/>
      </w:pPr>
      <w:r>
        <w:rPr>
          <w:spacing w:val="-1"/>
        </w:rPr>
        <w:t>生减值的迹象。当资产存在减值迹象时，估计其可收回金额，资产的可收回金额低于其账面价值的，将资</w:t>
      </w:r>
      <w:r>
        <w:rPr>
          <w:spacing w:val="-83"/>
        </w:rPr>
        <w:t> </w:t>
      </w:r>
      <w:r>
        <w:rPr>
          <w:spacing w:val="-83"/>
        </w:rPr>
      </w:r>
      <w:r>
        <w:rPr>
          <w:spacing w:val="-1"/>
        </w:rPr>
        <w:t>产的账面价值减记至可收回金额，减记的金额确认为资产减值损失，计入当期损益，同时计提相应的资产</w:t>
      </w:r>
      <w:r>
        <w:rPr>
          <w:spacing w:val="-83"/>
        </w:rPr>
        <w:t> </w:t>
      </w:r>
      <w:r>
        <w:rPr>
          <w:spacing w:val="-83"/>
        </w:rPr>
      </w:r>
      <w:r>
        <w:rPr/>
        <w:t>减值准备。</w:t>
      </w:r>
    </w:p>
    <w:p>
      <w:pPr>
        <w:pStyle w:val="BodyText"/>
        <w:spacing w:line="408" w:lineRule="auto"/>
        <w:ind w:left="155" w:right="151" w:firstLine="424"/>
        <w:jc w:val="both"/>
      </w:pPr>
      <w:r>
        <w:rPr>
          <w:spacing w:val="-1"/>
        </w:rPr>
        <w:t>商誉和使用寿命不确定的无形资产，无论是否存在减值迹象，每年都应当进行减值测试。商誉结合与</w:t>
      </w:r>
      <w:r>
        <w:rPr/>
        <w:t> 其相关的资产组或者资产组组合进行减值测试。</w:t>
      </w:r>
    </w:p>
    <w:p>
      <w:pPr>
        <w:pStyle w:val="BodyText"/>
        <w:spacing w:line="408" w:lineRule="auto"/>
        <w:ind w:left="155" w:right="151" w:firstLine="424"/>
        <w:jc w:val="both"/>
      </w:pPr>
      <w:r>
        <w:rPr>
          <w:spacing w:val="-1"/>
        </w:rPr>
        <w:t>长期股权投资、固定资产、在建工程、无形资产等资产减值准备的计提依据、确定方法：本公司在资</w:t>
      </w:r>
      <w:r>
        <w:rPr/>
        <w:t> </w:t>
      </w:r>
      <w:r>
        <w:rPr>
          <w:spacing w:val="-1"/>
        </w:rPr>
        <w:t>产负债表日判断长期股权投资、固定资产、在建工程、无形资产等资产是否存在可能发生减值的迹象。存</w:t>
      </w:r>
      <w:r>
        <w:rPr>
          <w:spacing w:val="-83"/>
        </w:rPr>
        <w:t> </w:t>
      </w:r>
      <w:r>
        <w:rPr>
          <w:spacing w:val="-83"/>
        </w:rPr>
      </w:r>
      <w:r>
        <w:rPr/>
        <w:t>在下列迹象的，表明资产可能发生了减值：</w:t>
      </w:r>
    </w:p>
    <w:p>
      <w:pPr>
        <w:pStyle w:val="BodyText"/>
        <w:spacing w:line="408" w:lineRule="auto"/>
        <w:ind w:left="155" w:right="151" w:firstLine="424"/>
        <w:jc w:val="both"/>
      </w:pPr>
      <w:r>
        <w:rPr>
          <w:spacing w:val="-1"/>
        </w:rPr>
        <w:t>①资产的市价当期大幅度下跌，其跌幅明显高于因时间的推移或者正常使用而预计的下跌；②企业经</w:t>
      </w:r>
      <w:r>
        <w:rPr/>
        <w:t> </w:t>
      </w:r>
      <w:r>
        <w:rPr>
          <w:spacing w:val="-1"/>
        </w:rPr>
        <w:t>营所处的经济、技术或者法律等环境以及资产所处的市场在当期或者将在近期发生重大变化，从而对企业</w:t>
      </w:r>
      <w:r>
        <w:rPr>
          <w:spacing w:val="-83"/>
        </w:rPr>
        <w:t> </w:t>
      </w:r>
      <w:r>
        <w:rPr>
          <w:spacing w:val="-83"/>
        </w:rPr>
      </w:r>
      <w:r>
        <w:rPr/>
        <w:t>产生不利影响；</w:t>
      </w:r>
    </w:p>
    <w:p>
      <w:pPr>
        <w:pStyle w:val="BodyText"/>
        <w:spacing w:line="408" w:lineRule="auto"/>
        <w:ind w:left="155" w:right="151" w:firstLine="424"/>
        <w:jc w:val="both"/>
      </w:pPr>
      <w:r>
        <w:rPr>
          <w:spacing w:val="-1"/>
        </w:rPr>
        <w:t>③市场利率或者其他市场投资报酬率在当期已经提高，从而影响企业计算资产预计未来现金流量现值</w:t>
      </w:r>
      <w:r>
        <w:rPr/>
        <w:t> 的折现率，导致资产可收回金额大幅度降低；</w:t>
      </w:r>
    </w:p>
    <w:p>
      <w:pPr>
        <w:pStyle w:val="BodyText"/>
        <w:spacing w:line="240" w:lineRule="auto"/>
        <w:ind w:left="580" w:right="0"/>
        <w:jc w:val="left"/>
      </w:pPr>
      <w:r>
        <w:rPr/>
        <w:t>④有证据表明资产已经陈旧过时或者其实体已经损坏；</w:t>
      </w:r>
    </w:p>
    <w:p>
      <w:pPr>
        <w:spacing w:line="240" w:lineRule="auto" w:before="10"/>
        <w:rPr>
          <w:rFonts w:ascii="宋体" w:hAnsi="宋体" w:cs="宋体" w:eastAsia="宋体" w:hint="default"/>
          <w:sz w:val="14"/>
          <w:szCs w:val="14"/>
        </w:rPr>
      </w:pPr>
    </w:p>
    <w:p>
      <w:pPr>
        <w:pStyle w:val="BodyText"/>
        <w:spacing w:line="240" w:lineRule="auto" w:before="0"/>
        <w:ind w:left="580" w:right="0"/>
        <w:jc w:val="left"/>
      </w:pPr>
      <w:r>
        <w:rPr/>
        <w:t>⑤资产已经或者将被闲置、终止使用或者计划提前处置；</w:t>
      </w:r>
    </w:p>
    <w:p>
      <w:pPr>
        <w:spacing w:line="240" w:lineRule="auto" w:before="10"/>
        <w:rPr>
          <w:rFonts w:ascii="宋体" w:hAnsi="宋体" w:cs="宋体" w:eastAsia="宋体" w:hint="default"/>
          <w:sz w:val="14"/>
          <w:szCs w:val="14"/>
        </w:rPr>
      </w:pPr>
    </w:p>
    <w:p>
      <w:pPr>
        <w:pStyle w:val="BodyText"/>
        <w:spacing w:line="408" w:lineRule="auto" w:before="0"/>
        <w:ind w:left="155" w:right="151" w:firstLine="424"/>
        <w:jc w:val="both"/>
      </w:pPr>
      <w:r>
        <w:rPr>
          <w:spacing w:val="-1"/>
        </w:rPr>
        <w:t>⑥企业内部报告的证据表明资产的经济绩效已经低于或者将低于预期，如资产所创造的净现金流量或</w:t>
      </w:r>
      <w:r>
        <w:rPr/>
        <w:t> 者实现的营业利润（或者亏损）远远低于（或者高于）预计金额等；</w:t>
      </w:r>
    </w:p>
    <w:p>
      <w:pPr>
        <w:pStyle w:val="BodyText"/>
        <w:spacing w:line="408" w:lineRule="auto"/>
        <w:ind w:left="580" w:right="148"/>
        <w:jc w:val="left"/>
      </w:pPr>
      <w:r>
        <w:rPr/>
        <w:t>⑦其他表明资产可能已经发生减值的迹象。 </w:t>
      </w:r>
      <w:r>
        <w:rPr>
          <w:spacing w:val="-1"/>
        </w:rPr>
        <w:t>资产存在减值迹象的，估计其可收回金额。可收回金额根据资产的公允价值减去处置费用后的净额与</w:t>
      </w:r>
    </w:p>
    <w:p>
      <w:pPr>
        <w:pStyle w:val="BodyText"/>
        <w:spacing w:line="408" w:lineRule="auto"/>
        <w:ind w:left="155" w:right="148"/>
        <w:jc w:val="both"/>
      </w:pPr>
      <w:r>
        <w:rPr>
          <w:spacing w:val="-1"/>
        </w:rPr>
        <w:t>资产预计未来现金流量的现值两者之间较高者确定。资产的公允价值减去处置费用后的净额与资产预计未</w:t>
      </w:r>
      <w:r>
        <w:rPr>
          <w:spacing w:val="-82"/>
        </w:rPr>
        <w:t> </w:t>
      </w:r>
      <w:r>
        <w:rPr>
          <w:spacing w:val="-82"/>
        </w:rPr>
      </w:r>
      <w:r>
        <w:rPr>
          <w:spacing w:val="-1"/>
        </w:rPr>
        <w:t>来现金流量的现值，只要有一项超过了资产的账面价值，就表明资产没有发生减值，不需再估计另一项金</w:t>
      </w:r>
      <w:r>
        <w:rPr>
          <w:spacing w:val="-83"/>
        </w:rPr>
        <w:t> </w:t>
      </w:r>
      <w:r>
        <w:rPr>
          <w:spacing w:val="-83"/>
        </w:rPr>
      </w:r>
      <w:r>
        <w:rPr/>
        <w:t>额。</w:t>
      </w:r>
    </w:p>
    <w:p>
      <w:pPr>
        <w:pStyle w:val="BodyText"/>
        <w:spacing w:line="408" w:lineRule="auto"/>
        <w:ind w:left="155" w:right="148" w:firstLine="424"/>
        <w:jc w:val="both"/>
      </w:pPr>
      <w:r>
        <w:rPr>
          <w:spacing w:val="-1"/>
        </w:rPr>
        <w:t>资产的公允价值减去处置费用后的净额，根据公平交易中销售协议价格减去可直接归属于该资产处置</w:t>
      </w:r>
      <w:r>
        <w:rPr/>
        <w:t> </w:t>
      </w:r>
      <w:r>
        <w:rPr>
          <w:spacing w:val="-1"/>
        </w:rPr>
        <w:t>费用的金额确定；不存在销售协议但存在资产活跃市场的，按照该资产的市场价格减去处置费用后的金额</w:t>
      </w:r>
      <w:r>
        <w:rPr>
          <w:spacing w:val="-83"/>
        </w:rPr>
        <w:t> </w:t>
      </w:r>
      <w:r>
        <w:rPr>
          <w:spacing w:val="-83"/>
        </w:rPr>
      </w:r>
      <w:r>
        <w:rPr>
          <w:spacing w:val="-1"/>
        </w:rPr>
        <w:t>确定；在不存在销售协议和资产活跃市场的情况下，以可获取的最佳信息为基础，估计资产的公允价值减</w:t>
      </w:r>
      <w:r>
        <w:rPr>
          <w:spacing w:val="-83"/>
        </w:rPr>
        <w:t> </w:t>
      </w:r>
      <w:r>
        <w:rPr>
          <w:spacing w:val="-83"/>
        </w:rPr>
      </w:r>
      <w:r>
        <w:rPr>
          <w:spacing w:val="-1"/>
        </w:rPr>
        <w:t>去处置费用后的净额，该净额参考同行业类似资产的最近交易价格或者结果进行估计。按照上述规定仍然</w:t>
      </w:r>
      <w:r>
        <w:rPr>
          <w:spacing w:val="-83"/>
        </w:rPr>
        <w:t> </w:t>
      </w:r>
      <w:r>
        <w:rPr>
          <w:spacing w:val="-83"/>
        </w:rPr>
      </w:r>
      <w:r>
        <w:rPr>
          <w:spacing w:val="-1"/>
        </w:rPr>
        <w:t>无法可靠估计资产的公允价值减去处置费用后的净额的，以该资产预计未来现金流量的现值作为其可收回</w:t>
      </w:r>
      <w:r>
        <w:rPr>
          <w:spacing w:val="-82"/>
        </w:rPr>
        <w:t> </w:t>
      </w:r>
      <w:r>
        <w:rPr>
          <w:spacing w:val="-82"/>
        </w:rPr>
      </w:r>
      <w:r>
        <w:rPr/>
        <w:t>金额。</w:t>
      </w:r>
    </w:p>
    <w:p>
      <w:pPr>
        <w:spacing w:after="0" w:line="408" w:lineRule="auto"/>
        <w:jc w:val="both"/>
        <w:sectPr>
          <w:footerReference w:type="default" r:id="rId30"/>
          <w:pgSz w:w="11910" w:h="16840"/>
          <w:pgMar w:footer="982" w:header="877" w:top="1100" w:bottom="1180" w:left="980" w:right="980"/>
          <w:pgNumType w:start="139"/>
        </w:sectPr>
      </w:pPr>
    </w:p>
    <w:p>
      <w:pPr>
        <w:spacing w:line="240" w:lineRule="auto" w:before="8"/>
        <w:rPr>
          <w:rFonts w:ascii="宋体" w:hAnsi="宋体" w:cs="宋体" w:eastAsia="宋体" w:hint="default"/>
          <w:sz w:val="26"/>
          <w:szCs w:val="26"/>
        </w:rPr>
      </w:pPr>
    </w:p>
    <w:p>
      <w:pPr>
        <w:pStyle w:val="BodyText"/>
        <w:spacing w:line="408" w:lineRule="auto" w:before="35"/>
        <w:ind w:left="155" w:right="100" w:firstLine="424"/>
        <w:jc w:val="left"/>
      </w:pPr>
      <w:r>
        <w:rPr>
          <w:spacing w:val="-1"/>
        </w:rPr>
        <w:t>资产预计未来现金流量的现值，按照资产在持续使用过程中和最终处置时所产生的预计未来现金流量，</w:t>
      </w:r>
      <w:r>
        <w:rPr/>
        <w:t> 选择恰当的折现率对其进行折现后的金额加以确定。预计资产未来现金流量的现值，综合考虑资产的预计 未来现金流量、使用寿命和折现率等因素。</w:t>
      </w:r>
    </w:p>
    <w:p>
      <w:pPr>
        <w:pStyle w:val="BodyText"/>
        <w:spacing w:line="408" w:lineRule="auto"/>
        <w:ind w:left="155" w:right="308" w:firstLine="424"/>
        <w:jc w:val="both"/>
      </w:pPr>
      <w:r>
        <w:rPr>
          <w:spacing w:val="-1"/>
        </w:rPr>
        <w:t>可收回金额的计量结果表明，资产的可收回金额低于其账面价值的，将资产的账面价值减记至可收回</w:t>
      </w:r>
      <w:r>
        <w:rPr/>
        <w:t> </w:t>
      </w:r>
      <w:r>
        <w:rPr>
          <w:spacing w:val="-1"/>
        </w:rPr>
        <w:t>金额，减记的金额确认为资产减值损失，计入当期损益，同时计提相应的资产减值准备。资产减值损失确</w:t>
      </w:r>
      <w:r>
        <w:rPr>
          <w:spacing w:val="-83"/>
        </w:rPr>
        <w:t> </w:t>
      </w:r>
      <w:r>
        <w:rPr>
          <w:spacing w:val="-83"/>
        </w:rPr>
      </w:r>
      <w:r>
        <w:rPr>
          <w:spacing w:val="-1"/>
        </w:rPr>
        <w:t>认后，减值资产的折旧或者摊销费用在未来期间作相应调整，以使该资产在剩余使用寿命内，系统地分摊</w:t>
      </w:r>
      <w:r>
        <w:rPr>
          <w:spacing w:val="-83"/>
        </w:rPr>
        <w:t> </w:t>
      </w:r>
      <w:r>
        <w:rPr>
          <w:spacing w:val="-83"/>
        </w:rPr>
      </w:r>
      <w:r>
        <w:rPr/>
        <w:t>调整后的资产账面价值（扣除预计净残值）。资产减值损失一经确认，在以后会计期间不得转回。</w:t>
      </w:r>
    </w:p>
    <w:p>
      <w:pPr>
        <w:pStyle w:val="BodyText"/>
        <w:spacing w:line="408" w:lineRule="auto"/>
        <w:ind w:left="155" w:right="308" w:firstLine="424"/>
        <w:jc w:val="both"/>
      </w:pPr>
      <w:r>
        <w:rPr>
          <w:spacing w:val="-1"/>
        </w:rPr>
        <w:t>当有迹象表明一项资产发生减值的，一般以单项资产为基础估计其可收回金额。难以对单项资产的可</w:t>
      </w:r>
      <w:r>
        <w:rPr/>
        <w:t> </w:t>
      </w:r>
      <w:r>
        <w:rPr>
          <w:spacing w:val="-1"/>
        </w:rPr>
        <w:t>收回金额进行估计的，以该资产所属的资产组为基础确定资产组的可收回金额。在认定资产组时，以资产</w:t>
      </w:r>
      <w:r>
        <w:rPr>
          <w:spacing w:val="-83"/>
        </w:rPr>
        <w:t> </w:t>
      </w:r>
      <w:r>
        <w:rPr>
          <w:spacing w:val="-83"/>
        </w:rPr>
      </w:r>
      <w:r>
        <w:rPr>
          <w:spacing w:val="-1"/>
        </w:rPr>
        <w:t>组产生的主要现金流入是否独立于其他资产或者资产组的现金流入为依据。同时，考虑公司管理生产经营</w:t>
      </w:r>
      <w:r>
        <w:rPr>
          <w:spacing w:val="-83"/>
        </w:rPr>
        <w:t> </w:t>
      </w:r>
      <w:r>
        <w:rPr>
          <w:spacing w:val="-83"/>
        </w:rPr>
      </w:r>
      <w:r>
        <w:rPr/>
        <w:t>活动的方式和对资产的持续使用或者处置的决策方式等。</w:t>
      </w:r>
    </w:p>
    <w:p>
      <w:pPr>
        <w:spacing w:line="386" w:lineRule="auto" w:before="46"/>
        <w:ind w:left="573" w:right="384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、长期待摊费用</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长期待摊费用按实际发生额核算，在项目受益期内平均摊销。</w:t>
      </w:r>
    </w:p>
    <w:p>
      <w:pPr>
        <w:pStyle w:val="Heading6"/>
        <w:spacing w:line="240" w:lineRule="auto" w:before="65"/>
        <w:ind w:left="153" w:right="90"/>
        <w:jc w:val="left"/>
        <w:rPr>
          <w:b w:val="0"/>
          <w:bCs w:val="0"/>
        </w:rPr>
      </w:pPr>
      <w:r>
        <w:rPr>
          <w:rFonts w:ascii="Times New Roman" w:hAnsi="Times New Roman" w:cs="Times New Roman" w:eastAsia="Times New Roman" w:hint="default"/>
        </w:rPr>
        <w:t>22</w:t>
      </w:r>
      <w:r>
        <w:rPr/>
        <w:t>、职工薪酬</w:t>
      </w:r>
      <w:r>
        <w:rPr>
          <w:b w:val="0"/>
          <w:bCs w:val="0"/>
        </w:rPr>
      </w:r>
    </w:p>
    <w:p>
      <w:pPr>
        <w:spacing w:line="386" w:lineRule="auto" w:before="177"/>
        <w:ind w:left="573" w:right="9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408" w:lineRule="auto" w:before="65"/>
        <w:ind w:left="153" w:right="310"/>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pStyle w:val="Heading6"/>
        <w:spacing w:line="240" w:lineRule="auto" w:before="46"/>
        <w:ind w:left="153" w:right="9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08" w:lineRule="auto" w:before="177"/>
        <w:ind w:left="573" w:right="90"/>
        <w:jc w:val="left"/>
      </w:pPr>
      <w:r>
        <w:rPr/>
        <w:t>①</w:t>
      </w:r>
      <w:r>
        <w:rPr>
          <w:spacing w:val="-21"/>
        </w:rPr>
        <w:t> </w:t>
      </w:r>
      <w:r>
        <w:rPr/>
        <w:t>设定提存计划</w:t>
      </w:r>
      <w:r>
        <w:rPr/>
        <w:t> </w:t>
      </w:r>
      <w:r>
        <w:rPr>
          <w:spacing w:val="-1"/>
        </w:rPr>
        <w:t>本公司按当地政府的相关规定为职工缴纳基本养老保险和失业保险，在职工为本公司提供服务的会计</w:t>
      </w:r>
    </w:p>
    <w:p>
      <w:pPr>
        <w:pStyle w:val="BodyText"/>
        <w:spacing w:line="240" w:lineRule="auto"/>
        <w:ind w:left="153" w:right="90"/>
        <w:jc w:val="left"/>
      </w:pPr>
      <w:r>
        <w:rPr/>
        <w:t>期间，按以当地规定的缴纳基数和比例计算应缴纳金额，确认为负债，并计入当期损益或相关资产成本。</w:t>
      </w:r>
    </w:p>
    <w:p>
      <w:pPr>
        <w:spacing w:line="240" w:lineRule="auto" w:before="10"/>
        <w:rPr>
          <w:rFonts w:ascii="宋体" w:hAnsi="宋体" w:cs="宋体" w:eastAsia="宋体" w:hint="default"/>
          <w:sz w:val="14"/>
          <w:szCs w:val="14"/>
        </w:rPr>
      </w:pPr>
    </w:p>
    <w:p>
      <w:pPr>
        <w:pStyle w:val="BodyText"/>
        <w:spacing w:line="408" w:lineRule="auto" w:before="0"/>
        <w:ind w:left="573" w:right="481"/>
        <w:jc w:val="left"/>
      </w:pPr>
      <w:r>
        <w:rPr/>
        <w:t>②</w:t>
      </w:r>
      <w:r>
        <w:rPr>
          <w:spacing w:val="-21"/>
        </w:rPr>
        <w:t> </w:t>
      </w:r>
      <w:r>
        <w:rPr/>
        <w:t>设定受益计划</w:t>
      </w:r>
      <w:r>
        <w:rPr/>
        <w:t> 本公司根据预期累计福利单位法确定的公式将设定受益计划产生的福利义务归属于职工提供服务的</w:t>
      </w:r>
    </w:p>
    <w:p>
      <w:pPr>
        <w:pStyle w:val="BodyText"/>
        <w:spacing w:line="408" w:lineRule="auto"/>
        <w:ind w:left="573" w:right="481" w:hanging="420"/>
        <w:jc w:val="left"/>
      </w:pPr>
      <w:r>
        <w:rPr/>
        <w:t>期间，并计入当期损益或相关资产成本。 设定受益计划义务现值减去设定受益计划资产公允价值所形成的赤字或盈余确认为一项设定受益计</w:t>
      </w:r>
    </w:p>
    <w:p>
      <w:pPr>
        <w:pStyle w:val="BodyText"/>
        <w:spacing w:line="408" w:lineRule="auto"/>
        <w:ind w:left="153" w:right="310"/>
        <w:jc w:val="both"/>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240" w:lineRule="auto"/>
        <w:ind w:left="573" w:right="90"/>
        <w:jc w:val="left"/>
      </w:pPr>
      <w:r>
        <w:rPr/>
        <w:t>所有设定受益计划义务，包括预期在职工提供服务的年度报告期间结束后的十二个月内支付的义务，</w:t>
      </w:r>
    </w:p>
    <w:p>
      <w:pPr>
        <w:spacing w:after="0" w:line="240"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408" w:lineRule="auto" w:before="35"/>
        <w:ind w:right="320"/>
        <w:jc w:val="left"/>
      </w:pPr>
      <w:r>
        <w:rPr/>
        <w:t>根据资产负债表日与设定受益计划义务期限和币种相匹配的国债或活跃市场上的高质量公司债券的市场 收益率予以折现。</w:t>
      </w:r>
    </w:p>
    <w:p>
      <w:pPr>
        <w:pStyle w:val="BodyText"/>
        <w:spacing w:line="408" w:lineRule="auto"/>
        <w:ind w:left="153" w:right="0" w:firstLine="420"/>
        <w:jc w:val="left"/>
      </w:pPr>
      <w:r>
        <w:rPr/>
        <w:t>设定受益计划产生的服务成本和设定受益计划净负债或净资产的利息净额计入当期损益或相关资产 </w:t>
      </w:r>
      <w:r>
        <w:rPr>
          <w:spacing w:val="-1"/>
        </w:rPr>
        <w:t>成本；重新计量设定受益计划净负债或净资产所产生的变动计入其他综合收益，并且在后续会计期间不转</w:t>
      </w:r>
      <w:r>
        <w:rPr>
          <w:spacing w:val="-81"/>
        </w:rPr>
        <w:t> </w:t>
      </w:r>
      <w:r>
        <w:rPr>
          <w:spacing w:val="-81"/>
        </w:rPr>
      </w:r>
      <w:r>
        <w:rPr/>
        <w:t>回至损益。</w:t>
      </w:r>
    </w:p>
    <w:p>
      <w:pPr>
        <w:pStyle w:val="BodyText"/>
        <w:spacing w:line="408" w:lineRule="auto"/>
        <w:ind w:left="153" w:right="0" w:firstLine="420"/>
        <w:jc w:val="left"/>
      </w:pPr>
      <w:r>
        <w:rPr>
          <w:spacing w:val="-1"/>
        </w:rPr>
        <w:t>在设定受益计划结算时，按在结算日确定的设定受益计划义务现值和结算价格两者的差额，确认结算</w:t>
      </w:r>
      <w:r>
        <w:rPr/>
        <w:t> 利得或损失，设定提存计划。</w:t>
      </w:r>
    </w:p>
    <w:p>
      <w:pPr>
        <w:spacing w:line="386" w:lineRule="auto" w:before="46"/>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职工内部退休计划采用上述辞退福利相同的原则处理。本公司将自职工停止提供服务日至正常退休日</w:t>
      </w:r>
    </w:p>
    <w:p>
      <w:pPr>
        <w:pStyle w:val="BodyText"/>
        <w:spacing w:line="240" w:lineRule="auto" w:before="65"/>
        <w:ind w:left="153" w:right="0"/>
        <w:jc w:val="left"/>
      </w:pPr>
      <w:r>
        <w:rPr/>
        <w:t>的期间拟支付的内退人员工资和缴纳的社会保险费等，在符合预计负债确认条件时，计入当期损益。</w:t>
      </w:r>
    </w:p>
    <w:p>
      <w:pPr>
        <w:spacing w:line="240" w:lineRule="auto" w:before="10"/>
        <w:rPr>
          <w:rFonts w:ascii="宋体" w:hAnsi="宋体" w:cs="宋体" w:eastAsia="宋体" w:hint="default"/>
          <w:sz w:val="14"/>
          <w:szCs w:val="14"/>
        </w:rPr>
      </w:pPr>
    </w:p>
    <w:p>
      <w:pPr>
        <w:spacing w:line="386" w:lineRule="auto" w:before="0"/>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本公司向职工提供的其他长期职工福利，符合设定提存计划的，按照设定提存计划进行会计处理，除</w:t>
      </w:r>
    </w:p>
    <w:p>
      <w:pPr>
        <w:pStyle w:val="BodyText"/>
        <w:spacing w:line="240" w:lineRule="auto" w:before="65"/>
        <w:ind w:left="153" w:right="0"/>
        <w:jc w:val="left"/>
      </w:pPr>
      <w:r>
        <w:rPr/>
        <w:t>此之外按照设定收益计划进行会计处理。</w:t>
      </w:r>
    </w:p>
    <w:p>
      <w:pPr>
        <w:spacing w:line="240" w:lineRule="auto" w:before="10"/>
        <w:rPr>
          <w:rFonts w:ascii="宋体" w:hAnsi="宋体" w:cs="宋体" w:eastAsia="宋体" w:hint="default"/>
          <w:sz w:val="14"/>
          <w:szCs w:val="14"/>
        </w:rPr>
      </w:pPr>
    </w:p>
    <w:p>
      <w:pPr>
        <w:pStyle w:val="Heading6"/>
        <w:spacing w:line="240" w:lineRule="auto"/>
        <w:ind w:left="153" w:right="0"/>
        <w:jc w:val="left"/>
        <w:rPr>
          <w:b w:val="0"/>
          <w:bCs w:val="0"/>
        </w:rPr>
      </w:pPr>
      <w:r>
        <w:rPr>
          <w:rFonts w:ascii="Times New Roman" w:hAnsi="Times New Roman" w:cs="Times New Roman" w:eastAsia="Times New Roman" w:hint="default"/>
        </w:rPr>
        <w:t>23</w:t>
      </w:r>
      <w:r>
        <w:rPr/>
        <w:t>、预计负债</w:t>
      </w:r>
      <w:r>
        <w:rPr>
          <w:b w:val="0"/>
          <w:bCs w:val="0"/>
        </w:rPr>
      </w:r>
    </w:p>
    <w:p>
      <w:pPr>
        <w:spacing w:line="386" w:lineRule="auto" w:before="177"/>
        <w:ind w:left="573" w:right="221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如果与或有事项相关的义务同时符合以下条件，本公司将其确认为预计负债：</w:t>
      </w:r>
    </w:p>
    <w:p>
      <w:pPr>
        <w:pStyle w:val="BodyText"/>
        <w:spacing w:line="240" w:lineRule="auto" w:before="65"/>
        <w:ind w:left="573" w:right="0"/>
        <w:jc w:val="left"/>
      </w:pPr>
      <w:r>
        <w:rPr/>
        <w:t>①</w:t>
      </w:r>
      <w:r>
        <w:rPr>
          <w:spacing w:val="-21"/>
        </w:rPr>
        <w:t> </w:t>
      </w:r>
      <w:r>
        <w:rPr/>
        <w:t>该义务是本公司承担的现时义务；</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w:t>
      </w:r>
      <w:r>
        <w:rPr>
          <w:spacing w:val="-21"/>
        </w:rPr>
        <w:t> </w:t>
      </w:r>
      <w:r>
        <w:rPr/>
        <w:t>该义务的履行很可能导致经济利益流出本公司；</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③</w:t>
      </w:r>
      <w:r>
        <w:rPr>
          <w:spacing w:val="-21"/>
        </w:rPr>
        <w:t> </w:t>
      </w:r>
      <w:r>
        <w:rPr/>
        <w:t>该义务的金额能够可靠地计量。</w:t>
      </w:r>
    </w:p>
    <w:p>
      <w:pPr>
        <w:spacing w:line="240" w:lineRule="auto" w:before="10"/>
        <w:rPr>
          <w:rFonts w:ascii="宋体" w:hAnsi="宋体" w:cs="宋体" w:eastAsia="宋体" w:hint="default"/>
          <w:sz w:val="14"/>
          <w:szCs w:val="14"/>
        </w:rPr>
      </w:pPr>
    </w:p>
    <w:p>
      <w:pPr>
        <w:spacing w:line="386" w:lineRule="auto" w:before="0"/>
        <w:ind w:left="633" w:right="13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按照履行相关现时义务所需支出的最佳估计数进行初始计量，如所需支出存在一个连续范围，且该范</w:t>
      </w:r>
    </w:p>
    <w:p>
      <w:pPr>
        <w:pStyle w:val="BodyText"/>
        <w:spacing w:line="408" w:lineRule="auto" w:before="65"/>
        <w:ind w:left="153" w:right="0"/>
        <w:jc w:val="left"/>
      </w:pPr>
      <w:r>
        <w:rPr>
          <w:spacing w:val="-1"/>
        </w:rPr>
        <w:t>围内各种结果发生的可能性相同，最佳估计数按照该范围内的中间值确定；如涉及多个项目，按照各种可</w:t>
      </w:r>
      <w:r>
        <w:rPr>
          <w:spacing w:val="-83"/>
        </w:rPr>
        <w:t> </w:t>
      </w:r>
      <w:r>
        <w:rPr>
          <w:spacing w:val="-83"/>
        </w:rPr>
      </w:r>
      <w:r>
        <w:rPr/>
        <w:t>能结果及相关概率计算确定最佳估计数。</w:t>
      </w:r>
    </w:p>
    <w:p>
      <w:pPr>
        <w:pStyle w:val="BodyText"/>
        <w:spacing w:line="408" w:lineRule="auto"/>
        <w:ind w:left="153" w:right="0" w:firstLine="420"/>
        <w:jc w:val="left"/>
      </w:pPr>
      <w:r>
        <w:rPr>
          <w:spacing w:val="-1"/>
        </w:rPr>
        <w:t>资产负债表日应当对预计负债账面价值进行复核，有确凿证据表明该账面价值不能真实反映当前最佳</w:t>
      </w:r>
      <w:r>
        <w:rPr/>
        <w:t> 估计数，应当按照当前最佳估计数对该账面价值进行调整。</w:t>
      </w:r>
    </w:p>
    <w:p>
      <w:pPr>
        <w:pStyle w:val="Heading6"/>
        <w:spacing w:line="240" w:lineRule="auto" w:before="46"/>
        <w:ind w:left="153" w:right="0"/>
        <w:jc w:val="left"/>
        <w:rPr>
          <w:b w:val="0"/>
          <w:bCs w:val="0"/>
        </w:rPr>
      </w:pPr>
      <w:r>
        <w:rPr>
          <w:rFonts w:ascii="Times New Roman" w:hAnsi="Times New Roman" w:cs="Times New Roman" w:eastAsia="Times New Roman" w:hint="default"/>
        </w:rPr>
        <w:t>24</w:t>
      </w:r>
      <w:r>
        <w:rPr/>
        <w:t>、股份支付</w:t>
      </w:r>
      <w:r>
        <w:rPr>
          <w:b w:val="0"/>
          <w:bCs w:val="0"/>
        </w:rPr>
      </w:r>
    </w:p>
    <w:p>
      <w:pPr>
        <w:spacing w:line="386" w:lineRule="auto" w:before="177"/>
        <w:ind w:left="633" w:right="3201"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
          <w:w w:val="99"/>
          <w:sz w:val="21"/>
          <w:szCs w:val="21"/>
        </w:rPr>
        <w:t> </w:t>
      </w:r>
      <w:r>
        <w:rPr>
          <w:rFonts w:ascii="宋体" w:hAnsi="宋体" w:cs="宋体" w:eastAsia="宋体" w:hint="default"/>
          <w:sz w:val="21"/>
          <w:szCs w:val="21"/>
        </w:rPr>
        <w:t>股份支付，分为以权益结算的股份支付和以现金结算的股份支付。</w:t>
      </w:r>
    </w:p>
    <w:p>
      <w:pPr>
        <w:spacing w:line="386" w:lineRule="auto" w:before="65"/>
        <w:ind w:left="633" w:right="13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pacing w:val="-2"/>
          <w:sz w:val="21"/>
          <w:szCs w:val="21"/>
        </w:rPr>
        <w:t>以权益结算的股份支付，以授予职工权益工具的公允价值计量。以现金结算的股份支付，按照公司承</w:t>
      </w:r>
    </w:p>
    <w:p>
      <w:pPr>
        <w:spacing w:after="0" w:line="386" w:lineRule="auto"/>
        <w:jc w:val="left"/>
        <w:rPr>
          <w:rFonts w:ascii="宋体" w:hAnsi="宋体" w:cs="宋体" w:eastAsia="宋体" w:hint="default"/>
          <w:sz w:val="21"/>
          <w:szCs w:val="21"/>
        </w:rPr>
        <w:sectPr>
          <w:footerReference w:type="default" r:id="rId31"/>
          <w:pgSz w:w="11910" w:h="16840"/>
          <w:pgMar w:footer="982" w:header="877" w:top="1100" w:bottom="1180" w:left="980" w:right="980"/>
          <w:pgNumType w:start="141"/>
        </w:sectPr>
      </w:pPr>
    </w:p>
    <w:p>
      <w:pPr>
        <w:spacing w:line="240" w:lineRule="auto" w:before="8"/>
        <w:rPr>
          <w:rFonts w:ascii="宋体" w:hAnsi="宋体" w:cs="宋体" w:eastAsia="宋体" w:hint="default"/>
          <w:sz w:val="26"/>
          <w:szCs w:val="26"/>
        </w:rPr>
      </w:pPr>
    </w:p>
    <w:p>
      <w:pPr>
        <w:pStyle w:val="BodyText"/>
        <w:spacing w:line="408" w:lineRule="auto" w:before="35"/>
        <w:ind w:left="633" w:right="102" w:hanging="480"/>
        <w:jc w:val="left"/>
      </w:pPr>
      <w:r>
        <w:rPr/>
        <w:t>担的以股份或其他权益工具为基础计算确定的负债的公允价值计量。 在权益工具交易活跃的市场，活跃市场中的报价确定为公允价值。权益工具交易不存在活跃市场的，</w:t>
      </w:r>
    </w:p>
    <w:p>
      <w:pPr>
        <w:pStyle w:val="BodyText"/>
        <w:spacing w:line="408" w:lineRule="auto"/>
        <w:ind w:left="153" w:right="102"/>
        <w:jc w:val="left"/>
      </w:pPr>
      <w:r>
        <w:rPr>
          <w:spacing w:val="-1"/>
        </w:rPr>
        <w:t>则采用估值技术确定公允价值，估值技术包括参考熟悉情况并自愿交易的各方最近进行的市场交易中使用</w:t>
      </w:r>
      <w:r>
        <w:rPr>
          <w:spacing w:val="-81"/>
        </w:rPr>
        <w:t> </w:t>
      </w:r>
      <w:r>
        <w:rPr>
          <w:spacing w:val="-81"/>
        </w:rPr>
      </w:r>
      <w:r>
        <w:rPr/>
        <w:t>的价格、参照实质上相同的其他金融工具的当前公允价值、现金流量折现法和期权定价模型等。</w:t>
      </w:r>
    </w:p>
    <w:p>
      <w:pPr>
        <w:spacing w:line="386" w:lineRule="auto" w:before="46"/>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等待期内每个资产负债表日，根据取得的可行权人数变动等后续信息作出最佳估计，修正预计可行权</w:t>
      </w:r>
    </w:p>
    <w:p>
      <w:pPr>
        <w:pStyle w:val="BodyText"/>
        <w:spacing w:line="240" w:lineRule="auto" w:before="65"/>
        <w:ind w:left="153" w:right="102"/>
        <w:jc w:val="left"/>
      </w:pPr>
      <w:r>
        <w:rPr/>
        <w:t>的权益工具数量。在可行权日，最终预计可行权权益工具的数量与实际可行权工具的数量一致。</w:t>
      </w:r>
    </w:p>
    <w:p>
      <w:pPr>
        <w:spacing w:line="240" w:lineRule="auto" w:before="10"/>
        <w:rPr>
          <w:rFonts w:ascii="宋体" w:hAnsi="宋体" w:cs="宋体" w:eastAsia="宋体" w:hint="default"/>
          <w:sz w:val="14"/>
          <w:szCs w:val="14"/>
        </w:rPr>
      </w:pPr>
    </w:p>
    <w:p>
      <w:pPr>
        <w:pStyle w:val="Heading6"/>
        <w:spacing w:line="240" w:lineRule="auto"/>
        <w:ind w:left="153" w:right="102"/>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pStyle w:val="BodyText"/>
        <w:spacing w:line="408" w:lineRule="auto" w:before="177"/>
        <w:ind w:right="211" w:firstLine="480"/>
        <w:jc w:val="both"/>
      </w:pPr>
      <w:r>
        <w:rPr/>
        <w:t>①</w:t>
      </w:r>
      <w:r>
        <w:rPr>
          <w:spacing w:val="-21"/>
        </w:rPr>
        <w:t> </w:t>
      </w:r>
      <w:r>
        <w:rPr/>
        <w:t>授予后立即可行权的以现金结算的股份支付，在授予日以本公司承担负债的公允价值计入相关成</w:t>
      </w:r>
      <w:r>
        <w:rPr/>
        <w:t> </w:t>
      </w:r>
      <w:r>
        <w:rPr>
          <w:spacing w:val="-1"/>
        </w:rPr>
        <w:t>本或费用，相应增加负债。并在结算前的每个资产负债表日和结算日对负债的公允价值重新计量，将其变</w:t>
      </w:r>
      <w:r>
        <w:rPr>
          <w:spacing w:val="-83"/>
        </w:rPr>
        <w:t> </w:t>
      </w:r>
      <w:r>
        <w:rPr>
          <w:spacing w:val="-83"/>
        </w:rPr>
      </w:r>
      <w:r>
        <w:rPr/>
        <w:t>动计入损益。</w:t>
      </w:r>
    </w:p>
    <w:p>
      <w:pPr>
        <w:pStyle w:val="BodyText"/>
        <w:spacing w:line="408" w:lineRule="auto"/>
        <w:ind w:right="209" w:firstLine="480"/>
        <w:jc w:val="both"/>
      </w:pPr>
      <w:r>
        <w:rPr/>
        <w:t>②</w:t>
      </w:r>
      <w:r>
        <w:rPr>
          <w:spacing w:val="24"/>
        </w:rPr>
        <w:t> </w:t>
      </w:r>
      <w:r>
        <w:rPr/>
        <w:t>完成等待期内的服务或达到规定业绩条件以后才可行权的以现金结算的股份支付，在等待期内的</w:t>
      </w:r>
      <w:r>
        <w:rPr/>
        <w:t> </w:t>
      </w:r>
      <w:r>
        <w:rPr>
          <w:spacing w:val="-1"/>
        </w:rPr>
        <w:t>每个资产负债表日以对可行权情况的最佳估计为基础，按本公司承担负债的公允价值金额，将当期取得的</w:t>
      </w:r>
      <w:r>
        <w:rPr>
          <w:spacing w:val="-81"/>
        </w:rPr>
        <w:t> </w:t>
      </w:r>
      <w:r>
        <w:rPr>
          <w:spacing w:val="-81"/>
        </w:rPr>
      </w:r>
      <w:r>
        <w:rPr/>
        <w:t>服务计入成本或费用和相应的负债。</w:t>
      </w:r>
    </w:p>
    <w:p>
      <w:pPr>
        <w:pStyle w:val="BodyText"/>
        <w:spacing w:line="408" w:lineRule="auto"/>
        <w:ind w:right="191" w:firstLine="480"/>
        <w:jc w:val="left"/>
      </w:pPr>
      <w:r>
        <w:rPr/>
        <w:t>③</w:t>
      </w:r>
      <w:r>
        <w:rPr>
          <w:spacing w:val="24"/>
        </w:rPr>
        <w:t> </w:t>
      </w:r>
      <w:r>
        <w:rPr/>
        <w:t>授予后立即可行权的换取职工服务的以权益结算的股份支付，在授予日以权益工具的公允价值计</w:t>
      </w:r>
      <w:r>
        <w:rPr/>
        <w:t> 入相关成本或费用，相应增加资本公积。</w:t>
      </w:r>
    </w:p>
    <w:p>
      <w:pPr>
        <w:pStyle w:val="BodyText"/>
        <w:spacing w:line="408" w:lineRule="auto"/>
        <w:ind w:right="102" w:firstLine="480"/>
        <w:jc w:val="left"/>
      </w:pPr>
      <w:r>
        <w:rPr/>
        <w:t>④ 完成等待期内的服务或达到规定业绩条件以后才可行权换取职工服务的以权益结算的股份支付，</w:t>
      </w:r>
      <w:r>
        <w:rPr>
          <w:spacing w:val="2"/>
        </w:rPr>
        <w:t> </w:t>
      </w:r>
      <w:r>
        <w:rPr/>
        <w:t>在等待期内的每个资产负债表日，以对可行权权益工具数量的最佳估计为基础，按权益工具授予日的公允</w:t>
      </w:r>
      <w:r>
        <w:rPr/>
        <w:t> 价值，将当期取得的服务计入成本或费用和资本公积。</w:t>
      </w:r>
    </w:p>
    <w:p>
      <w:pPr>
        <w:spacing w:line="398" w:lineRule="auto" w:before="46"/>
        <w:ind w:left="154" w:right="62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 否</w:t>
      </w:r>
    </w:p>
    <w:p>
      <w:pPr>
        <w:spacing w:line="386" w:lineRule="auto" w:before="54"/>
        <w:ind w:left="544" w:right="200" w:hanging="39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z w:val="21"/>
          <w:szCs w:val="21"/>
        </w:rPr>
        <w:t>公司的收入主要为旅游服务收入，主要包括出境旅游收入、整合营销服务收入等。收入的确认原则和</w:t>
      </w:r>
    </w:p>
    <w:p>
      <w:pPr>
        <w:pStyle w:val="BodyText"/>
        <w:spacing w:line="240" w:lineRule="auto" w:before="65"/>
        <w:ind w:right="6771"/>
        <w:jc w:val="left"/>
      </w:pPr>
      <w:r>
        <w:rPr/>
        <w:t>计量依据如下：</w:t>
      </w:r>
    </w:p>
    <w:p>
      <w:pPr>
        <w:spacing w:line="240" w:lineRule="auto" w:before="10"/>
        <w:rPr>
          <w:rFonts w:ascii="宋体" w:hAnsi="宋体" w:cs="宋体" w:eastAsia="宋体" w:hint="default"/>
          <w:sz w:val="14"/>
          <w:szCs w:val="14"/>
        </w:rPr>
      </w:pPr>
    </w:p>
    <w:p>
      <w:pPr>
        <w:pStyle w:val="BodyText"/>
        <w:spacing w:line="240" w:lineRule="auto" w:before="0"/>
        <w:ind w:left="544" w:right="6771"/>
        <w:jc w:val="left"/>
      </w:pPr>
      <w:r>
        <w:rPr/>
        <w:t>①</w:t>
      </w:r>
      <w:r>
        <w:rPr>
          <w:spacing w:val="-21"/>
        </w:rPr>
        <w:t> </w:t>
      </w:r>
      <w:r>
        <w:rPr/>
        <w:t>确认原则</w:t>
      </w:r>
    </w:p>
    <w:p>
      <w:pPr>
        <w:spacing w:line="240" w:lineRule="auto" w:before="10"/>
        <w:rPr>
          <w:rFonts w:ascii="宋体" w:hAnsi="宋体" w:cs="宋体" w:eastAsia="宋体" w:hint="default"/>
          <w:sz w:val="14"/>
          <w:szCs w:val="14"/>
        </w:rPr>
      </w:pPr>
    </w:p>
    <w:p>
      <w:pPr>
        <w:pStyle w:val="BodyText"/>
        <w:spacing w:line="240" w:lineRule="auto" w:before="0"/>
        <w:ind w:left="544" w:right="10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公司已将与旅游活动相关的主要风险和报酬转移给客户，其主要标志为旅游活动的结束；</w:t>
      </w:r>
    </w:p>
    <w:p>
      <w:pPr>
        <w:pStyle w:val="BodyText"/>
        <w:spacing w:line="240" w:lineRule="auto" w:before="177"/>
        <w:ind w:left="544" w:right="10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t>收入的金额能够可靠地计量；</w:t>
      </w:r>
    </w:p>
    <w:p>
      <w:pPr>
        <w:pStyle w:val="BodyText"/>
        <w:spacing w:line="240" w:lineRule="auto" w:before="177"/>
        <w:ind w:left="544" w:right="102"/>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t>相关的经济利益很可能流入；</w:t>
      </w:r>
    </w:p>
    <w:p>
      <w:pPr>
        <w:pStyle w:val="BodyText"/>
        <w:spacing w:line="240" w:lineRule="auto" w:before="177"/>
        <w:ind w:left="544" w:right="102"/>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9"/>
        </w:rPr>
        <w:t> </w:t>
      </w:r>
      <w:r>
        <w:rPr/>
        <w:t>相关的已发生或将发生的成本能够可靠地计量。</w:t>
      </w:r>
    </w:p>
    <w:p>
      <w:pPr>
        <w:spacing w:after="0" w:line="240" w:lineRule="auto"/>
        <w:jc w:val="left"/>
        <w:sectPr>
          <w:footerReference w:type="default" r:id="rId32"/>
          <w:pgSz w:w="11910" w:h="16840"/>
          <w:pgMar w:footer="982" w:header="877" w:top="1100" w:bottom="1180" w:left="980" w:right="920"/>
          <w:pgNumType w:start="142"/>
        </w:sectPr>
      </w:pPr>
    </w:p>
    <w:p>
      <w:pPr>
        <w:spacing w:line="240" w:lineRule="auto" w:before="8"/>
        <w:rPr>
          <w:rFonts w:ascii="宋体" w:hAnsi="宋体" w:cs="宋体" w:eastAsia="宋体" w:hint="default"/>
          <w:sz w:val="26"/>
          <w:szCs w:val="26"/>
        </w:rPr>
      </w:pPr>
    </w:p>
    <w:p>
      <w:pPr>
        <w:pStyle w:val="BodyText"/>
        <w:spacing w:line="408" w:lineRule="auto" w:before="35"/>
        <w:ind w:right="211" w:firstLine="390"/>
        <w:jc w:val="both"/>
      </w:pPr>
      <w:r>
        <w:rPr>
          <w:spacing w:val="-5"/>
        </w:rPr>
        <w:t>旅游活动的结束是指：公司组织国内旅游者到境外旅游或国内旅游，旅行团已经返回；整合营销服务，</w:t>
      </w:r>
      <w:r>
        <w:rPr/>
        <w:t> 相关整合营销服务活动已经结束。</w:t>
      </w:r>
    </w:p>
    <w:p>
      <w:pPr>
        <w:pStyle w:val="BodyText"/>
        <w:spacing w:line="240" w:lineRule="auto"/>
        <w:ind w:left="543" w:right="6771"/>
        <w:jc w:val="left"/>
      </w:pPr>
      <w:r>
        <w:rPr/>
        <w:t>②</w:t>
      </w:r>
      <w:r>
        <w:rPr>
          <w:spacing w:val="-21"/>
        </w:rPr>
        <w:t> </w:t>
      </w:r>
      <w:r>
        <w:rPr/>
        <w:t>计量依据</w:t>
      </w:r>
    </w:p>
    <w:p>
      <w:pPr>
        <w:spacing w:line="240" w:lineRule="auto" w:before="10"/>
        <w:rPr>
          <w:rFonts w:ascii="宋体" w:hAnsi="宋体" w:cs="宋体" w:eastAsia="宋体" w:hint="default"/>
          <w:sz w:val="14"/>
          <w:szCs w:val="14"/>
        </w:rPr>
      </w:pPr>
    </w:p>
    <w:p>
      <w:pPr>
        <w:pStyle w:val="BodyText"/>
        <w:spacing w:line="386" w:lineRule="auto" w:before="0"/>
        <w:ind w:left="153" w:right="208" w:firstLine="39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0"/>
        </w:rPr>
        <w:t> </w:t>
      </w:r>
      <w:r>
        <w:rPr/>
        <w:t>出境旅游收入：分为同业和直客业务，分别根据与代理商和散客约定的单价，按最终的决算单为依 据计量。</w:t>
      </w:r>
    </w:p>
    <w:p>
      <w:pPr>
        <w:pStyle w:val="BodyText"/>
        <w:spacing w:line="386" w:lineRule="auto" w:before="65"/>
        <w:ind w:left="543" w:right="9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spacing w:val="-3"/>
        </w:rPr>
        <w:t>整合营销服务收入：根据与客户签订的相关服务合同所约定的金额，按照最终的决算单为依据计量。</w:t>
      </w:r>
      <w:r>
        <w:rPr/>
        <w:t> 公司收到酒店、餐馆、景点、商店为奖励企业超额销售或提供客源，支付的佣金或奖励，在确认获得</w:t>
      </w:r>
    </w:p>
    <w:p>
      <w:pPr>
        <w:pStyle w:val="BodyText"/>
        <w:spacing w:line="408" w:lineRule="auto" w:before="65"/>
        <w:ind w:left="543" w:right="6291" w:hanging="390"/>
        <w:jc w:val="left"/>
      </w:pPr>
      <w:r>
        <w:rPr/>
        <w:t>收款权利时确认收入。 公司对会员积分的会计处理方法：</w:t>
      </w:r>
    </w:p>
    <w:p>
      <w:pPr>
        <w:pStyle w:val="BodyText"/>
        <w:spacing w:line="398" w:lineRule="auto"/>
        <w:ind w:left="153" w:right="210" w:firstLine="39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20"/>
        </w:rPr>
        <w:t> </w:t>
      </w:r>
      <w:r>
        <w:rPr/>
        <w:t>在销售产品或提供劳务的同时，公司将销售取得的货款或应收货款在本次商品销售或劳务提供产生 </w:t>
      </w:r>
      <w:r>
        <w:rPr>
          <w:spacing w:val="-1"/>
        </w:rPr>
        <w:t>的收入与奖励积分的公允价值之间进行分配，将取得的货款或应收货款扣除奖励积分公允价值的部分确认</w:t>
      </w:r>
      <w:r>
        <w:rPr>
          <w:spacing w:val="-81"/>
        </w:rPr>
        <w:t> </w:t>
      </w:r>
      <w:r>
        <w:rPr>
          <w:spacing w:val="-81"/>
        </w:rPr>
      </w:r>
      <w:r>
        <w:rPr/>
        <w:t>为收入、奖励积分的公允价值确认为递延收益。</w:t>
      </w:r>
    </w:p>
    <w:p>
      <w:pPr>
        <w:pStyle w:val="BodyText"/>
        <w:spacing w:line="398" w:lineRule="auto" w:before="54"/>
        <w:ind w:left="153" w:right="210" w:firstLine="39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获得奖励积分的客户满足条件时有权利取得公司的商品或服务，在客户兑换奖励积分时，公司将原 </w:t>
      </w:r>
      <w:r>
        <w:rPr>
          <w:spacing w:val="-1"/>
        </w:rPr>
        <w:t>计入递延收益的与所兑换积分相关的部分确认为收入，确认为收入的金额以被兑换用于换取奖励的积分数</w:t>
      </w:r>
      <w:r>
        <w:rPr>
          <w:spacing w:val="-81"/>
        </w:rPr>
        <w:t> </w:t>
      </w:r>
      <w:r>
        <w:rPr>
          <w:spacing w:val="-81"/>
        </w:rPr>
      </w:r>
      <w:r>
        <w:rPr/>
        <w:t>额占预期将兑换用于换取奖励的积分总数的比例为基础计算确定。</w:t>
      </w:r>
    </w:p>
    <w:p>
      <w:pPr>
        <w:spacing w:line="386" w:lineRule="auto" w:before="54"/>
        <w:ind w:left="489" w:right="675"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与交易相关的经济利益能够流入企业，收入的金额能可靠地计量时确认为让渡资产使用权收入。</w:t>
      </w:r>
    </w:p>
    <w:p>
      <w:pPr>
        <w:spacing w:line="386" w:lineRule="auto" w:before="65"/>
        <w:ind w:left="633" w:right="199" w:hanging="48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在下列条件均能满足时确认为提供劳务收入：收入的金额能够可靠地计量；相关的经济利益很可能流</w:t>
      </w:r>
    </w:p>
    <w:p>
      <w:pPr>
        <w:pStyle w:val="BodyText"/>
        <w:spacing w:line="240" w:lineRule="auto" w:before="65"/>
        <w:ind w:left="153" w:right="102"/>
        <w:jc w:val="left"/>
      </w:pPr>
      <w:r>
        <w:rPr/>
        <w:t>入企业；交易的完工进度能够可靠地确定；交易中已发生和将发生的成本能够可靠地计量。</w:t>
      </w:r>
    </w:p>
    <w:p>
      <w:pPr>
        <w:spacing w:line="240" w:lineRule="auto" w:before="10"/>
        <w:rPr>
          <w:rFonts w:ascii="宋体" w:hAnsi="宋体" w:cs="宋体" w:eastAsia="宋体" w:hint="default"/>
          <w:sz w:val="14"/>
          <w:szCs w:val="14"/>
        </w:rPr>
      </w:pPr>
    </w:p>
    <w:p>
      <w:pPr>
        <w:pStyle w:val="Heading6"/>
        <w:spacing w:line="240" w:lineRule="auto"/>
        <w:ind w:left="153" w:right="6771"/>
        <w:jc w:val="left"/>
        <w:rPr>
          <w:b w:val="0"/>
          <w:bCs w:val="0"/>
        </w:rPr>
      </w:pPr>
      <w:r>
        <w:rPr/>
        <w:t>（</w:t>
      </w:r>
      <w:r>
        <w:rPr>
          <w:rFonts w:ascii="Times New Roman" w:hAnsi="Times New Roman" w:cs="Times New Roman" w:eastAsia="Times New Roman" w:hint="default"/>
        </w:rPr>
        <w:t>4</w:t>
      </w:r>
      <w:r>
        <w:rPr/>
        <w:t>）货币兑换收入的依据</w:t>
      </w:r>
      <w:r>
        <w:rPr>
          <w:b w:val="0"/>
          <w:bCs w:val="0"/>
        </w:rPr>
      </w:r>
    </w:p>
    <w:p>
      <w:pPr>
        <w:pStyle w:val="BodyText"/>
        <w:spacing w:line="240" w:lineRule="auto" w:before="177"/>
        <w:ind w:left="633" w:right="102"/>
        <w:jc w:val="left"/>
      </w:pPr>
      <w:r>
        <w:rPr/>
        <w:t>①</w:t>
      </w:r>
      <w:r>
        <w:rPr>
          <w:spacing w:val="31"/>
        </w:rPr>
        <w:t> </w:t>
      </w:r>
      <w:r>
        <w:rPr/>
        <w:t>公司已将与货币兑换相关的主要风险和报酬转移给客户；</w:t>
      </w:r>
    </w:p>
    <w:p>
      <w:pPr>
        <w:spacing w:line="240" w:lineRule="auto" w:before="10"/>
        <w:rPr>
          <w:rFonts w:ascii="宋体" w:hAnsi="宋体" w:cs="宋体" w:eastAsia="宋体" w:hint="default"/>
          <w:sz w:val="14"/>
          <w:szCs w:val="14"/>
        </w:rPr>
      </w:pPr>
    </w:p>
    <w:p>
      <w:pPr>
        <w:pStyle w:val="BodyText"/>
        <w:spacing w:line="240" w:lineRule="auto" w:before="0"/>
        <w:ind w:left="633" w:right="102"/>
        <w:jc w:val="left"/>
      </w:pPr>
      <w:r>
        <w:rPr/>
        <w:t>②</w:t>
      </w:r>
      <w:r>
        <w:rPr>
          <w:spacing w:val="31"/>
        </w:rPr>
        <w:t> </w:t>
      </w:r>
      <w:r>
        <w:rPr/>
        <w:t>收入的金额能够可靠地计量；</w:t>
      </w:r>
    </w:p>
    <w:p>
      <w:pPr>
        <w:spacing w:line="240" w:lineRule="auto" w:before="10"/>
        <w:rPr>
          <w:rFonts w:ascii="宋体" w:hAnsi="宋体" w:cs="宋体" w:eastAsia="宋体" w:hint="default"/>
          <w:sz w:val="14"/>
          <w:szCs w:val="14"/>
        </w:rPr>
      </w:pPr>
    </w:p>
    <w:p>
      <w:pPr>
        <w:pStyle w:val="BodyText"/>
        <w:spacing w:line="240" w:lineRule="auto" w:before="0"/>
        <w:ind w:left="633" w:right="102"/>
        <w:jc w:val="left"/>
      </w:pPr>
      <w:r>
        <w:rPr/>
        <w:t>③</w:t>
      </w:r>
      <w:r>
        <w:rPr>
          <w:spacing w:val="31"/>
        </w:rPr>
        <w:t> </w:t>
      </w:r>
      <w:r>
        <w:rPr/>
        <w:t>相关的经济利益很可能流入；</w:t>
      </w:r>
    </w:p>
    <w:p>
      <w:pPr>
        <w:spacing w:line="240" w:lineRule="auto" w:before="10"/>
        <w:rPr>
          <w:rFonts w:ascii="宋体" w:hAnsi="宋体" w:cs="宋体" w:eastAsia="宋体" w:hint="default"/>
          <w:sz w:val="14"/>
          <w:szCs w:val="14"/>
        </w:rPr>
      </w:pPr>
    </w:p>
    <w:p>
      <w:pPr>
        <w:pStyle w:val="BodyText"/>
        <w:spacing w:line="240" w:lineRule="auto" w:before="0"/>
        <w:ind w:left="633" w:right="102"/>
        <w:jc w:val="left"/>
      </w:pPr>
      <w:r>
        <w:rPr/>
        <w:t>④</w:t>
      </w:r>
      <w:r>
        <w:rPr>
          <w:spacing w:val="31"/>
        </w:rPr>
        <w:t> </w:t>
      </w:r>
      <w:r>
        <w:rPr/>
        <w:t>相关的已发生或将发生的成本能够可靠地计量。</w:t>
      </w:r>
    </w:p>
    <w:p>
      <w:pPr>
        <w:spacing w:line="240" w:lineRule="auto" w:before="10"/>
        <w:rPr>
          <w:rFonts w:ascii="宋体" w:hAnsi="宋体" w:cs="宋体" w:eastAsia="宋体" w:hint="default"/>
          <w:sz w:val="14"/>
          <w:szCs w:val="14"/>
        </w:rPr>
      </w:pPr>
    </w:p>
    <w:p>
      <w:pPr>
        <w:spacing w:line="386" w:lineRule="auto" w:before="0"/>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）金融业务利息收入和支出</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利息收入和支出按照相关金融资产和金融负债的摊余成本采用实际利率法计算，并计入当期损益。金</w:t>
      </w:r>
    </w:p>
    <w:p>
      <w:pPr>
        <w:pStyle w:val="BodyText"/>
        <w:spacing w:line="240" w:lineRule="auto" w:before="65"/>
        <w:ind w:left="153" w:right="102"/>
        <w:jc w:val="left"/>
      </w:pPr>
      <w:r>
        <w:rPr/>
        <w:t>融资产确认减值损失后，确认利息收入所使用的利率为原始实际利率。</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Heading6"/>
        <w:spacing w:line="240" w:lineRule="auto" w:before="35"/>
        <w:ind w:right="6771"/>
        <w:jc w:val="left"/>
        <w:rPr>
          <w:b w:val="0"/>
          <w:bCs w:val="0"/>
        </w:rPr>
      </w:pPr>
      <w:r>
        <w:rPr>
          <w:rFonts w:ascii="Times New Roman" w:hAnsi="Times New Roman" w:cs="Times New Roman" w:eastAsia="Times New Roman" w:hint="default"/>
        </w:rPr>
        <w:t>26</w:t>
      </w:r>
      <w:r>
        <w:rPr/>
        <w:t>、政府补助</w:t>
      </w:r>
      <w:r>
        <w:rPr>
          <w:b w:val="0"/>
          <w:bCs w:val="0"/>
        </w:rPr>
      </w:r>
    </w:p>
    <w:p>
      <w:pPr>
        <w:spacing w:line="386" w:lineRule="auto" w:before="177"/>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与资产相关的政府补助，是指本公司取得的、用于购建或以其他方式形成长期资产的政府补助；除此</w:t>
      </w:r>
    </w:p>
    <w:p>
      <w:pPr>
        <w:pStyle w:val="BodyText"/>
        <w:spacing w:line="408" w:lineRule="auto" w:before="65"/>
        <w:ind w:left="573" w:right="102" w:hanging="420"/>
        <w:jc w:val="left"/>
      </w:pPr>
      <w:r>
        <w:rPr/>
        <w:t>之外，作为与收益相关的政府补助。 </w:t>
      </w:r>
      <w:r>
        <w:rPr>
          <w:spacing w:val="-1"/>
        </w:rPr>
        <w:t>对于政府文件未明确规定补助对象的，能够形成长期资产的，与资产价值相对应的政府补助部分作为</w:t>
      </w:r>
    </w:p>
    <w:p>
      <w:pPr>
        <w:pStyle w:val="BodyText"/>
        <w:spacing w:line="408" w:lineRule="auto"/>
        <w:ind w:left="153" w:right="210"/>
        <w:jc w:val="both"/>
      </w:pPr>
      <w:r>
        <w:rPr>
          <w:spacing w:val="-1"/>
        </w:rPr>
        <w:t>与资产相关的政府补助，其余部分作为与收益相关的政府补助；难以区分的，将政府补助整体作为与收益</w:t>
      </w:r>
      <w:r>
        <w:rPr>
          <w:spacing w:val="-83"/>
        </w:rPr>
        <w:t> </w:t>
      </w:r>
      <w:r>
        <w:rPr>
          <w:spacing w:val="-83"/>
        </w:rPr>
      </w:r>
      <w:r>
        <w:rPr/>
        <w:t>相关的政府补助。</w:t>
      </w:r>
    </w:p>
    <w:p>
      <w:pPr>
        <w:pStyle w:val="BodyText"/>
        <w:spacing w:line="408" w:lineRule="auto"/>
        <w:ind w:left="153" w:right="102" w:firstLine="420"/>
        <w:jc w:val="left"/>
      </w:pPr>
      <w:r>
        <w:rPr>
          <w:spacing w:val="-1"/>
        </w:rPr>
        <w:t>与资产相关的政府补助，冲减相关资产的账面价值，或者确认为递延收益在相关资产使用期限内按照</w:t>
      </w:r>
      <w:r>
        <w:rPr/>
        <w:t> 合理、系统的方法分期计入损益。</w:t>
      </w:r>
    </w:p>
    <w:p>
      <w:pPr>
        <w:spacing w:line="386" w:lineRule="auto" w:before="46"/>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与收益相关的政府补助，用于补偿已发生的相关成本费用或损失的，计入当期损益或冲减相关成本；</w:t>
      </w:r>
    </w:p>
    <w:p>
      <w:pPr>
        <w:pStyle w:val="BodyText"/>
        <w:spacing w:line="408" w:lineRule="auto" w:before="65"/>
        <w:ind w:left="153" w:right="210"/>
        <w:jc w:val="both"/>
      </w:pPr>
      <w:r>
        <w:rPr>
          <w:spacing w:val="-1"/>
        </w:rPr>
        <w:t>用于补偿以后期间的相关成本费用或损失的，则计入递延收益，于相关成本费用或损失确认期间计入当期</w:t>
      </w:r>
      <w:r>
        <w:rPr>
          <w:spacing w:val="-81"/>
        </w:rPr>
        <w:t> </w:t>
      </w:r>
      <w:r>
        <w:rPr>
          <w:spacing w:val="-81"/>
        </w:rPr>
      </w:r>
      <w:r>
        <w:rPr>
          <w:spacing w:val="-1"/>
        </w:rPr>
        <w:t>损益或冲减相关成本。按照名义金额计量的政府补助，直接计入当期损益。本公司对相同或类似的政府补</w:t>
      </w:r>
      <w:r>
        <w:rPr>
          <w:spacing w:val="-83"/>
        </w:rPr>
        <w:t> </w:t>
      </w:r>
      <w:r>
        <w:rPr>
          <w:spacing w:val="-83"/>
        </w:rPr>
      </w:r>
      <w:r>
        <w:rPr/>
        <w:t>助业务，采用一致的方法处理。</w:t>
      </w:r>
    </w:p>
    <w:p>
      <w:pPr>
        <w:pStyle w:val="BodyText"/>
        <w:spacing w:line="408" w:lineRule="auto"/>
        <w:ind w:left="153" w:right="211" w:firstLine="252"/>
        <w:jc w:val="both"/>
      </w:pPr>
      <w:r>
        <w:rPr>
          <w:spacing w:val="-2"/>
        </w:rPr>
        <w:t>与日常活动相关的政府补助，按照经济业务实质，计入其他收益或冲减相关成本费用。与日常活动无关</w:t>
      </w:r>
      <w:r>
        <w:rPr/>
        <w:t> </w:t>
      </w:r>
      <w:r>
        <w:rPr>
          <w:spacing w:val="-1"/>
        </w:rPr>
        <w:t>的政府补助，计入营业外收支。已确认的政府补助需要返还时，初始确认时冲减相关资产账面价值的，调</w:t>
      </w:r>
      <w:r>
        <w:rPr>
          <w:spacing w:val="-82"/>
        </w:rPr>
        <w:t> </w:t>
      </w:r>
      <w:r>
        <w:rPr>
          <w:spacing w:val="-82"/>
        </w:rPr>
      </w:r>
      <w:r>
        <w:rPr>
          <w:spacing w:val="-1"/>
        </w:rPr>
        <w:t>整资产账面价值；存在相关递延收益余额的，冲减相关递延收益账面余额，超出部分计入当期损益；属于</w:t>
      </w:r>
      <w:r>
        <w:rPr>
          <w:spacing w:val="-82"/>
        </w:rPr>
        <w:t> </w:t>
      </w:r>
      <w:r>
        <w:rPr>
          <w:spacing w:val="-82"/>
        </w:rPr>
      </w:r>
      <w:r>
        <w:rPr/>
        <w:t>其他情况的，直接计入当期损益。</w:t>
      </w:r>
    </w:p>
    <w:p>
      <w:pPr>
        <w:pStyle w:val="Heading6"/>
        <w:spacing w:line="240" w:lineRule="auto" w:before="46"/>
        <w:ind w:left="153" w:right="102"/>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Heading6"/>
        <w:spacing w:line="240" w:lineRule="auto" w:before="177"/>
        <w:ind w:right="102"/>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pStyle w:val="BodyText"/>
        <w:spacing w:line="408" w:lineRule="auto" w:before="177"/>
        <w:ind w:right="210" w:firstLine="480"/>
        <w:jc w:val="both"/>
      </w:pPr>
      <w:r>
        <w:rPr/>
        <w:t>①</w:t>
      </w:r>
      <w:r>
        <w:rPr>
          <w:spacing w:val="-21"/>
        </w:rPr>
        <w:t> </w:t>
      </w:r>
      <w:r>
        <w:rPr/>
        <w:t>资产、负债的账面价值与其计税基础存在可抵扣暂时性差异的，以很可能取得用来抵扣可抵扣暂</w:t>
      </w:r>
      <w:r>
        <w:rPr/>
        <w:t> </w:t>
      </w:r>
      <w:r>
        <w:rPr>
          <w:spacing w:val="-1"/>
        </w:rPr>
        <w:t>时性差异的应纳税所得额为限，确认由可抵扣暂时性差异产生的递延所得税资产。但是，同时具有下列特</w:t>
      </w:r>
      <w:r>
        <w:rPr>
          <w:spacing w:val="-83"/>
        </w:rPr>
        <w:t> </w:t>
      </w:r>
      <w:r>
        <w:rPr>
          <w:spacing w:val="-83"/>
        </w:rPr>
      </w:r>
      <w:r>
        <w:rPr/>
        <w:t>征的交易中因资产或负债的初始确认所产生的递延所得税资产不予确认：</w:t>
      </w:r>
    </w:p>
    <w:p>
      <w:pPr>
        <w:pStyle w:val="BodyText"/>
        <w:spacing w:line="240" w:lineRule="auto"/>
        <w:ind w:left="633" w:right="6771"/>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该项交易不是企业合并；</w:t>
      </w:r>
    </w:p>
    <w:p>
      <w:pPr>
        <w:pStyle w:val="BodyText"/>
        <w:spacing w:line="240" w:lineRule="auto" w:before="177"/>
        <w:ind w:left="633" w:right="10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t>交易发生时既不影响会计利润也不影响应纳税所得额（或可抵扣亏损）。</w:t>
      </w:r>
    </w:p>
    <w:p>
      <w:pPr>
        <w:pStyle w:val="BodyText"/>
        <w:spacing w:line="408" w:lineRule="auto" w:before="177"/>
        <w:ind w:right="236" w:firstLine="480"/>
        <w:jc w:val="left"/>
      </w:pPr>
      <w:r>
        <w:rPr/>
        <w:t>②</w:t>
      </w:r>
      <w:r>
        <w:rPr>
          <w:spacing w:val="-21"/>
        </w:rPr>
        <w:t> </w:t>
      </w:r>
      <w:r>
        <w:rPr/>
        <w:t>对与子公司、联营企业及合营企业投资相关的可抵扣暂时性差异，同时满足下列条件的，确认相</w:t>
      </w:r>
      <w:r>
        <w:rPr/>
        <w:t> 应的递延所得税资产：</w:t>
      </w:r>
    </w:p>
    <w:p>
      <w:pPr>
        <w:pStyle w:val="BodyText"/>
        <w:spacing w:line="240" w:lineRule="auto"/>
        <w:ind w:left="633" w:right="102"/>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暂时性差异在可预见的未来很可能转回；</w:t>
      </w:r>
    </w:p>
    <w:p>
      <w:pPr>
        <w:pStyle w:val="BodyText"/>
        <w:spacing w:line="240" w:lineRule="auto" w:before="177"/>
        <w:ind w:left="633" w:right="102"/>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t>未来很可能获得用来抵扣可抵扣暂时性差异的应纳税所得额。</w:t>
      </w:r>
    </w:p>
    <w:p>
      <w:pPr>
        <w:pStyle w:val="BodyText"/>
        <w:spacing w:line="240" w:lineRule="auto" w:before="177"/>
        <w:ind w:left="633" w:right="102"/>
        <w:jc w:val="left"/>
      </w:pPr>
      <w:r>
        <w:rPr/>
        <w:t>③</w:t>
      </w:r>
      <w:r>
        <w:rPr>
          <w:spacing w:val="-21"/>
        </w:rPr>
        <w:t> </w:t>
      </w:r>
      <w:r>
        <w:rPr/>
        <w:t>对于能够结转以后年度的可抵扣亏损和税款抵减，以很可能获得用来抵扣可抵扣亏损和税款抵减</w:t>
      </w:r>
    </w:p>
    <w:p>
      <w:pPr>
        <w:spacing w:after="0" w:line="240"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的未来应纳税所得额为限，确认相应的递延所得税资产。</w:t>
      </w:r>
    </w:p>
    <w:p>
      <w:pPr>
        <w:spacing w:line="240" w:lineRule="auto" w:before="10"/>
        <w:rPr>
          <w:rFonts w:ascii="宋体" w:hAnsi="宋体" w:cs="宋体" w:eastAsia="宋体" w:hint="default"/>
          <w:sz w:val="14"/>
          <w:szCs w:val="14"/>
        </w:rPr>
      </w:pPr>
    </w:p>
    <w:p>
      <w:pPr>
        <w:pStyle w:val="BodyText"/>
        <w:spacing w:line="408" w:lineRule="auto" w:before="0"/>
        <w:ind w:left="153" w:right="151" w:firstLine="480"/>
        <w:jc w:val="both"/>
      </w:pPr>
      <w:r>
        <w:rPr/>
        <w:t>④</w:t>
      </w:r>
      <w:r>
        <w:rPr>
          <w:spacing w:val="-21"/>
        </w:rPr>
        <w:t> </w:t>
      </w:r>
      <w:r>
        <w:rPr/>
        <w:t>资产负债表日，对递延所得税资产的账面价值进行复核。如果未来期间很可能无法获得足够的应</w:t>
      </w:r>
      <w:r>
        <w:rPr/>
        <w:t> </w:t>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税所得额时，减记的金额转回。</w:t>
      </w:r>
    </w:p>
    <w:p>
      <w:pPr>
        <w:spacing w:line="386" w:lineRule="auto" w:before="46"/>
        <w:ind w:left="634" w:right="138" w:hanging="16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对与子公司及联营企业投资相关的应纳税暂时性差异，确认递延所得税负债，除非本公司能够控制暂</w:t>
      </w:r>
    </w:p>
    <w:p>
      <w:pPr>
        <w:pStyle w:val="BodyText"/>
        <w:spacing w:line="408" w:lineRule="auto" w:before="65"/>
        <w:ind w:right="151"/>
        <w:jc w:val="both"/>
      </w:pPr>
      <w:r>
        <w:rPr>
          <w:spacing w:val="-1"/>
        </w:rPr>
        <w:t>时性差异转回的时间且该暂时性差异在可预见的未来很可能不会转回。对与子公司及联营企业投资相关的</w:t>
      </w:r>
      <w:r>
        <w:rPr>
          <w:spacing w:val="-81"/>
        </w:rPr>
        <w:t> </w:t>
      </w:r>
      <w:r>
        <w:rPr>
          <w:spacing w:val="-81"/>
        </w:rPr>
      </w:r>
      <w:r>
        <w:rPr>
          <w:spacing w:val="-1"/>
        </w:rPr>
        <w:t>可抵扣暂时性差异，当该暂时性差异在可预见的未来很可能转回且未来很可能获得用来抵扣可抵扣暂时性</w:t>
      </w:r>
      <w:r>
        <w:rPr>
          <w:spacing w:val="-81"/>
        </w:rPr>
        <w:t> </w:t>
      </w:r>
      <w:r>
        <w:rPr>
          <w:spacing w:val="-81"/>
        </w:rPr>
      </w:r>
      <w:r>
        <w:rPr/>
        <w:t>差异的应纳税所得额时，确认递延所得税资产。</w:t>
      </w:r>
    </w:p>
    <w:p>
      <w:pPr>
        <w:pStyle w:val="Heading6"/>
        <w:spacing w:line="240" w:lineRule="auto" w:before="46"/>
        <w:ind w:right="0"/>
        <w:jc w:val="left"/>
        <w:rPr>
          <w:b w:val="0"/>
          <w:bCs w:val="0"/>
        </w:rPr>
      </w:pPr>
      <w:r>
        <w:rPr>
          <w:rFonts w:ascii="Times New Roman" w:hAnsi="Times New Roman" w:cs="Times New Roman" w:eastAsia="Times New Roman" w:hint="default"/>
        </w:rPr>
        <w:t>28</w:t>
      </w:r>
      <w:r>
        <w:rPr/>
        <w:t>、租赁</w:t>
      </w:r>
      <w:r>
        <w:rPr>
          <w:b w:val="0"/>
          <w:bCs w:val="0"/>
        </w:rPr>
      </w:r>
    </w:p>
    <w:p>
      <w:pPr>
        <w:spacing w:line="386" w:lineRule="auto" w:before="177"/>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对于经营租赁的租金，承租人应当在租赁期内各个期间按照直线法计入相关资产成本或当期损益；承</w:t>
      </w:r>
    </w:p>
    <w:p>
      <w:pPr>
        <w:pStyle w:val="BodyText"/>
        <w:spacing w:line="240" w:lineRule="auto" w:before="65"/>
        <w:ind w:right="0"/>
        <w:jc w:val="left"/>
      </w:pPr>
      <w:r>
        <w:rPr/>
        <w:t>租人发生的初始直接费用，计入当期损益。或有租金应在实际发生时计入当期损益。</w:t>
      </w:r>
    </w:p>
    <w:p>
      <w:pPr>
        <w:spacing w:line="240" w:lineRule="auto" w:before="10"/>
        <w:rPr>
          <w:rFonts w:ascii="宋体" w:hAnsi="宋体" w:cs="宋体" w:eastAsia="宋体" w:hint="default"/>
          <w:sz w:val="14"/>
          <w:szCs w:val="14"/>
        </w:rPr>
      </w:pPr>
    </w:p>
    <w:p>
      <w:pPr>
        <w:spacing w:line="400" w:lineRule="auto"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在租赁期开始日，承租人应当将租赁期开始日租赁资产公允价值与最低租赁付款额现值两者中较低者作为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租赁资产的入账价值，将最低租赁付款额作为长期应付款的入账价值，其差额作为未确认融资费用。 </w:t>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both"/>
              <w:rPr>
                <w:rFonts w:ascii="宋体" w:hAnsi="宋体" w:cs="宋体" w:eastAsia="宋体" w:hint="default"/>
                <w:sz w:val="18"/>
                <w:szCs w:val="18"/>
              </w:rPr>
            </w:pPr>
            <w:r>
              <w:rPr>
                <w:rFonts w:ascii="宋体" w:hAnsi="宋体" w:cs="宋体" w:eastAsia="宋体" w:hint="default"/>
                <w:spacing w:val="-1"/>
                <w:sz w:val="18"/>
                <w:szCs w:val="18"/>
              </w:rPr>
              <w:t>财政部以财会</w:t>
            </w:r>
            <w:r>
              <w:rPr>
                <w:rFonts w:ascii="Times New Roman" w:hAnsi="Times New Roman" w:cs="Times New Roman" w:eastAsia="Times New Roman" w:hint="default"/>
                <w:spacing w:val="-1"/>
                <w:sz w:val="18"/>
                <w:szCs w:val="18"/>
              </w:rPr>
              <w:t>[2017]15</w:t>
            </w:r>
            <w:r>
              <w:rPr>
                <w:rFonts w:ascii="Times New Roman" w:hAnsi="Times New Roman" w:cs="Times New Roman" w:eastAsia="Times New Roman" w:hint="default"/>
                <w:spacing w:val="13"/>
                <w:sz w:val="18"/>
                <w:szCs w:val="18"/>
              </w:rPr>
              <w:t> </w:t>
            </w:r>
            <w:r>
              <w:rPr>
                <w:rFonts w:ascii="宋体" w:hAnsi="宋体" w:cs="宋体" w:eastAsia="宋体" w:hint="default"/>
                <w:spacing w:val="-12"/>
                <w:sz w:val="18"/>
                <w:szCs w:val="18"/>
              </w:rPr>
              <w:t>号发布了《企业会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23"/>
                <w:sz w:val="18"/>
                <w:szCs w:val="18"/>
              </w:rPr>
              <w:t>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Heading5"/>
        <w:spacing w:line="369" w:lineRule="auto" w:before="55"/>
        <w:ind w:left="153" w:right="147" w:firstLine="42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日，财政部以财会</w:t>
      </w:r>
      <w:r>
        <w:rPr>
          <w:rFonts w:ascii="Times New Roman" w:hAnsi="Times New Roman" w:cs="Times New Roman" w:eastAsia="Times New Roman" w:hint="default"/>
        </w:rPr>
        <w:t>[2017]15</w:t>
      </w:r>
      <w:r>
        <w:rPr/>
        <w:t>号发布了《企业会计准则第 </w:t>
      </w:r>
      <w:r>
        <w:rPr>
          <w:rFonts w:ascii="Times New Roman" w:hAnsi="Times New Roman" w:cs="Times New Roman" w:eastAsia="Times New Roman" w:hint="default"/>
        </w:rPr>
        <w:t>16</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w:t>
      </w:r>
      <w:r>
        <w:rPr>
          <w:w w:val="99"/>
        </w:rPr>
        <w:t> </w:t>
      </w:r>
      <w:r>
        <w:rPr/>
        <w:t>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日起实施。经本公司董事会于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 </w:t>
      </w:r>
      <w:r>
        <w:rPr>
          <w:spacing w:val="2"/>
        </w:rPr>
        <w:t>日决议通过，本公司按照财政</w:t>
      </w:r>
      <w:r>
        <w:rPr>
          <w:spacing w:val="-86"/>
        </w:rPr>
        <w:t> </w:t>
      </w:r>
      <w:r>
        <w:rPr>
          <w:spacing w:val="-86"/>
        </w:rPr>
      </w:r>
      <w:r>
        <w:rPr/>
        <w:t>部的要求时间开始执行前述会计准则。</w:t>
      </w:r>
    </w:p>
    <w:p>
      <w:pPr>
        <w:pStyle w:val="Heading5"/>
        <w:spacing w:line="376" w:lineRule="auto" w:before="61"/>
        <w:ind w:left="153" w:right="149" w:firstLine="424"/>
        <w:jc w:val="both"/>
      </w:pPr>
      <w:r>
        <w:rPr>
          <w:spacing w:val="-1"/>
        </w:rPr>
        <w:t>执行《企业会计准则第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2017</w:t>
      </w:r>
      <w:r>
        <w:rPr>
          <w:spacing w:val="-1"/>
        </w:rPr>
        <w:t>年修订）》之前，本公司将取得的政府补助计入</w:t>
      </w:r>
      <w:r>
        <w:rPr>
          <w:w w:val="99"/>
        </w:rPr>
        <w:t> </w:t>
      </w:r>
      <w:r>
        <w:rPr>
          <w:spacing w:val="-1"/>
        </w:rPr>
        <w:t>营业外收入；与资产相关的政府补助确认为递延收益，在资产使用寿命内平均摊销计入当期损益。执</w:t>
      </w:r>
      <w:r>
        <w:rPr>
          <w:w w:val="99"/>
        </w:rPr>
        <w:t> </w:t>
      </w:r>
      <w:r>
        <w:rPr/>
        <w:t>行《企业会计准则第 </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年修订）》之后，对</w:t>
      </w:r>
      <w:r>
        <w:rPr>
          <w:spacing w:val="-54"/>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日之后发生的与日常</w:t>
      </w:r>
      <w:r>
        <w:rPr>
          <w:w w:val="99"/>
        </w:rPr>
        <w:t> </w:t>
      </w:r>
      <w:r>
        <w:rPr>
          <w:spacing w:val="-1"/>
        </w:rPr>
        <w:t>活动相关的政府补助，计入其他收益或冲减相关成本费用；与日常活动无关的政府补助，计入营业外</w:t>
      </w:r>
    </w:p>
    <w:p>
      <w:pPr>
        <w:spacing w:after="0" w:line="376" w:lineRule="auto"/>
        <w:jc w:val="both"/>
        <w:sectPr>
          <w:footerReference w:type="default" r:id="rId33"/>
          <w:pgSz w:w="11910" w:h="16840"/>
          <w:pgMar w:footer="982" w:header="877" w:top="1100" w:bottom="1180" w:left="980" w:right="980"/>
          <w:pgNumType w:start="145"/>
        </w:sectPr>
      </w:pPr>
    </w:p>
    <w:p>
      <w:pPr>
        <w:spacing w:line="240" w:lineRule="auto" w:before="3"/>
        <w:rPr>
          <w:rFonts w:ascii="宋体" w:hAnsi="宋体" w:cs="宋体" w:eastAsia="宋体" w:hint="default"/>
          <w:sz w:val="26"/>
          <w:szCs w:val="26"/>
        </w:rPr>
      </w:pPr>
    </w:p>
    <w:p>
      <w:pPr>
        <w:pStyle w:val="Heading5"/>
        <w:spacing w:line="240" w:lineRule="auto"/>
        <w:ind w:right="0"/>
        <w:jc w:val="left"/>
      </w:pPr>
      <w:r>
        <w:rPr/>
        <w:t>收支；与资产相关的政府补助确认为递延收益，在资产使用寿命内平均摊销计入当期损益。</w:t>
      </w:r>
    </w:p>
    <w:p>
      <w:pPr>
        <w:spacing w:line="240" w:lineRule="auto" w:before="6"/>
        <w:rPr>
          <w:rFonts w:ascii="宋体" w:hAnsi="宋体" w:cs="宋体" w:eastAsia="宋体" w:hint="default"/>
          <w:sz w:val="31"/>
          <w:szCs w:val="31"/>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331"/>
        <w:gridCol w:w="304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8" w:hRule="exact"/>
        </w:trPr>
        <w:tc>
          <w:tcPr>
            <w:tcW w:w="3190" w:type="dxa"/>
            <w:vMerge w:val="restart"/>
            <w:tcBorders>
              <w:top w:val="single" w:sz="4" w:space="0" w:color="000000"/>
              <w:left w:val="single" w:sz="4" w:space="0" w:color="000000"/>
              <w:right w:val="single" w:sz="4" w:space="0" w:color="000000"/>
            </w:tcBorders>
            <w:shd w:val="clear" w:color="auto" w:fill="D3D3D3"/>
          </w:tcPr>
          <w:p>
            <w:pPr/>
          </w:p>
        </w:tc>
        <w:tc>
          <w:tcPr>
            <w:tcW w:w="33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按照《增值税暂行条例</w:t>
            </w:r>
            <w:r>
              <w:rPr>
                <w:rFonts w:ascii="宋体" w:hAnsi="宋体" w:cs="宋体" w:eastAsia="宋体" w:hint="default"/>
                <w:spacing w:val="-90"/>
                <w:sz w:val="18"/>
                <w:szCs w:val="18"/>
              </w:rPr>
              <w:t>》、</w:t>
            </w:r>
            <w:r>
              <w:rPr>
                <w:rFonts w:ascii="宋体" w:hAnsi="宋体" w:cs="宋体" w:eastAsia="宋体" w:hint="default"/>
                <w:sz w:val="18"/>
                <w:szCs w:val="18"/>
              </w:rPr>
              <w:t>《营业税改征增</w:t>
            </w:r>
          </w:p>
        </w:tc>
        <w:tc>
          <w:tcPr>
            <w:tcW w:w="304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0" w:type="dxa"/>
            <w:vMerge/>
            <w:tcBorders>
              <w:left w:val="single" w:sz="4" w:space="0" w:color="000000"/>
              <w:right w:val="single" w:sz="4" w:space="0" w:color="000000"/>
            </w:tcBorders>
            <w:shd w:val="clear" w:color="auto" w:fill="D3D3D3"/>
          </w:tcPr>
          <w:p>
            <w:pP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值税试点办法》及其相关规定计缴，应税</w:t>
            </w:r>
          </w:p>
        </w:tc>
        <w:tc>
          <w:tcPr>
            <w:tcW w:w="304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3190" w:type="dxa"/>
            <w:vMerge/>
            <w:tcBorders>
              <w:left w:val="single" w:sz="4" w:space="0" w:color="000000"/>
              <w:bottom w:val="nil" w:sz="6" w:space="0" w:color="auto"/>
              <w:right w:val="single" w:sz="4" w:space="0" w:color="000000"/>
            </w:tcBorders>
            <w:shd w:val="clear" w:color="auto" w:fill="D3D3D3"/>
          </w:tcPr>
          <w:p>
            <w:pP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收入按</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的税率计算销项税，并按</w:t>
            </w:r>
          </w:p>
        </w:tc>
        <w:tc>
          <w:tcPr>
            <w:tcW w:w="3048" w:type="dxa"/>
            <w:tcBorders>
              <w:top w:val="nil" w:sz="6" w:space="0" w:color="auto"/>
              <w:left w:val="single" w:sz="4" w:space="0" w:color="000000"/>
              <w:bottom w:val="nil" w:sz="6" w:space="0" w:color="auto"/>
              <w:right w:val="single" w:sz="4" w:space="0" w:color="000000"/>
            </w:tcBorders>
          </w:tcPr>
          <w:p>
            <w:pP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扣除当期允许抵扣的进项税额后的差额计</w:t>
            </w:r>
          </w:p>
        </w:tc>
        <w:tc>
          <w:tcPr>
            <w:tcW w:w="30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273" w:hRule="exact"/>
        </w:trPr>
        <w:tc>
          <w:tcPr>
            <w:tcW w:w="3190" w:type="dxa"/>
            <w:vMerge w:val="restart"/>
            <w:tcBorders>
              <w:top w:val="nil" w:sz="6" w:space="0" w:color="auto"/>
              <w:left w:val="single" w:sz="4" w:space="0" w:color="000000"/>
              <w:right w:val="single" w:sz="4" w:space="0" w:color="000000"/>
            </w:tcBorders>
            <w:shd w:val="clear" w:color="auto" w:fill="D3D3D3"/>
          </w:tcPr>
          <w:p>
            <w:pP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缴增值税。根据《营业税改征增值税跨境</w:t>
            </w:r>
          </w:p>
        </w:tc>
        <w:tc>
          <w:tcPr>
            <w:tcW w:w="304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0" w:type="dxa"/>
            <w:vMerge/>
            <w:tcBorders>
              <w:left w:val="single" w:sz="4" w:space="0" w:color="000000"/>
              <w:right w:val="single" w:sz="4" w:space="0" w:color="000000"/>
            </w:tcBorders>
            <w:shd w:val="clear" w:color="auto" w:fill="D3D3D3"/>
          </w:tcPr>
          <w:p>
            <w:pP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应税行为增值税免税管理办</w:t>
            </w:r>
            <w:r>
              <w:rPr>
                <w:rFonts w:ascii="宋体" w:hAnsi="宋体" w:cs="宋体" w:eastAsia="宋体" w:hint="default"/>
                <w:spacing w:val="-28"/>
                <w:sz w:val="18"/>
                <w:szCs w:val="18"/>
              </w:rPr>
              <w:t>法</w:t>
            </w: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pacing w:val="-27"/>
                <w:sz w:val="18"/>
                <w:szCs w:val="18"/>
              </w:rPr>
              <w:t>》规</w:t>
            </w:r>
            <w:r>
              <w:rPr>
                <w:rFonts w:ascii="宋体" w:hAnsi="宋体" w:cs="宋体" w:eastAsia="宋体" w:hint="default"/>
                <w:sz w:val="18"/>
                <w:szCs w:val="18"/>
              </w:rPr>
            </w:r>
          </w:p>
        </w:tc>
        <w:tc>
          <w:tcPr>
            <w:tcW w:w="304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90" w:type="dxa"/>
            <w:vMerge/>
            <w:tcBorders>
              <w:left w:val="single" w:sz="4" w:space="0" w:color="000000"/>
              <w:bottom w:val="single" w:sz="4" w:space="0" w:color="000000"/>
              <w:right w:val="single" w:sz="4" w:space="0" w:color="000000"/>
            </w:tcBorders>
            <w:shd w:val="clear" w:color="auto" w:fill="D3D3D3"/>
          </w:tcPr>
          <w:p>
            <w:pPr/>
          </w:p>
        </w:tc>
        <w:tc>
          <w:tcPr>
            <w:tcW w:w="33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定，出境旅游业务免征增值税。</w:t>
            </w:r>
          </w:p>
        </w:tc>
        <w:tc>
          <w:tcPr>
            <w:tcW w:w="304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按照应纳流转税计缴</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33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56"/>
              <w:jc w:val="left"/>
              <w:rPr>
                <w:rFonts w:ascii="宋体" w:hAnsi="宋体" w:cs="宋体" w:eastAsia="宋体" w:hint="default"/>
                <w:sz w:val="18"/>
                <w:szCs w:val="18"/>
              </w:rPr>
            </w:pPr>
            <w:r>
              <w:rPr>
                <w:rFonts w:ascii="宋体" w:hAnsi="宋体" w:cs="宋体" w:eastAsia="宋体" w:hint="default"/>
                <w:sz w:val="18"/>
                <w:szCs w:val="18"/>
              </w:rPr>
              <w:t>按照《企业所得税法实施条例》及其相关 规定计缴</w:t>
            </w:r>
          </w:p>
        </w:tc>
        <w:tc>
          <w:tcPr>
            <w:tcW w:w="304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331" w:type="dxa"/>
            <w:vMerge/>
            <w:tcBorders>
              <w:left w:val="single" w:sz="4" w:space="0" w:color="000000"/>
              <w:right w:val="single" w:sz="4" w:space="0" w:color="000000"/>
            </w:tcBorders>
          </w:tcPr>
          <w:p>
            <w:pPr/>
          </w:p>
        </w:tc>
        <w:tc>
          <w:tcPr>
            <w:tcW w:w="3048"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331" w:type="dxa"/>
            <w:vMerge/>
            <w:tcBorders>
              <w:left w:val="single" w:sz="4" w:space="0" w:color="000000"/>
              <w:bottom w:val="single" w:sz="4" w:space="0" w:color="000000"/>
              <w:right w:val="single" w:sz="4" w:space="0" w:color="000000"/>
            </w:tcBorders>
          </w:tcPr>
          <w:p>
            <w:pPr/>
          </w:p>
        </w:tc>
        <w:tc>
          <w:tcPr>
            <w:tcW w:w="3048"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按照应纳流转税计缴</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44"/>
        <w:ind w:left="0" w:right="158" w:firstLine="0"/>
        <w:jc w:val="right"/>
        <w:rPr>
          <w:rFonts w:ascii="宋体" w:hAnsi="宋体" w:cs="宋体" w:eastAsia="宋体" w:hint="default"/>
          <w:sz w:val="18"/>
          <w:szCs w:val="18"/>
        </w:rPr>
      </w:pPr>
      <w:r>
        <w:rPr/>
        <w:pict>
          <v:shape style="position:absolute;margin-left:56.459999pt;margin-top:-201.577988pt;width:479.1pt;height:297.3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28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Kai </w:t>
                        </w:r>
                        <w:r>
                          <w:rPr>
                            <w:rFonts w:ascii="Times New Roman" w:hAnsi="Times New Roman" w:cs="Times New Roman" w:eastAsia="Times New Roman" w:hint="default"/>
                            <w:spacing w:val="-6"/>
                            <w:sz w:val="18"/>
                            <w:szCs w:val="18"/>
                          </w:rPr>
                          <w:t>Yuan </w:t>
                        </w:r>
                        <w:r>
                          <w:rPr>
                            <w:rFonts w:ascii="Times New Roman" w:hAnsi="Times New Roman" w:cs="Times New Roman" w:eastAsia="Times New Roman" w:hint="default"/>
                            <w:sz w:val="18"/>
                            <w:szCs w:val="18"/>
                          </w:rPr>
                          <w:t>Information &amp; Business GmbH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Activo </w:t>
                        </w:r>
                        <w:r>
                          <w:rPr>
                            <w:rFonts w:ascii="Times New Roman" w:hAnsi="Times New Roman" w:cs="Times New Roman" w:eastAsia="Times New Roman" w:hint="default"/>
                            <w:sz w:val="18"/>
                            <w:szCs w:val="18"/>
                          </w:rPr>
                          <w:t>Travel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增值税：按应税收入的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或</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计算销项税，并按扣除允许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抵扣的进项税额后的差额计缴增值税；所得税：公司法人税 及其附带的团结统一税，税率为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15.83%</w:t>
                        </w:r>
                        <w:r>
                          <w:rPr>
                            <w:rFonts w:ascii="宋体" w:hAnsi="宋体" w:cs="宋体" w:eastAsia="宋体" w:hint="default"/>
                            <w:sz w:val="18"/>
                            <w:szCs w:val="18"/>
                          </w:rPr>
                          <w:t>；营业所得税税率 </w:t>
                        </w:r>
                        <w:r>
                          <w:rPr>
                            <w:rFonts w:ascii="Times New Roman" w:hAnsi="Times New Roman" w:cs="Times New Roman" w:eastAsia="Times New Roman" w:hint="default"/>
                            <w:sz w:val="18"/>
                            <w:szCs w:val="18"/>
                          </w:rPr>
                          <w:t>17.15%</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w:t>
                        </w:r>
                        <w:r>
                          <w:rPr>
                            <w:rFonts w:ascii="宋体" w:hAnsi="宋体" w:cs="宋体" w:eastAsia="宋体" w:hint="default"/>
                            <w:sz w:val="18"/>
                            <w:szCs w:val="18"/>
                          </w:rPr>
                          <w:t>，所得税及营业所得税都以公司盈利为计税 基础，若公司未盈利，可免交；公司每年向税务局申报并按 季预缴增值税和所得税，预缴余额为税务局根据公司上一营 业年度的盈利及缴税情况确定的，等到公司将本营业年度的 报表和报税表提交后，税务局再根据实际情况要求企业补缴 或退税，并通知未来年份应该预缴的税额。</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6"/>
                          <w:ind w:left="22" w:right="436"/>
                          <w:jc w:val="left"/>
                          <w:rPr>
                            <w:rFonts w:ascii="Times New Roman" w:hAnsi="Times New Roman" w:cs="Times New Roman" w:eastAsia="Times New Roman" w:hint="default"/>
                            <w:sz w:val="21"/>
                            <w:szCs w:val="21"/>
                          </w:rPr>
                        </w:pPr>
                        <w:r>
                          <w:rPr>
                            <w:rFonts w:ascii="Times New Roman"/>
                            <w:sz w:val="21"/>
                          </w:rPr>
                          <w:t>Hongkong UTour International Travel Service</w:t>
                        </w:r>
                        <w:r>
                          <w:rPr>
                            <w:rFonts w:ascii="Times New Roman"/>
                            <w:spacing w:val="-15"/>
                            <w:sz w:val="21"/>
                          </w:rPr>
                          <w:t> </w:t>
                        </w:r>
                        <w:r>
                          <w:rPr>
                            <w:rFonts w:ascii="Times New Roman"/>
                            <w:sz w:val="21"/>
                          </w:rPr>
                          <w:t>Co.,</w:t>
                        </w:r>
                        <w:r>
                          <w:rPr>
                            <w:rFonts w:ascii="Times New Roman"/>
                            <w:sz w:val="21"/>
                          </w:rPr>
                          <w:t> 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按所得额的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上交利得税。</w:t>
                        </w:r>
                      </w:p>
                    </w:tc>
                  </w:tr>
                  <w:tr>
                    <w:trPr>
                      <w:trHeight w:val="192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RCC</w:t>
                        </w:r>
                        <w:r>
                          <w:rPr>
                            <w:rFonts w:ascii="宋体" w:hAnsi="宋体" w:cs="宋体" w:eastAsia="宋体" w:hint="default"/>
                            <w:sz w:val="18"/>
                            <w:szCs w:val="18"/>
                          </w:rPr>
                          <w:t>、株式会社三利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3"/>
                          <w:jc w:val="both"/>
                          <w:rPr>
                            <w:rFonts w:ascii="宋体" w:hAnsi="宋体" w:cs="宋体" w:eastAsia="宋体" w:hint="default"/>
                            <w:sz w:val="18"/>
                            <w:szCs w:val="18"/>
                          </w:rPr>
                        </w:pPr>
                        <w:r>
                          <w:rPr>
                            <w:rFonts w:ascii="宋体" w:hAnsi="宋体" w:cs="宋体" w:eastAsia="宋体" w:hint="default"/>
                            <w:spacing w:val="-6"/>
                            <w:sz w:val="18"/>
                            <w:szCs w:val="18"/>
                          </w:rPr>
                          <w:t>消费税（增值税）：消费税采用价内税方式，消费税税率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用不含税销售额（计税依据）乘以税率，得出销项消费税额 </w:t>
                        </w:r>
                        <w:r>
                          <w:rPr>
                            <w:rFonts w:ascii="宋体" w:hAnsi="宋体" w:cs="宋体" w:eastAsia="宋体" w:hint="default"/>
                            <w:spacing w:val="-9"/>
                            <w:sz w:val="18"/>
                            <w:szCs w:val="18"/>
                          </w:rPr>
                          <w:t>以此扣除进项消费税额，余额为应纳税额。法人税（所得税）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法人税的基本税率是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。资本金不超过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亿日元的法人， 年应纳税所得额低于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万日元，适用税率为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；年应纳 税所得额超过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万日元，适用税率为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4"/>
                            <w:sz w:val="18"/>
                            <w:szCs w:val="18"/>
                          </w:rPr>
                          <w:t>。应纳税所得额</w:t>
                        </w:r>
                      </w:p>
                    </w:tc>
                  </w:tr>
                </w:tbl>
                <w:p>
                  <w:pPr/>
                </w:p>
              </w:txbxContent>
            </v:textbox>
            <w10:wrap type="none"/>
          </v:shape>
        </w:pict>
      </w:r>
      <w:r>
        <w:rPr>
          <w:rFonts w:ascii="宋体" w:hAnsi="宋体" w:cs="宋体" w:eastAsia="宋体" w:hint="default"/>
          <w:sz w:val="18"/>
          <w:szCs w:val="18"/>
        </w:rPr>
        <w:t>，</w:t>
      </w:r>
    </w:p>
    <w:p>
      <w:pPr>
        <w:spacing w:before="75"/>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line="38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19.1pt;mso-position-horizontal-relative:char;mso-position-vertical-relative:line" coordorigin="0,0" coordsize="9587,382">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001pt" strokecolor="#000000">
                <v:path arrowok="t"/>
              </v:shape>
            </v:group>
            <v:group style="position:absolute;left:5;top:372;width:4782;height:2" coordorigin="5,372" coordsize="4782,2">
              <v:shape style="position:absolute;left:5;top:372;width:4782;height:2" coordorigin="5,372" coordsize="4782,0" path="m5,372l4787,372e" filled="false" stroked="true" strokeweight=".48004pt" strokecolor="#000000">
                <v:path arrowok="t"/>
              </v:shape>
            </v:group>
            <v:group style="position:absolute;left:4792;top:14;width:2;height:363" coordorigin="4792,14" coordsize="2,363">
              <v:shape style="position:absolute;left:4792;top:14;width:2;height:363" coordorigin="4792,14" coordsize="0,363" path="m4792,14l4792,377e" filled="false" stroked="true" strokeweight=".48001pt" strokecolor="#000000">
                <v:path arrowok="t"/>
              </v:shape>
            </v:group>
            <v:group style="position:absolute;left:4796;top:372;width:4776;height:2" coordorigin="4796,372" coordsize="4776,2">
              <v:shape style="position:absolute;left:4796;top:372;width:4776;height:2" coordorigin="4796,372" coordsize="4776,0" path="m4796,372l9572,372e" filled="false" stroked="true" strokeweight=".48004pt" strokecolor="#000000">
                <v:path arrowok="t"/>
              </v:shape>
            </v:group>
            <v:group style="position:absolute;left:9577;top:5;width:2;height:372" coordorigin="9577,5" coordsize="2,372">
              <v:shape style="position:absolute;left:9577;top:5;width:2;height:372" coordorigin="9577,5" coordsize="0,372" path="m9577,5l9577,377e" filled="false" stroked="true" strokeweight=".47998pt" strokecolor="#000000">
                <v:path arrowok="t"/>
              </v:shape>
              <v:shape style="position:absolute;left:4792;top:10;width:4786;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为每一纳税年度的利润总额减除费用后的余额。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6"/>
        <w:spacing w:line="240" w:lineRule="auto" w:before="35"/>
        <w:ind w:right="0"/>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8,968,276.22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8,012,624.05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1,329,798,986.65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888,625,590.55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28,600,838.15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35,640,112.27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1,367,368,101.02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932,278,326.87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78,609,593.21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43,028,162.67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386" w:lineRule="auto" w:before="0"/>
        <w:ind w:right="211" w:firstLine="424"/>
        <w:jc w:val="left"/>
      </w:pPr>
      <w:r>
        <w:rPr/>
        <w:t>其他货币资金期末余额中</w:t>
      </w:r>
      <w:r>
        <w:rPr>
          <w:rFonts w:ascii="Times New Roman" w:hAnsi="Times New Roman" w:cs="Times New Roman" w:eastAsia="Times New Roman" w:hint="default"/>
        </w:rPr>
        <w:t>2,810.08</w:t>
      </w:r>
      <w:r>
        <w:rPr/>
        <w:t>万元为公司在第三方支付机构账户的存款，另外</w:t>
      </w:r>
      <w:r>
        <w:rPr>
          <w:rFonts w:ascii="Times New Roman" w:hAnsi="Times New Roman" w:cs="Times New Roman" w:eastAsia="Times New Roman" w:hint="default"/>
        </w:rPr>
        <w:t>50</w:t>
      </w:r>
      <w:r>
        <w:rPr/>
        <w:t>万元系办理企业 信用卡存出的保证金存款。</w:t>
      </w:r>
    </w:p>
    <w:p>
      <w:pPr>
        <w:spacing w:line="240" w:lineRule="auto" w:before="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613,361,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201.77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38,921,9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87.22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574,439,2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540,275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,461.85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20,927,46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519,347,99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877,886.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877,886.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877,886</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877,886.0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614,239,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087.77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39,799,8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574,439,2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541,153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,347.85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21,805,35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519,347,99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528,216,238.54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41,966,033.80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4,196,603.38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8,421,469.97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2,526,440.99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5,117,033.22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2,558,516.61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583,720,775.53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9,281,560.98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29,640,426.24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29,640,426.24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613,361,201.77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38,921,987.22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17,436,003.26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非关联方欠款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525,786.19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002"/>
        <w:gridCol w:w="1914"/>
        <w:gridCol w:w="1914"/>
        <w:gridCol w:w="1914"/>
        <w:gridCol w:w="1914"/>
      </w:tblGrid>
      <w:tr>
        <w:trPr>
          <w:trHeight w:val="342" w:hRule="exact"/>
        </w:trPr>
        <w:tc>
          <w:tcPr>
            <w:tcW w:w="2002"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7656"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54" w:hRule="exact"/>
        </w:trPr>
        <w:tc>
          <w:tcPr>
            <w:tcW w:w="2002" w:type="dxa"/>
            <w:vMerge/>
            <w:tcBorders>
              <w:left w:val="single" w:sz="4" w:space="0" w:color="000000"/>
              <w:bottom w:val="single" w:sz="4" w:space="0" w:color="000000"/>
              <w:right w:val="single" w:sz="4" w:space="0" w:color="000000"/>
            </w:tcBorders>
            <w:shd w:val="clear" w:color="auto" w:fill="D0CECE"/>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711" w:right="48" w:hanging="664"/>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占应收账款合计数的比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b/>
                <w:bCs/>
                <w:sz w:val="18"/>
                <w:szCs w:val="18"/>
              </w:rPr>
              <w:t>计提坏账准备金额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35,651,812.80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376,700.24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1.06</w:t>
            </w:r>
          </w:p>
        </w:tc>
      </w:tr>
      <w:tr>
        <w:trPr>
          <w:trHeight w:val="34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26,332,009.19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21,878,485.12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21,281,957.77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301,651.30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1.42</w:t>
            </w:r>
          </w:p>
        </w:tc>
      </w:tr>
      <w:tr>
        <w:trPr>
          <w:trHeight w:val="342"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16,776,584.36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13,597,427.44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81.05</w:t>
            </w:r>
          </w:p>
        </w:tc>
      </w:tr>
      <w:tr>
        <w:trPr>
          <w:trHeight w:val="343"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121,920,849.24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14,275,778.97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00" w:bottom="280" w:left="980" w:right="980"/>
        </w:sectPr>
      </w:pPr>
    </w:p>
    <w:p>
      <w:pPr>
        <w:spacing w:line="240" w:lineRule="auto" w:before="10"/>
        <w:rPr>
          <w:rFonts w:ascii="宋体" w:hAnsi="宋体" w:cs="宋体" w:eastAsia="宋体" w:hint="default"/>
          <w:b/>
          <w:bCs/>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593,572,680.60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598,234,474.41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98.55%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5,660,757.47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7,940,982.89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722,579.17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843,571.14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599,956,017.24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607,019,028.44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497"/>
        <w:gridCol w:w="2387"/>
        <w:gridCol w:w="2387"/>
        <w:gridCol w:w="2387"/>
      </w:tblGrid>
      <w:tr>
        <w:trPr>
          <w:trHeight w:val="342" w:hRule="exact"/>
        </w:trPr>
        <w:tc>
          <w:tcPr>
            <w:tcW w:w="2497"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7160"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42" w:hRule="exact"/>
        </w:trPr>
        <w:tc>
          <w:tcPr>
            <w:tcW w:w="2497" w:type="dxa"/>
            <w:vMerge/>
            <w:tcBorders>
              <w:left w:val="single" w:sz="4" w:space="0" w:color="000000"/>
              <w:bottom w:val="single" w:sz="4" w:space="0" w:color="000000"/>
              <w:right w:val="single" w:sz="4" w:space="0" w:color="000000"/>
            </w:tcBorders>
            <w:shd w:val="clear" w:color="auto" w:fill="D0CECE"/>
          </w:tcPr>
          <w:p>
            <w:pPr/>
          </w:p>
        </w:tc>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sz w:val="18"/>
                <w:szCs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43"/>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占预付款项合计数的比例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款项内容</w:t>
            </w:r>
            <w:r>
              <w:rPr>
                <w:rFonts w:ascii="宋体" w:hAnsi="宋体" w:cs="宋体" w:eastAsia="宋体" w:hint="default"/>
                <w:sz w:val="18"/>
                <w:szCs w:val="18"/>
              </w:rPr>
            </w:r>
          </w:p>
        </w:tc>
      </w:tr>
      <w:tr>
        <w:trPr>
          <w:trHeight w:val="34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46,496,295.00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34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45,119,204.05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34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44,327,647.50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预付房租</w:t>
            </w:r>
          </w:p>
        </w:tc>
      </w:tr>
      <w:tr>
        <w:trPr>
          <w:trHeight w:val="34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18,865,688.00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预付机票款</w:t>
            </w:r>
          </w:p>
        </w:tc>
      </w:tr>
      <w:tr>
        <w:trPr>
          <w:trHeight w:val="34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18,698,616.82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预付地接款</w:t>
            </w:r>
          </w:p>
        </w:tc>
      </w:tr>
      <w:tr>
        <w:trPr>
          <w:trHeight w:val="342"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173,507,451.37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28.92</w:t>
            </w:r>
          </w:p>
        </w:tc>
        <w:tc>
          <w:tcPr>
            <w:tcW w:w="23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发放贷款和垫款利息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9,183,718.15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3,624,496.76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保理融资利息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657,222.22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9,840,940.37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3,624,496.76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5"/>
        <w:gridCol w:w="1524"/>
        <w:gridCol w:w="790"/>
        <w:gridCol w:w="1416"/>
        <w:gridCol w:w="1745"/>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370,459,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042.77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12,973,6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52.57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357,485,3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90.20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358,848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,226.57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12,621,80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346,226,42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2.52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370,459,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042.77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12,973,6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52.57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357,485,3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90.20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358,848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,226.57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12,621,80</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346,226,42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line="338" w:lineRule="auto" w:before="43"/>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40" w:lineRule="auto" w:before="42"/>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351,848.52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346,987,369.30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334,058,938.51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9,033,574.53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8,913,212.46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14,438,098.94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15,876,075.60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370,459,042.77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358,848,226.57</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49,618,000.00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28,658,615.00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711,152.50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18,068,573.00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850,821.46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12,032,000.00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240,640.00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8,452,985.27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191,229.71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116,830,173.27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31.54%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1,993,843.67</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6531"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2,147,449.81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2,147,449.81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1,409,678.44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1,409,678.44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2,147,449.81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2,147,449.81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1,409,678.44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1,409,678.44</w:t>
            </w:r>
          </w:p>
        </w:tc>
      </w:tr>
    </w:tbl>
    <w:p>
      <w:pPr>
        <w:spacing w:line="340" w:lineRule="auto" w:before="51"/>
        <w:ind w:left="154" w:right="149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4,200,249.64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16,744,996.11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2,930,457.80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2,289,837.85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应收保理融资款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244,730,707.44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19,034,833.96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before="0"/>
        <w:ind w:right="0" w:hanging="1"/>
        <w:jc w:val="left"/>
      </w:pPr>
      <w:r>
        <w:rPr/>
        <w:t>期末应收保理融资款本金</w:t>
      </w:r>
      <w:r>
        <w:rPr>
          <w:rFonts w:ascii="Times New Roman" w:hAnsi="Times New Roman" w:cs="Times New Roman" w:eastAsia="Times New Roman" w:hint="default"/>
        </w:rPr>
        <w:t>2.40</w:t>
      </w:r>
      <w:r>
        <w:rPr/>
        <w:t>亿元，公司根据</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月颁布的《商业保理企业管理办法》，对融资保 理业务期末余额计提了</w:t>
      </w:r>
      <w:r>
        <w:rPr>
          <w:rFonts w:ascii="Times New Roman" w:hAnsi="Times New Roman" w:cs="Times New Roman" w:eastAsia="Times New Roman" w:hint="default"/>
        </w:rPr>
        <w:t>1%</w:t>
      </w:r>
      <w:r>
        <w:rPr/>
        <w:t>的风险准备金</w:t>
      </w:r>
      <w:r>
        <w:rPr>
          <w:rFonts w:ascii="Times New Roman" w:hAnsi="Times New Roman" w:cs="Times New Roman" w:eastAsia="Times New Roman" w:hint="default"/>
        </w:rPr>
        <w:t>2,400,000.00</w:t>
      </w:r>
      <w:r>
        <w:rPr/>
        <w:t>元。</w:t>
      </w: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8</w:t>
      </w:r>
      <w:r>
        <w:rPr/>
        <w:t>、</w:t>
      </w:r>
      <w:r>
        <w:rPr>
          <w:spacing w:val="-1"/>
        </w:rPr>
        <w:t> </w:t>
      </w:r>
      <w:r>
        <w:rPr/>
        <w:t>发放贷款及垫款</w:t>
      </w:r>
      <w:r>
        <w:rPr>
          <w:b w:val="0"/>
          <w:bCs w:val="0"/>
        </w:rPr>
      </w:r>
    </w:p>
    <w:p>
      <w:pPr>
        <w:spacing w:line="240" w:lineRule="auto" w:before="7"/>
        <w:rPr>
          <w:rFonts w:ascii="宋体" w:hAnsi="宋体" w:cs="宋体" w:eastAsia="宋体" w:hint="default"/>
          <w:b/>
          <w:bCs/>
          <w:sz w:val="30"/>
          <w:szCs w:val="30"/>
        </w:rPr>
      </w:pPr>
    </w:p>
    <w:p>
      <w:pPr>
        <w:pStyle w:val="Heading6"/>
        <w:spacing w:line="240" w:lineRule="auto"/>
        <w:ind w:left="636" w:right="0"/>
        <w:jc w:val="left"/>
        <w:rPr>
          <w:b w:val="0"/>
          <w:bCs w:val="0"/>
        </w:rPr>
      </w:pPr>
      <w:r>
        <w:rPr/>
        <w:t>（</w:t>
      </w:r>
      <w:r>
        <w:rPr>
          <w:rFonts w:ascii="Times New Roman" w:hAnsi="Times New Roman" w:cs="Times New Roman" w:eastAsia="Times New Roman" w:hint="default"/>
        </w:rPr>
        <w:t>1</w:t>
      </w:r>
      <w:r>
        <w:rPr/>
        <w:t>）贷款和垫款按个人和企业分布情况</w:t>
      </w:r>
      <w:r>
        <w:rPr>
          <w:b w:val="0"/>
          <w:bCs w:val="0"/>
        </w:rPr>
      </w:r>
    </w:p>
    <w:p>
      <w:pPr>
        <w:spacing w:line="240" w:lineRule="auto" w:before="9"/>
        <w:rPr>
          <w:rFonts w:ascii="宋体" w:hAnsi="宋体" w:cs="宋体" w:eastAsia="宋体" w:hint="default"/>
          <w:b/>
          <w:bCs/>
          <w:sz w:val="8"/>
          <w:szCs w:val="8"/>
        </w:rPr>
      </w:pPr>
    </w:p>
    <w:tbl>
      <w:tblPr>
        <w:tblW w:w="0" w:type="auto"/>
        <w:jc w:val="left"/>
        <w:tblInd w:w="139" w:type="dxa"/>
        <w:tblLayout w:type="fixed"/>
        <w:tblCellMar>
          <w:top w:w="0" w:type="dxa"/>
          <w:left w:w="0" w:type="dxa"/>
          <w:bottom w:w="0" w:type="dxa"/>
          <w:right w:w="0" w:type="dxa"/>
        </w:tblCellMar>
        <w:tblLook w:val="01E0"/>
      </w:tblPr>
      <w:tblGrid>
        <w:gridCol w:w="3217"/>
        <w:gridCol w:w="3221"/>
        <w:gridCol w:w="3220"/>
      </w:tblGrid>
      <w:tr>
        <w:trPr>
          <w:trHeight w:val="341" w:hRule="exact"/>
        </w:trPr>
        <w:tc>
          <w:tcPr>
            <w:tcW w:w="321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个人贷款和垫款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287,818,312.23</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154,190,273.90</w:t>
            </w: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企业贷款和垫款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9,160,228.18</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14,744,661.40</w:t>
            </w: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贷款和垫款总额</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296,978,540.41</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168,934,935.30</w:t>
            </w: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减：贷款损失准备</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4,454,678.11</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2,534,024.03</w:t>
            </w: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sz w:val="18"/>
                <w:szCs w:val="18"/>
              </w:rPr>
              <w:t>其中：个别方式评估</w:t>
            </w:r>
          </w:p>
        </w:tc>
        <w:tc>
          <w:tcPr>
            <w:tcW w:w="3221" w:type="dxa"/>
            <w:tcBorders>
              <w:top w:val="single" w:sz="4" w:space="0" w:color="000000"/>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3217"/>
        <w:gridCol w:w="3221"/>
        <w:gridCol w:w="3220"/>
      </w:tblGrid>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7" w:right="0"/>
              <w:jc w:val="left"/>
              <w:rPr>
                <w:rFonts w:ascii="宋体" w:hAnsi="宋体" w:cs="宋体" w:eastAsia="宋体" w:hint="default"/>
                <w:sz w:val="18"/>
                <w:szCs w:val="18"/>
              </w:rPr>
            </w:pPr>
            <w:r>
              <w:rPr>
                <w:rFonts w:ascii="宋体" w:hAnsi="宋体" w:cs="宋体" w:eastAsia="宋体" w:hint="default"/>
                <w:sz w:val="18"/>
                <w:szCs w:val="18"/>
              </w:rPr>
              <w:t>组合方式评估</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4,454,678.11</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2,534,024.03</w:t>
            </w: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贷款和垫款账面价值</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292,523,862.30</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166,400,911.27</w:t>
            </w:r>
          </w:p>
        </w:tc>
      </w:tr>
    </w:tbl>
    <w:p>
      <w:pPr>
        <w:pStyle w:val="Heading6"/>
        <w:spacing w:line="240" w:lineRule="auto" w:before="63"/>
        <w:ind w:left="636" w:right="0"/>
        <w:jc w:val="left"/>
        <w:rPr>
          <w:b w:val="0"/>
          <w:bCs w:val="0"/>
        </w:rPr>
      </w:pPr>
      <w:r>
        <w:rPr/>
        <w:t>（2）贷款和垫款总额按担保方式分布情况</w:t>
      </w:r>
      <w:r>
        <w:rPr>
          <w:b w:val="0"/>
          <w:bCs w:val="0"/>
        </w:rPr>
      </w:r>
    </w:p>
    <w:p>
      <w:pPr>
        <w:spacing w:line="240" w:lineRule="auto" w:before="9"/>
        <w:rPr>
          <w:rFonts w:ascii="宋体" w:hAnsi="宋体" w:cs="宋体" w:eastAsia="宋体" w:hint="default"/>
          <w:b/>
          <w:bCs/>
          <w:sz w:val="10"/>
          <w:szCs w:val="10"/>
        </w:rPr>
      </w:pPr>
    </w:p>
    <w:tbl>
      <w:tblPr>
        <w:tblW w:w="0" w:type="auto"/>
        <w:jc w:val="left"/>
        <w:tblInd w:w="139" w:type="dxa"/>
        <w:tblLayout w:type="fixed"/>
        <w:tblCellMar>
          <w:top w:w="0" w:type="dxa"/>
          <w:left w:w="0" w:type="dxa"/>
          <w:bottom w:w="0" w:type="dxa"/>
          <w:right w:w="0" w:type="dxa"/>
        </w:tblCellMar>
        <w:tblLook w:val="01E0"/>
      </w:tblPr>
      <w:tblGrid>
        <w:gridCol w:w="3217"/>
        <w:gridCol w:w="3221"/>
        <w:gridCol w:w="3220"/>
      </w:tblGrid>
      <w:tr>
        <w:trPr>
          <w:trHeight w:val="332" w:hRule="exact"/>
        </w:trPr>
        <w:tc>
          <w:tcPr>
            <w:tcW w:w="321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2" w:hRule="exact"/>
        </w:trPr>
        <w:tc>
          <w:tcPr>
            <w:tcW w:w="32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信用贷款</w:t>
            </w:r>
          </w:p>
        </w:tc>
        <w:tc>
          <w:tcPr>
            <w:tcW w:w="3221" w:type="dxa"/>
            <w:tcBorders>
              <w:top w:val="single" w:sz="4" w:space="0" w:color="000000"/>
              <w:left w:val="single" w:sz="4" w:space="0" w:color="000000"/>
              <w:bottom w:val="single" w:sz="4" w:space="0" w:color="000000"/>
              <w:right w:val="single" w:sz="4" w:space="0" w:color="000000"/>
            </w:tcBorders>
          </w:tcPr>
          <w:p>
            <w:pPr/>
          </w:p>
        </w:tc>
        <w:tc>
          <w:tcPr>
            <w:tcW w:w="3220"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保证贷款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269,654,943.18</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22,664,253.90</w:t>
            </w: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抵押贷款</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27,323,597.23</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146,270,681.40</w:t>
            </w:r>
          </w:p>
        </w:tc>
      </w:tr>
      <w:tr>
        <w:trPr>
          <w:trHeight w:val="34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质押贷款</w:t>
            </w:r>
          </w:p>
        </w:tc>
        <w:tc>
          <w:tcPr>
            <w:tcW w:w="3221" w:type="dxa"/>
            <w:tcBorders>
              <w:top w:val="single" w:sz="4" w:space="0" w:color="000000"/>
              <w:left w:val="single" w:sz="4" w:space="0" w:color="000000"/>
              <w:bottom w:val="single" w:sz="4" w:space="0" w:color="000000"/>
              <w:right w:val="single" w:sz="4" w:space="0" w:color="000000"/>
            </w:tcBorders>
          </w:tcPr>
          <w:p>
            <w:pPr/>
          </w:p>
        </w:tc>
        <w:tc>
          <w:tcPr>
            <w:tcW w:w="322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贷款和垫款总额</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296,978,540.41</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168,934,935.30</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379,322,405.90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379,322,405.90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431,962,718.80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431,962,718.80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379,322,405.90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379,322,405.90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431,962,718.80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431,962,718.80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379,322,405.90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379,322,405.90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431,962,718.80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431,962,718.80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4"/>
        <w:gridCol w:w="1181"/>
        <w:gridCol w:w="1001"/>
        <w:gridCol w:w="1092"/>
        <w:gridCol w:w="1181"/>
        <w:gridCol w:w="301"/>
        <w:gridCol w:w="431"/>
        <w:gridCol w:w="431"/>
        <w:gridCol w:w="301"/>
        <w:gridCol w:w="1062"/>
        <w:gridCol w:w="562"/>
      </w:tblGrid>
      <w:tr>
        <w:trPr>
          <w:trHeight w:val="402" w:hRule="exact"/>
        </w:trPr>
        <w:tc>
          <w:tcPr>
            <w:tcW w:w="21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4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95" w:right="95"/>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714" w:hRule="exact"/>
        </w:trPr>
        <w:tc>
          <w:tcPr>
            <w:tcW w:w="2124"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5" w:right="54"/>
              <w:jc w:val="left"/>
              <w:rPr>
                <w:rFonts w:ascii="宋体" w:hAnsi="宋体" w:cs="宋体" w:eastAsia="宋体" w:hint="default"/>
                <w:sz w:val="18"/>
                <w:szCs w:val="18"/>
              </w:rPr>
            </w:pPr>
            <w:r>
              <w:rPr>
                <w:rFonts w:ascii="宋体" w:hAnsi="宋体" w:cs="宋体" w:eastAsia="宋体" w:hint="default"/>
                <w:sz w:val="18"/>
                <w:szCs w:val="18"/>
              </w:rPr>
              <w:t>期 初</w:t>
            </w:r>
          </w:p>
        </w:tc>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 w:right="29"/>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 w:right="29"/>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5" w:right="54"/>
              <w:jc w:val="left"/>
              <w:rPr>
                <w:rFonts w:ascii="宋体" w:hAnsi="宋体" w:cs="宋体" w:eastAsia="宋体" w:hint="default"/>
                <w:sz w:val="18"/>
                <w:szCs w:val="18"/>
              </w:rPr>
            </w:pPr>
            <w:r>
              <w:rPr>
                <w:rFonts w:ascii="宋体" w:hAnsi="宋体" w:cs="宋体" w:eastAsia="宋体" w:hint="default"/>
                <w:sz w:val="18"/>
                <w:szCs w:val="18"/>
              </w:rPr>
              <w:t>期 末</w:t>
            </w:r>
          </w:p>
        </w:tc>
        <w:tc>
          <w:tcPr>
            <w:tcW w:w="1062"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QYER</w:t>
            </w:r>
            <w:r>
              <w:rPr>
                <w:rFonts w:ascii="Times New Roman"/>
                <w:spacing w:val="-7"/>
                <w:sz w:val="18"/>
              </w:rPr>
              <w:t> </w:t>
            </w:r>
            <w:r>
              <w:rPr>
                <w:rFonts w:ascii="Times New Roman"/>
                <w:sz w:val="18"/>
              </w:rPr>
              <w:t>Inc.</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164,780,000.00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164,780,000.00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Club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Med</w:t>
            </w:r>
            <w:r>
              <w:rPr>
                <w:rFonts w:ascii="宋体" w:hAnsi="宋体" w:cs="宋体" w:eastAsia="宋体" w:hint="default"/>
                <w:sz w:val="18"/>
                <w:szCs w:val="18"/>
              </w:rPr>
              <w:t>（香港众信间接 持股）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86,552,400.00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86,552,400.00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广州酷旅旅行社有限公司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天津优投金鼎智慧旅游资 产管理中心（有限合伙）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世界玖玖（北京）电子商 务有限公司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14,285,700.00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14,285,700.00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宁波晨晖盛景股权投资合 伙企业（有限合伙）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1,016,206.55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13,983,793.45</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北京创新工场创业投资中 心（有限合伙）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0.40%</w:t>
            </w:r>
          </w:p>
        </w:tc>
        <w:tc>
          <w:tcPr>
            <w:tcW w:w="5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4"/>
        <w:gridCol w:w="1181"/>
        <w:gridCol w:w="1001"/>
        <w:gridCol w:w="1092"/>
        <w:gridCol w:w="1181"/>
        <w:gridCol w:w="301"/>
        <w:gridCol w:w="431"/>
        <w:gridCol w:w="431"/>
        <w:gridCol w:w="301"/>
        <w:gridCol w:w="1062"/>
        <w:gridCol w:w="562"/>
      </w:tblGrid>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天津异乡好居网络科技有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19"/>
              <w:jc w:val="left"/>
              <w:rPr>
                <w:rFonts w:ascii="Times New Roman" w:hAnsi="Times New Roman" w:cs="Times New Roman" w:eastAsia="Times New Roman" w:hint="default"/>
                <w:sz w:val="18"/>
                <w:szCs w:val="18"/>
              </w:rPr>
            </w:pPr>
            <w:r>
              <w:rPr>
                <w:rFonts w:ascii="Times New Roman"/>
                <w:sz w:val="18"/>
              </w:rPr>
              <w:t>Group Parmentier</w:t>
            </w:r>
            <w:r>
              <w:rPr>
                <w:rFonts w:ascii="Times New Roman"/>
                <w:spacing w:val="-10"/>
                <w:sz w:val="18"/>
              </w:rPr>
              <w:t> </w:t>
            </w:r>
            <w:r>
              <w:rPr>
                <w:rFonts w:ascii="Times New Roman"/>
                <w:sz w:val="18"/>
              </w:rPr>
              <w:t>et</w:t>
            </w:r>
            <w:r>
              <w:rPr>
                <w:rFonts w:ascii="Times New Roman"/>
                <w:sz w:val="18"/>
              </w:rPr>
              <w:t> Associes</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7,502,994.80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150,297.92</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7,653,292.72</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北京身未动心已远国际旅 行社有限公司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天津新动金鼎万众体育资 产管理合伙企业（有限合 伙）</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北京布达米亚科技有限公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株式会社永山</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1,953,551.25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1,953,551.25</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JCT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1,196,624.00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7,342.40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1,203,966.40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天津优投金鼎资产管理有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H.Sware</w:t>
            </w:r>
            <w:r>
              <w:rPr>
                <w:rFonts w:ascii="Times New Roman"/>
                <w:spacing w:val="-4"/>
                <w:sz w:val="18"/>
              </w:rPr>
              <w:t> </w:t>
            </w:r>
            <w:r>
              <w:rPr>
                <w:rFonts w:ascii="Times New Roman"/>
                <w:sz w:val="18"/>
              </w:rPr>
              <w:t>Oy</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北京年假旅行科技有限公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北京纳仕广告策划设计有 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NEW </w:t>
            </w:r>
            <w:r>
              <w:rPr>
                <w:rFonts w:ascii="Times New Roman"/>
                <w:spacing w:val="-4"/>
                <w:sz w:val="18"/>
              </w:rPr>
              <w:t>PARIS </w:t>
            </w:r>
            <w:r>
              <w:rPr>
                <w:rFonts w:ascii="Times New Roman"/>
                <w:sz w:val="18"/>
              </w:rPr>
              <w:t>LIA</w:t>
            </w:r>
            <w:r>
              <w:rPr>
                <w:rFonts w:ascii="Times New Roman"/>
                <w:spacing w:val="-9"/>
                <w:sz w:val="18"/>
              </w:rPr>
              <w:t> </w:t>
            </w:r>
            <w:r>
              <w:rPr>
                <w:rFonts w:ascii="Times New Roman"/>
                <w:sz w:val="18"/>
              </w:rPr>
              <w:t>HOTEL</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14,702.08</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北京来跑吧体育文化发展 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北京优泰科网络科技有限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上海悠哉网络科技有限公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同程网络科技股份有限公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50,068,000.00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50,068,000.00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431,962,718.80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6,854,191.57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59,494,504.47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379,322,405.90</w:t>
            </w:r>
          </w:p>
        </w:tc>
        <w:tc>
          <w:tcPr>
            <w:tcW w:w="30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72"/>
        <w:gridCol w:w="1092"/>
        <w:gridCol w:w="1001"/>
        <w:gridCol w:w="278"/>
        <w:gridCol w:w="1085"/>
        <w:gridCol w:w="972"/>
        <w:gridCol w:w="307"/>
        <w:gridCol w:w="1085"/>
        <w:gridCol w:w="307"/>
        <w:gridCol w:w="866"/>
        <w:gridCol w:w="1091"/>
        <w:gridCol w:w="337"/>
      </w:tblGrid>
      <w:tr>
        <w:trPr>
          <w:trHeight w:val="402" w:hRule="exact"/>
        </w:trPr>
        <w:tc>
          <w:tcPr>
            <w:tcW w:w="12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0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3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16"/>
              <w:ind w:left="73" w:right="72"/>
              <w:jc w:val="both"/>
              <w:rPr>
                <w:rFonts w:ascii="宋体" w:hAnsi="宋体" w:cs="宋体" w:eastAsia="宋体" w:hint="default"/>
                <w:sz w:val="18"/>
                <w:szCs w:val="18"/>
              </w:rPr>
            </w:pPr>
            <w:r>
              <w:rPr>
                <w:rFonts w:ascii="宋体" w:hAnsi="宋体" w:cs="宋体" w:eastAsia="宋体" w:hint="default"/>
                <w:sz w:val="18"/>
                <w:szCs w:val="18"/>
              </w:rPr>
              <w:t>减 值 准 备 期</w:t>
            </w:r>
          </w:p>
        </w:tc>
      </w:tr>
      <w:tr>
        <w:trPr>
          <w:trHeight w:val="1338" w:hRule="exact"/>
        </w:trPr>
        <w:tc>
          <w:tcPr>
            <w:tcW w:w="1272"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5"/>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9" w:right="30"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58" w:right="56"/>
              <w:jc w:val="both"/>
              <w:rPr>
                <w:rFonts w:ascii="宋体" w:hAnsi="宋体" w:cs="宋体" w:eastAsia="宋体" w:hint="default"/>
                <w:sz w:val="18"/>
                <w:szCs w:val="18"/>
              </w:rPr>
            </w:pPr>
            <w:r>
              <w:rPr>
                <w:rFonts w:ascii="宋体" w:hAnsi="宋体" w:cs="宋体" w:eastAsia="宋体" w:hint="default"/>
                <w:sz w:val="18"/>
                <w:szCs w:val="18"/>
              </w:rPr>
              <w:t>其 他 权 益</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5"/>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58" w:right="56"/>
              <w:jc w:val="both"/>
              <w:rPr>
                <w:rFonts w:ascii="宋体" w:hAnsi="宋体" w:cs="宋体" w:eastAsia="宋体" w:hint="default"/>
                <w:sz w:val="18"/>
                <w:szCs w:val="18"/>
              </w:rPr>
            </w:pPr>
            <w:r>
              <w:rPr>
                <w:rFonts w:ascii="宋体" w:hAnsi="宋体" w:cs="宋体" w:eastAsia="宋体" w:hint="default"/>
                <w:sz w:val="18"/>
                <w:szCs w:val="18"/>
              </w:rPr>
              <w:t>计 提 减 值</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single" w:sz="4" w:space="0" w:color="000000"/>
              <w:right w:val="single" w:sz="4" w:space="0" w:color="000000"/>
            </w:tcBorders>
            <w:shd w:val="clear" w:color="auto" w:fill="D3D3D3"/>
          </w:tcPr>
          <w:p>
            <w:pPr/>
          </w:p>
        </w:tc>
        <w:tc>
          <w:tcPr>
            <w:tcW w:w="33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72"/>
        <w:gridCol w:w="1092"/>
        <w:gridCol w:w="1001"/>
        <w:gridCol w:w="278"/>
        <w:gridCol w:w="1085"/>
        <w:gridCol w:w="972"/>
        <w:gridCol w:w="307"/>
        <w:gridCol w:w="1085"/>
        <w:gridCol w:w="307"/>
        <w:gridCol w:w="866"/>
        <w:gridCol w:w="1091"/>
        <w:gridCol w:w="337"/>
      </w:tblGrid>
      <w:tr>
        <w:trPr>
          <w:trHeight w:val="986" w:hRule="exact"/>
        </w:trPr>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58" w:right="56"/>
              <w:jc w:val="left"/>
              <w:rPr>
                <w:rFonts w:ascii="宋体" w:hAnsi="宋体" w:cs="宋体" w:eastAsia="宋体" w:hint="default"/>
                <w:sz w:val="18"/>
                <w:szCs w:val="18"/>
              </w:rPr>
            </w:pPr>
            <w:r>
              <w:rPr>
                <w:rFonts w:ascii="宋体" w:hAnsi="宋体" w:cs="宋体" w:eastAsia="宋体" w:hint="default"/>
                <w:sz w:val="18"/>
                <w:szCs w:val="18"/>
              </w:rPr>
              <w:t>变 动</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58" w:right="56"/>
              <w:jc w:val="left"/>
              <w:rPr>
                <w:rFonts w:ascii="宋体" w:hAnsi="宋体" w:cs="宋体" w:eastAsia="宋体" w:hint="default"/>
                <w:sz w:val="18"/>
                <w:szCs w:val="18"/>
              </w:rPr>
            </w:pPr>
            <w:r>
              <w:rPr>
                <w:rFonts w:ascii="宋体" w:hAnsi="宋体" w:cs="宋体" w:eastAsia="宋体" w:hint="default"/>
                <w:sz w:val="18"/>
                <w:szCs w:val="18"/>
              </w:rPr>
              <w:t>准 备</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73" w:right="72"/>
              <w:jc w:val="both"/>
              <w:rPr>
                <w:rFonts w:ascii="宋体" w:hAnsi="宋体" w:cs="宋体" w:eastAsia="宋体" w:hint="default"/>
                <w:sz w:val="18"/>
                <w:szCs w:val="18"/>
              </w:rPr>
            </w:pPr>
            <w:r>
              <w:rPr>
                <w:rFonts w:ascii="宋体" w:hAnsi="宋体" w:cs="宋体" w:eastAsia="宋体" w:hint="default"/>
                <w:sz w:val="18"/>
                <w:szCs w:val="18"/>
              </w:rPr>
              <w:t>末 余 额</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2"/>
              <w:jc w:val="left"/>
              <w:rPr>
                <w:rFonts w:ascii="Times New Roman" w:hAnsi="Times New Roman" w:cs="Times New Roman" w:eastAsia="Times New Roman" w:hint="default"/>
                <w:sz w:val="18"/>
                <w:szCs w:val="18"/>
              </w:rPr>
            </w:pPr>
            <w:r>
              <w:rPr>
                <w:rFonts w:ascii="Times New Roman"/>
                <w:spacing w:val="-5"/>
                <w:sz w:val="18"/>
              </w:rPr>
              <w:t>West</w:t>
            </w:r>
            <w:r>
              <w:rPr>
                <w:rFonts w:ascii="Times New Roman"/>
                <w:spacing w:val="1"/>
                <w:sz w:val="18"/>
              </w:rPr>
              <w:t> </w:t>
            </w:r>
            <w:r>
              <w:rPr>
                <w:rFonts w:ascii="Times New Roman"/>
                <w:sz w:val="18"/>
              </w:rPr>
              <w:t>Coast</w:t>
            </w:r>
            <w:r>
              <w:rPr>
                <w:rFonts w:ascii="Times New Roman"/>
                <w:sz w:val="18"/>
              </w:rPr>
              <w:t> Holidays</w:t>
            </w:r>
            <w:r>
              <w:rPr>
                <w:rFonts w:ascii="Times New Roman"/>
                <w:spacing w:val="-6"/>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44,359,050.83</w:t>
            </w:r>
          </w:p>
        </w:tc>
        <w:tc>
          <w:tcPr>
            <w:tcW w:w="100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9,334,705.48</w:t>
            </w:r>
          </w:p>
        </w:tc>
        <w:tc>
          <w:tcPr>
            <w:tcW w:w="97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2,940,390.00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504,314.69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51,257,681.00</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北京行天下国 际旅行社有限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15,765,259.69</w:t>
            </w:r>
          </w:p>
        </w:tc>
        <w:tc>
          <w:tcPr>
            <w:tcW w:w="100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97,860.81</w:t>
            </w:r>
          </w:p>
        </w:tc>
        <w:tc>
          <w:tcPr>
            <w:tcW w:w="97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15,863,120.50</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中国海外旅游 投资管理有限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7,387,825.72</w:t>
            </w:r>
          </w:p>
        </w:tc>
        <w:tc>
          <w:tcPr>
            <w:tcW w:w="1001"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-391,693.00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-478,781.34</w:t>
            </w: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6,517,351.38</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left"/>
              <w:rPr>
                <w:rFonts w:ascii="Times New Roman" w:hAnsi="Times New Roman" w:cs="Times New Roman" w:eastAsia="Times New Roman" w:hint="default"/>
                <w:sz w:val="18"/>
                <w:szCs w:val="18"/>
              </w:rPr>
            </w:pPr>
            <w:r>
              <w:rPr>
                <w:rFonts w:ascii="Times New Roman"/>
                <w:sz w:val="18"/>
              </w:rPr>
              <w:t>Beyond</w:t>
            </w:r>
            <w:r>
              <w:rPr>
                <w:rFonts w:ascii="Times New Roman"/>
                <w:spacing w:val="-4"/>
                <w:sz w:val="18"/>
              </w:rPr>
              <w:t> </w:t>
            </w:r>
            <w:r>
              <w:rPr>
                <w:rFonts w:ascii="Times New Roman"/>
                <w:sz w:val="18"/>
              </w:rPr>
              <w:t>Express</w:t>
            </w:r>
            <w:r>
              <w:rPr>
                <w:rFonts w:ascii="Times New Roman"/>
                <w:sz w:val="18"/>
              </w:rPr>
              <w:t> Inc</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1,633,550.00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-236,489.84</w:t>
            </w:r>
          </w:p>
        </w:tc>
        <w:tc>
          <w:tcPr>
            <w:tcW w:w="97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7,621.70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1,404,681.86</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0"/>
              <w:jc w:val="left"/>
              <w:rPr>
                <w:rFonts w:ascii="Times New Roman" w:hAnsi="Times New Roman" w:cs="Times New Roman" w:eastAsia="Times New Roman" w:hint="default"/>
                <w:sz w:val="18"/>
                <w:szCs w:val="18"/>
              </w:rPr>
            </w:pPr>
            <w:r>
              <w:rPr>
                <w:rFonts w:ascii="Times New Roman"/>
                <w:sz w:val="18"/>
              </w:rPr>
              <w:t>Beyond Health Inc</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784,104.00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-108,472.20</w:t>
            </w:r>
          </w:p>
        </w:tc>
        <w:tc>
          <w:tcPr>
            <w:tcW w:w="97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3,495.89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679,127.69</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Beyond Gift</w:t>
            </w:r>
            <w:r>
              <w:rPr>
                <w:rFonts w:ascii="Times New Roman"/>
                <w:spacing w:val="-9"/>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522,736.00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150,319.88</w:t>
            </w:r>
          </w:p>
        </w:tc>
        <w:tc>
          <w:tcPr>
            <w:tcW w:w="97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-4,844.58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668,211.30</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12"/>
              <w:jc w:val="left"/>
              <w:rPr>
                <w:rFonts w:ascii="Times New Roman" w:hAnsi="Times New Roman" w:cs="Times New Roman" w:eastAsia="Times New Roman" w:hint="default"/>
                <w:sz w:val="18"/>
                <w:szCs w:val="18"/>
              </w:rPr>
            </w:pPr>
            <w:r>
              <w:rPr>
                <w:rFonts w:ascii="Times New Roman"/>
                <w:sz w:val="18"/>
              </w:rPr>
              <w:t>Easy</w:t>
            </w:r>
            <w:r>
              <w:rPr>
                <w:rFonts w:ascii="Times New Roman"/>
                <w:spacing w:val="-1"/>
                <w:sz w:val="18"/>
              </w:rPr>
              <w:t> </w:t>
            </w:r>
            <w:r>
              <w:rPr>
                <w:rFonts w:ascii="Times New Roman"/>
                <w:sz w:val="18"/>
              </w:rPr>
              <w:t>Line</w:t>
            </w:r>
            <w:r>
              <w:rPr>
                <w:rFonts w:ascii="Times New Roman"/>
                <w:sz w:val="18"/>
              </w:rPr>
              <w:t> GmbH</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39,011.50</w:t>
            </w: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39,011.50</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128"/>
              <w:jc w:val="left"/>
              <w:rPr>
                <w:rFonts w:ascii="Times New Roman" w:hAnsi="Times New Roman" w:cs="Times New Roman" w:eastAsia="Times New Roman" w:hint="default"/>
                <w:sz w:val="18"/>
                <w:szCs w:val="18"/>
              </w:rPr>
            </w:pPr>
            <w:r>
              <w:rPr>
                <w:rFonts w:ascii="Times New Roman"/>
                <w:sz w:val="18"/>
              </w:rPr>
              <w:t>HOTEL FUJIZAKURA</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Co.,Ltd.</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156,000.00</w:t>
            </w: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67,512,136.24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3,135,401.50</w:t>
            </w: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8,690,231.13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-478,781.34</w:t>
            </w: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2,940,390.00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510,587.70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76,429,185.23</w:t>
            </w:r>
          </w:p>
        </w:tc>
        <w:tc>
          <w:tcPr>
            <w:tcW w:w="3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67,512,136.24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3,135,401.50</w:t>
            </w:r>
          </w:p>
        </w:tc>
        <w:tc>
          <w:tcPr>
            <w:tcW w:w="27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8,690,231.13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-478,781.34</w:t>
            </w:r>
          </w:p>
        </w:tc>
        <w:tc>
          <w:tcPr>
            <w:tcW w:w="30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2,940,390.00</w:t>
            </w:r>
          </w:p>
        </w:tc>
        <w:tc>
          <w:tcPr>
            <w:tcW w:w="30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510,587.70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76,429,185.23</w:t>
            </w:r>
          </w:p>
        </w:tc>
        <w:tc>
          <w:tcPr>
            <w:tcW w:w="33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636" w:right="0"/>
        <w:jc w:val="left"/>
      </w:pPr>
      <w:r>
        <w:rPr/>
        <w:t>本期增减变动其他</w:t>
      </w:r>
      <w:r>
        <w:rPr>
          <w:rFonts w:ascii="Times New Roman" w:hAnsi="Times New Roman" w:cs="Times New Roman" w:eastAsia="Times New Roman" w:hint="default"/>
        </w:rPr>
        <w:t>510,587.70</w:t>
      </w:r>
      <w:r>
        <w:rPr/>
        <w:t>元，为外币报表折算差额形成。</w:t>
      </w:r>
    </w:p>
    <w:p>
      <w:pPr>
        <w:spacing w:line="240" w:lineRule="auto" w:before="8"/>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11,232,948.73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63,143,806.30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3,473,679.97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77,850,435.00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2,635,999.86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47,999,685.20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685,191.50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51,320,876.56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1,868,566.53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47,239,242.53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658,791.50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49,766,600.56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767,433.33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760,442.67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1,554,276.00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263,932.76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924,225.12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1,637,757.88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263,932.76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924,225.12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1,637,757.88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13,605,015.83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110,693,891.50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3,234,646.35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127,533,553.68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5,923,633.48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13,988,383.67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2,012,664.94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21,924,682.09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3,087,724.74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20,933,718.01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680,470.15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24,701,912.90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2,906,041.55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20,663,418.41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656,086.79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24,225,546.75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181,683.19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270,299.60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24,383.36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476,366.15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250,534.18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231,356.67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878,215.81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1,360,106.66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250,534.18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231,356.67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878,215.81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1,360,106.66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8,760,824.04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34,690,745.01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1,814,919.28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45,266,488.33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4,844,191.79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76,003,146.49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1,419,727.07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82,267,065.35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5,309,315.25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49,155,422.63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1,461,015.03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55,925,752.91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102,840,735.95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32,610,507.44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70,230,228.51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38"/>
        <w:gridCol w:w="1939"/>
        <w:gridCol w:w="1938"/>
        <w:gridCol w:w="1939"/>
        <w:gridCol w:w="1939"/>
      </w:tblGrid>
      <w:tr>
        <w:trPr>
          <w:trHeight w:val="401"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3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13"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93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办公及业务软件</w:t>
            </w:r>
          </w:p>
        </w:tc>
        <w:tc>
          <w:tcPr>
            <w:tcW w:w="193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34,852,715.99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34,852,715.99</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10,660,000.00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19,320,000.00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11,516,479.67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41,496,479.67</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11,466,579.67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11,466,579.67</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10,660,000.00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30,029,900.00</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10,660,000.00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19,320,000.00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46,369,195.66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76,349,195.66</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10,264,683.38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10,264,683.38</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8,431,227.93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8,431,227.93</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8,431,227.93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8,431,227.93</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18,695,911.31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18,695,911.31</w:t>
            </w: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937"/>
        <w:gridCol w:w="1940"/>
        <w:gridCol w:w="1938"/>
        <w:gridCol w:w="1939"/>
        <w:gridCol w:w="1939"/>
      </w:tblGrid>
      <w:tr>
        <w:trPr>
          <w:trHeight w:val="402" w:hRule="exact"/>
        </w:trPr>
        <w:tc>
          <w:tcPr>
            <w:tcW w:w="19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32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1" w:right="0"/>
              <w:jc w:val="left"/>
              <w:rPr>
                <w:rFonts w:ascii="Times New Roman" w:hAnsi="Times New Roman" w:cs="Times New Roman" w:eastAsia="Times New Roman" w:hint="default"/>
                <w:sz w:val="18"/>
                <w:szCs w:val="18"/>
              </w:rPr>
            </w:pPr>
            <w:r>
              <w:rPr>
                <w:rFonts w:ascii="Times New Roman"/>
                <w:sz w:val="18"/>
              </w:rPr>
              <w:t>10,660,000.00</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1" w:right="0"/>
              <w:jc w:val="left"/>
              <w:rPr>
                <w:rFonts w:ascii="Times New Roman" w:hAnsi="Times New Roman" w:cs="Times New Roman" w:eastAsia="Times New Roman" w:hint="default"/>
                <w:sz w:val="18"/>
                <w:szCs w:val="18"/>
              </w:rPr>
            </w:pPr>
            <w:r>
              <w:rPr>
                <w:rFonts w:ascii="Times New Roman"/>
                <w:sz w:val="18"/>
              </w:rPr>
              <w:t>19,320,000.00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27,673,284.35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57,653,284.35</w:t>
            </w:r>
          </w:p>
        </w:tc>
      </w:tr>
      <w:tr>
        <w:trPr>
          <w:trHeight w:val="402" w:hRule="exact"/>
        </w:trPr>
        <w:tc>
          <w:tcPr>
            <w:tcW w:w="19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32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24,588,032.61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24,588,032.61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6"/>
        <w:spacing w:line="240" w:lineRule="auto" w:before="35"/>
        <w:ind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021"/>
        <w:gridCol w:w="1520"/>
        <w:gridCol w:w="1181"/>
        <w:gridCol w:w="466"/>
        <w:gridCol w:w="494"/>
        <w:gridCol w:w="493"/>
        <w:gridCol w:w="1519"/>
      </w:tblGrid>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竹园国际旅行社有限公司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491,086,223.50</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491,086,223.50</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w:t>
            </w:r>
          </w:p>
        </w:tc>
        <w:tc>
          <w:tcPr>
            <w:tcW w:w="15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145,538,215.80</w:t>
            </w: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145,538,215.80</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北京开元周游国际旅行社股份有限公司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52,478,671.09</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52,478,671.09</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上海优耐德国际旅行社有限公司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46,956,761.28</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46,956,761.28</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Activo Travel</w:t>
            </w:r>
            <w:r>
              <w:rPr>
                <w:rFonts w:ascii="Times New Roman"/>
                <w:spacing w:val="-15"/>
                <w:sz w:val="18"/>
              </w:rPr>
              <w:t> </w:t>
            </w:r>
            <w:r>
              <w:rPr>
                <w:rFonts w:ascii="Times New Roman"/>
                <w:sz w:val="18"/>
              </w:rPr>
              <w:t>GmbH</w:t>
            </w:r>
          </w:p>
        </w:tc>
        <w:tc>
          <w:tcPr>
            <w:tcW w:w="15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46,496,724.68</w:t>
            </w: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46,496,724.68</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苏州众信星舟国际旅行社有限公司</w:t>
            </w:r>
          </w:p>
        </w:tc>
        <w:tc>
          <w:tcPr>
            <w:tcW w:w="15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6,604,815.09</w:t>
            </w: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6,604,815.09</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优耐德</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国际旅行社有限公司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6,016,069.92</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6,016,069.92</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杭州四达因私出入境服务有限公司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2,896,059.17</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2,896,059.17</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上海巨龙国际旅行社有限公司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2,602,920.41</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2,602,920.41</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九江中国旅行社有限公司</w:t>
            </w:r>
          </w:p>
        </w:tc>
        <w:tc>
          <w:tcPr>
            <w:tcW w:w="15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1,742,921.61</w:t>
            </w: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1,742,921.61</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厦门众信凡星教育科技有限公司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1,663,534.38</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1,663,534.38</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广州众信旅行社有限公司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1,312,507.63</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1,312,507.63</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Sarl</w:t>
            </w:r>
            <w:r>
              <w:rPr>
                <w:rFonts w:ascii="Times New Roman"/>
                <w:spacing w:val="-5"/>
                <w:sz w:val="18"/>
              </w:rPr>
              <w:t> </w:t>
            </w:r>
            <w:r>
              <w:rPr>
                <w:rFonts w:ascii="Times New Roman"/>
                <w:sz w:val="18"/>
              </w:rPr>
              <w:t>ansel</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973,635.45</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973,635.45</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北京悠联货币汇兑有限公司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271,242.46</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271,242.46</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KAYTRIP </w:t>
            </w:r>
            <w:r>
              <w:rPr>
                <w:rFonts w:ascii="Times New Roman"/>
                <w:sz w:val="18"/>
              </w:rPr>
              <w:t>DE MEXICO SA DE</w:t>
            </w:r>
            <w:r>
              <w:rPr>
                <w:rFonts w:ascii="Times New Roman"/>
                <w:spacing w:val="-25"/>
                <w:sz w:val="18"/>
              </w:rPr>
              <w:t> </w:t>
            </w:r>
            <w:r>
              <w:rPr>
                <w:rFonts w:ascii="Times New Roman"/>
                <w:sz w:val="18"/>
              </w:rPr>
              <w:t>CV</w:t>
            </w:r>
          </w:p>
        </w:tc>
        <w:tc>
          <w:tcPr>
            <w:tcW w:w="15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192,864.98</w:t>
            </w: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192,864.98</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江苏众信国际旅行社有限公司</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34,622.83</w:t>
            </w:r>
          </w:p>
        </w:tc>
        <w:tc>
          <w:tcPr>
            <w:tcW w:w="1181"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34,622.83</w:t>
            </w:r>
          </w:p>
        </w:tc>
      </w:tr>
      <w:tr>
        <w:trPr>
          <w:trHeight w:val="402" w:hRule="exact"/>
        </w:trPr>
        <w:tc>
          <w:tcPr>
            <w:tcW w:w="40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606,292,248.12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200,575,542.16</w:t>
            </w:r>
          </w:p>
        </w:tc>
        <w:tc>
          <w:tcPr>
            <w:tcW w:w="466"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806,867,790.28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3"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408" w:lineRule="auto" w:before="35"/>
        <w:ind w:right="148" w:firstLine="471"/>
        <w:jc w:val="left"/>
      </w:pPr>
      <w:r>
        <w:rPr>
          <w:spacing w:val="-2"/>
        </w:rPr>
        <w:t>公司对被收购公司所形成的商誉单独进行减值测试，公司基于历史经营数据、旅游行业及被收购公司</w:t>
      </w:r>
      <w:r>
        <w:rPr/>
        <w:t> </w:t>
      </w:r>
      <w:r>
        <w:rPr>
          <w:spacing w:val="-1"/>
        </w:rPr>
        <w:t>所处行业的发展趋势、国内国际的经济形式、被收购公司与上市公司的合作方式等制定最近一期财务预算</w:t>
      </w:r>
      <w:r>
        <w:rPr>
          <w:spacing w:val="-81"/>
        </w:rPr>
        <w:t> </w:t>
      </w:r>
      <w:r>
        <w:rPr>
          <w:spacing w:val="-81"/>
        </w:rPr>
      </w:r>
      <w:r>
        <w:rPr/>
        <w:t>和未来规划目标，预期收入增长率、毛利率和费用率等参照行业水平和历史数据确定，编制未来5年的净 利润及现金流量预测，并假设5年之后现金流量维持不变，各公司在减值测试过程中现金流量预测所用的</w:t>
      </w:r>
      <w:r>
        <w:rPr/>
        <w:t> 税后折现率在12%-12.6%之间。根据减值测试的结果，本期期末商誉未发生减值，未计提减值准备。</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68,005,978.72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14,163,200.25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12,495,467.25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69,673,711.72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607,445.08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227,697.36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379,747.72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会展材料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1,039,999.98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260,000.04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779,999.94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164,253.87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119,430.12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419,223.75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69,817,677.65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14,537,600.25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13,102,594.77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71,252,683.13</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59,570,563.30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15,072,219.88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37,226,359.06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9,358,997.84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49,581,649.18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12,331,158.95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39,026,994.53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9,358,294.02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10,986,519.68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2,746,629.92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9,895,157.08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2,473,789.27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4,665,059.38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1,166,264.85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124,803,791.54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31,316,273.60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86,148,510.67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21,191,081.13</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700"/>
        <w:gridCol w:w="1914"/>
        <w:gridCol w:w="1914"/>
        <w:gridCol w:w="1914"/>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28" w:type="dxa"/>
            <w:vMerge/>
            <w:tcBorders>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可转换公司债券权益成份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207,684,551.53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51,921,137.89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非同一控制企业合并资产 评估增值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30,029,900.00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7,507,475.00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7"/>
        <w:gridCol w:w="1701"/>
        <w:gridCol w:w="1914"/>
        <w:gridCol w:w="1914"/>
        <w:gridCol w:w="1914"/>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237,714,451.53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59,428,612.89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124,803,791.54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31,316,273.60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86,148,510.67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21,191,081.13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237,714,451.53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59,428,612.89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44,401,327.97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39,133,751.25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航协保证金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29,862,647.48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30,388,071.12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67,908,781.91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142,172,757.36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129,521,822.37</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37,980,600.00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637,737,210.00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764,573,584.00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637,737,210.00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802,554,184.00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686,514,242.78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606,643,167.61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18,773,511.62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4,537,125.44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980,150.26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35,599.27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540,337.15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780,854.93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706,808,241.81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611,996,747.25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387,912,491.28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295,327,765.24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2,216,556.23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4,498,678.08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390,129,047.51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299,826,443.32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27,681,949.48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395,933,878.33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391,824,746.03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31,791,081.78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1,073,604.80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49,213,056.39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49,023,253.25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1,263,407.94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1,607,629.14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1,607,629.14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28,755,554.28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446,754,563.86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442,455,628.42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33,054,489.72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25,785,136.68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338,547,377.82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334,506,372.11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29,826,142.39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4,311,538.18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4,311,538.18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617,228.40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27,958,001.97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27,876,784.24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698,446.13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547,900.79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25,067,795.38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24,992,768.16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622,928.01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18,821.10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843,606.05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842,452.61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19,974.54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50,506.51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2,046,600.54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2,041,563.47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55,543.58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153,689.75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19,557,344.01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19,550,173.92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160,859.84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1,125,894.65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3,859,363.33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3,882,136.75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1,103,121.23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1,700,253.02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1,697,740.83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2,512.19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27,681,949.48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395,933,878.33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391,824,746.03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31,791,081.78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1,032,151.06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47,543,626.98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47,349,584.23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1,226,193.81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41,453.74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1,669,429.41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1,673,669.02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37,214.13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1,073,604.80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49,213,056.39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49,023,253.25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1,263,407.94</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8,097,877.09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3,191,161.52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1,673,727.52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38,357,984.80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27,232,282.89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250,720.03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7,614,666.33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305,682.57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198,647.93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150,446.00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98,743.14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地方教育发展费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98,576.70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65,768.85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8,359.69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48,935,729.05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38,409,630.35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22</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588,605.52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1,128,414.84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763,605.52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1,128,414.84</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23</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192,600.00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35,880,535.22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18,706,719.10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合作押金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25,843,690.22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21,248,673.76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应付股东款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59,262,519.74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82,184,050.00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121,662,406.00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10,404,998.36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11,118,060.53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213,575,793.54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211,135,859.39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10,986,519.68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9,895,157.08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10,986,519.68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9,895,157.08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6,732,921.62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6,732,921.62</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27</w:t>
      </w:r>
      <w:r>
        <w:rPr/>
        <w:t>、应付债券</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482,445,448.47</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482,445,448.47</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60"/>
        <w:gridCol w:w="1181"/>
        <w:gridCol w:w="562"/>
        <w:gridCol w:w="560"/>
        <w:gridCol w:w="1182"/>
        <w:gridCol w:w="562"/>
        <w:gridCol w:w="1181"/>
        <w:gridCol w:w="866"/>
        <w:gridCol w:w="1181"/>
        <w:gridCol w:w="562"/>
        <w:gridCol w:w="1297"/>
      </w:tblGrid>
      <w:tr>
        <w:trPr>
          <w:trHeight w:val="714" w:hRule="exact"/>
        </w:trPr>
        <w:tc>
          <w:tcPr>
            <w:tcW w:w="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94" w:right="95"/>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11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5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94" w:right="95"/>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18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5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1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本期发行</w:t>
            </w:r>
          </w:p>
        </w:tc>
        <w:tc>
          <w:tcPr>
            <w:tcW w:w="86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11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溢折价摊销</w:t>
            </w:r>
          </w:p>
        </w:tc>
        <w:tc>
          <w:tcPr>
            <w:tcW w:w="5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95" w:right="95"/>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12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1" w:hRule="exact"/>
        </w:trPr>
        <w:tc>
          <w:tcPr>
            <w:tcW w:w="560" w:type="dxa"/>
            <w:tcBorders>
              <w:top w:val="single" w:sz="4" w:space="0" w:color="000000"/>
              <w:left w:val="single" w:sz="4" w:space="0" w:color="000000"/>
              <w:bottom w:val="nil" w:sz="6" w:space="0" w:color="auto"/>
              <w:right w:val="single" w:sz="4" w:space="0" w:color="000000"/>
            </w:tcBorders>
            <w:shd w:val="clear" w:color="auto" w:fill="D0CECE"/>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tc>
        <w:tc>
          <w:tcPr>
            <w:tcW w:w="560"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560" w:type="dxa"/>
            <w:tcBorders>
              <w:top w:val="nil" w:sz="6" w:space="0" w:color="auto"/>
              <w:left w:val="single" w:sz="4" w:space="0" w:color="000000"/>
              <w:bottom w:val="nil" w:sz="6" w:space="0" w:color="auto"/>
              <w:right w:val="single" w:sz="4" w:space="0" w:color="000000"/>
            </w:tcBorders>
            <w:shd w:val="clear" w:color="auto" w:fill="D0CECE"/>
          </w:tcPr>
          <w:p>
            <w:pPr>
              <w:pStyle w:val="TableParagraph"/>
              <w:spacing w:line="316" w:lineRule="auto" w:before="7"/>
              <w:ind w:left="22" w:right="167"/>
              <w:jc w:val="left"/>
              <w:rPr>
                <w:rFonts w:ascii="宋体" w:hAnsi="宋体" w:cs="宋体" w:eastAsia="宋体" w:hint="default"/>
                <w:sz w:val="18"/>
                <w:szCs w:val="18"/>
              </w:rPr>
            </w:pPr>
            <w:r>
              <w:rPr>
                <w:rFonts w:ascii="宋体" w:hAnsi="宋体" w:cs="宋体" w:eastAsia="宋体" w:hint="default"/>
                <w:sz w:val="18"/>
                <w:szCs w:val="18"/>
              </w:rPr>
              <w:t>众信 转债</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700,000,000.00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700,000,000.00</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700,000,000.00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217,729,551.53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0.00</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482,445,448.47</w:t>
            </w:r>
          </w:p>
        </w:tc>
      </w:tr>
      <w:tr>
        <w:trPr>
          <w:trHeight w:val="352" w:hRule="exact"/>
        </w:trPr>
        <w:tc>
          <w:tcPr>
            <w:tcW w:w="560" w:type="dxa"/>
            <w:tcBorders>
              <w:top w:val="nil" w:sz="6" w:space="0" w:color="auto"/>
              <w:left w:val="single" w:sz="4" w:space="0" w:color="000000"/>
              <w:bottom w:val="single" w:sz="4" w:space="0" w:color="000000"/>
              <w:right w:val="single" w:sz="4" w:space="0" w:color="000000"/>
            </w:tcBorders>
            <w:shd w:val="clear" w:color="auto" w:fill="D0CECE"/>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4"/>
              <w:jc w:val="right"/>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700,000,000.00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700,000,000.00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217,729,551.53</w:t>
            </w:r>
          </w:p>
        </w:tc>
        <w:tc>
          <w:tcPr>
            <w:tcW w:w="562"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482,445,448.47</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right="0" w:firstLine="420"/>
        <w:jc w:val="left"/>
      </w:pPr>
      <w:r>
        <w:rPr/>
        <w:t>公司本次发行的上述可转换公司债券转股期限自发行结束之日起满六个月后的第一个交易日起至可 </w:t>
      </w:r>
      <w:r>
        <w:rPr>
          <w:spacing w:val="-1"/>
        </w:rPr>
        <w:t>转换公司债券到期日止（即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7</w:t>
      </w:r>
      <w:r>
        <w:rPr>
          <w:spacing w:val="-1"/>
        </w:rPr>
        <w:t>日至</w:t>
      </w:r>
      <w:r>
        <w:rPr>
          <w:rFonts w:ascii="Times New Roman" w:hAnsi="Times New Roman" w:cs="Times New Roman" w:eastAsia="Times New Roman" w:hint="default"/>
          <w:spacing w:val="-1"/>
        </w:rPr>
        <w:t>2023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日）。可转债初始转股价格为</w:t>
      </w:r>
      <w:r>
        <w:rPr>
          <w:rFonts w:ascii="Times New Roman" w:hAnsi="Times New Roman" w:cs="Times New Roman" w:eastAsia="Times New Roman" w:hint="default"/>
          <w:spacing w:val="-1"/>
        </w:rPr>
        <w:t>11.12</w:t>
      </w:r>
      <w:r>
        <w:rPr>
          <w:spacing w:val="-1"/>
        </w:rPr>
        <w:t>元</w:t>
      </w:r>
      <w:r>
        <w:rPr>
          <w:rFonts w:ascii="Times New Roman" w:hAnsi="Times New Roman" w:cs="Times New Roman" w:eastAsia="Times New Roman" w:hint="default"/>
          <w:spacing w:val="-1"/>
        </w:rPr>
        <w:t>/</w:t>
      </w:r>
      <w:r>
        <w:rPr>
          <w:spacing w:val="-1"/>
        </w:rPr>
        <w:t>股，不低于</w:t>
      </w:r>
      <w:r>
        <w:rPr>
          <w:spacing w:val="-93"/>
        </w:rPr>
        <w:t> </w:t>
      </w:r>
      <w:r>
        <w:rPr>
          <w:spacing w:val="-93"/>
        </w:rPr>
      </w:r>
      <w:r>
        <w:rPr/>
        <w:t>募集说明书公告日前二十个交易日公司 </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股股票交易均价（若在该二十个交易日内发生过因除权、除息 </w:t>
      </w:r>
      <w:r>
        <w:rPr>
          <w:spacing w:val="-1"/>
        </w:rPr>
        <w:t>引起股价调整的情形，则对调整前交易日的交易均价按经过相应除权、除息调整后的价格计算）和前一个</w:t>
      </w:r>
      <w:r>
        <w:rPr>
          <w:spacing w:val="-83"/>
        </w:rPr>
        <w:t> </w:t>
      </w:r>
      <w:r>
        <w:rPr>
          <w:spacing w:val="-83"/>
        </w:rPr>
      </w:r>
      <w:r>
        <w:rPr/>
        <w:t>交易日公司</w:t>
      </w:r>
      <w:r>
        <w:rPr>
          <w:rFonts w:ascii="Times New Roman" w:hAnsi="Times New Roman" w:cs="Times New Roman" w:eastAsia="Times New Roman" w:hint="default"/>
        </w:rPr>
        <w:t>A</w:t>
      </w:r>
      <w:r>
        <w:rPr/>
        <w:t>股股票交易均价。</w:t>
      </w:r>
    </w:p>
    <w:p>
      <w:pPr>
        <w:spacing w:line="240" w:lineRule="auto" w:before="11"/>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28</w:t>
      </w:r>
      <w:r>
        <w:rPr/>
        <w:t>、长期应付款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66,034,325.78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35,814,666.25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843,802,180.00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12,643,700.00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-6,385,060.00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6,258,640.00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850,060,820.00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386" w:lineRule="auto" w:before="0"/>
        <w:ind w:right="0" w:firstLine="419"/>
        <w:jc w:val="left"/>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日，公司</w:t>
      </w:r>
      <w:r>
        <w:rPr>
          <w:rFonts w:ascii="Times New Roman" w:hAnsi="Times New Roman" w:cs="Times New Roman" w:eastAsia="Times New Roman" w:hint="default"/>
          <w:spacing w:val="-1"/>
        </w:rPr>
        <w:t>2017</w:t>
      </w:r>
      <w:r>
        <w:rPr>
          <w:spacing w:val="-1"/>
        </w:rPr>
        <w:t>年第二次临时股东大会决议审议通过了《关于回购注销已不符合激励</w:t>
      </w:r>
      <w:r>
        <w:rPr/>
        <w:t> </w:t>
      </w:r>
      <w:r>
        <w:rPr>
          <w:spacing w:val="-1"/>
        </w:rPr>
        <w:t>条件的激励对象已获授但尚未解锁的限制性股票的议案》，公司回购注销</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2016</w:t>
      </w:r>
      <w:r>
        <w:rPr>
          <w:spacing w:val="-1"/>
        </w:rPr>
        <w:t>年限制性股票激励</w:t>
      </w:r>
    </w:p>
    <w:p>
      <w:pPr>
        <w:spacing w:after="0" w:line="386" w:lineRule="auto"/>
        <w:jc w:val="left"/>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计划中因离职等原因已不符合激励条件的</w:t>
      </w:r>
      <w:r>
        <w:rPr>
          <w:rFonts w:ascii="Times New Roman" w:hAnsi="Times New Roman" w:cs="Times New Roman" w:eastAsia="Times New Roman" w:hint="default"/>
        </w:rPr>
        <w:t>16</w:t>
      </w:r>
      <w:r>
        <w:rPr/>
        <w:t>名激励对象所持有共计</w:t>
      </w:r>
      <w:r>
        <w:rPr>
          <w:rFonts w:ascii="Times New Roman" w:hAnsi="Times New Roman" w:cs="Times New Roman" w:eastAsia="Times New Roman" w:hint="default"/>
        </w:rPr>
        <w:t>272,760</w:t>
      </w:r>
      <w:r>
        <w:rPr/>
        <w:t>股股票。公司的股本由</w:t>
      </w:r>
    </w:p>
    <w:p>
      <w:pPr>
        <w:pStyle w:val="BodyText"/>
        <w:spacing w:line="240" w:lineRule="auto" w:before="177"/>
        <w:ind w:left="153" w:right="0"/>
        <w:jc w:val="left"/>
      </w:pPr>
      <w:r>
        <w:rPr>
          <w:rFonts w:ascii="Times New Roman" w:hAnsi="Times New Roman" w:cs="Times New Roman" w:eastAsia="Times New Roman" w:hint="default"/>
        </w:rPr>
        <w:t>843,802,180</w:t>
      </w:r>
      <w:r>
        <w:rPr/>
        <w:t>股减少为</w:t>
      </w:r>
      <w:r>
        <w:rPr>
          <w:rFonts w:ascii="Times New Roman" w:hAnsi="Times New Roman" w:cs="Times New Roman" w:eastAsia="Times New Roman" w:hint="default"/>
        </w:rPr>
        <w:t>843,529,420</w:t>
      </w:r>
      <w:r>
        <w:rPr/>
        <w:t>股。公司减少股本</w:t>
      </w:r>
      <w:r>
        <w:rPr>
          <w:rFonts w:ascii="Times New Roman" w:hAnsi="Times New Roman" w:cs="Times New Roman" w:eastAsia="Times New Roman" w:hint="default"/>
        </w:rPr>
        <w:t>272,760</w:t>
      </w:r>
      <w:r>
        <w:rPr/>
        <w:t>元，减少资本公积</w:t>
      </w:r>
      <w:r>
        <w:rPr>
          <w:rFonts w:ascii="Times New Roman" w:hAnsi="Times New Roman" w:cs="Times New Roman" w:eastAsia="Times New Roman" w:hint="default"/>
        </w:rPr>
        <w:t>2,558,564.40</w:t>
      </w:r>
      <w:r>
        <w:rPr/>
        <w:t>元。</w:t>
      </w:r>
    </w:p>
    <w:p>
      <w:pPr>
        <w:pStyle w:val="BodyText"/>
        <w:spacing w:line="386" w:lineRule="auto" w:before="177"/>
        <w:ind w:left="153" w:right="0"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8"/>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w:t>
      </w:r>
      <w:r>
        <w:rPr>
          <w:rFonts w:ascii="Times New Roman" w:hAnsi="Times New Roman" w:cs="Times New Roman" w:eastAsia="Times New Roman" w:hint="default"/>
        </w:rPr>
        <w:t>2017</w:t>
      </w:r>
      <w:r>
        <w:rPr/>
        <w:t>年第四次临时股东大会决议审议通过了《关于回购注销已不符合激 </w:t>
      </w:r>
      <w:r>
        <w:rPr>
          <w:spacing w:val="-1"/>
        </w:rPr>
        <w:t>励条件的激励对象已获授但尚未解锁的限制性股票的议案》，公司回购注销</w:t>
      </w:r>
      <w:r>
        <w:rPr>
          <w:rFonts w:ascii="Times New Roman" w:hAnsi="Times New Roman" w:cs="Times New Roman" w:eastAsia="Times New Roman" w:hint="default"/>
          <w:spacing w:val="-1"/>
        </w:rPr>
        <w:t>2016</w:t>
      </w:r>
      <w:r>
        <w:rPr>
          <w:spacing w:val="-1"/>
        </w:rPr>
        <w:t>年限制性股票激励计划中</w:t>
      </w:r>
      <w:r>
        <w:rPr>
          <w:spacing w:val="-82"/>
        </w:rPr>
        <w:t> </w:t>
      </w:r>
      <w:r>
        <w:rPr/>
        <w:t>因离职原因已不符合激励条件的</w:t>
      </w:r>
      <w:r>
        <w:rPr>
          <w:rFonts w:ascii="Times New Roman" w:hAnsi="Times New Roman" w:cs="Times New Roman" w:eastAsia="Times New Roman" w:hint="default"/>
        </w:rPr>
        <w:t>9</w:t>
      </w:r>
      <w:r>
        <w:rPr/>
        <w:t>名激励对象所持有共计</w:t>
      </w:r>
      <w:r>
        <w:rPr>
          <w:rFonts w:ascii="Times New Roman" w:hAnsi="Times New Roman" w:cs="Times New Roman" w:eastAsia="Times New Roman" w:hint="default"/>
        </w:rPr>
        <w:t>239,000</w:t>
      </w:r>
      <w:r>
        <w:rPr/>
        <w:t>股股票。公司的股本由</w:t>
      </w:r>
      <w:r>
        <w:rPr>
          <w:rFonts w:ascii="Times New Roman" w:hAnsi="Times New Roman" w:cs="Times New Roman" w:eastAsia="Times New Roman" w:hint="default"/>
        </w:rPr>
        <w:t>843,529,420</w:t>
      </w:r>
      <w:r>
        <w:rPr/>
        <w:t>股减少 为</w:t>
      </w:r>
      <w:r>
        <w:rPr>
          <w:rFonts w:ascii="Times New Roman" w:hAnsi="Times New Roman" w:cs="Times New Roman" w:eastAsia="Times New Roman" w:hint="default"/>
        </w:rPr>
        <w:t>843,290,420</w:t>
      </w:r>
      <w:r>
        <w:rPr/>
        <w:t>股。公司减少股本</w:t>
      </w:r>
      <w:r>
        <w:rPr>
          <w:rFonts w:ascii="Times New Roman" w:hAnsi="Times New Roman" w:cs="Times New Roman" w:eastAsia="Times New Roman" w:hint="default"/>
        </w:rPr>
        <w:t>239,000</w:t>
      </w:r>
      <w:r>
        <w:rPr/>
        <w:t>元，减少资本公积</w:t>
      </w:r>
      <w:r>
        <w:rPr>
          <w:rFonts w:ascii="Times New Roman" w:hAnsi="Times New Roman" w:cs="Times New Roman" w:eastAsia="Times New Roman" w:hint="default"/>
        </w:rPr>
        <w:t>2,540,570.00</w:t>
      </w:r>
      <w:r>
        <w:rPr/>
        <w:t>元。</w:t>
      </w:r>
    </w:p>
    <w:p>
      <w:pPr>
        <w:pStyle w:val="BodyText"/>
        <w:spacing w:line="386" w:lineRule="auto" w:before="35"/>
        <w:ind w:left="153" w:right="0" w:firstLine="42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7"/>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2017</w:t>
      </w:r>
      <w:r>
        <w:rPr/>
        <w:t>年第五次临时股东大会决议审议通过了《关于回购注销</w:t>
      </w:r>
      <w:r>
        <w:rPr>
          <w:rFonts w:ascii="Times New Roman" w:hAnsi="Times New Roman" w:cs="Times New Roman" w:eastAsia="Times New Roman" w:hint="default"/>
        </w:rPr>
        <w:t>2016</w:t>
      </w:r>
      <w:r>
        <w:rPr/>
        <w:t>年限制 </w:t>
      </w:r>
      <w:r>
        <w:rPr>
          <w:spacing w:val="-2"/>
        </w:rPr>
        <w:t>性股票激励计划已获授但未解锁的全部限制性股票、减少公司注册资本、相应修改</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并授权董事</w:t>
      </w:r>
      <w:r>
        <w:rPr>
          <w:spacing w:val="-59"/>
        </w:rPr>
        <w:t> </w:t>
      </w:r>
      <w:r>
        <w:rPr>
          <w:spacing w:val="-1"/>
        </w:rPr>
        <w:t>会办理工商变更登记的议案》，公司回购注销</w:t>
      </w:r>
      <w:r>
        <w:rPr>
          <w:rFonts w:ascii="Times New Roman" w:hAnsi="Times New Roman" w:cs="Times New Roman" w:eastAsia="Times New Roman" w:hint="default"/>
          <w:spacing w:val="-1"/>
        </w:rPr>
        <w:t>2016</w:t>
      </w:r>
      <w:r>
        <w:rPr>
          <w:spacing w:val="-1"/>
        </w:rPr>
        <w:t>年限制性股票激励计划全部激励对象已获授但未解锁的</w:t>
      </w:r>
      <w:r>
        <w:rPr>
          <w:spacing w:val="-84"/>
        </w:rPr>
        <w:t> </w:t>
      </w:r>
      <w:r>
        <w:rPr>
          <w:spacing w:val="-84"/>
        </w:rPr>
      </w:r>
      <w:r>
        <w:rPr>
          <w:spacing w:val="-1"/>
        </w:rPr>
        <w:t>全部限制性股票，共计</w:t>
      </w:r>
      <w:r>
        <w:rPr>
          <w:rFonts w:ascii="Times New Roman" w:hAnsi="Times New Roman" w:cs="Times New Roman" w:eastAsia="Times New Roman" w:hint="default"/>
          <w:spacing w:val="-1"/>
        </w:rPr>
        <w:t>5,873,300</w:t>
      </w:r>
      <w:r>
        <w:rPr>
          <w:spacing w:val="-1"/>
        </w:rPr>
        <w:t>股股票。公司的股本由</w:t>
      </w:r>
      <w:r>
        <w:rPr>
          <w:rFonts w:ascii="Times New Roman" w:hAnsi="Times New Roman" w:cs="Times New Roman" w:eastAsia="Times New Roman" w:hint="default"/>
          <w:spacing w:val="-1"/>
        </w:rPr>
        <w:t>843,529,420</w:t>
      </w:r>
      <w:r>
        <w:rPr>
          <w:spacing w:val="-1"/>
        </w:rPr>
        <w:t>股减少为</w:t>
      </w:r>
      <w:r>
        <w:rPr>
          <w:rFonts w:ascii="Times New Roman" w:hAnsi="Times New Roman" w:cs="Times New Roman" w:eastAsia="Times New Roman" w:hint="default"/>
          <w:spacing w:val="-1"/>
        </w:rPr>
        <w:t>837,417,120</w:t>
      </w:r>
      <w:r>
        <w:rPr>
          <w:spacing w:val="-1"/>
        </w:rPr>
        <w:t>股。公司减少股本</w:t>
      </w:r>
      <w:r>
        <w:rPr>
          <w:spacing w:val="-85"/>
        </w:rPr>
        <w:t> </w:t>
      </w:r>
      <w:r>
        <w:rPr>
          <w:spacing w:val="-85"/>
        </w:rPr>
      </w:r>
      <w:r>
        <w:rPr>
          <w:rFonts w:ascii="Times New Roman" w:hAnsi="Times New Roman" w:cs="Times New Roman" w:eastAsia="Times New Roman" w:hint="default"/>
        </w:rPr>
        <w:t>5,873,300</w:t>
      </w:r>
      <w:r>
        <w:rPr/>
        <w:t>元，减少资本公积</w:t>
      </w:r>
      <w:r>
        <w:rPr>
          <w:rFonts w:ascii="Times New Roman" w:hAnsi="Times New Roman" w:cs="Times New Roman" w:eastAsia="Times New Roman" w:hint="default"/>
        </w:rPr>
        <w:t>62,433,179</w:t>
      </w:r>
      <w:r>
        <w:rPr/>
        <w:t>元。</w:t>
      </w:r>
    </w:p>
    <w:p>
      <w:pPr>
        <w:pStyle w:val="BodyText"/>
        <w:spacing w:line="386" w:lineRule="auto" w:before="35"/>
        <w:ind w:right="148" w:firstLine="42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w:t>
      </w:r>
      <w:r>
        <w:rPr>
          <w:rFonts w:ascii="Times New Roman" w:hAnsi="Times New Roman" w:cs="Times New Roman" w:eastAsia="Times New Roman" w:hint="default"/>
        </w:rPr>
        <w:t>2017</w:t>
      </w:r>
      <w:r>
        <w:rPr/>
        <w:t>年第七次临时股东大会审议通过了《关于众信旅游集团股份有限公 </w:t>
      </w:r>
      <w:r>
        <w:rPr>
          <w:spacing w:val="-1"/>
        </w:rPr>
        <w:t>司</w:t>
      </w:r>
      <w:r>
        <w:rPr>
          <w:rFonts w:ascii="Times New Roman" w:hAnsi="Times New Roman" w:cs="Times New Roman" w:eastAsia="Times New Roman" w:hint="default"/>
          <w:spacing w:val="-1"/>
        </w:rPr>
        <w:t>2017</w:t>
      </w:r>
      <w:r>
        <w:rPr>
          <w:spacing w:val="-1"/>
        </w:rPr>
        <w:t>年限制性股票激励计划（草案）</w:t>
      </w:r>
      <w:r>
        <w:rPr>
          <w:rFonts w:ascii="Times New Roman" w:hAnsi="Times New Roman" w:cs="Times New Roman" w:eastAsia="Times New Roman" w:hint="default"/>
          <w:spacing w:val="-1"/>
        </w:rPr>
        <w:t>&gt;</w:t>
      </w:r>
      <w:r>
        <w:rPr>
          <w:spacing w:val="-1"/>
        </w:rPr>
        <w:t>及其摘要的议案》，</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日，经公司第三届董事会第六十</w:t>
      </w:r>
      <w:r>
        <w:rPr>
          <w:spacing w:val="-99"/>
        </w:rPr>
        <w:t> </w:t>
      </w:r>
      <w:r>
        <w:rPr>
          <w:spacing w:val="-99"/>
        </w:rPr>
      </w:r>
      <w:r>
        <w:rPr/>
        <w:t>八次会议审议通过的《关于向激励对象授予限制性股票的议案》，本次激励授予对象为</w:t>
      </w:r>
      <w:r>
        <w:rPr>
          <w:rFonts w:ascii="Times New Roman" w:hAnsi="Times New Roman" w:cs="Times New Roman" w:eastAsia="Times New Roman" w:hint="default"/>
        </w:rPr>
        <w:t>393</w:t>
      </w:r>
      <w:r>
        <w:rPr/>
        <w:t>名，对应授予</w:t>
      </w:r>
    </w:p>
    <w:p>
      <w:pPr>
        <w:pStyle w:val="BodyText"/>
        <w:spacing w:line="386" w:lineRule="auto" w:before="35"/>
        <w:ind w:right="209"/>
        <w:jc w:val="left"/>
      </w:pPr>
      <w:r>
        <w:rPr/>
        <w:t>（即首次授予）限制性股票数量为</w:t>
      </w:r>
      <w:r>
        <w:rPr>
          <w:rFonts w:ascii="Times New Roman" w:hAnsi="Times New Roman" w:cs="Times New Roman" w:eastAsia="Times New Roman" w:hint="default"/>
        </w:rPr>
        <w:t>13,000,000</w:t>
      </w:r>
      <w:r>
        <w:rPr/>
        <w:t>股，授予价格为</w:t>
      </w:r>
      <w:r>
        <w:rPr>
          <w:rFonts w:ascii="Times New Roman" w:hAnsi="Times New Roman" w:cs="Times New Roman" w:eastAsia="Times New Roman" w:hint="default"/>
        </w:rPr>
        <w:t>6.50</w:t>
      </w:r>
      <w:r>
        <w:rPr/>
        <w:t>元</w:t>
      </w:r>
      <w:r>
        <w:rPr>
          <w:rFonts w:ascii="Times New Roman" w:hAnsi="Times New Roman" w:cs="Times New Roman" w:eastAsia="Times New Roman" w:hint="default"/>
        </w:rPr>
        <w:t>/</w:t>
      </w:r>
      <w:r>
        <w:rPr/>
        <w:t>股。公司实际向激励对象定向发行限 制性股票新增股</w:t>
      </w:r>
      <w:r>
        <w:rPr>
          <w:rFonts w:ascii="Times New Roman" w:hAnsi="Times New Roman" w:cs="Times New Roman" w:eastAsia="Times New Roman" w:hint="default"/>
        </w:rPr>
        <w:t>12,643,700</w:t>
      </w:r>
      <w:r>
        <w:rPr/>
        <w:t>股，募集资金</w:t>
      </w:r>
      <w:r>
        <w:rPr>
          <w:rFonts w:ascii="Times New Roman" w:hAnsi="Times New Roman" w:cs="Times New Roman" w:eastAsia="Times New Roman" w:hint="default"/>
        </w:rPr>
        <w:t>82,184,050.00</w:t>
      </w:r>
      <w:r>
        <w:rPr/>
        <w:t>元，其中增加股本</w:t>
      </w:r>
      <w:r>
        <w:rPr>
          <w:rFonts w:ascii="Times New Roman" w:hAnsi="Times New Roman" w:cs="Times New Roman" w:eastAsia="Times New Roman" w:hint="default"/>
        </w:rPr>
        <w:t>12,643,700.00</w:t>
      </w:r>
      <w:r>
        <w:rPr/>
        <w:t>元，增加资本公积 </w:t>
      </w:r>
      <w:r>
        <w:rPr>
          <w:rFonts w:ascii="Times New Roman" w:hAnsi="Times New Roman" w:cs="Times New Roman" w:eastAsia="Times New Roman" w:hint="default"/>
        </w:rPr>
        <w:t>69,540,350.00</w:t>
      </w:r>
      <w:r>
        <w:rPr/>
        <w:t>元。</w:t>
      </w: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30</w:t>
      </w:r>
      <w:r>
        <w:rPr/>
        <w:t>、其他权益工具</w:t>
      </w:r>
      <w:r>
        <w:rPr>
          <w:b w:val="0"/>
          <w:bCs w:val="0"/>
        </w:rPr>
      </w:r>
    </w:p>
    <w:p>
      <w:pPr>
        <w:spacing w:line="690" w:lineRule="exact" w:before="15"/>
        <w:ind w:left="573" w:right="13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b/>
          <w:bCs/>
          <w:w w:val="99"/>
          <w:sz w:val="21"/>
          <w:szCs w:val="21"/>
        </w:rPr>
        <w:t> </w:t>
      </w: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[2017]1973 </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号《关于核准众信旅游集团股份有限公司公开发行可</w:t>
      </w:r>
    </w:p>
    <w:p>
      <w:pPr>
        <w:pStyle w:val="BodyText"/>
        <w:spacing w:line="386" w:lineRule="auto" w:before="84"/>
        <w:ind w:left="153" w:right="169" w:hanging="1"/>
        <w:jc w:val="both"/>
      </w:pPr>
      <w:r>
        <w:rPr/>
        <w:t>转换公司债券的批复》核准，经深交所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rFonts w:ascii="Times New Roman" w:hAnsi="Times New Roman" w:cs="Times New Roman" w:eastAsia="Times New Roman" w:hint="default"/>
        </w:rPr>
        <w:t>838</w:t>
      </w:r>
      <w:r>
        <w:rPr/>
        <w:t>号</w:t>
      </w:r>
      <w:r>
        <w:rPr>
          <w:rFonts w:ascii="Times New Roman" w:hAnsi="Times New Roman" w:cs="Times New Roman" w:eastAsia="Times New Roman" w:hint="default"/>
        </w:rPr>
        <w:t>”</w:t>
      </w:r>
      <w:r>
        <w:rPr/>
        <w:t>同意，公司向社会公开发行面值总额</w:t>
      </w:r>
      <w:r>
        <w:rPr>
          <w:rFonts w:ascii="Times New Roman" w:hAnsi="Times New Roman" w:cs="Times New Roman" w:eastAsia="Times New Roman" w:hint="default"/>
        </w:rPr>
        <w:t>7</w:t>
      </w:r>
      <w:r>
        <w:rPr/>
        <w:t>亿元的 可转换公司债券，每张债券面值为人民币</w:t>
      </w:r>
      <w:r>
        <w:rPr>
          <w:rFonts w:ascii="Times New Roman" w:hAnsi="Times New Roman" w:cs="Times New Roman" w:eastAsia="Times New Roman" w:hint="default"/>
        </w:rPr>
        <w:t>100</w:t>
      </w:r>
      <w:r>
        <w:rPr/>
        <w:t>元，按面值发行。该可转换公司债券于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日起在 深交所挂牌交易（债券简称：众信转债，债券代码：</w:t>
      </w:r>
      <w:r>
        <w:rPr>
          <w:rFonts w:ascii="Times New Roman" w:hAnsi="Times New Roman" w:cs="Times New Roman" w:eastAsia="Times New Roman" w:hint="default"/>
        </w:rPr>
        <w:t>128022</w:t>
      </w:r>
      <w:r>
        <w:rPr/>
        <w:t>）。</w:t>
      </w: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可转换公司</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center"/>
              <w:rPr>
                <w:rFonts w:ascii="Times New Roman" w:hAnsi="Times New Roman" w:cs="Times New Roman" w:eastAsia="Times New Roman" w:hint="default"/>
                <w:sz w:val="18"/>
                <w:szCs w:val="18"/>
              </w:rPr>
            </w:pPr>
            <w:r>
              <w:rPr>
                <w:rFonts w:ascii="Times New Roman"/>
                <w:sz w:val="18"/>
              </w:rPr>
              <w:t>700,000,000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center"/>
              <w:rPr>
                <w:rFonts w:ascii="Times New Roman" w:hAnsi="Times New Roman" w:cs="Times New Roman" w:eastAsia="Times New Roman" w:hint="default"/>
                <w:sz w:val="18"/>
                <w:szCs w:val="18"/>
              </w:rPr>
            </w:pPr>
            <w:r>
              <w:rPr>
                <w:rFonts w:ascii="Times New Roman"/>
                <w:sz w:val="18"/>
              </w:rPr>
              <w:t>157,880,395.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700,000,000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center"/>
              <w:rPr>
                <w:rFonts w:ascii="Times New Roman" w:hAnsi="Times New Roman" w:cs="Times New Roman" w:eastAsia="Times New Roman" w:hint="default"/>
                <w:sz w:val="18"/>
                <w:szCs w:val="18"/>
              </w:rPr>
            </w:pPr>
            <w:r>
              <w:rPr>
                <w:rFonts w:ascii="Times New Roman"/>
                <w:sz w:val="18"/>
              </w:rPr>
              <w:t>157,880,395.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5"/>
        <w:gridCol w:w="1067"/>
        <w:gridCol w:w="1063"/>
        <w:gridCol w:w="1062"/>
        <w:gridCol w:w="1063"/>
        <w:gridCol w:w="1062"/>
        <w:gridCol w:w="1062"/>
        <w:gridCol w:w="1062"/>
        <w:gridCol w:w="1062"/>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157,880,395.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700,000,000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157,880,395.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364,038,487.20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122,269,852.46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76,908,202.14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409,400,137.52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31,537,113.80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5,407,502.57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32,152,313.08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4,792,303.29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395,575,601.00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127,677,355.03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109,060,515.22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414,192,440.81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2"/>
          <w:szCs w:val="12"/>
        </w:rPr>
      </w:pPr>
    </w:p>
    <w:p>
      <w:pPr>
        <w:pStyle w:val="BodyText"/>
        <w:spacing w:line="386" w:lineRule="auto" w:before="0"/>
        <w:ind w:right="151" w:firstLine="419"/>
        <w:jc w:val="left"/>
      </w:pPr>
      <w:r>
        <w:rPr>
          <w:rFonts w:ascii="Times New Roman" w:hAnsi="Times New Roman" w:cs="Times New Roman" w:eastAsia="Times New Roman" w:hint="default"/>
        </w:rPr>
        <w:t>1</w:t>
      </w:r>
      <w:r>
        <w:rPr/>
        <w:t>、本期</w:t>
      </w:r>
      <w:r>
        <w:rPr>
          <w:rFonts w:ascii="Times New Roman" w:hAnsi="Times New Roman" w:cs="Times New Roman" w:eastAsia="Times New Roman" w:hint="default"/>
        </w:rPr>
        <w:t>2014</w:t>
      </w:r>
      <w:r>
        <w:rPr/>
        <w:t>年首次授予的限制性股票第三期及预留部分授予的限制性股票第二期解锁条件成就，资 本公积</w:t>
      </w:r>
      <w:r>
        <w:rPr>
          <w:rFonts w:ascii="Times New Roman" w:hAnsi="Times New Roman" w:cs="Times New Roman" w:eastAsia="Times New Roman" w:hint="default"/>
        </w:rPr>
        <w:t>-</w:t>
      </w:r>
      <w:r>
        <w:rPr/>
        <w:t>股本溢价增加</w:t>
      </w:r>
      <w:r>
        <w:rPr>
          <w:rFonts w:ascii="Times New Roman" w:hAnsi="Times New Roman" w:cs="Times New Roman" w:eastAsia="Times New Roman" w:hint="default"/>
        </w:rPr>
        <w:t>5,666,137.20</w:t>
      </w:r>
      <w:r>
        <w:rPr/>
        <w:t>元，资本公积</w:t>
      </w:r>
      <w:r>
        <w:rPr>
          <w:rFonts w:ascii="Times New Roman" w:hAnsi="Times New Roman" w:cs="Times New Roman" w:eastAsia="Times New Roman" w:hint="default"/>
        </w:rPr>
        <w:t>-</w:t>
      </w:r>
      <w:r>
        <w:rPr/>
        <w:t>其他资本公积减少</w:t>
      </w:r>
      <w:r>
        <w:rPr>
          <w:rFonts w:ascii="Times New Roman" w:hAnsi="Times New Roman" w:cs="Times New Roman" w:eastAsia="Times New Roman" w:hint="default"/>
        </w:rPr>
        <w:t>5,666,137.20</w:t>
      </w:r>
      <w:r>
        <w:rPr/>
        <w:t>元； </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年限制性股票激 励计划首次授予的限制性股票授予的限制性股票第二期解锁条件成就，资本公积</w:t>
      </w:r>
      <w:r>
        <w:rPr>
          <w:rFonts w:ascii="Times New Roman" w:hAnsi="Times New Roman" w:cs="Times New Roman" w:eastAsia="Times New Roman" w:hint="default"/>
        </w:rPr>
        <w:t>-</w:t>
      </w:r>
      <w:r>
        <w:rPr/>
        <w:t>股本溢价增加 </w:t>
      </w:r>
      <w:r>
        <w:rPr>
          <w:rFonts w:ascii="Times New Roman" w:hAnsi="Times New Roman" w:cs="Times New Roman" w:eastAsia="Times New Roman" w:hint="default"/>
        </w:rPr>
        <w:t>26,486,175.88</w:t>
      </w:r>
      <w:r>
        <w:rPr/>
        <w:t>元，资本公积</w:t>
      </w:r>
      <w:r>
        <w:rPr>
          <w:rFonts w:ascii="Times New Roman" w:hAnsi="Times New Roman" w:cs="Times New Roman" w:eastAsia="Times New Roman" w:hint="default"/>
        </w:rPr>
        <w:t>-</w:t>
      </w:r>
      <w:r>
        <w:rPr/>
        <w:t>其他资本公积减少</w:t>
      </w:r>
      <w:r>
        <w:rPr>
          <w:rFonts w:ascii="Times New Roman" w:hAnsi="Times New Roman" w:cs="Times New Roman" w:eastAsia="Times New Roman" w:hint="default"/>
        </w:rPr>
        <w:t>26,486,175.88</w:t>
      </w:r>
      <w:r>
        <w:rPr/>
        <w:t>元；本年终止</w:t>
      </w:r>
      <w:r>
        <w:rPr>
          <w:rFonts w:ascii="Times New Roman" w:hAnsi="Times New Roman" w:cs="Times New Roman" w:eastAsia="Times New Roman" w:hint="default"/>
        </w:rPr>
        <w:t>2016</w:t>
      </w:r>
      <w:r>
        <w:rPr/>
        <w:t>年限制性股票激励计划，确 </w:t>
      </w:r>
      <w:r>
        <w:rPr>
          <w:spacing w:val="-1"/>
        </w:rPr>
        <w:t>认加速行权费，资本公积</w:t>
      </w:r>
      <w:r>
        <w:rPr>
          <w:rFonts w:ascii="Times New Roman" w:hAnsi="Times New Roman" w:cs="Times New Roman" w:eastAsia="Times New Roman" w:hint="default"/>
          <w:spacing w:val="-1"/>
        </w:rPr>
        <w:t>-</w:t>
      </w:r>
      <w:r>
        <w:rPr>
          <w:spacing w:val="-1"/>
        </w:rPr>
        <w:t>股本溢价增加</w:t>
      </w:r>
      <w:r>
        <w:rPr>
          <w:rFonts w:ascii="Times New Roman" w:hAnsi="Times New Roman" w:cs="Times New Roman" w:eastAsia="Times New Roman" w:hint="default"/>
          <w:spacing w:val="-1"/>
        </w:rPr>
        <w:t>20,577,189.38</w:t>
      </w:r>
      <w:r>
        <w:rPr>
          <w:spacing w:val="-1"/>
        </w:rPr>
        <w:t>元。其他资本公积本年增加系确认的限制性股票激励</w:t>
      </w:r>
      <w:r>
        <w:rPr>
          <w:spacing w:val="-101"/>
        </w:rPr>
        <w:t> </w:t>
      </w:r>
      <w:r>
        <w:rPr>
          <w:spacing w:val="-101"/>
        </w:rPr>
      </w:r>
      <w:r>
        <w:rPr/>
        <w:t>费用</w:t>
      </w:r>
      <w:r>
        <w:rPr>
          <w:rFonts w:ascii="Times New Roman" w:hAnsi="Times New Roman" w:cs="Times New Roman" w:eastAsia="Times New Roman" w:hint="default"/>
        </w:rPr>
        <w:t>5,407,502.57</w:t>
      </w:r>
      <w:r>
        <w:rPr/>
        <w:t>元。</w:t>
      </w:r>
    </w:p>
    <w:p>
      <w:pPr>
        <w:pStyle w:val="BodyText"/>
        <w:spacing w:line="386" w:lineRule="auto" w:before="35"/>
        <w:ind w:right="162" w:firstLine="420"/>
        <w:jc w:val="left"/>
      </w:pPr>
      <w:r>
        <w:rPr>
          <w:rFonts w:ascii="Times New Roman" w:hAnsi="Times New Roman" w:cs="Times New Roman" w:eastAsia="Times New Roman" w:hint="default"/>
        </w:rPr>
        <w:t>2</w:t>
      </w:r>
      <w:r>
        <w:rPr/>
        <w:t>、本期公司因购买子公司部分股权，共冲减资本公积</w:t>
      </w:r>
      <w:r>
        <w:rPr>
          <w:rFonts w:ascii="Times New Roman" w:hAnsi="Times New Roman" w:cs="Times New Roman" w:eastAsia="Times New Roman" w:hint="default"/>
        </w:rPr>
        <w:t>9,375,888.74</w:t>
      </w:r>
      <w:r>
        <w:rPr/>
        <w:t>元。详见附注七、在其他主体中的 权利</w:t>
      </w:r>
      <w:r>
        <w:rPr>
          <w:rFonts w:ascii="Times New Roman" w:hAnsi="Times New Roman" w:cs="Times New Roman" w:eastAsia="Times New Roman" w:hint="default"/>
        </w:rPr>
        <w:t>2</w:t>
      </w:r>
      <w:r>
        <w:rPr/>
        <w:t>、在子公司的所有者权益份额发生变化且仍控制子公司的交易。</w:t>
      </w:r>
    </w:p>
    <w:p>
      <w:pPr>
        <w:pStyle w:val="BodyText"/>
        <w:spacing w:line="240" w:lineRule="auto" w:before="35"/>
        <w:ind w:left="574" w:right="0"/>
        <w:jc w:val="left"/>
      </w:pPr>
      <w:r>
        <w:rPr>
          <w:rFonts w:ascii="Times New Roman" w:hAnsi="Times New Roman" w:cs="Times New Roman" w:eastAsia="Times New Roman" w:hint="default"/>
        </w:rPr>
        <w:t>3</w:t>
      </w:r>
      <w:r>
        <w:rPr/>
        <w:t>、资本公积本期其他变化详见附注七、</w:t>
      </w:r>
      <w:r>
        <w:rPr>
          <w:rFonts w:ascii="Times New Roman" w:hAnsi="Times New Roman" w:cs="Times New Roman" w:eastAsia="Times New Roman" w:hint="default"/>
        </w:rPr>
        <w:t>29</w:t>
      </w:r>
      <w:r>
        <w:rPr/>
        <w:t>、股本。</w:t>
      </w:r>
    </w:p>
    <w:p>
      <w:pPr>
        <w:spacing w:line="240" w:lineRule="auto" w:before="8"/>
        <w:rPr>
          <w:rFonts w:ascii="宋体" w:hAnsi="宋体" w:cs="宋体" w:eastAsia="宋体" w:hint="default"/>
          <w:sz w:val="30"/>
          <w:szCs w:val="30"/>
        </w:rPr>
      </w:pPr>
    </w:p>
    <w:p>
      <w:pPr>
        <w:pStyle w:val="Heading6"/>
        <w:spacing w:line="240" w:lineRule="auto"/>
        <w:ind w:right="0"/>
        <w:jc w:val="left"/>
        <w:rPr>
          <w:b w:val="0"/>
          <w:bCs w:val="0"/>
        </w:rPr>
      </w:pPr>
      <w:r>
        <w:rPr>
          <w:rFonts w:ascii="Times New Roman" w:hAnsi="Times New Roman" w:cs="Times New Roman" w:eastAsia="Times New Roman" w:hint="default"/>
        </w:rPr>
        <w:t>32</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121,662,406.00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82,184,050.00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121,662,406.00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82,184,050.00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121,662,406.00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82,184,050.00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121,662,406.00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82,184,050.00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240" w:lineRule="auto" w:before="0"/>
        <w:ind w:left="574" w:right="0"/>
        <w:jc w:val="left"/>
      </w:pPr>
      <w:r>
        <w:rPr>
          <w:rFonts w:ascii="Times New Roman" w:hAnsi="Times New Roman" w:cs="Times New Roman" w:eastAsia="Times New Roman" w:hint="default"/>
        </w:rPr>
        <w:t>1</w:t>
      </w:r>
      <w:r>
        <w:rPr/>
        <w:t>、库存股本期增加</w:t>
      </w:r>
      <w:r>
        <w:rPr>
          <w:rFonts w:ascii="Times New Roman" w:hAnsi="Times New Roman" w:cs="Times New Roman" w:eastAsia="Times New Roman" w:hint="default"/>
        </w:rPr>
        <w:t>82,184,050.00</w:t>
      </w:r>
      <w:r>
        <w:rPr/>
        <w:t>元系公司实施</w:t>
      </w:r>
      <w:r>
        <w:rPr>
          <w:rFonts w:ascii="Times New Roman" w:hAnsi="Times New Roman" w:cs="Times New Roman" w:eastAsia="Times New Roman" w:hint="default"/>
        </w:rPr>
        <w:t>2017</w:t>
      </w:r>
      <w:r>
        <w:rPr/>
        <w:t>年限制性股票激励计划按照发行限制性股票的数量</w:t>
      </w:r>
    </w:p>
    <w:p>
      <w:pPr>
        <w:pStyle w:val="BodyText"/>
        <w:spacing w:line="240" w:lineRule="auto" w:before="177"/>
        <w:ind w:right="0"/>
        <w:jc w:val="left"/>
      </w:pPr>
      <w:r>
        <w:rPr/>
        <w:t>（</w:t>
      </w:r>
      <w:r>
        <w:rPr>
          <w:rFonts w:ascii="Times New Roman" w:hAnsi="Times New Roman" w:cs="Times New Roman" w:eastAsia="Times New Roman" w:hint="default"/>
        </w:rPr>
        <w:t>12,643,700</w:t>
      </w:r>
      <w:r>
        <w:rPr/>
        <w:t>股）以及相应的回购价格（</w:t>
      </w:r>
      <w:r>
        <w:rPr>
          <w:rFonts w:ascii="Times New Roman" w:hAnsi="Times New Roman" w:cs="Times New Roman" w:eastAsia="Times New Roman" w:hint="default"/>
        </w:rPr>
        <w:t>6.50</w:t>
      </w:r>
      <w:r>
        <w:rPr/>
        <w:t>元</w:t>
      </w:r>
      <w:r>
        <w:rPr>
          <w:rFonts w:ascii="Times New Roman" w:hAnsi="Times New Roman" w:cs="Times New Roman" w:eastAsia="Times New Roman" w:hint="default"/>
        </w:rPr>
        <w:t>/</w:t>
      </w:r>
      <w:r>
        <w:rPr/>
        <w:t>股）计算确定的金额。</w:t>
      </w:r>
    </w:p>
    <w:p>
      <w:pPr>
        <w:pStyle w:val="BodyText"/>
        <w:spacing w:line="386" w:lineRule="auto" w:before="177"/>
        <w:ind w:right="0" w:firstLine="420"/>
        <w:jc w:val="left"/>
      </w:pPr>
      <w:r>
        <w:rPr>
          <w:rFonts w:ascii="Times New Roman" w:hAnsi="Times New Roman" w:cs="Times New Roman" w:eastAsia="Times New Roman" w:hint="default"/>
          <w:spacing w:val="-1"/>
        </w:rPr>
        <w:t>2</w:t>
      </w:r>
      <w:r>
        <w:rPr>
          <w:spacing w:val="-1"/>
        </w:rPr>
        <w:t>、库存股本期减少</w:t>
      </w:r>
      <w:r>
        <w:rPr>
          <w:rFonts w:ascii="Times New Roman" w:hAnsi="Times New Roman" w:cs="Times New Roman" w:eastAsia="Times New Roman" w:hint="default"/>
          <w:spacing w:val="-1"/>
        </w:rPr>
        <w:t>121,662,406.00</w:t>
      </w:r>
      <w:r>
        <w:rPr>
          <w:spacing w:val="-1"/>
        </w:rPr>
        <w:t>元系公司</w:t>
      </w:r>
      <w:r>
        <w:rPr>
          <w:rFonts w:ascii="Times New Roman" w:hAnsi="Times New Roman" w:cs="Times New Roman" w:eastAsia="Times New Roman" w:hint="default"/>
          <w:spacing w:val="-1"/>
        </w:rPr>
        <w:t>2014</w:t>
      </w:r>
      <w:r>
        <w:rPr>
          <w:spacing w:val="-1"/>
        </w:rPr>
        <w:t>年及</w:t>
      </w:r>
      <w:r>
        <w:rPr>
          <w:rFonts w:ascii="Times New Roman" w:hAnsi="Times New Roman" w:cs="Times New Roman" w:eastAsia="Times New Roman" w:hint="default"/>
          <w:spacing w:val="-1"/>
        </w:rPr>
        <w:t>2016</w:t>
      </w:r>
      <w:r>
        <w:rPr>
          <w:spacing w:val="-1"/>
        </w:rPr>
        <w:t>年限制性股票激励计划完成或终止而减少的</w:t>
      </w:r>
      <w:r>
        <w:rPr/>
        <w:t> 回购义务。</w:t>
      </w:r>
    </w:p>
    <w:p>
      <w:pPr>
        <w:spacing w:after="0" w:line="386"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6"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69" w:type="dxa"/>
            <w:vMerge/>
            <w:tcBorders>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right w:val="single" w:sz="4" w:space="0" w:color="000000"/>
            </w:tcBorders>
            <w:shd w:val="clear" w:color="auto" w:fill="D3D3D3"/>
          </w:tcPr>
          <w:p>
            <w:pP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r>
      <w:tr>
        <w:trPr>
          <w:trHeight w:val="517"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367,644.88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160,595.93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-240,630.96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401,226.89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127,013.9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288,064.69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-478,781.34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-406,964.06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-71,817.28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r>
      <w:tr>
        <w:trPr>
          <w:trHeight w:val="162"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79,580.19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639,377.27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166,333.10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473,044.17</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245,913.2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367,644.88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160,595.93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-240,630.96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401,226.89</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127,013.9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394,400.31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50,011,591.46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49,617,191.15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394,400.31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50,011,591.46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633,305,321.85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443,137,394.83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633,305,321.85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443,137,394.83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232,624,021.32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214,864,942.83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394,400.31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3,368,345.05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21,088,235.50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20,874,229.50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454,441.26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844,446,707.36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633,305,321.85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Narrow" w:hAnsi="Arial Narrow" w:cs="Arial Narrow" w:eastAsia="Arial Narrow" w:hint="default"/>
                <w:sz w:val="18"/>
                <w:szCs w:val="18"/>
              </w:rPr>
            </w:pPr>
            <w:r>
              <w:rPr>
                <w:rFonts w:ascii="Arial Narrow"/>
                <w:spacing w:val="-1"/>
                <w:sz w:val="18"/>
              </w:rPr>
              <w:t>12,028,073,074.47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10,839,961,812.50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10,089,455,672.88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9,048,017,215.66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Narrow" w:hAnsi="Arial Narrow" w:cs="Arial Narrow" w:eastAsia="Arial Narrow" w:hint="default"/>
                <w:sz w:val="18"/>
                <w:szCs w:val="18"/>
              </w:rPr>
            </w:pPr>
            <w:r>
              <w:rPr>
                <w:rFonts w:ascii="Arial Narrow"/>
                <w:spacing w:val="-1"/>
                <w:sz w:val="18"/>
              </w:rPr>
              <w:t>1,680,534.36</w:t>
            </w:r>
            <w:r>
              <w:rPr>
                <w:rFonts w:ascii="Arial Narrow"/>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3,072,398.19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12,029,753,608.83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10,839,961,812.50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10,092,528,071.07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9,048,017,215.66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37</w:t>
      </w:r>
      <w:r>
        <w:rPr/>
        <w:t>、</w:t>
      </w:r>
      <w:r>
        <w:rPr>
          <w:spacing w:val="-4"/>
        </w:rPr>
        <w:t> </w:t>
      </w:r>
      <w:r>
        <w:rPr/>
        <w:t>利息收入</w:t>
      </w:r>
      <w:r>
        <w:rPr>
          <w:b w:val="0"/>
          <w:bCs w:val="0"/>
        </w:rPr>
      </w:r>
    </w:p>
    <w:p>
      <w:pPr>
        <w:spacing w:line="240" w:lineRule="auto" w:before="6"/>
        <w:rPr>
          <w:rFonts w:ascii="宋体" w:hAnsi="宋体" w:cs="宋体" w:eastAsia="宋体" w:hint="default"/>
          <w:b/>
          <w:bCs/>
          <w:sz w:val="26"/>
          <w:szCs w:val="26"/>
        </w:rPr>
      </w:pPr>
    </w:p>
    <w:tbl>
      <w:tblPr>
        <w:tblW w:w="0" w:type="auto"/>
        <w:jc w:val="left"/>
        <w:tblInd w:w="139" w:type="dxa"/>
        <w:tblLayout w:type="fixed"/>
        <w:tblCellMar>
          <w:top w:w="0" w:type="dxa"/>
          <w:left w:w="0" w:type="dxa"/>
          <w:bottom w:w="0" w:type="dxa"/>
          <w:right w:w="0" w:type="dxa"/>
        </w:tblCellMar>
        <w:tblLook w:val="01E0"/>
      </w:tblPr>
      <w:tblGrid>
        <w:gridCol w:w="3986"/>
        <w:gridCol w:w="2831"/>
        <w:gridCol w:w="2840"/>
      </w:tblGrid>
      <w:tr>
        <w:trPr>
          <w:trHeight w:val="332" w:hRule="exact"/>
        </w:trPr>
        <w:tc>
          <w:tcPr>
            <w:tcW w:w="39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39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发放贷款及垫款利息</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17,589,147.58</w:t>
            </w:r>
          </w:p>
        </w:tc>
        <w:tc>
          <w:tcPr>
            <w:tcW w:w="28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11,470,563.03</w:t>
            </w:r>
          </w:p>
        </w:tc>
      </w:tr>
      <w:tr>
        <w:trPr>
          <w:trHeight w:val="34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保理融资利息</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638,079.83</w:t>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18,227,227.41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11,470,563.03</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1,810,578.50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2,368,708.30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915,618.08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1,145,937.94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398,297.10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163,666.18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11,005,480.49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654,690.98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1,822,362.48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3,779,184.66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16,506,155.39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376,847,703.82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307,077,322.08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57,295,357.64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60,643,603.80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99,014,727.39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68,658,684.78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65,994,896.50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49,977,461.75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24,375,398.82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18,075,996.93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18,334,214.74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14,734,477.18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6,055,118.60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6,017,243.28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7,844,411.99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7,837,762.57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19,544,373.63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9,340,424.02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4,616,703.52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5,136,601.43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679,922,906.65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547,499,577.82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67,210,139.41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62,313,220.65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11,279,751.92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11,891,975.03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8,187,735.91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7,168,785.08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17,035,664.56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10,678,019.78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中介及咨询机构费用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3,831,989.53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5,940,136.63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4,276,192.24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4,519,658.75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6,099,093.35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7,996,109.32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3,654,969.57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5,911,698.05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32,843,755.08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31,409,869.89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6,455,419.15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4,791,678.21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160,874,710.72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152,621,151.39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34,374,571.13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35,546,982.18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10,241,727.50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6,840,622.63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-33,796,900.80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-24,503,547.63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12,870,185.19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11,165,694.87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3,206,128.02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15,368,506.79</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18,313,636.97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15,041,680.86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265,177.95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4,320,654.08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1,209,524.03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22,634,291.05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16,516,382.84</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8,690,231.13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5,806,059.22</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287,239.05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2,653,604.00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11,631,074.18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5,806,059.22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44</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4,002,862.28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4,002,862.28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245,005.80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723,441.44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245,005.80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4,247,868.08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5,233,441.44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4,247,868.08</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3,595,000.00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5" w:right="0"/>
              <w:jc w:val="left"/>
              <w:rPr>
                <w:rFonts w:ascii="Times New Roman" w:hAnsi="Times New Roman" w:cs="Times New Roman" w:eastAsia="Times New Roman" w:hint="default"/>
                <w:sz w:val="18"/>
                <w:szCs w:val="18"/>
              </w:rPr>
            </w:pPr>
            <w:r>
              <w:rPr>
                <w:rFonts w:ascii="Times New Roman"/>
                <w:sz w:val="18"/>
              </w:rPr>
              <w:t>3,210,000.00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131"/>
              <w:jc w:val="left"/>
              <w:rPr>
                <w:rFonts w:ascii="宋体" w:hAnsi="宋体" w:cs="宋体" w:eastAsia="宋体" w:hint="default"/>
                <w:sz w:val="18"/>
                <w:szCs w:val="18"/>
              </w:rPr>
            </w:pPr>
            <w:r>
              <w:rPr>
                <w:rFonts w:ascii="宋体" w:hAnsi="宋体" w:cs="宋体" w:eastAsia="宋体" w:hint="default"/>
                <w:sz w:val="18"/>
                <w:szCs w:val="18"/>
              </w:rPr>
              <w:t>风险补偿收 入</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111,317.28</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7"/>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互联网小贷 补贴</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296,545.00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7"/>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股转公司挂 牌奖励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4,002,862.28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45</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220,411.06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264,351.22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364,470.58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264,351.22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612,115.77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4,011.18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886,566.99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588,892.82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264,351.22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46</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88,802,248.75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84,895,282.16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-16,003,951.00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-12,456,579.70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72,798,297.75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72,438,702.46</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352,594,177.91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88,148,544.48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-7,850,191.57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273,093.22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1,094,336.82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182,260.81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-432,977.91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-8,616,768.10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72,798,297.75</w:t>
            </w:r>
          </w:p>
        </w:tc>
      </w:tr>
    </w:tbl>
    <w:p>
      <w:pPr>
        <w:spacing w:line="240" w:lineRule="auto" w:before="2"/>
        <w:rPr>
          <w:rFonts w:ascii="宋体" w:hAnsi="宋体" w:cs="宋体" w:eastAsia="宋体" w:hint="default"/>
          <w:sz w:val="19"/>
          <w:szCs w:val="19"/>
        </w:rPr>
      </w:pPr>
    </w:p>
    <w:p>
      <w:pPr>
        <w:spacing w:line="547" w:lineRule="auto" w:before="35"/>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6"/>
        <w:spacing w:line="240" w:lineRule="auto" w:before="25"/>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29,136,603.78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57,889,060.43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4,002,862.28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10,241,727.50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6,840,622.63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7,593,666.30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10,250,668.86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50,974,859.86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79,490,351.92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机票及其他押金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53,343,234.33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167,297,666.63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广告、设计费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54,102,998.49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57,968,638.05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签证暂借款及其他备用金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23,665,657.12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29,306,647.30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99,317,138.94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100,532,121.80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80,906,882.97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63,187,715.08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32,749,457.43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22,417,148.17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会议及招待费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21,830,692.40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21,571,786.73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5,516,042.46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18,612,855.99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190.140594pt;margin-top:463.920013pt;width:185.55pt;height:19.650pt;mso-position-horizontal-relative:page;mso-position-vertical-relative:page;z-index:-10908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40594pt;margin-top:484.019989pt;width:185.55pt;height:19.650pt;mso-position-horizontal-relative:page;mso-position-vertical-relative:page;z-index:-10908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保理融资款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18,334,214.74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15,017,588.43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20,085,616.04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21,653,366.23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649,851,934.92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517,565,534.41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279,795,880.16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245,481,549.59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22,634,291.05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16,516,382.84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24,155,369.72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9,651,528.14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8,449,214.64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5,260,669.76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13,100,606.14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8,335,362.45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264,351.22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364,470.58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27,765,702.05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36,388,760.92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-11,631,074.18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-5,806,059.22</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-8,439,227.24</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-12,890,154.60</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-705,660.63</w:t>
            </w:r>
          </w:p>
        </w:tc>
        <w:tc>
          <w:tcPr>
            <w:tcW w:w="3184" w:type="dxa"/>
            <w:tcBorders>
              <w:top w:val="single" w:sz="4" w:space="0" w:color="000000"/>
              <w:left w:val="single" w:sz="13" w:space="0" w:color="FFFFFF"/>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-737,771.37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-1,039,395.83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-473,517,248.39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-384,984,329.23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278,960,289.14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165,073,638.55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32,843,755.08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-31,964,764.11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192,938,477.39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50,387,659.84</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1,366,868,101.02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932,278,326.87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932,278,326.87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943,140,433.05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434,589,774.15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-10,862,106.18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246,200,632.94</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苏州众信星舟国际旅行社有限公司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Activo Travel</w:t>
            </w:r>
            <w:r>
              <w:rPr>
                <w:rFonts w:ascii="Times New Roman"/>
                <w:spacing w:val="-15"/>
                <w:sz w:val="18"/>
              </w:rPr>
              <w:t> </w:t>
            </w:r>
            <w:r>
              <w:rPr>
                <w:rFonts w:ascii="Times New Roman"/>
                <w:sz w:val="18"/>
              </w:rPr>
              <w:t>GmbH</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56,566,545.00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KAYTRIP </w:t>
            </w:r>
            <w:r>
              <w:rPr>
                <w:rFonts w:ascii="Times New Roman"/>
                <w:sz w:val="18"/>
              </w:rPr>
              <w:t>DE MEXICO SA DE</w:t>
            </w:r>
            <w:r>
              <w:rPr>
                <w:rFonts w:ascii="Times New Roman"/>
                <w:spacing w:val="-25"/>
                <w:sz w:val="18"/>
              </w:rPr>
              <w:t> </w:t>
            </w:r>
            <w:r>
              <w:rPr>
                <w:rFonts w:ascii="Times New Roman"/>
                <w:sz w:val="18"/>
              </w:rPr>
              <w:t>CV</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262,002.45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172,925,000.00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北京优泰科网络科技有限公司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3,447,085.49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九江中国旅行社有限公司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17,813,325.11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苏州众信星舟国际旅行社有限公司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1,043,282.57</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Activo Travel</w:t>
            </w:r>
            <w:r>
              <w:rPr>
                <w:rFonts w:ascii="Times New Roman"/>
                <w:spacing w:val="-15"/>
                <w:sz w:val="18"/>
              </w:rPr>
              <w:t> </w:t>
            </w:r>
            <w:r>
              <w:rPr>
                <w:rFonts w:ascii="Times New Roman"/>
                <w:sz w:val="18"/>
              </w:rPr>
              <w:t>GmbH</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869,618.81</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KAYTRIP </w:t>
            </w:r>
            <w:r>
              <w:rPr>
                <w:rFonts w:ascii="Times New Roman"/>
                <w:sz w:val="18"/>
              </w:rPr>
              <w:t>DE MEXICO SA DE</w:t>
            </w:r>
            <w:r>
              <w:rPr>
                <w:rFonts w:ascii="Times New Roman"/>
                <w:spacing w:val="-25"/>
                <w:sz w:val="18"/>
              </w:rPr>
              <w:t> </w:t>
            </w:r>
            <w:r>
              <w:rPr>
                <w:rFonts w:ascii="Times New Roman"/>
                <w:sz w:val="18"/>
              </w:rPr>
              <w:t>CV</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222,923.49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6,864,359.20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北京优泰科网络科技有限公司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783,240.48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九江中国旅行社有限公司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8,029,900.56</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11,764,000.00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上海优耐德国际旅行社有限公司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广州众信旅行社有限公司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上海巨龙国际旅行社有限公司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8,484,000.00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240,151,307.83</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1,366,868,101.02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932,278,326.87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8,968,276.22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8,012,624.05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1,324,610,456.81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888,625,590.55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33,289,367.99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35,640,112.27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1,366,868,101.02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932,278,326.87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
        <w:rPr>
          <w:rFonts w:ascii="宋体" w:hAnsi="宋体" w:cs="宋体" w:eastAsia="宋体" w:hint="default"/>
          <w:sz w:val="19"/>
          <w:szCs w:val="19"/>
        </w:rPr>
      </w:pPr>
    </w:p>
    <w:p>
      <w:pPr>
        <w:spacing w:before="38"/>
        <w:ind w:left="553" w:right="0" w:firstLine="0"/>
        <w:jc w:val="left"/>
        <w:rPr>
          <w:rFonts w:ascii="宋体" w:hAnsi="宋体" w:cs="宋体" w:eastAsia="宋体" w:hint="default"/>
          <w:sz w:val="20"/>
          <w:szCs w:val="20"/>
        </w:rPr>
      </w:pPr>
      <w:r>
        <w:rPr>
          <w:rFonts w:ascii="宋体" w:hAnsi="宋体" w:cs="宋体" w:eastAsia="宋体" w:hint="default"/>
          <w:sz w:val="20"/>
          <w:szCs w:val="20"/>
        </w:rPr>
        <w:t>期末现金及现金等价物不包含为办理企业信用卡存出的保证金存款</w:t>
      </w:r>
      <w:r>
        <w:rPr>
          <w:rFonts w:ascii="宋体" w:hAnsi="宋体" w:cs="宋体" w:eastAsia="宋体" w:hint="default"/>
          <w:spacing w:val="-54"/>
          <w:sz w:val="20"/>
          <w:szCs w:val="20"/>
        </w:rPr>
        <w:t> </w:t>
      </w:r>
      <w:r>
        <w:rPr>
          <w:rFonts w:ascii="Arial Narrow" w:hAnsi="Arial Narrow" w:cs="Arial Narrow" w:eastAsia="Arial Narrow" w:hint="default"/>
          <w:sz w:val="20"/>
          <w:szCs w:val="20"/>
        </w:rPr>
        <w:t>50 </w:t>
      </w:r>
      <w:r>
        <w:rPr>
          <w:rFonts w:ascii="宋体" w:hAnsi="宋体" w:cs="宋体" w:eastAsia="宋体" w:hint="default"/>
          <w:sz w:val="20"/>
          <w:szCs w:val="20"/>
        </w:rPr>
        <w:t>万元。</w:t>
      </w:r>
    </w:p>
    <w:p>
      <w:pPr>
        <w:spacing w:line="240" w:lineRule="auto" w:before="0"/>
        <w:rPr>
          <w:rFonts w:ascii="宋体" w:hAnsi="宋体" w:cs="宋体" w:eastAsia="宋体" w:hint="default"/>
          <w:sz w:val="20"/>
          <w:szCs w:val="20"/>
        </w:rPr>
      </w:pPr>
    </w:p>
    <w:p>
      <w:pPr>
        <w:pStyle w:val="Heading6"/>
        <w:spacing w:line="240" w:lineRule="auto" w:before="169"/>
        <w:ind w:right="0"/>
        <w:jc w:val="left"/>
        <w:rPr>
          <w:b w:val="0"/>
          <w:bCs w:val="0"/>
        </w:rPr>
      </w:pPr>
      <w:r>
        <w:rPr>
          <w:rFonts w:ascii="Times New Roman" w:hAnsi="Times New Roman" w:cs="Times New Roman" w:eastAsia="Times New Roman" w:hint="default"/>
        </w:rPr>
        <w:t>50</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pStyle w:val="BodyText"/>
        <w:spacing w:line="391" w:lineRule="auto" w:before="155"/>
        <w:ind w:left="153" w:right="181" w:firstLine="420"/>
        <w:jc w:val="left"/>
      </w:pPr>
      <w:r>
        <w:rPr/>
        <w:t>合并所有者权益变动表中</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三、本期增减变动金额、（六）其他</w:t>
      </w:r>
      <w:r>
        <w:rPr>
          <w:rFonts w:ascii="Times New Roman" w:hAnsi="Times New Roman" w:cs="Times New Roman" w:eastAsia="Times New Roman" w:hint="default"/>
        </w:rPr>
        <w:t>-9,375,888.74</w:t>
      </w:r>
      <w:r>
        <w:rPr/>
        <w:t>元为因购买少 数股权新取得的长期股权投资与按照新增持股比例计算应享有子公司自购买日开始持续计算的净资产份 额之间的差额。</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三、本期增减变动金额、（六）其他</w:t>
      </w:r>
      <w:r>
        <w:rPr>
          <w:rFonts w:ascii="Times New Roman" w:hAnsi="Times New Roman" w:cs="Times New Roman" w:eastAsia="Times New Roman" w:hint="default"/>
        </w:rPr>
        <w:t>-5,686,507.56</w:t>
      </w:r>
      <w:r>
        <w:rPr/>
        <w:t>元中：为公司在子公司 所有者权益份额发生变化而减少的少数股东权益</w:t>
      </w:r>
      <w:r>
        <w:rPr>
          <w:rFonts w:ascii="Times New Roman" w:hAnsi="Times New Roman" w:cs="Times New Roman" w:eastAsia="Times New Roman" w:hint="default"/>
        </w:rPr>
        <w:t>19,306,642.12</w:t>
      </w:r>
      <w:r>
        <w:rPr/>
        <w:t>元；本期非同一控制合并而增加的少数股东 权益</w:t>
      </w:r>
      <w:r>
        <w:rPr>
          <w:rFonts w:ascii="Times New Roman" w:hAnsi="Times New Roman" w:cs="Times New Roman" w:eastAsia="Times New Roman" w:hint="default"/>
        </w:rPr>
        <w:t>13,620,134.56</w:t>
      </w:r>
      <w:r>
        <w:rPr/>
        <w:t>元。</w:t>
      </w:r>
    </w:p>
    <w:p>
      <w:pPr>
        <w:spacing w:line="240" w:lineRule="auto" w:before="5"/>
        <w:rPr>
          <w:rFonts w:ascii="宋体" w:hAnsi="宋体" w:cs="宋体" w:eastAsia="宋体" w:hint="default"/>
          <w:sz w:val="19"/>
          <w:szCs w:val="19"/>
        </w:rPr>
      </w:pPr>
    </w:p>
    <w:p>
      <w:pPr>
        <w:pStyle w:val="Heading6"/>
        <w:spacing w:line="240" w:lineRule="auto"/>
        <w:ind w:right="0"/>
        <w:jc w:val="left"/>
        <w:rPr>
          <w:b w:val="0"/>
          <w:bCs w:val="0"/>
        </w:rPr>
      </w:pPr>
      <w:r>
        <w:rPr>
          <w:rFonts w:ascii="Times New Roman" w:hAnsi="Times New Roman" w:cs="Times New Roman" w:eastAsia="Times New Roman" w:hint="default"/>
        </w:rPr>
        <w:t>51</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29,862,647.48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用于质押担保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30,362,647.48</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right="320" w:firstLine="420"/>
        <w:jc w:val="left"/>
      </w:pPr>
      <w:r>
        <w:rPr/>
        <w:t>所有权受限制的其他非流动资产为用于取得并保持国际航协在中国实施代理人计划中的民用航空运 输销售代理人资格而做的质押反担保。详见附十三、承诺及或有事项。</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52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107,518,717.12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2,952,503.13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19,292,245.95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6,473,205.68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50,505,892.68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522,588,106.09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30,248,967.34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824,062.67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4,196,786.37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222,751.69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6.677900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1,487,513.51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1,787,311.27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204,544,848.29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17,220,712.58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134,361,165.76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8.779200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47,695.64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368,884,140.07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21,352,120.68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41,251.68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2,142,980.13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6.677900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14,310,607.01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18,447,365.40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1.866500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34,432,007.52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67,019,908.10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1,629,809.76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10,649,502.93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3,551,396.66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27,709,062.16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8,561,049.80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0.835900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7,156,181.53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35,339.58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8.779200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310,253.24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77,804,817.60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4,503,576.26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905,098.51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4,609,485.69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33,293.00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5.200900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173,153.56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718,166.40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6.677900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4,795,843.40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270,588.06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4.883100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1,321,308.56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25,905.79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4.632700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120,013.75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211,673.24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1.866500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395,088.10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26,408,603.19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0.199800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5,276,438.92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106,267,991.82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6,038,050.00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39,453,826.31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3,239,676.86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25,276,930.76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8.779200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17,558.40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717,303,463.00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41,519,676.35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143,326,298.92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8,682,450.00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10,557,175.31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82,370,248.92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52,273,600.00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454,711,983.73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10,496,447.73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68,585,888.76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32,728,375.66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255,356,605.41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0.835900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24,174.23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1,110,129.51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8.779200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9,746,048.99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913,086,233.72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52,852,170.47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3,713,405.03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18,911,629.14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1,951,105.99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5.200900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10,147,507.14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529,209.10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6.677900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3,534,005.45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4.883100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55,794.30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1,779,562.22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4.632700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8,244,177.90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12,533,175.07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1.866500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23,393,171.27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34,015,953.00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0.113500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3,860,810.67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3,587,894.21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24,059,260.00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1,392,622.15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281,362.17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2,195,272.06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25,117,453.87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16,072,995.00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930,353.17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3,014,119.83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23,517,067.15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358,977.25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1.866507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670,033.55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0" w:firstLine="420"/>
        <w:jc w:val="left"/>
      </w:pPr>
      <w:r>
        <w:rPr>
          <w:rFonts w:ascii="Times New Roman" w:hAnsi="Times New Roman" w:cs="Times New Roman" w:eastAsia="Times New Roman" w:hint="default"/>
        </w:rPr>
        <w:t>Hongkong UTour International Travel Service Co.,</w:t>
      </w:r>
      <w:r>
        <w:rPr>
          <w:rFonts w:ascii="Times New Roman" w:hAnsi="Times New Roman" w:cs="Times New Roman" w:eastAsia="Times New Roman" w:hint="default"/>
          <w:spacing w:val="-30"/>
        </w:rPr>
        <w:t> </w:t>
      </w:r>
      <w:r>
        <w:rPr>
          <w:rFonts w:ascii="Times New Roman" w:hAnsi="Times New Roman" w:cs="Times New Roman" w:eastAsia="Times New Roman" w:hint="default"/>
        </w:rPr>
        <w:t>Limited</w:t>
      </w:r>
      <w:r>
        <w:rPr/>
        <w:t>，注册地中国香港，因主要业务为面向中国境 内公司销售旅游服务，公司结合未来发展规划，故选择人民币作为记账本位币；</w:t>
      </w:r>
    </w:p>
    <w:p>
      <w:pPr>
        <w:pStyle w:val="BodyText"/>
        <w:spacing w:line="386" w:lineRule="auto" w:before="65"/>
        <w:ind w:left="153" w:right="188" w:firstLine="420"/>
        <w:jc w:val="left"/>
      </w:pPr>
      <w:r>
        <w:rPr>
          <w:rFonts w:ascii="Times New Roman" w:hAnsi="Times New Roman" w:cs="Times New Roman" w:eastAsia="Times New Roman" w:hint="default"/>
        </w:rPr>
        <w:t>Kai Yuan Information &amp; Business</w:t>
      </w:r>
      <w:r>
        <w:rPr>
          <w:rFonts w:ascii="Times New Roman" w:hAnsi="Times New Roman" w:cs="Times New Roman" w:eastAsia="Times New Roman" w:hint="default"/>
          <w:spacing w:val="-12"/>
        </w:rPr>
        <w:t> </w:t>
      </w:r>
      <w:r>
        <w:rPr>
          <w:rFonts w:ascii="Times New Roman" w:hAnsi="Times New Roman" w:cs="Times New Roman" w:eastAsia="Times New Roman" w:hint="default"/>
        </w:rPr>
        <w:t>GmbH</w:t>
      </w:r>
      <w:r>
        <w:rPr/>
        <w:t>，注册地德国慕尼黑，因设立地点及主要业务在欧洲，故选择 欧元作为记账本位币；</w:t>
      </w:r>
    </w:p>
    <w:p>
      <w:pPr>
        <w:pStyle w:val="BodyText"/>
        <w:spacing w:line="386" w:lineRule="auto" w:before="65"/>
        <w:ind w:left="153" w:right="213" w:firstLine="420"/>
        <w:jc w:val="left"/>
      </w:pPr>
      <w:r>
        <w:rPr>
          <w:rFonts w:ascii="Times New Roman" w:hAnsi="Times New Roman" w:cs="Times New Roman" w:eastAsia="Times New Roman" w:hint="default"/>
        </w:rPr>
        <w:t>Activo Travel</w:t>
      </w:r>
      <w:r>
        <w:rPr>
          <w:rFonts w:ascii="Times New Roman" w:hAnsi="Times New Roman" w:cs="Times New Roman" w:eastAsia="Times New Roman" w:hint="default"/>
          <w:spacing w:val="-8"/>
        </w:rPr>
        <w:t> </w:t>
      </w:r>
      <w:r>
        <w:rPr>
          <w:rFonts w:ascii="Times New Roman" w:hAnsi="Times New Roman" w:cs="Times New Roman" w:eastAsia="Times New Roman" w:hint="default"/>
        </w:rPr>
        <w:t>GmbH</w:t>
      </w:r>
      <w:r>
        <w:rPr/>
        <w:t>，注册地德国法兰克福，因设立地点及主要业务在欧洲，故选择欧元作为记账本 位币；</w:t>
      </w:r>
    </w:p>
    <w:p>
      <w:pPr>
        <w:pStyle w:val="BodyText"/>
        <w:spacing w:line="386" w:lineRule="auto" w:before="65"/>
        <w:ind w:left="574" w:right="530"/>
        <w:jc w:val="left"/>
      </w:pPr>
      <w:r>
        <w:rPr/>
        <w:t>株式会社</w:t>
      </w:r>
      <w:r>
        <w:rPr>
          <w:rFonts w:ascii="Times New Roman" w:hAnsi="Times New Roman" w:cs="Times New Roman" w:eastAsia="Times New Roman" w:hint="default"/>
        </w:rPr>
        <w:t>RCC</w:t>
      </w:r>
      <w:r>
        <w:rPr/>
        <w:t>，注册地日本东京，因设立地点及主要业务在日本，故选择日元作为记账本位币； 株式会社三利，注册地日本札幌，因设立地点及主要业务在日本，故选择日元作为记账本位币。</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上海悠哉网 络科技有限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174,925,000.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
              <w:jc w:val="left"/>
              <w:rPr>
                <w:rFonts w:ascii="Times New Roman" w:hAnsi="Times New Roman" w:cs="Times New Roman" w:eastAsia="Times New Roman" w:hint="default"/>
                <w:sz w:val="18"/>
                <w:szCs w:val="18"/>
              </w:rPr>
            </w:pPr>
            <w:r>
              <w:rPr>
                <w:rFonts w:ascii="Times New Roman"/>
                <w:sz w:val="18"/>
              </w:rPr>
              <w:t>Activo</w:t>
            </w:r>
            <w:r>
              <w:rPr>
                <w:rFonts w:ascii="Times New Roman"/>
                <w:spacing w:val="-10"/>
                <w:sz w:val="18"/>
              </w:rPr>
              <w:t> </w:t>
            </w:r>
            <w:r>
              <w:rPr>
                <w:rFonts w:ascii="Times New Roman"/>
                <w:sz w:val="18"/>
              </w:rPr>
              <w:t>Travel</w:t>
            </w:r>
            <w:r>
              <w:rPr>
                <w:rFonts w:ascii="Times New Roman"/>
                <w:sz w:val="18"/>
              </w:rPr>
              <w:t> GmbH</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56,566,545.0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165,912,867.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4,184,598.06</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苏州众信星 舟国际旅行 社有限公司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2,779,784.92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-856,957.50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北京优泰科 网络科技有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4,947,085.49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12,428,200.9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-1,616,106.74</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九江中国旅 行社有限公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6,379,142.19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-1,374,871.48</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4"/>
              <w:jc w:val="left"/>
              <w:rPr>
                <w:rFonts w:ascii="Times New Roman" w:hAnsi="Times New Roman" w:cs="Times New Roman" w:eastAsia="Times New Roman" w:hint="default"/>
                <w:sz w:val="18"/>
                <w:szCs w:val="18"/>
              </w:rPr>
            </w:pPr>
            <w:r>
              <w:rPr>
                <w:rFonts w:ascii="Times New Roman"/>
                <w:spacing w:val="-3"/>
                <w:sz w:val="18"/>
              </w:rPr>
              <w:t>KAYTRIP</w:t>
            </w:r>
            <w:r>
              <w:rPr>
                <w:rFonts w:ascii="Times New Roman"/>
                <w:sz w:val="18"/>
              </w:rPr>
              <w:t> DE</w:t>
            </w:r>
            <w:r>
              <w:rPr>
                <w:rFonts w:ascii="Times New Roman"/>
                <w:spacing w:val="-5"/>
                <w:sz w:val="18"/>
              </w:rPr>
              <w:t> </w:t>
            </w:r>
            <w:r>
              <w:rPr>
                <w:rFonts w:ascii="Times New Roman"/>
                <w:sz w:val="18"/>
              </w:rPr>
              <w:t>MEXICO</w:t>
            </w:r>
            <w:r>
              <w:rPr>
                <w:rFonts w:ascii="Times New Roman"/>
                <w:spacing w:val="-1"/>
                <w:sz w:val="18"/>
              </w:rPr>
              <w:t> </w:t>
            </w:r>
            <w:r>
              <w:rPr>
                <w:rFonts w:ascii="Times New Roman"/>
                <w:sz w:val="18"/>
              </w:rPr>
              <w:t>SA DE</w:t>
            </w:r>
            <w:r>
              <w:rPr>
                <w:rFonts w:ascii="Times New Roman"/>
                <w:spacing w:val="-13"/>
                <w:sz w:val="18"/>
              </w:rPr>
              <w:t> </w:t>
            </w:r>
            <w:r>
              <w:rPr>
                <w:rFonts w:ascii="Times New Roman"/>
                <w:sz w:val="18"/>
              </w:rPr>
              <w:t>CV</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249,610.19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实质控制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278,996.35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-359,880.28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91" w:lineRule="auto" w:before="0"/>
        <w:ind w:left="153" w:right="0" w:firstLine="420"/>
        <w:jc w:val="left"/>
      </w:pPr>
      <w:r>
        <w:rPr>
          <w:rFonts w:ascii="Times New Roman" w:hAnsi="Times New Roman" w:cs="Times New Roman" w:eastAsia="Times New Roman" w:hint="default"/>
          <w:spacing w:val="-1"/>
        </w:rPr>
        <w:t>2017</w:t>
      </w:r>
      <w:r>
        <w:rPr>
          <w:spacing w:val="-1"/>
        </w:rPr>
        <w:t>年发生的非同一控制下企业合并中：上海悠哉网络科技有限公司由子公司天津众信悠哉网国际旅</w:t>
      </w:r>
      <w:r>
        <w:rPr/>
        <w:t> 行社有限公司收购其</w:t>
      </w:r>
      <w:r>
        <w:rPr>
          <w:rFonts w:ascii="Times New Roman" w:hAnsi="Times New Roman" w:cs="Times New Roman" w:eastAsia="Times New Roman" w:hint="default"/>
        </w:rPr>
        <w:t>85%</w:t>
      </w:r>
      <w:r>
        <w:rPr/>
        <w:t>的股权（剩余</w:t>
      </w:r>
      <w:r>
        <w:rPr>
          <w:rFonts w:ascii="Times New Roman" w:hAnsi="Times New Roman" w:cs="Times New Roman" w:eastAsia="Times New Roman" w:hint="default"/>
        </w:rPr>
        <w:t>15%</w:t>
      </w:r>
      <w:r>
        <w:rPr/>
        <w:t>为公司持有）；</w:t>
      </w:r>
      <w:r>
        <w:rPr>
          <w:rFonts w:ascii="Times New Roman" w:hAnsi="Times New Roman" w:cs="Times New Roman" w:eastAsia="Times New Roman" w:hint="default"/>
        </w:rPr>
        <w:t>Activo Travel GmbH</w:t>
      </w:r>
      <w:r>
        <w:rPr/>
        <w:t>由子公司</w:t>
      </w:r>
      <w:r>
        <w:rPr>
          <w:rFonts w:ascii="Times New Roman" w:hAnsi="Times New Roman" w:cs="Times New Roman" w:eastAsia="Times New Roman" w:hint="default"/>
        </w:rPr>
        <w:t>Hongkong</w:t>
      </w:r>
      <w:r>
        <w:rPr>
          <w:rFonts w:ascii="Times New Roman" w:hAnsi="Times New Roman" w:cs="Times New Roman" w:eastAsia="Times New Roman" w:hint="default"/>
          <w:spacing w:val="-9"/>
        </w:rPr>
        <w:t> </w:t>
      </w:r>
      <w:r>
        <w:rPr>
          <w:rFonts w:ascii="Times New Roman" w:hAnsi="Times New Roman" w:cs="Times New Roman" w:eastAsia="Times New Roman" w:hint="default"/>
        </w:rPr>
        <w:t>UTour</w:t>
      </w:r>
      <w:r>
        <w:rPr>
          <w:rFonts w:ascii="Times New Roman" w:hAnsi="Times New Roman" w:cs="Times New Roman" w:eastAsia="Times New Roman" w:hint="default"/>
        </w:rPr>
        <w:t> International Travel Service Co.,</w:t>
      </w:r>
      <w:r>
        <w:rPr>
          <w:rFonts w:ascii="Times New Roman" w:hAnsi="Times New Roman" w:cs="Times New Roman" w:eastAsia="Times New Roman" w:hint="default"/>
          <w:spacing w:val="-11"/>
        </w:rPr>
        <w:t> </w:t>
      </w:r>
      <w:r>
        <w:rPr>
          <w:rFonts w:ascii="Times New Roman" w:hAnsi="Times New Roman" w:cs="Times New Roman" w:eastAsia="Times New Roman" w:hint="default"/>
        </w:rPr>
        <w:t>Limited</w:t>
      </w:r>
      <w:r>
        <w:rPr/>
        <w:t>完成收购；苏州众信星舟国际旅行社有限公司由子公司上海众信国 </w:t>
      </w:r>
      <w:r>
        <w:rPr>
          <w:spacing w:val="-1"/>
        </w:rPr>
        <w:t>际旅行社有限公司完成收购。九江中国旅行社有限公司由子公司北京众信优游国际旅行社有限公司完成收</w:t>
      </w:r>
      <w:r>
        <w:rPr>
          <w:spacing w:val="-81"/>
        </w:rPr>
        <w:t> </w:t>
      </w:r>
      <w:r>
        <w:rPr>
          <w:spacing w:val="-81"/>
        </w:rPr>
      </w:r>
      <w:r>
        <w:rPr/>
        <w:t>购；</w:t>
      </w:r>
      <w:r>
        <w:rPr>
          <w:rFonts w:ascii="Times New Roman" w:hAnsi="Times New Roman" w:cs="Times New Roman" w:eastAsia="Times New Roman" w:hint="default"/>
        </w:rPr>
        <w:t>KAYTRIP DE MEXICO SA DE</w:t>
      </w:r>
      <w:r>
        <w:rPr>
          <w:rFonts w:ascii="Times New Roman" w:hAnsi="Times New Roman" w:cs="Times New Roman" w:eastAsia="Times New Roman" w:hint="default"/>
          <w:spacing w:val="-14"/>
        </w:rPr>
        <w:t> </w:t>
      </w:r>
      <w:r>
        <w:rPr>
          <w:rFonts w:ascii="Times New Roman" w:hAnsi="Times New Roman" w:cs="Times New Roman" w:eastAsia="Times New Roman" w:hint="default"/>
        </w:rPr>
        <w:t>CV</w:t>
      </w:r>
      <w:r>
        <w:rPr/>
        <w:t>由公司之子公司北京开元周游国际旅行社股份有限公司境外子公司 </w:t>
      </w:r>
      <w:r>
        <w:rPr>
          <w:rFonts w:ascii="Times New Roman" w:hAnsi="Times New Roman" w:cs="Times New Roman" w:eastAsia="Times New Roman" w:hint="default"/>
        </w:rPr>
        <w:t>Kai Yuan Information &amp; Business</w:t>
      </w:r>
      <w:r>
        <w:rPr>
          <w:rFonts w:ascii="Times New Roman" w:hAnsi="Times New Roman" w:cs="Times New Roman" w:eastAsia="Times New Roman" w:hint="default"/>
          <w:spacing w:val="-13"/>
        </w:rPr>
        <w:t> </w:t>
      </w:r>
      <w:r>
        <w:rPr>
          <w:rFonts w:ascii="Times New Roman" w:hAnsi="Times New Roman" w:cs="Times New Roman" w:eastAsia="Times New Roman" w:hint="default"/>
        </w:rPr>
        <w:t>GmbH</w:t>
      </w:r>
      <w:r>
        <w:rPr/>
        <w:t>完成收购。</w:t>
      </w:r>
    </w:p>
    <w:p>
      <w:pPr>
        <w:spacing w:line="240" w:lineRule="auto" w:before="5"/>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8" w:right="47" w:hanging="180"/>
              <w:jc w:val="left"/>
              <w:rPr>
                <w:rFonts w:ascii="宋体" w:hAnsi="宋体" w:cs="宋体" w:eastAsia="宋体" w:hint="default"/>
                <w:sz w:val="18"/>
                <w:szCs w:val="18"/>
              </w:rPr>
            </w:pPr>
            <w:r>
              <w:rPr>
                <w:rFonts w:ascii="宋体" w:hAnsi="宋体" w:cs="宋体" w:eastAsia="宋体" w:hint="default"/>
                <w:sz w:val="18"/>
                <w:szCs w:val="18"/>
              </w:rPr>
              <w:t>上海悠哉网络科 技有限公司</w:t>
            </w:r>
          </w:p>
        </w:tc>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434" w:right="179" w:hanging="254"/>
              <w:jc w:val="left"/>
              <w:rPr>
                <w:rFonts w:ascii="Times New Roman" w:hAnsi="Times New Roman" w:cs="Times New Roman" w:eastAsia="Times New Roman" w:hint="default"/>
                <w:sz w:val="18"/>
                <w:szCs w:val="18"/>
              </w:rPr>
            </w:pPr>
            <w:r>
              <w:rPr>
                <w:rFonts w:ascii="Times New Roman"/>
                <w:sz w:val="18"/>
              </w:rPr>
              <w:t>Activo</w:t>
            </w:r>
            <w:r>
              <w:rPr>
                <w:rFonts w:ascii="Times New Roman"/>
                <w:spacing w:val="-10"/>
                <w:sz w:val="18"/>
              </w:rPr>
              <w:t> </w:t>
            </w:r>
            <w:r>
              <w:rPr>
                <w:rFonts w:ascii="Times New Roman"/>
                <w:sz w:val="18"/>
              </w:rPr>
              <w:t>Travel</w:t>
            </w:r>
            <w:r>
              <w:rPr>
                <w:rFonts w:ascii="Times New Roman"/>
                <w:sz w:val="18"/>
              </w:rPr>
              <w:t> GmbH</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苏州众信星舟国 际旅行社有限公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7" w:right="47" w:hanging="90"/>
              <w:jc w:val="left"/>
              <w:rPr>
                <w:rFonts w:ascii="宋体" w:hAnsi="宋体" w:cs="宋体" w:eastAsia="宋体" w:hint="default"/>
                <w:sz w:val="18"/>
                <w:szCs w:val="18"/>
              </w:rPr>
            </w:pPr>
            <w:r>
              <w:rPr>
                <w:rFonts w:ascii="宋体" w:hAnsi="宋体" w:cs="宋体" w:eastAsia="宋体" w:hint="default"/>
                <w:sz w:val="18"/>
                <w:szCs w:val="18"/>
              </w:rPr>
              <w:t>北京优泰科网络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7" w:right="47" w:hanging="270"/>
              <w:jc w:val="left"/>
              <w:rPr>
                <w:rFonts w:ascii="宋体" w:hAnsi="宋体" w:cs="宋体" w:eastAsia="宋体" w:hint="default"/>
                <w:sz w:val="18"/>
                <w:szCs w:val="18"/>
              </w:rPr>
            </w:pPr>
            <w:r>
              <w:rPr>
                <w:rFonts w:ascii="宋体" w:hAnsi="宋体" w:cs="宋体" w:eastAsia="宋体" w:hint="default"/>
                <w:sz w:val="18"/>
                <w:szCs w:val="18"/>
              </w:rPr>
              <w:t>九江中国旅行社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62" w:lineRule="auto" w:before="91"/>
              <w:ind w:left="48" w:right="47"/>
              <w:jc w:val="center"/>
              <w:rPr>
                <w:rFonts w:ascii="Times New Roman" w:hAnsi="Times New Roman" w:cs="Times New Roman" w:eastAsia="Times New Roman" w:hint="default"/>
                <w:sz w:val="18"/>
                <w:szCs w:val="18"/>
              </w:rPr>
            </w:pPr>
            <w:r>
              <w:rPr>
                <w:rFonts w:ascii="Times New Roman"/>
                <w:spacing w:val="-3"/>
                <w:sz w:val="18"/>
              </w:rPr>
              <w:t>KAYTRIP</w:t>
            </w:r>
            <w:r>
              <w:rPr>
                <w:rFonts w:ascii="Times New Roman"/>
                <w:spacing w:val="-9"/>
                <w:sz w:val="18"/>
              </w:rPr>
              <w:t> </w:t>
            </w:r>
            <w:r>
              <w:rPr>
                <w:rFonts w:ascii="Times New Roman"/>
                <w:sz w:val="18"/>
              </w:rPr>
              <w:t>DE</w:t>
            </w:r>
            <w:r>
              <w:rPr>
                <w:rFonts w:ascii="Times New Roman"/>
                <w:spacing w:val="-1"/>
                <w:sz w:val="18"/>
              </w:rPr>
              <w:t> </w:t>
            </w:r>
            <w:r>
              <w:rPr>
                <w:rFonts w:ascii="Times New Roman"/>
                <w:sz w:val="18"/>
              </w:rPr>
              <w:t>MEXICO SA</w:t>
            </w:r>
            <w:r>
              <w:rPr>
                <w:rFonts w:ascii="Times New Roman"/>
                <w:spacing w:val="-18"/>
                <w:sz w:val="18"/>
              </w:rPr>
              <w:t> </w:t>
            </w:r>
            <w:r>
              <w:rPr>
                <w:rFonts w:ascii="Times New Roman"/>
                <w:sz w:val="18"/>
              </w:rPr>
              <w:t>DE</w:t>
            </w:r>
            <w:r>
              <w:rPr>
                <w:rFonts w:ascii="Times New Roman"/>
                <w:spacing w:val="-1"/>
                <w:sz w:val="18"/>
              </w:rPr>
              <w:t> </w:t>
            </w:r>
            <w:r>
              <w:rPr>
                <w:rFonts w:ascii="Times New Roman"/>
                <w:sz w:val="18"/>
              </w:rPr>
              <w:t>CV</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56,566,545.00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3,447,085.49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7,000,000.00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249,610.19</w:t>
            </w:r>
          </w:p>
        </w:tc>
      </w:tr>
      <w:tr>
        <w:trPr>
          <w:trHeight w:val="363"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w:t>
            </w: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311"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有的股权于购买</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4,925,000.00</w:t>
            </w: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日的公允价值</w:t>
            </w: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174,925,000.00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56,566,545.00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4,947,085.49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249,610.19</w:t>
            </w:r>
          </w:p>
        </w:tc>
      </w:tr>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w:t>
            </w: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认净资产公允价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29,386,784.20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10,069,820.32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-604,815.09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4,947,085.49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5,257,078.39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56,745.21</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值份额</w:t>
            </w: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w:t>
            </w: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2" w:right="72"/>
              <w:jc w:val="left"/>
              <w:rPr>
                <w:rFonts w:ascii="宋体" w:hAnsi="宋体" w:cs="宋体" w:eastAsia="宋体" w:hint="default"/>
                <w:sz w:val="18"/>
                <w:szCs w:val="18"/>
              </w:rPr>
            </w:pPr>
            <w:r>
              <w:rPr>
                <w:rFonts w:ascii="宋体" w:hAnsi="宋体" w:cs="宋体" w:eastAsia="宋体" w:hint="default"/>
                <w:sz w:val="18"/>
                <w:szCs w:val="18"/>
              </w:rPr>
              <w:t>于取得的可辨认 净资产公允价值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145,538,215.80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46,496,724.68</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6,604,815.09</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1,742,921.61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192,864.98</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份额的金额</w:t>
            </w: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spacing w:line="240" w:lineRule="auto" w:before="12"/>
        <w:rPr>
          <w:rFonts w:ascii="宋体" w:hAnsi="宋体" w:cs="宋体" w:eastAsia="宋体" w:hint="default"/>
          <w:sz w:val="12"/>
          <w:szCs w:val="12"/>
        </w:rPr>
      </w:pPr>
    </w:p>
    <w:p>
      <w:pPr>
        <w:pStyle w:val="BodyText"/>
        <w:spacing w:line="408" w:lineRule="auto" w:before="0"/>
        <w:ind w:right="150" w:firstLine="420"/>
        <w:jc w:val="both"/>
      </w:pPr>
      <w:r>
        <w:rPr>
          <w:spacing w:val="-1"/>
        </w:rPr>
        <w:t>可辨认资产、负债公允价值的确定方法：上海悠哉网络科技有限公司可辨认资产、负债公允价值利用</w:t>
      </w:r>
      <w:r>
        <w:rPr/>
        <w:t> </w:t>
      </w:r>
      <w:r>
        <w:rPr>
          <w:spacing w:val="-1"/>
        </w:rPr>
        <w:t>外部专家（评估师）的专业判断确定；其他被收购方因被购买方在收购日账面除货币资金及少量往来款之</w:t>
      </w:r>
      <w:r>
        <w:rPr>
          <w:spacing w:val="-83"/>
        </w:rPr>
        <w:t> </w:t>
      </w:r>
      <w:r>
        <w:rPr>
          <w:spacing w:val="-83"/>
        </w:rPr>
      </w:r>
      <w:r>
        <w:rPr/>
        <w:t>外无其他资产、负债，故可辨认资产、负债公允价值按账面价值确定。</w:t>
      </w:r>
    </w:p>
    <w:p>
      <w:pPr>
        <w:spacing w:line="240" w:lineRule="auto" w:before="8"/>
        <w:rPr>
          <w:rFonts w:ascii="宋体" w:hAnsi="宋体" w:cs="宋体" w:eastAsia="宋体" w:hint="default"/>
          <w:sz w:val="20"/>
          <w:szCs w:val="20"/>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6"/>
        <w:gridCol w:w="736"/>
        <w:gridCol w:w="737"/>
        <w:gridCol w:w="736"/>
        <w:gridCol w:w="736"/>
        <w:gridCol w:w="737"/>
        <w:gridCol w:w="736"/>
        <w:gridCol w:w="736"/>
      </w:tblGrid>
      <w:tr>
        <w:trPr>
          <w:trHeight w:val="1026" w:hRule="exact"/>
        </w:trPr>
        <w:tc>
          <w:tcPr>
            <w:tcW w:w="736" w:type="dxa"/>
            <w:vMerge w:val="restart"/>
            <w:tcBorders>
              <w:top w:val="single" w:sz="4" w:space="0" w:color="000000"/>
              <w:left w:val="single" w:sz="4" w:space="0" w:color="000000"/>
              <w:right w:val="single" w:sz="4" w:space="0" w:color="000000"/>
            </w:tcBorders>
            <w:shd w:val="clear" w:color="auto" w:fill="D0CECE"/>
          </w:tcPr>
          <w:p>
            <w:pP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98" w:hanging="180"/>
              <w:jc w:val="left"/>
              <w:rPr>
                <w:rFonts w:ascii="宋体" w:hAnsi="宋体" w:cs="宋体" w:eastAsia="宋体" w:hint="default"/>
                <w:sz w:val="18"/>
                <w:szCs w:val="18"/>
              </w:rPr>
            </w:pPr>
            <w:r>
              <w:rPr>
                <w:rFonts w:ascii="宋体" w:hAnsi="宋体" w:cs="宋体" w:eastAsia="宋体" w:hint="default"/>
                <w:sz w:val="18"/>
                <w:szCs w:val="18"/>
              </w:rPr>
              <w:t>上海悠哉网络科 技有限公司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485" w:right="187" w:hanging="209"/>
              <w:jc w:val="left"/>
              <w:rPr>
                <w:rFonts w:ascii="Times New Roman" w:hAnsi="Times New Roman" w:cs="Times New Roman" w:eastAsia="Times New Roman" w:hint="default"/>
                <w:sz w:val="18"/>
                <w:szCs w:val="18"/>
              </w:rPr>
            </w:pPr>
            <w:r>
              <w:rPr>
                <w:rFonts w:ascii="Times New Roman"/>
                <w:sz w:val="18"/>
              </w:rPr>
              <w:t>Activo</w:t>
            </w:r>
            <w:r>
              <w:rPr>
                <w:rFonts w:ascii="Times New Roman"/>
                <w:spacing w:val="-10"/>
                <w:sz w:val="18"/>
              </w:rPr>
              <w:t> </w:t>
            </w:r>
            <w:r>
              <w:rPr>
                <w:rFonts w:ascii="Times New Roman"/>
                <w:sz w:val="18"/>
              </w:rPr>
              <w:t>Travel</w:t>
            </w:r>
            <w:r>
              <w:rPr>
                <w:rFonts w:ascii="Times New Roman"/>
                <w:sz w:val="18"/>
              </w:rPr>
              <w:t> GmbH</w:t>
            </w:r>
          </w:p>
        </w:tc>
        <w:tc>
          <w:tcPr>
            <w:tcW w:w="1471"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100" w:right="98"/>
              <w:jc w:val="center"/>
              <w:rPr>
                <w:rFonts w:ascii="宋体" w:hAnsi="宋体" w:cs="宋体" w:eastAsia="宋体" w:hint="default"/>
                <w:sz w:val="18"/>
                <w:szCs w:val="18"/>
              </w:rPr>
            </w:pPr>
            <w:r>
              <w:rPr>
                <w:rFonts w:ascii="宋体" w:hAnsi="宋体" w:cs="宋体" w:eastAsia="宋体" w:hint="default"/>
                <w:sz w:val="18"/>
                <w:szCs w:val="18"/>
              </w:rPr>
              <w:t>苏州众信星舟国 际旅行社有限公 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91" w:right="98" w:hanging="90"/>
              <w:jc w:val="left"/>
              <w:rPr>
                <w:rFonts w:ascii="宋体" w:hAnsi="宋体" w:cs="宋体" w:eastAsia="宋体" w:hint="default"/>
                <w:sz w:val="18"/>
                <w:szCs w:val="18"/>
              </w:rPr>
            </w:pPr>
            <w:r>
              <w:rPr>
                <w:rFonts w:ascii="宋体" w:hAnsi="宋体" w:cs="宋体" w:eastAsia="宋体" w:hint="default"/>
                <w:sz w:val="18"/>
                <w:szCs w:val="18"/>
              </w:rPr>
              <w:t>北京优泰科网络 科技有限公司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70" w:right="101" w:hanging="270"/>
              <w:jc w:val="left"/>
              <w:rPr>
                <w:rFonts w:ascii="宋体" w:hAnsi="宋体" w:cs="宋体" w:eastAsia="宋体" w:hint="default"/>
                <w:sz w:val="18"/>
                <w:szCs w:val="18"/>
              </w:rPr>
            </w:pPr>
            <w:r>
              <w:rPr>
                <w:rFonts w:ascii="宋体" w:hAnsi="宋体" w:cs="宋体" w:eastAsia="宋体" w:hint="default"/>
                <w:sz w:val="18"/>
                <w:szCs w:val="18"/>
              </w:rPr>
              <w:t>九江中国旅行社 有限公司</w:t>
            </w:r>
          </w:p>
        </w:tc>
        <w:tc>
          <w:tcPr>
            <w:tcW w:w="1471"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62" w:lineRule="auto" w:before="91"/>
              <w:ind w:left="100" w:right="99" w:firstLine="88"/>
              <w:jc w:val="center"/>
              <w:rPr>
                <w:rFonts w:ascii="Times New Roman" w:hAnsi="Times New Roman" w:cs="Times New Roman" w:eastAsia="Times New Roman" w:hint="default"/>
                <w:sz w:val="18"/>
                <w:szCs w:val="18"/>
              </w:rPr>
            </w:pPr>
            <w:r>
              <w:rPr>
                <w:rFonts w:ascii="Times New Roman"/>
                <w:spacing w:val="-3"/>
                <w:sz w:val="18"/>
              </w:rPr>
              <w:t>KAYTRIP</w:t>
            </w:r>
            <w:r>
              <w:rPr>
                <w:rFonts w:ascii="Times New Roman"/>
                <w:spacing w:val="-9"/>
                <w:sz w:val="18"/>
              </w:rPr>
              <w:t> </w:t>
            </w:r>
            <w:r>
              <w:rPr>
                <w:rFonts w:ascii="Times New Roman"/>
                <w:sz w:val="18"/>
              </w:rPr>
              <w:t>DE</w:t>
            </w:r>
            <w:r>
              <w:rPr>
                <w:rFonts w:ascii="Times New Roman"/>
                <w:spacing w:val="-1"/>
                <w:sz w:val="18"/>
              </w:rPr>
              <w:t> </w:t>
            </w:r>
            <w:r>
              <w:rPr>
                <w:rFonts w:ascii="Times New Roman"/>
                <w:sz w:val="18"/>
              </w:rPr>
              <w:t>MEXICO SA</w:t>
            </w:r>
            <w:r>
              <w:rPr>
                <w:rFonts w:ascii="Times New Roman"/>
                <w:spacing w:val="-18"/>
                <w:sz w:val="18"/>
              </w:rPr>
              <w:t> </w:t>
            </w:r>
            <w:r>
              <w:rPr>
                <w:rFonts w:ascii="Times New Roman"/>
                <w:sz w:val="18"/>
              </w:rPr>
              <w:t>DE</w:t>
            </w:r>
            <w:r>
              <w:rPr>
                <w:rFonts w:ascii="Times New Roman"/>
                <w:spacing w:val="-1"/>
                <w:sz w:val="18"/>
              </w:rPr>
              <w:t> </w:t>
            </w:r>
            <w:r>
              <w:rPr>
                <w:rFonts w:ascii="Times New Roman"/>
                <w:sz w:val="18"/>
              </w:rPr>
              <w:t>CV</w:t>
            </w:r>
          </w:p>
        </w:tc>
      </w:tr>
      <w:tr>
        <w:trPr>
          <w:trHeight w:val="1025" w:hRule="exact"/>
        </w:trPr>
        <w:tc>
          <w:tcPr>
            <w:tcW w:w="736" w:type="dxa"/>
            <w:vMerge/>
            <w:tcBorders>
              <w:left w:val="single" w:sz="4" w:space="0" w:color="000000"/>
              <w:bottom w:val="single" w:sz="4" w:space="0" w:color="000000"/>
              <w:right w:val="single" w:sz="4" w:space="0" w:color="000000"/>
            </w:tcBorders>
            <w:shd w:val="clear" w:color="auto" w:fill="D0CECE"/>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r>
      <w:tr>
        <w:trPr>
          <w:trHeight w:val="363" w:hRule="exact"/>
        </w:trPr>
        <w:tc>
          <w:tcPr>
            <w:tcW w:w="736"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6,864,35</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6,864,35</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883,215.</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883,215.</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1,043,28</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1,043,28</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783,240.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783,240.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8,029,90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8,029,90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205,670.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205,670.</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shd w:val="clear" w:color="auto" w:fill="D0CECE"/>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9.20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9.20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32</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32</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2.57</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2.57</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0.56</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0.56</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83</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应收款 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51,165,4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51,165,4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83.06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33,194.3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5,389.47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5,389.47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2,016.64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2,016.64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63" w:hRule="exact"/>
        </w:trPr>
        <w:tc>
          <w:tcPr>
            <w:tcW w:w="736"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30,029,9</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shd w:val="clear" w:color="auto" w:fill="D0CECE"/>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63" w:hRule="exact"/>
        </w:trPr>
        <w:tc>
          <w:tcPr>
            <w:tcW w:w="736"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w:t>
            </w: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391,786.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391,786.</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7,043,31</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7,043,31</w:t>
            </w: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shd w:val="clear" w:color="auto" w:fill="D0CECE"/>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w:t>
            </w: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38</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38</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3.59</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3.59</w:t>
            </w: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63" w:hRule="exact"/>
        </w:trPr>
        <w:tc>
          <w:tcPr>
            <w:tcW w:w="736" w:type="dxa"/>
            <w:tcBorders>
              <w:top w:val="single" w:sz="4" w:space="0" w:color="000000"/>
              <w:left w:val="single" w:sz="4" w:space="0" w:color="000000"/>
              <w:bottom w:val="nil" w:sz="6" w:space="0" w:color="auto"/>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w:t>
            </w: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438,119.</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438,119.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8,178,56</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8,178,56</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24,092.7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24,092.7</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shd w:val="clear" w:color="auto" w:fill="D0CECE"/>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54</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7.88</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7.88</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其他非 流动资 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6"/>
        <w:gridCol w:w="736"/>
        <w:gridCol w:w="737"/>
        <w:gridCol w:w="736"/>
        <w:gridCol w:w="736"/>
        <w:gridCol w:w="737"/>
        <w:gridCol w:w="736"/>
        <w:gridCol w:w="736"/>
      </w:tblGrid>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递延所 得税资 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1,532,90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1,532,90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232,668.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232,668.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应付款 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22,761,6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22,761,6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96.72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1,043,28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1,043,28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递延所 得税负 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7,507,47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预收款 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1,926,89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1,926,89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应付职 工薪酬</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93,051.8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93,051.8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应交税 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1,363,94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1,363,94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4,157.74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4,157.74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135,469.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135,469.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13,824.3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13,824.3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4,016.49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4,016.49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其他应 付款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15,634,5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13.21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15,634,5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13.21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3,029,43</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3,029,43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7,843,87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7,843,87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29,386,7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84.20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6,864,35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12,587,2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75.40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12,587,2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-864,021</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-864,021</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4,947,08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4,947,08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8,761,79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8,761,79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93,024.9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93,024.9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减：少数</w:t>
            </w:r>
            <w:r>
              <w:rPr>
                <w:rFonts w:ascii="宋体" w:hAnsi="宋体" w:cs="宋体" w:eastAsia="宋体" w:hint="default"/>
                <w:sz w:val="18"/>
                <w:szCs w:val="18"/>
              </w:rPr>
              <w:t> 股东权 益</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2,517,45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2,517,45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-259,206</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-259,206</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3,504,71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3,504,71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36,279.7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36,279.7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29,386,7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84.20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6,864,35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10,069,8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20.32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10,069,8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20.32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-604,815</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-604,815</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4,947,08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4,947,08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5,257,07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5,257,07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56,745.2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56,745.2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12"/>
          <w:szCs w:val="12"/>
        </w:rPr>
      </w:pPr>
    </w:p>
    <w:p>
      <w:pPr>
        <w:pStyle w:val="BodyText"/>
        <w:spacing w:line="386" w:lineRule="auto" w:before="0"/>
        <w:ind w:right="0" w:firstLine="423"/>
        <w:jc w:val="left"/>
      </w:pPr>
      <w:r>
        <w:rPr>
          <w:spacing w:val="-1"/>
        </w:rPr>
        <w:t>（</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日经北京市工商行政管理局顺义分局核准注销子公司北京九州联合国际旅行</w:t>
      </w:r>
      <w:r>
        <w:rPr/>
        <w:t> 社有限公司，本期不再将其纳入合并范围。</w:t>
      </w:r>
    </w:p>
    <w:p>
      <w:pPr>
        <w:pStyle w:val="BodyText"/>
        <w:spacing w:line="240" w:lineRule="auto" w:before="65"/>
        <w:ind w:left="577" w:right="0"/>
        <w:jc w:val="left"/>
      </w:pPr>
      <w:r>
        <w:rPr/>
        <w:t>（</w:t>
      </w:r>
      <w:r>
        <w:rPr>
          <w:rFonts w:ascii="Times New Roman" w:hAnsi="Times New Roman" w:cs="Times New Roman" w:eastAsia="Times New Roman" w:hint="default"/>
        </w:rPr>
        <w:t>2</w:t>
      </w:r>
      <w:r>
        <w:rPr/>
        <w:t>）新设中企信商业保理有限公司等</w:t>
      </w:r>
      <w:r>
        <w:rPr>
          <w:rFonts w:ascii="Times New Roman" w:hAnsi="Times New Roman" w:cs="Times New Roman" w:eastAsia="Times New Roman" w:hint="default"/>
        </w:rPr>
        <w:t>1</w:t>
      </w:r>
      <w:r>
        <w:rPr/>
        <w:t>家子公司，情况如下：</w:t>
      </w:r>
    </w:p>
    <w:p>
      <w:pPr>
        <w:spacing w:after="0" w:line="240" w:lineRule="auto"/>
        <w:jc w:val="lef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p>
      <w:pPr>
        <w:spacing w:line="1522" w:lineRule="exact"/>
        <w:ind w:left="116"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461.85pt;height:76.150pt;mso-position-horizontal-relative:char;mso-position-vertical-relative:line" coordorigin="0,0" coordsize="9237,1523">
            <v:group style="position:absolute;left:29;top:15;width:9192;height:2" coordorigin="29,15" coordsize="9192,2">
              <v:shape style="position:absolute;left:29;top:15;width:9192;height:2" coordorigin="29,15" coordsize="9192,0" path="m29,15l9221,15e" filled="false" stroked="true" strokeweight="1.5pt" strokecolor="#000000">
                <v:path arrowok="t"/>
              </v:shape>
            </v:group>
            <v:group style="position:absolute;left:15;top:1508;width:3237;height:2" coordorigin="15,1508" coordsize="3237,2">
              <v:shape style="position:absolute;left:15;top:1508;width:3237;height:2" coordorigin="15,1508" coordsize="3237,0" path="m15,1508l3251,1508e" filled="false" stroked="true" strokeweight="1.5pt" strokecolor="#000000">
                <v:path arrowok="t"/>
              </v:shape>
            </v:group>
            <v:group style="position:absolute;left:3251;top:1508;width:1989;height:2" coordorigin="3251,1508" coordsize="1989,2">
              <v:shape style="position:absolute;left:3251;top:1508;width:1989;height:2" coordorigin="3251,1508" coordsize="1989,0" path="m3251,1508l5240,1508e" filled="false" stroked="true" strokeweight="1.5pt" strokecolor="#000000">
                <v:path arrowok="t"/>
              </v:shape>
            </v:group>
            <v:group style="position:absolute;left:5240;top:1508;width:1989;height:2" coordorigin="5240,1508" coordsize="1989,2">
              <v:shape style="position:absolute;left:5240;top:1508;width:1989;height:2" coordorigin="5240,1508" coordsize="1989,0" path="m5240,1508l7228,1508e" filled="false" stroked="true" strokeweight="1.5pt" strokecolor="#000000">
                <v:path arrowok="t"/>
              </v:shape>
              <v:shape style="position:absolute;left:10;top:1;width:9224;height:1492" type="#_x0000_t75" stroked="false">
                <v:imagedata r:id="rId34" o:title=""/>
              </v:shape>
            </v:group>
            <v:group style="position:absolute;left:7228;top:1508;width:1994;height:2" coordorigin="7228,1508" coordsize="1994,2">
              <v:shape style="position:absolute;left:7228;top:1508;width:1994;height:2" coordorigin="7228,1508" coordsize="1994,0" path="m7228,1508l9221,1508e" filled="false" stroked="true" strokeweight="1.5pt" strokecolor="#000000">
                <v:path arrowok="t"/>
              </v:shape>
              <v:shape style="position:absolute;left:3617;top:215;width:126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新纳入合并范围</w:t>
                      </w:r>
                      <w:r>
                        <w:rPr>
                          <w:rFonts w:ascii="宋体" w:hAnsi="宋体" w:cs="宋体" w:eastAsia="宋体" w:hint="default"/>
                          <w:sz w:val="18"/>
                          <w:szCs w:val="18"/>
                        </w:rPr>
                      </w:r>
                    </w:p>
                  </w:txbxContent>
                </v:textbox>
                <w10:wrap type="none"/>
              </v:shape>
              <v:shape style="position:absolute;left:1462;top:469;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xbxContent>
                </v:textbox>
                <w10:wrap type="none"/>
              </v:shape>
              <v:shape style="position:absolute;left:5787;top:469;width:9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xbxContent>
                </v:textbox>
                <w10:wrap type="none"/>
              </v:shape>
              <v:shape style="position:absolute;left:7774;top:469;width:9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xbxContent>
                </v:textbox>
                <w10:wrap type="none"/>
              </v:shape>
              <v:shape style="position:absolute;left:3979;top:724;width:5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的时间</w:t>
                      </w:r>
                      <w:r>
                        <w:rPr>
                          <w:rFonts w:ascii="宋体" w:hAnsi="宋体" w:cs="宋体" w:eastAsia="宋体" w:hint="default"/>
                          <w:sz w:val="18"/>
                          <w:szCs w:val="18"/>
                        </w:rPr>
                      </w:r>
                    </w:p>
                  </w:txbxContent>
                </v:textbox>
                <w10:wrap type="none"/>
              </v:shape>
              <v:shape style="position:absolute;left:137;top:1205;width:19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中企信商业保理有限公司</w:t>
                      </w:r>
                    </w:p>
                  </w:txbxContent>
                </v:textbox>
                <w10:wrap type="none"/>
              </v:shape>
              <v:shape style="position:absolute;left:3508;top:1205;width:148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5975;top:1204;width:1150;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58,575,266.01</w:t>
                      </w:r>
                      <w:r>
                        <w:rPr>
                          <w:rFonts w:ascii="Times New Roman"/>
                          <w:sz w:val="20"/>
                        </w:rPr>
                      </w:r>
                    </w:p>
                  </w:txbxContent>
                </v:textbox>
                <w10:wrap type="none"/>
              </v:shape>
              <v:shape style="position:absolute;left:7996;top:1204;width:1116;height:201" type="#_x0000_t202" filled="false" stroked="false">
                <v:textbox inset="0,0,0,0">
                  <w:txbxContent>
                    <w:p>
                      <w:pPr>
                        <w:spacing w:line="200" w:lineRule="exact" w:before="0"/>
                        <w:ind w:left="0" w:right="0" w:firstLine="0"/>
                        <w:jc w:val="left"/>
                        <w:rPr>
                          <w:rFonts w:ascii="Times New Roman" w:hAnsi="Times New Roman" w:cs="Times New Roman" w:eastAsia="Times New Roman" w:hint="default"/>
                          <w:sz w:val="20"/>
                          <w:szCs w:val="20"/>
                        </w:rPr>
                      </w:pPr>
                      <w:r>
                        <w:rPr>
                          <w:rFonts w:ascii="Times New Roman"/>
                          <w:spacing w:val="-1"/>
                          <w:sz w:val="20"/>
                        </w:rPr>
                        <w:t>-1,424,733.99</w:t>
                      </w:r>
                      <w:r>
                        <w:rPr>
                          <w:rFonts w:ascii="Times New Roman"/>
                          <w:sz w:val="20"/>
                        </w:rPr>
                      </w:r>
                    </w:p>
                  </w:txbxContent>
                </v:textbox>
                <w10:wrap type="none"/>
              </v:shape>
            </v:group>
          </v:group>
        </w:pict>
      </w:r>
      <w:r>
        <w:rPr>
          <w:rFonts w:ascii="宋体" w:hAnsi="宋体" w:cs="宋体" w:eastAsia="宋体" w:hint="default"/>
          <w:position w:val="-29"/>
          <w:sz w:val="20"/>
          <w:szCs w:val="20"/>
        </w:rPr>
      </w:r>
    </w:p>
    <w:p>
      <w:pPr>
        <w:pStyle w:val="BodyText"/>
        <w:spacing w:line="386" w:lineRule="auto" w:before="64"/>
        <w:ind w:left="677" w:right="0" w:hanging="1"/>
        <w:jc w:val="left"/>
      </w:pPr>
      <w:r>
        <w:rPr/>
        <w:t>（</w:t>
      </w:r>
      <w:r>
        <w:rPr>
          <w:rFonts w:ascii="Times New Roman" w:hAnsi="Times New Roman" w:cs="Times New Roman" w:eastAsia="Times New Roman" w:hint="default"/>
        </w:rPr>
        <w:t>3</w:t>
      </w:r>
      <w:r>
        <w:rPr/>
        <w:t>）其他 </w:t>
      </w:r>
      <w:r>
        <w:rPr>
          <w:spacing w:val="-1"/>
        </w:rPr>
        <w:t>本期公司与北京聚力优游投资管理合伙企业（有限合伙）全体有限合伙人签订了《股权转让协议》，</w:t>
      </w:r>
    </w:p>
    <w:p>
      <w:pPr>
        <w:pStyle w:val="BodyText"/>
        <w:spacing w:line="398" w:lineRule="auto" w:before="65"/>
        <w:ind w:left="254" w:right="151"/>
        <w:jc w:val="both"/>
      </w:pPr>
      <w:r>
        <w:rPr>
          <w:spacing w:val="-1"/>
        </w:rPr>
        <w:t>受让上述有限合伙人持有的北京聚力优游投资管理合伙企业（有限合伙）</w:t>
      </w:r>
      <w:r>
        <w:rPr>
          <w:rFonts w:ascii="Times New Roman" w:hAnsi="Times New Roman" w:cs="Times New Roman" w:eastAsia="Times New Roman" w:hint="default"/>
          <w:spacing w:val="-1"/>
        </w:rPr>
        <w:t>79.33%</w:t>
      </w:r>
      <w:r>
        <w:rPr>
          <w:spacing w:val="-1"/>
        </w:rPr>
        <w:t>的股权，上述股权转让完</w:t>
      </w:r>
      <w:r>
        <w:rPr>
          <w:spacing w:val="-100"/>
        </w:rPr>
        <w:t> </w:t>
      </w:r>
      <w:r>
        <w:rPr>
          <w:spacing w:val="-100"/>
        </w:rPr>
      </w:r>
      <w:r>
        <w:rPr>
          <w:spacing w:val="-1"/>
        </w:rPr>
        <w:t>成后，公司通过北京聚力优游投资管理合伙企业（有限合伙）间接持有众信博睿整合营销咨询股份有限公</w:t>
      </w:r>
      <w:r>
        <w:rPr>
          <w:spacing w:val="-83"/>
        </w:rPr>
        <w:t> </w:t>
      </w:r>
      <w:r>
        <w:rPr>
          <w:spacing w:val="-83"/>
        </w:rPr>
      </w:r>
      <w:r>
        <w:rPr/>
        <w:t>司</w:t>
      </w:r>
      <w:r>
        <w:rPr>
          <w:rFonts w:ascii="Times New Roman" w:hAnsi="Times New Roman" w:cs="Times New Roman" w:eastAsia="Times New Roman" w:hint="default"/>
        </w:rPr>
        <w:t>11.8995%</w:t>
      </w:r>
      <w:r>
        <w:rPr/>
        <w:t>股权，合计持有后者</w:t>
      </w:r>
      <w:r>
        <w:rPr>
          <w:rFonts w:ascii="Times New Roman" w:hAnsi="Times New Roman" w:cs="Times New Roman" w:eastAsia="Times New Roman" w:hint="default"/>
        </w:rPr>
        <w:t>96.8995%</w:t>
      </w:r>
      <w:r>
        <w:rPr/>
        <w:t>股权。九、在其他主体中的权益</w:t>
      </w:r>
    </w:p>
    <w:p>
      <w:pPr>
        <w:spacing w:line="240" w:lineRule="auto" w:before="11"/>
        <w:rPr>
          <w:rFonts w:ascii="宋体" w:hAnsi="宋体" w:cs="宋体" w:eastAsia="宋体" w:hint="default"/>
          <w:sz w:val="18"/>
          <w:szCs w:val="18"/>
        </w:rPr>
      </w:pPr>
    </w:p>
    <w:p>
      <w:pPr>
        <w:pStyle w:val="Heading6"/>
        <w:spacing w:line="240" w:lineRule="auto"/>
        <w:ind w:left="254"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254"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上海众信国际旅 行社有限公司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上海市普陀区真 光路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成都市锦江区东</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四川众信国际旅 行社有限公司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御街</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栋</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,2807</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北京优拓航空服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机票销售代理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众信博睿整合营 销咨询股份有限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both"/>
              <w:rPr>
                <w:rFonts w:ascii="宋体" w:hAnsi="宋体" w:cs="宋体" w:eastAsia="宋体" w:hint="default"/>
                <w:sz w:val="18"/>
                <w:szCs w:val="18"/>
              </w:rPr>
            </w:pPr>
            <w:r>
              <w:rPr>
                <w:rFonts w:ascii="宋体" w:hAnsi="宋体" w:cs="宋体" w:eastAsia="宋体" w:hint="default"/>
                <w:sz w:val="18"/>
                <w:szCs w:val="18"/>
              </w:rPr>
              <w:t>北京市顺义区空 港街道三山新新 家园四区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整合营销服务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754" w:right="0"/>
              <w:jc w:val="left"/>
              <w:rPr>
                <w:rFonts w:ascii="Times New Roman" w:hAnsi="Times New Roman" w:cs="Times New Roman" w:eastAsia="Times New Roman" w:hint="default"/>
                <w:sz w:val="18"/>
                <w:szCs w:val="18"/>
              </w:rPr>
            </w:pPr>
            <w:r>
              <w:rPr>
                <w:rFonts w:ascii="Times New Roman"/>
                <w:sz w:val="18"/>
              </w:rPr>
              <w:t>11.8995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北京聚力优游投</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北京市朝阳区朝</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资管理合伙企业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79.33</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北京众信奇迹国</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北京市朝阳区朝</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际旅行社有限公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92.00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浙江众信旅行社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上城区惠民路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877" w:footer="982" w:top="1100" w:bottom="1180" w:left="8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Hongkong</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UTour</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香港湾仔皇后大</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International</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道东</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号东美中</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Travel</w:t>
            </w:r>
            <w:r>
              <w:rPr>
                <w:rFonts w:ascii="Times New Roman"/>
                <w:spacing w:val="-3"/>
                <w:sz w:val="21"/>
              </w:rPr>
              <w:t> </w:t>
            </w:r>
            <w:r>
              <w:rPr>
                <w:rFonts w:ascii="Times New Roman"/>
                <w:sz w:val="21"/>
              </w:rPr>
              <w:t>Service</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45"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Co.,</w:t>
            </w:r>
            <w:r>
              <w:rPr>
                <w:rFonts w:ascii="Times New Roman"/>
                <w:spacing w:val="-4"/>
                <w:sz w:val="21"/>
              </w:rPr>
              <w:t> </w:t>
            </w:r>
            <w:r>
              <w:rPr>
                <w:rFonts w:ascii="Times New Roman"/>
                <w:sz w:val="21"/>
              </w:rPr>
              <w:t>Limited</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北京悠联货币汇 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货币兑换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上海巨龙国际旅 行社有限公司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上海市普陀区真 光路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上海优葵投资管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中国（上海）自 由贸易实验区加 枫路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投资管理、资产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竹园国际旅行社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天津众信悠哉网 国际旅行社有限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天津华苑产业区 海泰西路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号北</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工业孵化</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云南省昆明市官</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云南众信国际旅 行社有限公司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渡区环城南路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号云路中心</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太原市迎泽区迎</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太原众信旅行社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泽南街鼎元时代 中心</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C</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深圳市罗湖区南</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深圳众信国际旅 行社有限公司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湖街道嘉宾路城 市天地广场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1108</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重庆众信国际旅 行社有限公司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重庆市渝中区五 一路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号一单元</w:t>
            </w:r>
          </w:p>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北京开元周游国 际旅行社股份有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北京市朝阳区朝 阳门外大街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幢联合大厦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厦门开元周游投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厦门市思明区仙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92.340302pt;margin-top:106.199997pt;width:101.05pt;height:50.85pt;mso-position-horizontal-relative:page;mso-position-vertical-relative:page;z-index:-10906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125.519997pt;margin-top:106.199997pt;width:67.9pt;height:50.85pt;mso-position-horizontal-relative:page;mso-position-vertical-relative:page;z-index:-1090576" coordorigin="2510,2124" coordsize="1358,1017">
            <v:group style="position:absolute;left:2510;top:2124;width:1358;height:1017" coordorigin="2510,2124" coordsize="1358,1017">
              <v:shape style="position:absolute;left:2510;top:2124;width:1358;height:1017" coordorigin="2510,2124" coordsize="1358,1017" path="m2510,3140l3868,3140,3868,2124,2510,2124,2510,3140xe" filled="true" fillcolor="#ffffff" stroked="false">
                <v:path arrowok="t"/>
                <v:fill type="solid"/>
              </v:shape>
            </v:group>
            <v:group style="position:absolute;left:2533;top:2436;width:1311;height:393" coordorigin="2533,2436" coordsize="1311,393">
              <v:shape style="position:absolute;left:2533;top:2436;width:1311;height:393" coordorigin="2533,2436" coordsize="1311,393" path="m2533,2828l3844,2828,3844,2436,2533,2436,2533,282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资管理合伙企业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岳二里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室之三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众信嘉业 国际文化交流有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旅游业、会议服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辽宁众信旅行社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沈阳市沈河区惠 工街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 </w:t>
            </w:r>
            <w:r>
              <w:rPr>
                <w:rFonts w:ascii="宋体" w:hAnsi="宋体" w:cs="宋体" w:eastAsia="宋体" w:hint="default"/>
                <w:sz w:val="18"/>
                <w:szCs w:val="18"/>
              </w:rPr>
              <w:t>乙号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北京优达出入境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号一</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出入境服务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广州市越秀区解</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广州优贷小额贷 款有限公司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放南路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1703 </w:t>
            </w:r>
            <w:r>
              <w:rPr>
                <w:rFonts w:ascii="宋体" w:hAnsi="宋体" w:cs="宋体" w:eastAsia="宋体" w:hint="default"/>
                <w:sz w:val="18"/>
                <w:szCs w:val="18"/>
              </w:rPr>
              <w:t>房</w:t>
            </w:r>
            <w:r>
              <w:rPr>
                <w:rFonts w:ascii="Times New Roman" w:hAnsi="Times New Roman" w:cs="Times New Roman" w:eastAsia="Times New Roman" w:hint="default"/>
                <w:sz w:val="18"/>
                <w:szCs w:val="18"/>
              </w:rPr>
              <w:t>(</w:t>
            </w:r>
            <w:r>
              <w:rPr>
                <w:rFonts w:ascii="宋体" w:hAnsi="宋体" w:cs="宋体" w:eastAsia="宋体" w:hint="default"/>
                <w:sz w:val="18"/>
                <w:szCs w:val="18"/>
              </w:rPr>
              <w:t>仅限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货币金融服务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办公用途</w:t>
            </w:r>
            <w:r>
              <w:rPr>
                <w:rFonts w:ascii="Times New Roman" w:hAnsi="Times New Roman" w:cs="Times New Roman" w:eastAsia="Times New Roman"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广州优盛互联网 金融信息服务有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广州市越秀区解 放南路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302" w:lineRule="auto"/>
              <w:ind w:left="22"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r>
              <w:rPr>
                <w:rFonts w:ascii="Times New Roman" w:hAnsi="Times New Roman" w:cs="Times New Roman" w:eastAsia="Times New Roman" w:hint="default"/>
                <w:sz w:val="18"/>
                <w:szCs w:val="18"/>
              </w:rPr>
              <w:t>(</w:t>
            </w:r>
            <w:r>
              <w:rPr>
                <w:rFonts w:ascii="宋体" w:hAnsi="宋体" w:cs="宋体" w:eastAsia="宋体" w:hint="default"/>
                <w:sz w:val="18"/>
                <w:szCs w:val="18"/>
              </w:rPr>
              <w:t>仅限</w:t>
            </w:r>
            <w:r>
              <w:rPr>
                <w:rFonts w:ascii="宋体" w:hAnsi="宋体" w:cs="宋体" w:eastAsia="宋体" w:hint="default"/>
                <w:spacing w:val="1"/>
                <w:sz w:val="18"/>
                <w:szCs w:val="18"/>
              </w:rPr>
              <w:t> </w:t>
            </w:r>
            <w:r>
              <w:rPr>
                <w:rFonts w:ascii="宋体" w:hAnsi="宋体" w:cs="宋体" w:eastAsia="宋体" w:hint="default"/>
                <w:sz w:val="18"/>
                <w:szCs w:val="18"/>
              </w:rPr>
              <w:t>办公用途</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互联网金融信息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西安碑林区雁塔</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陕西众信旅行社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路北段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号中铁 第壹国际</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长沙市雨花区迎</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湖南众信旅行社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号坤颐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湖北众信悠哉国 际旅行社有限公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武汉市江汉区中 央商务区泛海国 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SOHO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北京众信优游国</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北京市朝阳区朝</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际旅行社有限公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北京市北京经济</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北京优玖科技有 限责任公司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技术开发区宏达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北京众信优学国</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北京市朝阳区朝</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际旅行社有限公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2"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杭州四达因私出 入境服务有限公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浙江省杭州市上 城区青平里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出入境服务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广州市越秀区解</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广州众信旅行社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放南路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1703 </w:t>
            </w:r>
            <w:r>
              <w:rPr>
                <w:rFonts w:ascii="宋体" w:hAnsi="宋体" w:cs="宋体" w:eastAsia="宋体" w:hint="default"/>
                <w:sz w:val="18"/>
                <w:szCs w:val="18"/>
              </w:rPr>
              <w:t>房</w:t>
            </w:r>
            <w:r>
              <w:rPr>
                <w:rFonts w:ascii="Times New Roman" w:hAnsi="Times New Roman" w:cs="Times New Roman" w:eastAsia="Times New Roman" w:hint="default"/>
                <w:sz w:val="18"/>
                <w:szCs w:val="18"/>
              </w:rPr>
              <w:t>(</w:t>
            </w:r>
            <w:r>
              <w:rPr>
                <w:rFonts w:ascii="宋体" w:hAnsi="宋体" w:cs="宋体" w:eastAsia="宋体" w:hint="default"/>
                <w:sz w:val="18"/>
                <w:szCs w:val="18"/>
              </w:rPr>
              <w:t>仅限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办公用途</w:t>
            </w:r>
            <w:r>
              <w:rPr>
                <w:rFonts w:ascii="Times New Roman" w:hAnsi="Times New Roman" w:cs="Times New Roman" w:eastAsia="Times New Roman"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优耐德（北京） 国际旅行社有限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厦门市思明区湖</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厦门众信凡星教 育科技有限公司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滨南路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号禹州</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2206-2207</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单元</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北京优展逸途国 际旅行社有限公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旅游业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天津自贸试验区</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4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中企信商业保理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（空港经济区） 空港国际物流区 第二大街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北京优泰科网络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北京市朝阳区朝 阳公园路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号西</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302" w:lineRule="auto"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公司直接加间接持有北京开元周游国际旅行社股份有限公司</w:t>
      </w:r>
      <w:r>
        <w:rPr>
          <w:rFonts w:ascii="Times New Roman" w:hAnsi="Times New Roman" w:cs="Times New Roman" w:eastAsia="Times New Roman" w:hint="default"/>
          <w:sz w:val="18"/>
          <w:szCs w:val="18"/>
        </w:rPr>
        <w:t>50.97%</w:t>
      </w:r>
      <w:r>
        <w:rPr>
          <w:rFonts w:ascii="宋体" w:hAnsi="宋体" w:cs="宋体" w:eastAsia="宋体" w:hint="default"/>
          <w:sz w:val="18"/>
          <w:szCs w:val="18"/>
        </w:rPr>
        <w:t>的股权，公司对北京开元周游国际旅行社股份有限公司</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控制权未发生改变。</w:t>
      </w:r>
    </w:p>
    <w:p>
      <w:pPr>
        <w:spacing w:line="240" w:lineRule="auto" w:before="2"/>
        <w:rPr>
          <w:rFonts w:ascii="宋体" w:hAnsi="宋体" w:cs="宋体" w:eastAsia="宋体" w:hint="default"/>
          <w:sz w:val="23"/>
          <w:szCs w:val="23"/>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7"/>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竹园国际旅行社有限公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37,399,767.58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144,844,670.24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众信博睿整合营销咨询 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4,873,444.45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5,381,418.95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竹园国</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际旅行</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839,748,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w w:val="95"/>
                <w:sz w:val="18"/>
              </w:rPr>
              <w:t>23,911,5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863,659,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380,844,</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380,844,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627,688,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26,352,3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654,040,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295,652,</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295,652,</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社有限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301.42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06.86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808.28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792.58</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792.58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589.68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56.97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946.65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289.71</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289.71</w:t>
            </w:r>
          </w:p>
        </w:tc>
      </w:tr>
      <w:tr>
        <w:trPr>
          <w:trHeight w:val="35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众信博</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睿整合</w:t>
            </w: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营销咨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351,206,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12,215,0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363,421,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189,168,</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189,168,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270,030,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4,298,61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274,329,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132,859,</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132,859,</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询股份</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694.09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61.90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755.99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049.31</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049.31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601.32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212.00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524.85</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524.85</w:t>
            </w:r>
          </w:p>
        </w:tc>
      </w:tr>
      <w:tr>
        <w:trPr>
          <w:trHeight w:val="30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竹园国际旅 行社有限公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4,958,631,08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124,665,749.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124,426,358.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95,402,858.3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3,809,263,66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91,394,789.3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91,564,239.1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106,679,332.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众信博睿整</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合营销咨询 股份有限公</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877,410,113.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42,294,019.5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42,294,019.5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7,980,377.44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706,780,758.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32,184,596.8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32,184,596.8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5,046,070.86</w:t>
            </w: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both"/>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690" w:lineRule="exact" w:before="15"/>
        <w:ind w:left="578" w:right="0" w:hanging="42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pacing w:val="-1"/>
          <w:sz w:val="21"/>
          <w:szCs w:val="21"/>
        </w:rPr>
        <w:t>本期公司购买子公司众信博睿整合营销咨询股份有限公司、上海巨龙国际旅行社有限公司、北京优展</w:t>
      </w:r>
    </w:p>
    <w:p>
      <w:pPr>
        <w:pStyle w:val="BodyText"/>
        <w:spacing w:line="398" w:lineRule="auto" w:before="84"/>
        <w:ind w:right="150"/>
        <w:jc w:val="both"/>
      </w:pPr>
      <w:r>
        <w:rPr>
          <w:spacing w:val="-1"/>
        </w:rPr>
        <w:t>逸途国际旅行社有限公司、广州众信旅行社有限公司的少数股权，在编制合并报表时，新取得的长期股权</w:t>
      </w:r>
      <w:r>
        <w:rPr>
          <w:spacing w:val="-83"/>
        </w:rPr>
        <w:t> </w:t>
      </w:r>
      <w:r>
        <w:rPr>
          <w:spacing w:val="-83"/>
        </w:rPr>
      </w:r>
      <w:r>
        <w:rPr>
          <w:spacing w:val="2"/>
        </w:rPr>
        <w:t>投资与按照新增持股比例计算应享有子公司自购买日开始持续计算的净资产份额之间的差额</w:t>
      </w:r>
      <w:r>
        <w:rPr>
          <w:rFonts w:ascii="Times New Roman" w:hAnsi="Times New Roman" w:cs="Times New Roman" w:eastAsia="Times New Roman" w:hint="default"/>
          <w:spacing w:val="2"/>
        </w:rPr>
        <w:t>9,375,888.74</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元，调整资本公积。</w:t>
      </w:r>
    </w:p>
    <w:p>
      <w:pPr>
        <w:spacing w:line="240" w:lineRule="auto" w:before="3"/>
        <w:rPr>
          <w:rFonts w:ascii="宋体" w:hAnsi="宋体" w:cs="宋体" w:eastAsia="宋体" w:hint="default"/>
          <w:sz w:val="21"/>
          <w:szCs w:val="21"/>
        </w:rPr>
      </w:pPr>
    </w:p>
    <w:p>
      <w:pPr>
        <w:pStyle w:val="Heading6"/>
        <w:spacing w:line="240" w:lineRule="auto"/>
        <w:ind w:left="153" w:right="0"/>
        <w:jc w:val="both"/>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54,974,705.62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54,974,705.62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45,598,816.88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9,375,888.74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9,375,888.74</w:t>
            </w:r>
          </w:p>
        </w:tc>
      </w:tr>
    </w:tbl>
    <w:p>
      <w:pPr>
        <w:spacing w:line="240" w:lineRule="auto" w:before="2"/>
        <w:rPr>
          <w:rFonts w:ascii="宋体" w:hAnsi="宋体" w:cs="宋体" w:eastAsia="宋体" w:hint="default"/>
          <w:sz w:val="19"/>
          <w:szCs w:val="19"/>
        </w:rPr>
      </w:pPr>
    </w:p>
    <w:p>
      <w:pPr>
        <w:pStyle w:val="Heading6"/>
        <w:spacing w:line="240" w:lineRule="auto" w:before="35"/>
        <w:ind w:right="102"/>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02"/>
        <w:jc w:val="left"/>
        <w:rPr>
          <w:b w:val="0"/>
          <w:bCs w:val="0"/>
        </w:rPr>
      </w:pP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76,429,185.23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67,512,136.24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8,690,231.13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5,806,059.22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-478,781.34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338,899.64</w:t>
            </w:r>
          </w:p>
        </w:tc>
      </w:tr>
    </w:tbl>
    <w:p>
      <w:pPr>
        <w:spacing w:line="240" w:lineRule="auto" w:before="2"/>
        <w:rPr>
          <w:rFonts w:ascii="宋体" w:hAnsi="宋体" w:cs="宋体" w:eastAsia="宋体" w:hint="default"/>
          <w:sz w:val="19"/>
          <w:szCs w:val="19"/>
        </w:rPr>
      </w:pPr>
    </w:p>
    <w:p>
      <w:pPr>
        <w:pStyle w:val="Heading6"/>
        <w:spacing w:line="240" w:lineRule="auto" w:before="35"/>
        <w:ind w:right="102"/>
        <w:jc w:val="left"/>
        <w:rPr>
          <w:b w:val="0"/>
          <w:bCs w:val="0"/>
        </w:rPr>
      </w:pPr>
      <w:r>
        <w:rPr/>
        <w:t>（</w:t>
      </w:r>
      <w:r>
        <w:rPr>
          <w:rFonts w:ascii="Times New Roman" w:hAnsi="Times New Roman" w:cs="Times New Roman" w:eastAsia="Times New Roman" w:hint="default"/>
        </w:rPr>
        <w:t>2</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北京众信奇迹来跑吧国际旅 行社有限公司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9" w:right="0"/>
              <w:jc w:val="left"/>
              <w:rPr>
                <w:rFonts w:ascii="Times New Roman" w:hAnsi="Times New Roman" w:cs="Times New Roman" w:eastAsia="Times New Roman" w:hint="default"/>
                <w:sz w:val="18"/>
                <w:szCs w:val="18"/>
              </w:rPr>
            </w:pPr>
            <w:r>
              <w:rPr>
                <w:rFonts w:ascii="Times New Roman"/>
                <w:sz w:val="18"/>
              </w:rPr>
              <w:t>-514,730.38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62,638.68</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-452,091.70</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HOTEL</w:t>
            </w:r>
            <w:r>
              <w:rPr>
                <w:rFonts w:ascii="Times New Roman"/>
                <w:spacing w:val="-20"/>
                <w:sz w:val="18"/>
              </w:rPr>
              <w:t> </w:t>
            </w:r>
            <w:r>
              <w:rPr>
                <w:rFonts w:ascii="Times New Roman"/>
                <w:sz w:val="18"/>
              </w:rPr>
              <w:t>FUJIZAKURA</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Co.,Ltd.</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-3,118.89</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-3,118.89</w:t>
            </w:r>
          </w:p>
        </w:tc>
      </w:tr>
    </w:tbl>
    <w:p>
      <w:pPr>
        <w:spacing w:line="240" w:lineRule="auto" w:before="2"/>
        <w:rPr>
          <w:rFonts w:ascii="宋体" w:hAnsi="宋体" w:cs="宋体" w:eastAsia="宋体" w:hint="default"/>
          <w:sz w:val="18"/>
          <w:szCs w:val="18"/>
        </w:rPr>
      </w:pPr>
    </w:p>
    <w:p>
      <w:pPr>
        <w:pStyle w:val="Heading2"/>
        <w:spacing w:line="240" w:lineRule="auto" w:before="26"/>
        <w:ind w:right="6771"/>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 w:firstLine="520"/>
        <w:jc w:val="left"/>
      </w:pPr>
      <w:r>
        <w:rPr/>
        <w:t>本公司的主要金融工具，除衍生工具外，包括货币资金、应收账款、发放贷款及垫款、可供出售金 融资产、借款、应付账款等，本公司在经营过程中面临各种金融风险：信用风险、市场风险和流动风险。</w:t>
      </w:r>
    </w:p>
    <w:p>
      <w:pPr>
        <w:pStyle w:val="BodyText"/>
        <w:spacing w:line="386" w:lineRule="auto"/>
        <w:ind w:left="578" w:right="1846"/>
        <w:jc w:val="left"/>
      </w:pPr>
      <w:r>
        <w:rPr>
          <w:rFonts w:ascii="Times New Roman" w:hAnsi="Times New Roman" w:cs="Times New Roman" w:eastAsia="Times New Roman" w:hint="default"/>
        </w:rPr>
        <w:t>1</w:t>
      </w:r>
      <w:r>
        <w:rPr/>
        <w:t>、</w:t>
      </w:r>
      <w:r>
        <w:rPr>
          <w:spacing w:val="-1"/>
        </w:rPr>
        <w:t> </w:t>
      </w:r>
      <w:r>
        <w:rPr/>
        <w:t>信用风险</w:t>
      </w:r>
      <w:r>
        <w:rPr/>
        <w:t> 信用风险，是指金融工具的一方不能履行义务，造成另一方发生财务损失的风险。</w:t>
      </w:r>
    </w:p>
    <w:p>
      <w:pPr>
        <w:spacing w:after="0" w:line="386" w:lineRule="auto"/>
        <w:jc w:val="left"/>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pStyle w:val="BodyText"/>
        <w:spacing w:line="408" w:lineRule="auto" w:before="35"/>
        <w:ind w:right="310" w:firstLine="424"/>
        <w:jc w:val="both"/>
      </w:pPr>
      <w:r>
        <w:rPr>
          <w:spacing w:val="-1"/>
        </w:rPr>
        <w:t>本公司仅与经认可的、信誉良好的第三方进行交易。按照本公司的政策，需对所有要求采用信用方式</w:t>
      </w:r>
      <w:r>
        <w:rPr/>
        <w:t> </w:t>
      </w:r>
      <w:r>
        <w:rPr>
          <w:spacing w:val="-1"/>
        </w:rPr>
        <w:t>进行交易的客户进行信用审核。另外，本公司对应收账款余额进行持续监控，以确保公司不致面临重大坏</w:t>
      </w:r>
      <w:r>
        <w:rPr>
          <w:spacing w:val="-83"/>
        </w:rPr>
        <w:t> </w:t>
      </w:r>
      <w:r>
        <w:rPr>
          <w:spacing w:val="-83"/>
        </w:rPr>
      </w:r>
      <w:r>
        <w:rPr/>
        <w:t>账风险。</w:t>
      </w:r>
    </w:p>
    <w:p>
      <w:pPr>
        <w:pStyle w:val="BodyText"/>
        <w:spacing w:line="408" w:lineRule="auto"/>
        <w:ind w:right="311" w:firstLine="424"/>
        <w:jc w:val="both"/>
      </w:pPr>
      <w:r>
        <w:rPr>
          <w:spacing w:val="-1"/>
        </w:rPr>
        <w:t>本公司其他金融资产包括货币资金、可供出售的金融资产、以公允价值计量且其变动计入当期损益的</w:t>
      </w:r>
      <w:r>
        <w:rPr/>
        <w:t> </w:t>
      </w:r>
      <w:r>
        <w:rPr>
          <w:spacing w:val="-1"/>
        </w:rPr>
        <w:t>金融资产及其他应收款等，这些金融资产的信用风险源自交易对手违约，最大风险敞口等于这些工具的账</w:t>
      </w:r>
      <w:r>
        <w:rPr>
          <w:spacing w:val="-81"/>
        </w:rPr>
        <w:t> </w:t>
      </w:r>
      <w:r>
        <w:rPr>
          <w:spacing w:val="-81"/>
        </w:rPr>
      </w:r>
      <w:r>
        <w:rPr/>
        <w:t>面金额。</w:t>
      </w:r>
    </w:p>
    <w:p>
      <w:pPr>
        <w:pStyle w:val="BodyText"/>
        <w:spacing w:line="398" w:lineRule="auto"/>
        <w:ind w:right="307" w:firstLine="424"/>
        <w:jc w:val="both"/>
      </w:pPr>
      <w:r>
        <w:rPr>
          <w:spacing w:val="-1"/>
        </w:rPr>
        <w:t>本公司与客户的交易因业务性质和客户的信誉不同，存在一定的信用交易，一般要求新客户和零售客</w:t>
      </w:r>
      <w:r>
        <w:rPr/>
        <w:t> 户以预付款项的方式进行交易，存在信用期的交易，信用期通常不超过</w:t>
      </w:r>
      <w:r>
        <w:rPr>
          <w:rFonts w:ascii="Times New Roman" w:hAnsi="Times New Roman" w:cs="Times New Roman" w:eastAsia="Times New Roman" w:hint="default"/>
        </w:rPr>
        <w:t>3</w:t>
      </w:r>
      <w:r>
        <w:rPr/>
        <w:t>个月，交易记录良好的客户可获</w:t>
      </w:r>
      <w:r>
        <w:rPr>
          <w:spacing w:val="-35"/>
        </w:rPr>
        <w:t> </w:t>
      </w:r>
      <w:r>
        <w:rPr>
          <w:spacing w:val="-35"/>
        </w:rPr>
      </w:r>
      <w:r>
        <w:rPr/>
        <w:t>得比较长的信用期。</w:t>
      </w:r>
    </w:p>
    <w:p>
      <w:pPr>
        <w:pStyle w:val="BodyText"/>
        <w:spacing w:line="403" w:lineRule="auto" w:before="54"/>
        <w:ind w:right="311" w:firstLine="424"/>
        <w:jc w:val="both"/>
      </w:pPr>
      <w:r>
        <w:rPr>
          <w:spacing w:val="-1"/>
        </w:rPr>
        <w:t>信用风险集中按照客户、地理区域和行业进行管理。由于本公司的应收账款客户群主要集中在出境游</w:t>
      </w:r>
      <w:r>
        <w:rPr/>
        <w:t> </w:t>
      </w:r>
      <w:r>
        <w:rPr>
          <w:spacing w:val="-1"/>
        </w:rPr>
        <w:t>业务商务会奖旅游业务，虽行业相对集中，但客户相对分散，且应收账款余额占公司销售收入的比例非常</w:t>
      </w:r>
      <w:r>
        <w:rPr>
          <w:spacing w:val="-83"/>
        </w:rPr>
        <w:t> </w:t>
      </w:r>
      <w:r>
        <w:rPr>
          <w:spacing w:val="-83"/>
        </w:rPr>
      </w:r>
      <w:r>
        <w:rPr>
          <w:spacing w:val="-1"/>
        </w:rPr>
        <w:t>小，因此在本公司内部不存在重大信用风险集中。合并资产负债表中应收账款的账面价值是本公司可能面</w:t>
      </w:r>
      <w:r>
        <w:rPr>
          <w:spacing w:val="-81"/>
        </w:rPr>
        <w:t> </w:t>
      </w:r>
      <w:r>
        <w:rPr>
          <w:spacing w:val="-81"/>
        </w:rPr>
      </w:r>
      <w:r>
        <w:rPr>
          <w:spacing w:val="-1"/>
        </w:rPr>
        <w:t>临的最大信用风险。截至报告期末，本公司的应收账款中应收账款前五名客户的款项占</w:t>
      </w:r>
      <w:r>
        <w:rPr>
          <w:rFonts w:ascii="Times New Roman" w:hAnsi="Times New Roman" w:cs="Times New Roman" w:eastAsia="Times New Roman" w:hint="default"/>
          <w:spacing w:val="-1"/>
        </w:rPr>
        <w:t>19.84%</w:t>
      </w:r>
      <w:r>
        <w:rPr>
          <w:spacing w:val="-1"/>
        </w:rPr>
        <w:t>，本公司并</w:t>
      </w:r>
      <w:r>
        <w:rPr>
          <w:spacing w:val="-100"/>
        </w:rPr>
        <w:t> </w:t>
      </w:r>
      <w:r>
        <w:rPr>
          <w:spacing w:val="-100"/>
        </w:rPr>
      </w:r>
      <w:r>
        <w:rPr/>
        <w:t>未面临重大信用集中风险。</w:t>
      </w:r>
    </w:p>
    <w:p>
      <w:pPr>
        <w:pStyle w:val="BodyText"/>
        <w:spacing w:line="386" w:lineRule="auto" w:before="50"/>
        <w:ind w:left="578" w:right="90"/>
        <w:jc w:val="left"/>
      </w:pPr>
      <w:r>
        <w:rPr>
          <w:rFonts w:ascii="Times New Roman" w:hAnsi="Times New Roman" w:cs="Times New Roman" w:eastAsia="Times New Roman" w:hint="default"/>
        </w:rPr>
        <w:t>2</w:t>
      </w:r>
      <w:r>
        <w:rPr/>
        <w:t>、市场风险 </w:t>
      </w:r>
      <w:r>
        <w:rPr>
          <w:spacing w:val="-1"/>
        </w:rPr>
        <w:t>市场风险，是指金融工具的公允价值或未来现金流量因市场价格变动而发生波动的风险，包括汇率风</w:t>
      </w:r>
    </w:p>
    <w:p>
      <w:pPr>
        <w:pStyle w:val="BodyText"/>
        <w:spacing w:line="240" w:lineRule="auto" w:before="65"/>
        <w:ind w:right="90"/>
        <w:jc w:val="left"/>
      </w:pPr>
      <w:r>
        <w:rPr/>
        <w:t>险、利率风险和其他价格风险。</w:t>
      </w:r>
    </w:p>
    <w:p>
      <w:pPr>
        <w:spacing w:line="240" w:lineRule="auto" w:before="10"/>
        <w:rPr>
          <w:rFonts w:ascii="宋体" w:hAnsi="宋体" w:cs="宋体" w:eastAsia="宋体" w:hint="default"/>
          <w:sz w:val="14"/>
          <w:szCs w:val="14"/>
        </w:rPr>
      </w:pPr>
    </w:p>
    <w:p>
      <w:pPr>
        <w:pStyle w:val="BodyText"/>
        <w:spacing w:line="386" w:lineRule="auto" w:before="0"/>
        <w:ind w:left="578" w:right="303"/>
        <w:jc w:val="left"/>
      </w:pPr>
      <w:r>
        <w:rPr/>
        <w:t>（</w:t>
      </w:r>
      <w:r>
        <w:rPr>
          <w:rFonts w:ascii="Times New Roman" w:hAnsi="Times New Roman" w:cs="Times New Roman" w:eastAsia="Times New Roman" w:hint="default"/>
        </w:rPr>
        <w:t>1</w:t>
      </w:r>
      <w:r>
        <w:rPr/>
        <w:t>）汇率风险 汇率风险，是指金融工具的公允价值或未来现金流量因外汇汇率变动而发生波动的风险。</w:t>
      </w:r>
      <w:r>
        <w:rPr>
          <w:spacing w:val="68"/>
        </w:rPr>
        <w:t> </w:t>
      </w:r>
      <w:r>
        <w:rPr/>
        <w:t>汇率风险</w:t>
      </w:r>
    </w:p>
    <w:p>
      <w:pPr>
        <w:pStyle w:val="BodyText"/>
        <w:spacing w:line="408" w:lineRule="auto" w:before="65"/>
        <w:ind w:right="90"/>
        <w:jc w:val="left"/>
      </w:pPr>
      <w:r>
        <w:rPr>
          <w:spacing w:val="-1"/>
        </w:rPr>
        <w:t>的敏感性分析反映了在其他变量不变的假设下，外币汇率发生合理、可能的变动时，由于货币性资产和货</w:t>
      </w:r>
      <w:r>
        <w:rPr>
          <w:spacing w:val="-83"/>
        </w:rPr>
        <w:t> </w:t>
      </w:r>
      <w:r>
        <w:rPr>
          <w:spacing w:val="-83"/>
        </w:rPr>
      </w:r>
      <w:r>
        <w:rPr/>
        <w:t>币性负债的公允价值变化将对净利润和股东权益产生的影响。</w:t>
      </w:r>
    </w:p>
    <w:p>
      <w:pPr>
        <w:pStyle w:val="BodyText"/>
        <w:spacing w:line="240" w:lineRule="auto"/>
        <w:ind w:left="578" w:right="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日，对于本公司外币货币性金融资产和货币性金融负债，如果人民币对外币升值或贬值</w:t>
      </w:r>
    </w:p>
    <w:p>
      <w:pPr>
        <w:pStyle w:val="BodyText"/>
        <w:spacing w:line="386" w:lineRule="auto" w:before="177"/>
        <w:ind w:right="90"/>
        <w:jc w:val="left"/>
      </w:pPr>
      <w:r>
        <w:rPr>
          <w:rFonts w:ascii="Times New Roman" w:hAnsi="Times New Roman" w:cs="Times New Roman" w:eastAsia="Times New Roman" w:hint="default"/>
        </w:rPr>
        <w:t>1%</w:t>
      </w:r>
      <w:r>
        <w:rPr/>
        <w:t>，而其他因素保持不变，则本公司净利润将增加或减少约</w:t>
      </w:r>
      <w:r>
        <w:rPr>
          <w:rFonts w:ascii="Times New Roman" w:hAnsi="Times New Roman" w:cs="Times New Roman" w:eastAsia="Times New Roman" w:hint="default"/>
        </w:rPr>
        <w:t>1,060,441.24</w:t>
      </w:r>
      <w:r>
        <w:rPr/>
        <w:t>元，不包括留存收益的股东权益</w:t>
      </w:r>
      <w:r>
        <w:rPr>
          <w:spacing w:val="-56"/>
        </w:rPr>
        <w:t> </w:t>
      </w:r>
      <w:r>
        <w:rPr>
          <w:spacing w:val="-56"/>
        </w:rPr>
      </w:r>
      <w:r>
        <w:rPr/>
        <w:t>将增加或减少约</w:t>
      </w:r>
      <w:r>
        <w:rPr>
          <w:rFonts w:ascii="Times New Roman" w:hAnsi="Times New Roman" w:cs="Times New Roman" w:eastAsia="Times New Roman" w:hint="default"/>
        </w:rPr>
        <w:t>1,060,441.24</w:t>
      </w:r>
      <w:r>
        <w:rPr/>
        <w:t>元。</w:t>
      </w:r>
    </w:p>
    <w:p>
      <w:pPr>
        <w:pStyle w:val="BodyText"/>
        <w:spacing w:line="398" w:lineRule="auto" w:before="35"/>
        <w:ind w:left="578" w:right="90"/>
        <w:jc w:val="left"/>
      </w:pPr>
      <w:r>
        <w:rPr/>
        <w:t>（</w:t>
      </w:r>
      <w:r>
        <w:rPr>
          <w:rFonts w:ascii="Times New Roman" w:hAnsi="Times New Roman" w:cs="Times New Roman" w:eastAsia="Times New Roman" w:hint="default"/>
        </w:rPr>
        <w:t>2</w:t>
      </w:r>
      <w:r>
        <w:rPr/>
        <w:t>）利率风险 利率风险，是指金融工具的公允价值或未来现金流量因市场利率变动而发生波动的风险。 </w:t>
      </w:r>
      <w:r>
        <w:rPr>
          <w:spacing w:val="-1"/>
        </w:rPr>
        <w:t>本公司的利率风险产生于银行借款等带息债务。浮动利率的金融负债使本公司面临现金流量利率风险，</w:t>
      </w:r>
    </w:p>
    <w:p>
      <w:pPr>
        <w:pStyle w:val="BodyText"/>
        <w:spacing w:line="408" w:lineRule="auto" w:before="54"/>
        <w:ind w:right="90"/>
        <w:jc w:val="left"/>
      </w:pPr>
      <w:r>
        <w:rPr>
          <w:spacing w:val="-1"/>
        </w:rPr>
        <w:t>固定利率的金融负债使本公司面临公允价值利率风险。本公司根据当时的市场环境来决定固定利率及浮动</w:t>
      </w:r>
      <w:r>
        <w:rPr>
          <w:spacing w:val="-81"/>
        </w:rPr>
        <w:t> </w:t>
      </w:r>
      <w:r>
        <w:rPr>
          <w:spacing w:val="-81"/>
        </w:rPr>
      </w:r>
      <w:r>
        <w:rPr/>
        <w:t>利率合同的相对比例。</w:t>
      </w:r>
    </w:p>
    <w:p>
      <w:pPr>
        <w:pStyle w:val="BodyText"/>
        <w:spacing w:line="240" w:lineRule="auto"/>
        <w:ind w:left="578" w:right="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日，本公司的带息债务主要为固定利率借款合同。目前不存在利率风险。</w:t>
      </w:r>
    </w:p>
    <w:p>
      <w:pPr>
        <w:spacing w:after="0" w:line="240" w:lineRule="auto"/>
        <w:jc w:val="left"/>
        <w:sectPr>
          <w:pgSz w:w="11910" w:h="16840"/>
          <w:pgMar w:header="877" w:footer="982" w:top="1100" w:bottom="1180" w:left="980" w:right="820"/>
        </w:sectPr>
      </w:pPr>
    </w:p>
    <w:p>
      <w:pPr>
        <w:spacing w:line="240" w:lineRule="auto" w:before="8"/>
        <w:rPr>
          <w:rFonts w:ascii="宋体" w:hAnsi="宋体" w:cs="宋体" w:eastAsia="宋体" w:hint="default"/>
          <w:sz w:val="26"/>
          <w:szCs w:val="26"/>
        </w:rPr>
      </w:pPr>
    </w:p>
    <w:p>
      <w:pPr>
        <w:pStyle w:val="BodyText"/>
        <w:spacing w:line="386" w:lineRule="auto" w:before="35"/>
        <w:ind w:left="578" w:right="0"/>
        <w:jc w:val="left"/>
      </w:pPr>
      <w:r>
        <w:rPr>
          <w:rFonts w:ascii="Times New Roman" w:hAnsi="Times New Roman" w:cs="Times New Roman" w:eastAsia="Times New Roman" w:hint="default"/>
        </w:rPr>
        <w:t>3</w:t>
      </w:r>
      <w:r>
        <w:rPr/>
        <w:t>、流动风险 </w:t>
      </w:r>
      <w:r>
        <w:rPr>
          <w:spacing w:val="-1"/>
        </w:rPr>
        <w:t>流动风险，是指企业在履行以交付现金或其他金融资产的方式结算的义务时发生资金短缺的风险。本</w:t>
      </w:r>
    </w:p>
    <w:p>
      <w:pPr>
        <w:pStyle w:val="BodyText"/>
        <w:spacing w:line="408" w:lineRule="auto" w:before="65"/>
        <w:ind w:right="151"/>
        <w:jc w:val="both"/>
      </w:pPr>
      <w:r>
        <w:rPr>
          <w:spacing w:val="-1"/>
        </w:rPr>
        <w:t>公司内各子公司负责监控自身的现金流量预测，总部财务部门在汇总各子公司现金流量预测的基础上，在</w:t>
      </w:r>
      <w:r>
        <w:rPr>
          <w:spacing w:val="-81"/>
        </w:rPr>
        <w:t> </w:t>
      </w:r>
      <w:r>
        <w:rPr>
          <w:spacing w:val="-81"/>
        </w:rPr>
      </w:r>
      <w:r>
        <w:rPr>
          <w:spacing w:val="-1"/>
        </w:rPr>
        <w:t>集团层面持续监控短期和长期的资金需求，以确保维持充裕的现金储备；同时持续监控是否符合借款协议</w:t>
      </w:r>
      <w:r>
        <w:rPr>
          <w:spacing w:val="-81"/>
        </w:rPr>
        <w:t> </w:t>
      </w:r>
      <w:r>
        <w:rPr>
          <w:spacing w:val="-81"/>
        </w:rPr>
      </w:r>
      <w:r>
        <w:rPr/>
        <w:t>的规定，从主要金融机构获得提供足够备用资金的承诺，以满足短期和长期的资金需求。</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spacing w:line="506" w:lineRule="auto" w:before="0"/>
        <w:ind w:left="574" w:right="324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本公司最终控制方是冯滨，公司董事长，持有公司</w:t>
      </w:r>
      <w:r>
        <w:rPr>
          <w:rFonts w:ascii="Times New Roman" w:hAnsi="Times New Roman" w:cs="Times New Roman" w:eastAsia="Times New Roman" w:hint="default"/>
          <w:sz w:val="21"/>
          <w:szCs w:val="21"/>
        </w:rPr>
        <w:t>31.29%</w:t>
      </w:r>
      <w:r>
        <w:rPr>
          <w:rFonts w:ascii="宋体" w:hAnsi="宋体" w:cs="宋体" w:eastAsia="宋体" w:hint="default"/>
          <w:sz w:val="21"/>
          <w:szCs w:val="21"/>
        </w:rPr>
        <w:t>的股份。</w:t>
      </w:r>
    </w:p>
    <w:p>
      <w:pPr>
        <w:pStyle w:val="Heading6"/>
        <w:spacing w:line="240" w:lineRule="auto" w:before="64"/>
        <w:ind w:right="0"/>
        <w:jc w:val="both"/>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11"/>
        <w:rPr>
          <w:rFonts w:ascii="宋体" w:hAnsi="宋体" w:cs="宋体" w:eastAsia="宋体" w:hint="default"/>
          <w:sz w:val="26"/>
          <w:szCs w:val="26"/>
        </w:rPr>
      </w:pPr>
    </w:p>
    <w:p>
      <w:pPr>
        <w:pStyle w:val="Heading6"/>
        <w:spacing w:line="240" w:lineRule="auto"/>
        <w:ind w:right="0"/>
        <w:jc w:val="both"/>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131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West </w:t>
            </w:r>
            <w:r>
              <w:rPr>
                <w:rFonts w:ascii="Times New Roman"/>
                <w:sz w:val="18"/>
              </w:rPr>
              <w:t>Coast Holidays</w:t>
            </w:r>
            <w:r>
              <w:rPr>
                <w:rFonts w:ascii="Times New Roman"/>
                <w:spacing w:val="2"/>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北京众信奇迹来跑吧国际旅行社有限公司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中国海外旅游投资管理有限公司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Beyond Express</w:t>
            </w:r>
            <w:r>
              <w:rPr>
                <w:rFonts w:ascii="Times New Roman"/>
                <w:spacing w:val="-2"/>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Beyond Health</w:t>
            </w:r>
            <w:r>
              <w:rPr>
                <w:rFonts w:ascii="Times New Roman"/>
                <w:spacing w:val="-2"/>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Beyond Gift</w:t>
            </w:r>
            <w:r>
              <w:rPr>
                <w:rFonts w:ascii="Times New Roman"/>
                <w:spacing w:val="-9"/>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Easy Line</w:t>
            </w:r>
            <w:r>
              <w:rPr>
                <w:rFonts w:ascii="Times New Roman"/>
                <w:spacing w:val="-5"/>
                <w:sz w:val="18"/>
              </w:rPr>
              <w:t> </w:t>
            </w:r>
            <w:r>
              <w:rPr>
                <w:rFonts w:ascii="Times New Roman"/>
                <w:sz w:val="18"/>
              </w:rPr>
              <w:t>GmbH</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HOTEL FUJIZAKURA</w:t>
            </w:r>
            <w:r>
              <w:rPr>
                <w:rFonts w:ascii="Times New Roman"/>
                <w:spacing w:val="-34"/>
                <w:sz w:val="18"/>
              </w:rPr>
              <w:t> </w:t>
            </w:r>
            <w:r>
              <w:rPr>
                <w:rFonts w:ascii="Times New Roman"/>
                <w:sz w:val="18"/>
              </w:rPr>
              <w:t>Co.,Ltd.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公司具有重大影响的企业</w:t>
            </w:r>
          </w:p>
        </w:tc>
      </w:tr>
    </w:tbl>
    <w:p>
      <w:pPr>
        <w:spacing w:line="240" w:lineRule="auto" w:before="4"/>
        <w:rPr>
          <w:rFonts w:ascii="宋体" w:hAnsi="宋体" w:cs="宋体" w:eastAsia="宋体" w:hint="default"/>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公司参股、以及关键管理人员担任董事的企业</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北京优泰科网络科技有限公司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上期为公司参股、以及关键管理人员担任法定代表人和执行 董事、经理的企业；本期为公司全资子公司</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80"/>
              <w:jc w:val="left"/>
              <w:rPr>
                <w:rFonts w:ascii="Times New Roman" w:hAnsi="Times New Roman" w:cs="Times New Roman" w:eastAsia="Times New Roman" w:hint="default"/>
                <w:sz w:val="18"/>
                <w:szCs w:val="18"/>
              </w:rPr>
            </w:pPr>
            <w:r>
              <w:rPr>
                <w:rFonts w:ascii="Times New Roman"/>
                <w:spacing w:val="-5"/>
                <w:sz w:val="18"/>
              </w:rPr>
              <w:t>West</w:t>
            </w:r>
            <w:r>
              <w:rPr>
                <w:rFonts w:ascii="Times New Roman"/>
                <w:spacing w:val="1"/>
                <w:sz w:val="18"/>
              </w:rPr>
              <w:t> </w:t>
            </w:r>
            <w:r>
              <w:rPr>
                <w:rFonts w:ascii="Times New Roman"/>
                <w:sz w:val="18"/>
              </w:rPr>
              <w:t>Coast</w:t>
            </w:r>
            <w:r>
              <w:rPr>
                <w:rFonts w:ascii="Times New Roman"/>
                <w:sz w:val="18"/>
              </w:rPr>
              <w:t> Holidays</w:t>
            </w:r>
            <w:r>
              <w:rPr>
                <w:rFonts w:ascii="Times New Roman"/>
                <w:spacing w:val="-6"/>
                <w:sz w:val="18"/>
              </w:rPr>
              <w:t> </w:t>
            </w:r>
            <w:r>
              <w:rPr>
                <w:rFonts w:ascii="Times New Roman"/>
                <w:sz w:val="18"/>
              </w:rPr>
              <w:t>Inc</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7,651,876.96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2,788,627.22</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北京众信奇迹来跑 吧国际旅行社有限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55,248.00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185,783.95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北京行天下国际旅 行社有限公司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107,047.99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1,225,859.00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北京优泰科网络科 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02"/>
        <w:gridCol w:w="2056"/>
        <w:gridCol w:w="2054"/>
        <w:gridCol w:w="2056"/>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109,393.68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1,985,827.88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北京众信奇迹来跑吧国际旅行社有限公司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151,124.86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663,946.14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113,233.75</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4,411,959.37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4,554,901.00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51"/>
        <w:gridCol w:w="3638"/>
        <w:gridCol w:w="1099"/>
        <w:gridCol w:w="1097"/>
        <w:gridCol w:w="1414"/>
        <w:gridCol w:w="1094"/>
      </w:tblGrid>
      <w:tr>
        <w:trPr>
          <w:trHeight w:val="402" w:hRule="exact"/>
        </w:trPr>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51" w:type="dxa"/>
            <w:vMerge/>
            <w:tcBorders>
              <w:left w:val="single" w:sz="4" w:space="0" w:color="000000"/>
              <w:bottom w:val="single" w:sz="4" w:space="0" w:color="000000"/>
              <w:right w:val="single" w:sz="4" w:space="0" w:color="000000"/>
            </w:tcBorders>
            <w:shd w:val="clear" w:color="auto" w:fill="D3D3D3"/>
          </w:tcPr>
          <w:p>
            <w:pPr/>
          </w:p>
        </w:tc>
        <w:tc>
          <w:tcPr>
            <w:tcW w:w="3638" w:type="dxa"/>
            <w:vMerge/>
            <w:tcBorders>
              <w:left w:val="single" w:sz="4" w:space="0" w:color="000000"/>
              <w:bottom w:val="single" w:sz="4" w:space="0" w:color="000000"/>
              <w:right w:val="single" w:sz="4" w:space="0" w:color="000000"/>
            </w:tcBorders>
            <w:shd w:val="clear" w:color="auto" w:fill="D3D3D3"/>
          </w:tcPr>
          <w:p>
            <w:pPr/>
          </w:p>
        </w:tc>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北京优泰科网络科技有限公司</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4,734,780.00</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West </w:t>
            </w:r>
            <w:r>
              <w:rPr>
                <w:rFonts w:ascii="Times New Roman"/>
                <w:sz w:val="18"/>
              </w:rPr>
              <w:t>Coast Holidays</w:t>
            </w:r>
            <w:r>
              <w:rPr>
                <w:rFonts w:ascii="Times New Roman"/>
                <w:spacing w:val="2"/>
                <w:sz w:val="18"/>
              </w:rPr>
              <w:t> </w:t>
            </w:r>
            <w:r>
              <w:rPr>
                <w:rFonts w:ascii="Times New Roman"/>
                <w:sz w:val="18"/>
              </w:rPr>
              <w:t>Inc</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122,089.92</w:t>
            </w: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75,482.00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6,558.20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51"/>
        <w:gridCol w:w="3638"/>
        <w:gridCol w:w="1099"/>
        <w:gridCol w:w="1097"/>
        <w:gridCol w:w="1414"/>
        <w:gridCol w:w="1094"/>
      </w:tblGrid>
      <w:tr>
        <w:trPr>
          <w:trHeight w:val="402"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40,000.00</w:t>
            </w: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22"/>
        <w:gridCol w:w="3569"/>
        <w:gridCol w:w="1982"/>
        <w:gridCol w:w="2720"/>
      </w:tblGrid>
      <w:tr>
        <w:trPr>
          <w:trHeight w:val="402" w:hRule="exact"/>
        </w:trPr>
        <w:tc>
          <w:tcPr>
            <w:tcW w:w="1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天津异乡好居网络科技有限公司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3,164.00</w:t>
            </w: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West </w:t>
            </w:r>
            <w:r>
              <w:rPr>
                <w:rFonts w:ascii="Times New Roman"/>
                <w:sz w:val="18"/>
              </w:rPr>
              <w:t>Coast Holidays</w:t>
            </w:r>
            <w:r>
              <w:rPr>
                <w:rFonts w:ascii="Times New Roman"/>
                <w:spacing w:val="2"/>
                <w:sz w:val="18"/>
              </w:rPr>
              <w:t> </w:t>
            </w:r>
            <w:r>
              <w:rPr>
                <w:rFonts w:ascii="Times New Roman"/>
                <w:sz w:val="18"/>
              </w:rPr>
              <w:t>Inc</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1,509,143.85</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536,382.56</w:t>
            </w: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北京众信奇迹来跑吧国际旅行社有限公司</w:t>
            </w:r>
          </w:p>
        </w:tc>
        <w:tc>
          <w:tcPr>
            <w:tcW w:w="1982"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111,104.46</w:t>
            </w: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3,234,091.00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721,415.00</w:t>
            </w: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18,500.00</w:t>
            </w:r>
          </w:p>
        </w:tc>
        <w:tc>
          <w:tcPr>
            <w:tcW w:w="2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北京行天下国际旅行社有限公司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十二、股份支付</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62"/>
        <w:gridCol w:w="4606"/>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12,643,700.00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2,489,700.00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6,385,060.00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期权定价模型</w:t>
            </w:r>
          </w:p>
        </w:tc>
      </w:tr>
      <w:tr>
        <w:trPr>
          <w:trHeight w:val="1026"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9"/>
              <w:jc w:val="both"/>
              <w:rPr>
                <w:rFonts w:ascii="宋体" w:hAnsi="宋体" w:cs="宋体" w:eastAsia="宋体" w:hint="default"/>
                <w:sz w:val="18"/>
                <w:szCs w:val="18"/>
              </w:rPr>
            </w:pPr>
            <w:r>
              <w:rPr>
                <w:rFonts w:ascii="宋体" w:hAnsi="宋体" w:cs="宋体" w:eastAsia="宋体" w:hint="default"/>
                <w:sz w:val="18"/>
                <w:szCs w:val="18"/>
              </w:rPr>
              <w:t>按各考核期业绩条件估计，并根据最新取得的可行权职工 人数变动等后续信息作出最佳估计，修正预计可行权的权 益工具数量</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80,199,046.16</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32,843,755.08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153" w:right="148" w:firstLine="424"/>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2017</w:t>
      </w:r>
      <w:r>
        <w:rPr/>
        <w:t>年第五次临时股东大会决议审议通过了《关于回购注销</w:t>
      </w:r>
      <w:r>
        <w:rPr>
          <w:rFonts w:ascii="Times New Roman" w:hAnsi="Times New Roman" w:cs="Times New Roman" w:eastAsia="Times New Roman" w:hint="default"/>
        </w:rPr>
        <w:t>2016</w:t>
      </w:r>
      <w:r>
        <w:rPr/>
        <w:t>年限制性股票 </w:t>
      </w:r>
      <w:r>
        <w:rPr>
          <w:spacing w:val="-2"/>
        </w:rPr>
        <w:t>激励计划已获授但未解锁的全部限制性股票、减少公司注册资本、相应修改</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并授权董事会办理</w:t>
      </w:r>
      <w:r>
        <w:rPr>
          <w:spacing w:val="-59"/>
        </w:rPr>
        <w:t> </w:t>
      </w:r>
      <w:r>
        <w:rPr>
          <w:spacing w:val="-1"/>
        </w:rPr>
        <w:t>工商变更登记的议案》，公司回购注销</w:t>
      </w:r>
      <w:r>
        <w:rPr>
          <w:rFonts w:ascii="Times New Roman" w:hAnsi="Times New Roman" w:cs="Times New Roman" w:eastAsia="Times New Roman" w:hint="default"/>
          <w:spacing w:val="-1"/>
        </w:rPr>
        <w:t>2016</w:t>
      </w:r>
      <w:r>
        <w:rPr>
          <w:spacing w:val="-1"/>
        </w:rPr>
        <w:t>年限制性股票激励计划全部激励对象已获授但未解锁的全部限</w:t>
      </w:r>
      <w:r>
        <w:rPr>
          <w:spacing w:val="-83"/>
        </w:rPr>
        <w:t> </w:t>
      </w:r>
      <w:r>
        <w:rPr>
          <w:spacing w:val="-83"/>
        </w:rPr>
      </w:r>
      <w:r>
        <w:rPr/>
        <w:t>制性股票共计</w:t>
      </w:r>
      <w:r>
        <w:rPr>
          <w:rFonts w:ascii="Times New Roman" w:hAnsi="Times New Roman" w:cs="Times New Roman" w:eastAsia="Times New Roman" w:hint="default"/>
        </w:rPr>
        <w:t>5,873,300</w:t>
      </w:r>
      <w:r>
        <w:rPr/>
        <w:t>股。本次终止</w:t>
      </w:r>
      <w:r>
        <w:rPr>
          <w:rFonts w:ascii="Times New Roman" w:hAnsi="Times New Roman" w:cs="Times New Roman" w:eastAsia="Times New Roman" w:hint="default"/>
        </w:rPr>
        <w:t>2016</w:t>
      </w:r>
      <w:r>
        <w:rPr/>
        <w:t>年限制性股票激励计划确认加速行权费</w:t>
      </w:r>
      <w:r>
        <w:rPr>
          <w:rFonts w:ascii="Times New Roman" w:hAnsi="Times New Roman" w:cs="Times New Roman" w:eastAsia="Times New Roman" w:hint="default"/>
        </w:rPr>
        <w:t>27,436,252.51</w:t>
      </w:r>
      <w:r>
        <w:rPr/>
        <w:t>元。</w:t>
      </w:r>
    </w:p>
    <w:p>
      <w:pPr>
        <w:spacing w:line="240" w:lineRule="auto" w:before="0"/>
        <w:rPr>
          <w:rFonts w:ascii="宋体" w:hAnsi="宋体" w:cs="宋体" w:eastAsia="宋体" w:hint="default"/>
          <w:sz w:val="18"/>
          <w:szCs w:val="18"/>
        </w:rPr>
      </w:pPr>
    </w:p>
    <w:p>
      <w:pPr>
        <w:pStyle w:val="Heading2"/>
        <w:spacing w:line="240" w:lineRule="auto"/>
        <w:ind w:left="153" w:right="0"/>
        <w:jc w:val="left"/>
        <w:rPr>
          <w:b w:val="0"/>
          <w:bCs w:val="0"/>
        </w:rPr>
      </w:pPr>
      <w:r>
        <w:rPr/>
        <w:t>十三、承诺及或有事项</w:t>
      </w:r>
      <w:r>
        <w:rPr>
          <w:b w:val="0"/>
          <w:bCs w:val="0"/>
        </w:rPr>
      </w:r>
    </w:p>
    <w:p>
      <w:pPr>
        <w:spacing w:line="240" w:lineRule="auto" w:before="6"/>
        <w:rPr>
          <w:rFonts w:ascii="宋体" w:hAnsi="宋体" w:cs="宋体" w:eastAsia="宋体" w:hint="default"/>
          <w:b/>
          <w:bCs/>
          <w:sz w:val="30"/>
          <w:szCs w:val="30"/>
        </w:rPr>
      </w:pPr>
    </w:p>
    <w:p>
      <w:pPr>
        <w:pStyle w:val="Heading6"/>
        <w:spacing w:line="386" w:lineRule="auto"/>
        <w:ind w:right="8190" w:hanging="1"/>
        <w:jc w:val="left"/>
        <w:rPr>
          <w:rFonts w:ascii="宋体" w:hAnsi="宋体" w:cs="宋体" w:eastAsia="宋体" w:hint="default"/>
          <w:b w:val="0"/>
          <w:bCs w:val="0"/>
        </w:rPr>
      </w:pPr>
      <w:r>
        <w:rPr>
          <w:rFonts w:ascii="Times New Roman" w:hAnsi="Times New Roman" w:cs="Times New Roman" w:eastAsia="Times New Roman" w:hint="default"/>
        </w:rPr>
        <w:t>1</w:t>
      </w:r>
      <w:r>
        <w:rPr/>
        <w:t>、重要承诺事项</w:t>
      </w:r>
      <w:r>
        <w:rPr>
          <w:spacing w:val="1"/>
          <w:w w:val="99"/>
        </w:rPr>
        <w:t> </w:t>
      </w:r>
      <w:r>
        <w:rPr>
          <w:rFonts w:ascii="宋体" w:hAnsi="宋体" w:cs="宋体" w:eastAsia="宋体" w:hint="default"/>
          <w:b w:val="0"/>
          <w:bCs w:val="0"/>
        </w:rPr>
        <w:t>无</w:t>
      </w:r>
    </w:p>
    <w:p>
      <w:pPr>
        <w:pStyle w:val="Heading6"/>
        <w:spacing w:line="386" w:lineRule="auto" w:before="65"/>
        <w:ind w:right="6608"/>
        <w:jc w:val="left"/>
        <w:rPr>
          <w:b w:val="0"/>
          <w:bCs w:val="0"/>
        </w:rPr>
      </w:pPr>
      <w:r>
        <w:rPr>
          <w:rFonts w:ascii="Times New Roman" w:hAnsi="Times New Roman" w:cs="Times New Roman" w:eastAsia="Times New Roman" w:hint="default"/>
        </w:rPr>
        <w:t>2</w:t>
      </w:r>
      <w:r>
        <w:rPr/>
        <w:t>、或有事项</w:t>
      </w:r>
      <w:r>
        <w:rPr>
          <w:spacing w:val="1"/>
          <w:w w:val="99"/>
        </w:rPr>
        <w:t> </w:t>
      </w:r>
      <w:r>
        <w:rPr/>
        <w:t>资产负债表日存在的重要或有事项</w:t>
      </w:r>
      <w:r>
        <w:rPr>
          <w:b w:val="0"/>
          <w:bCs w:val="0"/>
        </w:rPr>
      </w:r>
    </w:p>
    <w:p>
      <w:pPr>
        <w:pStyle w:val="BodyText"/>
        <w:spacing w:line="388" w:lineRule="auto" w:before="65"/>
        <w:ind w:left="153" w:right="145" w:firstLine="420"/>
        <w:jc w:val="both"/>
      </w:pPr>
      <w:r>
        <w:rPr/>
        <w:t>（</w:t>
      </w:r>
      <w:r>
        <w:rPr>
          <w:rFonts w:ascii="Times New Roman" w:hAnsi="Times New Roman" w:cs="Times New Roman" w:eastAsia="Times New Roman" w:hint="default"/>
        </w:rPr>
        <w:t>1</w:t>
      </w:r>
      <w:r>
        <w:rPr/>
        <w:t>）按照国际航协规定，公司为取得并保持国际航协在中国实施代理人计划中的民用航空运输销售</w:t>
      </w:r>
      <w:r>
        <w:rPr>
          <w:spacing w:val="2"/>
        </w:rPr>
        <w:t> </w:t>
      </w:r>
      <w:r>
        <w:rPr>
          <w:spacing w:val="-1"/>
        </w:rPr>
        <w:t>代理人资格，于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8</w:t>
      </w:r>
      <w:r>
        <w:rPr>
          <w:spacing w:val="-1"/>
        </w:rPr>
        <w:t>日与中航鑫港担保有限公司签订了《担保与反担保协议》（该公司为国际航空</w:t>
      </w:r>
      <w:r>
        <w:rPr>
          <w:spacing w:val="-94"/>
        </w:rPr>
        <w:t> </w:t>
      </w:r>
      <w:r>
        <w:rPr>
          <w:spacing w:val="-94"/>
        </w:rPr>
      </w:r>
      <w:r>
        <w:rPr>
          <w:spacing w:val="-1"/>
        </w:rPr>
        <w:t>运输协会认可的担保单位）。根据协议约定，中航鑫港担保有限公司向公司提供</w:t>
      </w:r>
      <w:r>
        <w:rPr>
          <w:rFonts w:ascii="Times New Roman" w:hAnsi="Times New Roman" w:cs="Times New Roman" w:eastAsia="Times New Roman" w:hint="default"/>
          <w:spacing w:val="-1"/>
        </w:rPr>
        <w:t>1500</w:t>
      </w:r>
      <w:r>
        <w:rPr>
          <w:spacing w:val="-1"/>
        </w:rPr>
        <w:t>万元担保，并出具了</w:t>
      </w:r>
      <w:r>
        <w:rPr>
          <w:spacing w:val="-91"/>
        </w:rPr>
        <w:t> </w:t>
      </w:r>
      <w:r>
        <w:rPr>
          <w:spacing w:val="-91"/>
        </w:rPr>
      </w:r>
      <w:r>
        <w:rPr>
          <w:rFonts w:ascii="Times New Roman" w:hAnsi="Times New Roman" w:cs="Times New Roman" w:eastAsia="Times New Roman" w:hint="default"/>
          <w:spacing w:val="-1"/>
        </w:rPr>
        <w:t>2017</w:t>
      </w:r>
      <w:r>
        <w:rPr>
          <w:spacing w:val="-1"/>
        </w:rPr>
        <w:t>年度《不可撤销的担保函》</w:t>
      </w:r>
      <w:r>
        <w:rPr>
          <w:rFonts w:ascii="Times New Roman" w:hAnsi="Times New Roman" w:cs="Times New Roman" w:eastAsia="Times New Roman" w:hint="default"/>
          <w:spacing w:val="-1"/>
        </w:rPr>
        <w:t>[</w:t>
      </w:r>
      <w:r>
        <w:rPr>
          <w:spacing w:val="-1"/>
        </w:rPr>
        <w:t>国际客</w:t>
      </w:r>
      <w:r>
        <w:rPr>
          <w:rFonts w:ascii="Times New Roman" w:hAnsi="Times New Roman" w:cs="Times New Roman" w:eastAsia="Times New Roman" w:hint="default"/>
          <w:spacing w:val="-1"/>
        </w:rPr>
        <w:t>)</w:t>
      </w:r>
      <w:r>
        <w:rPr>
          <w:spacing w:val="-1"/>
        </w:rPr>
        <w:t>字第</w:t>
      </w:r>
      <w:r>
        <w:rPr>
          <w:rFonts w:ascii="Times New Roman" w:hAnsi="Times New Roman" w:cs="Times New Roman" w:eastAsia="Times New Roman" w:hint="default"/>
          <w:spacing w:val="-1"/>
        </w:rPr>
        <w:t>KGP1530</w:t>
      </w:r>
      <w:r>
        <w:rPr>
          <w:spacing w:val="-1"/>
        </w:rPr>
        <w:t>号</w:t>
      </w:r>
      <w:r>
        <w:rPr>
          <w:rFonts w:ascii="Times New Roman" w:hAnsi="Times New Roman" w:cs="Times New Roman" w:eastAsia="Times New Roman" w:hint="default"/>
          <w:spacing w:val="-1"/>
        </w:rPr>
        <w:t>]</w:t>
      </w:r>
      <w:r>
        <w:rPr>
          <w:spacing w:val="-1"/>
        </w:rPr>
        <w:t>，以后各年，若公司前一担保期间内未发生违约</w:t>
      </w:r>
      <w:r>
        <w:rPr>
          <w:spacing w:val="-83"/>
        </w:rPr>
        <w:t> </w:t>
      </w:r>
      <w:r>
        <w:rPr>
          <w:spacing w:val="-83"/>
        </w:rPr>
      </w:r>
      <w:r>
        <w:rPr>
          <w:spacing w:val="-1"/>
        </w:rPr>
        <w:t>情况且《反担保函》中反担保人没有变化并符合该协议的规定，中航鑫港担保有限公司为公司继续提供担</w:t>
      </w:r>
      <w:r>
        <w:rPr>
          <w:spacing w:val="-83"/>
        </w:rPr>
        <w:t> </w:t>
      </w:r>
      <w:r>
        <w:rPr>
          <w:spacing w:val="-83"/>
        </w:rPr>
      </w:r>
      <w:r>
        <w:rPr/>
        <w:t>保并出具一年期的该年度担保函；公司向中航鑫港担保有限公司存交保证金</w:t>
      </w:r>
      <w:r>
        <w:rPr>
          <w:rFonts w:ascii="Times New Roman" w:hAnsi="Times New Roman" w:cs="Times New Roman" w:eastAsia="Times New Roman" w:hint="default"/>
        </w:rPr>
        <w:t>270</w:t>
      </w:r>
      <w:r>
        <w:rPr/>
        <w:t>万元，并在中航鑫港担保</w:t>
      </w:r>
      <w:r>
        <w:rPr>
          <w:spacing w:val="-35"/>
        </w:rPr>
        <w:t> </w:t>
      </w:r>
      <w:r>
        <w:rPr>
          <w:spacing w:val="-35"/>
        </w:rPr>
      </w:r>
      <w:r>
        <w:rPr>
          <w:spacing w:val="-4"/>
        </w:rPr>
        <w:t>有限公司指定的中国民生银行北京空港支行开户（账号：</w:t>
      </w:r>
      <w:r>
        <w:rPr>
          <w:rFonts w:ascii="Times New Roman" w:hAnsi="Times New Roman" w:cs="Times New Roman" w:eastAsia="Times New Roman" w:hint="default"/>
          <w:spacing w:val="-4"/>
        </w:rPr>
        <w:t>700424891</w:t>
      </w:r>
      <w:r>
        <w:rPr>
          <w:spacing w:val="-4"/>
        </w:rPr>
        <w:t>、</w:t>
      </w:r>
      <w:r>
        <w:rPr>
          <w:rFonts w:ascii="Times New Roman" w:hAnsi="Times New Roman" w:cs="Times New Roman" w:eastAsia="Times New Roman" w:hint="default"/>
          <w:spacing w:val="-4"/>
        </w:rPr>
        <w:t>700682892</w:t>
      </w:r>
      <w:r>
        <w:rPr>
          <w:spacing w:val="-4"/>
        </w:rPr>
        <w:t>、</w:t>
      </w:r>
      <w:r>
        <w:rPr>
          <w:rFonts w:ascii="Times New Roman" w:hAnsi="Times New Roman" w:cs="Times New Roman" w:eastAsia="Times New Roman" w:hint="default"/>
          <w:spacing w:val="-4"/>
        </w:rPr>
        <w:t>701514633</w:t>
      </w:r>
      <w:r>
        <w:rPr>
          <w:spacing w:val="-4"/>
        </w:rPr>
        <w:t>、</w:t>
      </w:r>
      <w:r>
        <w:rPr>
          <w:rFonts w:ascii="Times New Roman" w:hAnsi="Times New Roman" w:cs="Times New Roman" w:eastAsia="Times New Roman" w:hint="default"/>
          <w:spacing w:val="-4"/>
        </w:rPr>
        <w:t>702437218</w:t>
      </w:r>
      <w:r>
        <w:rPr>
          <w:spacing w:val="-4"/>
        </w:rPr>
        <w:t>）</w:t>
      </w:r>
      <w:r>
        <w:rPr>
          <w:spacing w:val="-96"/>
        </w:rPr>
        <w:t> </w:t>
      </w:r>
      <w:r>
        <w:rPr>
          <w:spacing w:val="-5"/>
        </w:rPr>
        <w:t>存入合计</w:t>
      </w:r>
      <w:r>
        <w:rPr>
          <w:rFonts w:ascii="Times New Roman" w:hAnsi="Times New Roman" w:cs="Times New Roman" w:eastAsia="Times New Roman" w:hint="default"/>
          <w:spacing w:val="-5"/>
        </w:rPr>
        <w:t>1230</w:t>
      </w:r>
      <w:r>
        <w:rPr>
          <w:spacing w:val="-5"/>
        </w:rPr>
        <w:t>万元定期存款作为质押反担保，并与中航鑫港担保有限公司签订了《开户证实书质押合同》。</w:t>
      </w:r>
      <w:r>
        <w:rPr>
          <w:spacing w:val="-96"/>
        </w:rPr>
        <w:t> </w:t>
      </w:r>
      <w:r>
        <w:rPr>
          <w:spacing w:val="-96"/>
        </w:rPr>
      </w:r>
      <w:r>
        <w:rPr/>
        <w:t>中航鑫港担保有限公司已向公司出具</w:t>
      </w:r>
      <w:r>
        <w:rPr>
          <w:rFonts w:ascii="Times New Roman" w:hAnsi="Times New Roman" w:cs="Times New Roman" w:eastAsia="Times New Roman" w:hint="default"/>
        </w:rPr>
        <w:t>2018</w:t>
      </w:r>
      <w:r>
        <w:rPr/>
        <w:t>年度《不可撤销的担保函》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KGP011698</w:t>
      </w:r>
      <w:r>
        <w:rPr/>
        <w:t>号</w:t>
      </w:r>
      <w:r>
        <w:rPr>
          <w:rFonts w:ascii="Times New Roman" w:hAnsi="Times New Roman" w:cs="Times New Roman" w:eastAsia="Times New Roman" w:hint="default"/>
        </w:rPr>
        <w:t>]</w:t>
      </w:r>
      <w:r>
        <w:rPr/>
        <w:t>。</w:t>
      </w:r>
    </w:p>
    <w:p>
      <w:pPr>
        <w:pStyle w:val="BodyText"/>
        <w:spacing w:line="391" w:lineRule="auto" w:before="33"/>
        <w:ind w:left="153" w:right="146" w:firstLine="420"/>
        <w:jc w:val="both"/>
      </w:pPr>
      <w:r>
        <w:rPr>
          <w:spacing w:val="-3"/>
        </w:rPr>
        <w:t>（</w:t>
      </w:r>
      <w:r>
        <w:rPr>
          <w:rFonts w:ascii="Times New Roman" w:hAnsi="Times New Roman" w:cs="Times New Roman" w:eastAsia="Times New Roman" w:hint="default"/>
          <w:spacing w:val="-3"/>
        </w:rPr>
        <w:t>2</w:t>
      </w:r>
      <w:r>
        <w:rPr>
          <w:spacing w:val="-3"/>
        </w:rPr>
        <w:t>）公司子公司上海众信国际旅行社有限公司（以下简称</w:t>
      </w:r>
      <w:r>
        <w:rPr>
          <w:rFonts w:ascii="Times New Roman" w:hAnsi="Times New Roman" w:cs="Times New Roman" w:eastAsia="Times New Roman" w:hint="default"/>
          <w:spacing w:val="-3"/>
        </w:rPr>
        <w:t>“</w:t>
      </w:r>
      <w:r>
        <w:rPr>
          <w:spacing w:val="-3"/>
        </w:rPr>
        <w:t>上海众信</w:t>
      </w:r>
      <w:r>
        <w:rPr>
          <w:rFonts w:ascii="Times New Roman" w:hAnsi="Times New Roman" w:cs="Times New Roman" w:eastAsia="Times New Roman" w:hint="default"/>
          <w:spacing w:val="-3"/>
        </w:rPr>
        <w:t>”</w:t>
      </w:r>
      <w:r>
        <w:rPr>
          <w:spacing w:val="-3"/>
        </w:rPr>
        <w:t>）为取得并保持国际航协在中国</w:t>
      </w:r>
      <w:r>
        <w:rPr/>
        <w:t> </w:t>
      </w:r>
      <w:r>
        <w:rPr>
          <w:spacing w:val="-3"/>
        </w:rPr>
        <w:t>实施代理人计划中的民用航空运输销售代理人资格，于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26</w:t>
      </w:r>
      <w:r>
        <w:rPr>
          <w:spacing w:val="-3"/>
        </w:rPr>
        <w:t>日与中航鑫港担保有限公司签订了《担</w:t>
      </w:r>
      <w:r>
        <w:rPr>
          <w:spacing w:val="-88"/>
        </w:rPr>
        <w:t> </w:t>
      </w:r>
      <w:r>
        <w:rPr>
          <w:spacing w:val="-88"/>
        </w:rPr>
      </w:r>
      <w:r>
        <w:rPr>
          <w:spacing w:val="-6"/>
        </w:rPr>
        <w:t>保与反担保协议》（该公司为国际航空运输协会认可的担保单位）。根据协议约定，中航鑫港担保有限公司</w:t>
      </w:r>
      <w:r>
        <w:rPr>
          <w:spacing w:val="-60"/>
        </w:rPr>
        <w:t> </w:t>
      </w:r>
      <w:r>
        <w:rPr>
          <w:spacing w:val="-60"/>
        </w:rPr>
      </w:r>
      <w:r>
        <w:rPr/>
        <w:t>向上海众信提供</w:t>
      </w:r>
      <w:r>
        <w:rPr>
          <w:rFonts w:ascii="Times New Roman" w:hAnsi="Times New Roman" w:cs="Times New Roman" w:eastAsia="Times New Roman" w:hint="default"/>
        </w:rPr>
        <w:t>1000</w:t>
      </w:r>
      <w:r>
        <w:rPr/>
        <w:t>万元担保，并出具了《不可撤销的担保函》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KGJ204778</w:t>
      </w:r>
      <w:r>
        <w:rPr/>
        <w:t>号</w:t>
      </w:r>
      <w:r>
        <w:rPr>
          <w:rFonts w:ascii="Times New Roman" w:hAnsi="Times New Roman" w:cs="Times New Roman" w:eastAsia="Times New Roman" w:hint="default"/>
        </w:rPr>
        <w:t>]</w:t>
      </w:r>
      <w:r>
        <w:rPr/>
        <w:t>，担保期</w:t>
      </w:r>
      <w:r>
        <w:rPr>
          <w:spacing w:val="-42"/>
        </w:rPr>
        <w:t> </w:t>
      </w:r>
      <w:r>
        <w:rPr>
          <w:spacing w:val="-42"/>
        </w:rPr>
      </w:r>
      <w:r>
        <w:rPr>
          <w:spacing w:val="-1"/>
        </w:rPr>
        <w:t>限自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日，以后各年，若上海众信前一担保期间内未发生违约情况且《反担保</w:t>
      </w:r>
      <w:r>
        <w:rPr>
          <w:spacing w:val="-87"/>
        </w:rPr>
        <w:t> </w:t>
      </w:r>
      <w:r>
        <w:rPr>
          <w:spacing w:val="-87"/>
        </w:rPr>
      </w:r>
      <w:r>
        <w:rPr>
          <w:spacing w:val="-1"/>
        </w:rPr>
        <w:t>函》中反担保人没有变化并符合该协议的规定，中航鑫港担保有限公司为上海众信继续提供担保并出具一</w:t>
      </w:r>
      <w:r>
        <w:rPr>
          <w:spacing w:val="-81"/>
        </w:rPr>
        <w:t> </w:t>
      </w:r>
      <w:r>
        <w:rPr>
          <w:spacing w:val="-81"/>
        </w:rPr>
      </w:r>
      <w:r>
        <w:rPr/>
        <w:t>年期的该年度担保函；公司就此向中航鑫港担保有限公司出具《反担保函》为上海众信提供</w:t>
      </w:r>
      <w:r>
        <w:rPr>
          <w:rFonts w:ascii="Times New Roman" w:hAnsi="Times New Roman" w:cs="Times New Roman" w:eastAsia="Times New Roman" w:hint="default"/>
        </w:rPr>
        <w:t>820</w:t>
      </w:r>
      <w:r>
        <w:rPr/>
        <w:t>万元的保</w:t>
      </w:r>
      <w:r>
        <w:rPr>
          <w:spacing w:val="-35"/>
        </w:rPr>
        <w:t> </w:t>
      </w:r>
      <w:r>
        <w:rPr>
          <w:spacing w:val="-35"/>
        </w:rPr>
      </w:r>
      <w:r>
        <w:rPr/>
        <w:t>证担保，上海众信在中航鑫港担保有限公司存交保证金</w:t>
      </w:r>
      <w:r>
        <w:rPr>
          <w:rFonts w:ascii="Times New Roman" w:hAnsi="Times New Roman" w:cs="Times New Roman" w:eastAsia="Times New Roman" w:hint="default"/>
        </w:rPr>
        <w:t>180</w:t>
      </w:r>
      <w:r>
        <w:rPr/>
        <w:t>万元。中航鑫港担保有限公司已向上海众信出</w:t>
      </w:r>
      <w:r>
        <w:rPr>
          <w:spacing w:val="-35"/>
        </w:rPr>
        <w:t> </w:t>
      </w:r>
      <w:r>
        <w:rPr>
          <w:spacing w:val="-35"/>
        </w:rPr>
      </w:r>
      <w:r>
        <w:rPr/>
        <w:t>具</w:t>
      </w:r>
      <w:r>
        <w:rPr>
          <w:rFonts w:ascii="Times New Roman" w:hAnsi="Times New Roman" w:cs="Times New Roman" w:eastAsia="Times New Roman" w:hint="default"/>
        </w:rPr>
        <w:t>2018</w:t>
      </w:r>
      <w:r>
        <w:rPr/>
        <w:t>年度《不可撤销的担保函》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KGN011346</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w:t>
      </w:r>
    </w:p>
    <w:p>
      <w:pPr>
        <w:spacing w:after="0" w:line="391" w:lineRule="auto"/>
        <w:jc w:val="both"/>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pStyle w:val="BodyText"/>
        <w:spacing w:line="391" w:lineRule="auto" w:before="35"/>
        <w:ind w:left="153" w:right="206" w:firstLine="420"/>
        <w:jc w:val="both"/>
      </w:pPr>
      <w:r>
        <w:rPr>
          <w:spacing w:val="-3"/>
        </w:rPr>
        <w:t>（</w:t>
      </w:r>
      <w:r>
        <w:rPr>
          <w:rFonts w:ascii="Times New Roman" w:hAnsi="Times New Roman" w:cs="Times New Roman" w:eastAsia="Times New Roman" w:hint="default"/>
          <w:spacing w:val="-3"/>
        </w:rPr>
        <w:t>3</w:t>
      </w:r>
      <w:r>
        <w:rPr>
          <w:spacing w:val="-3"/>
        </w:rPr>
        <w:t>）公司子公司北京优拓航空服务有限公司（以下简称</w:t>
      </w:r>
      <w:r>
        <w:rPr>
          <w:rFonts w:ascii="Times New Roman" w:hAnsi="Times New Roman" w:cs="Times New Roman" w:eastAsia="Times New Roman" w:hint="default"/>
          <w:spacing w:val="-3"/>
        </w:rPr>
        <w:t>“</w:t>
      </w:r>
      <w:r>
        <w:rPr>
          <w:spacing w:val="-3"/>
        </w:rPr>
        <w:t>优拓航服</w:t>
      </w:r>
      <w:r>
        <w:rPr>
          <w:rFonts w:ascii="Times New Roman" w:hAnsi="Times New Roman" w:cs="Times New Roman" w:eastAsia="Times New Roman" w:hint="default"/>
          <w:spacing w:val="-3"/>
        </w:rPr>
        <w:t>”</w:t>
      </w:r>
      <w:r>
        <w:rPr>
          <w:spacing w:val="-3"/>
        </w:rPr>
        <w:t>）为取得并保持国际航协在中国实</w:t>
      </w:r>
      <w:r>
        <w:rPr/>
        <w:t> 施代理人计划中的民用航空运输销售代理人资格于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日与中航鑫港担保有限公司签订了《担保</w:t>
      </w:r>
      <w:r>
        <w:rPr>
          <w:spacing w:val="-36"/>
        </w:rPr>
        <w:t> </w:t>
      </w:r>
      <w:r>
        <w:rPr>
          <w:spacing w:val="-36"/>
        </w:rPr>
      </w:r>
      <w:r>
        <w:rPr>
          <w:spacing w:val="-6"/>
        </w:rPr>
        <w:t>与反担保协议》（该公司为国际航空运输协会认可的担保单位）。根据协议约定，中航鑫港担保有限公司向</w:t>
      </w:r>
      <w:r>
        <w:rPr>
          <w:spacing w:val="-60"/>
        </w:rPr>
        <w:t> </w:t>
      </w:r>
      <w:r>
        <w:rPr>
          <w:spacing w:val="-60"/>
        </w:rPr>
      </w:r>
      <w:r>
        <w:rPr>
          <w:spacing w:val="-1"/>
        </w:rPr>
        <w:t>优拓航服提供</w:t>
      </w:r>
      <w:r>
        <w:rPr>
          <w:rFonts w:ascii="Times New Roman" w:hAnsi="Times New Roman" w:cs="Times New Roman" w:eastAsia="Times New Roman" w:hint="default"/>
          <w:spacing w:val="-1"/>
        </w:rPr>
        <w:t>850</w:t>
      </w:r>
      <w:r>
        <w:rPr>
          <w:spacing w:val="-1"/>
        </w:rPr>
        <w:t>万元担保，并出具了《不可撤销的担保函》</w:t>
      </w:r>
      <w:r>
        <w:rPr>
          <w:rFonts w:ascii="Times New Roman" w:hAnsi="Times New Roman" w:cs="Times New Roman" w:eastAsia="Times New Roman" w:hint="default"/>
          <w:spacing w:val="-1"/>
        </w:rPr>
        <w:t>[</w:t>
      </w:r>
      <w:r>
        <w:rPr>
          <w:spacing w:val="-1"/>
        </w:rPr>
        <w:t>（国际客）字第</w:t>
      </w:r>
      <w:r>
        <w:rPr>
          <w:rFonts w:ascii="Times New Roman" w:hAnsi="Times New Roman" w:cs="Times New Roman" w:eastAsia="Times New Roman" w:hint="default"/>
          <w:spacing w:val="-1"/>
        </w:rPr>
        <w:t>KGJ205554</w:t>
      </w:r>
      <w:r>
        <w:rPr>
          <w:spacing w:val="-1"/>
        </w:rPr>
        <w:t>号</w:t>
      </w:r>
      <w:r>
        <w:rPr>
          <w:rFonts w:ascii="Times New Roman" w:hAnsi="Times New Roman" w:cs="Times New Roman" w:eastAsia="Times New Roman" w:hint="default"/>
          <w:spacing w:val="-1"/>
        </w:rPr>
        <w:t>]</w:t>
      </w:r>
      <w:r>
        <w:rPr>
          <w:spacing w:val="-1"/>
        </w:rPr>
        <w:t>，担保期限自</w:t>
      </w:r>
      <w:r>
        <w:rPr>
          <w:spacing w:val="-88"/>
        </w:rPr>
        <w:t> </w:t>
      </w:r>
      <w:r>
        <w:rPr>
          <w:spacing w:val="-88"/>
        </w:rPr>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日，以后各年，若优拓航服前一担保期间内未发生违约情况且《反担保函》</w:t>
      </w:r>
      <w:r>
        <w:rPr>
          <w:spacing w:val="-81"/>
        </w:rPr>
        <w:t> </w:t>
      </w:r>
      <w:r>
        <w:rPr>
          <w:spacing w:val="-81"/>
        </w:rPr>
      </w:r>
      <w:r>
        <w:rPr>
          <w:spacing w:val="-1"/>
        </w:rPr>
        <w:t>中反担保人没有变化并符合该协议的规定，中航鑫港担保有限公司为优拓航服继续提供担保并出具一年期</w:t>
      </w:r>
      <w:r>
        <w:rPr>
          <w:spacing w:val="-81"/>
        </w:rPr>
        <w:t> </w:t>
      </w:r>
      <w:r>
        <w:rPr>
          <w:spacing w:val="-81"/>
        </w:rPr>
      </w:r>
      <w:r>
        <w:rPr/>
        <w:t>的该年度担保函；优拓航服向中航鑫港担保有限公司存交保证金</w:t>
      </w:r>
      <w:r>
        <w:rPr>
          <w:rFonts w:ascii="Times New Roman" w:hAnsi="Times New Roman" w:cs="Times New Roman" w:eastAsia="Times New Roman" w:hint="default"/>
        </w:rPr>
        <w:t>153</w:t>
      </w:r>
      <w:r>
        <w:rPr/>
        <w:t>万元，并在中航鑫港担保有限公司指</w:t>
      </w:r>
      <w:r>
        <w:rPr>
          <w:spacing w:val="-35"/>
        </w:rPr>
        <w:t> </w:t>
      </w:r>
      <w:r>
        <w:rPr>
          <w:spacing w:val="-35"/>
        </w:rPr>
      </w:r>
      <w:r>
        <w:rPr/>
        <w:t>定的中国民生银行北京顺义支行开户存入</w:t>
      </w:r>
      <w:r>
        <w:rPr>
          <w:rFonts w:ascii="Times New Roman" w:hAnsi="Times New Roman" w:cs="Times New Roman" w:eastAsia="Times New Roman" w:hint="default"/>
        </w:rPr>
        <w:t>697</w:t>
      </w:r>
      <w:r>
        <w:rPr/>
        <w:t>万元定期存款作为质押反担保，并与中航鑫港担保有限公司</w:t>
      </w:r>
      <w:r>
        <w:rPr>
          <w:spacing w:val="-35"/>
        </w:rPr>
        <w:t> </w:t>
      </w:r>
      <w:r>
        <w:rPr>
          <w:spacing w:val="-35"/>
        </w:rPr>
      </w:r>
      <w:r>
        <w:rPr>
          <w:spacing w:val="-1"/>
        </w:rPr>
        <w:t>签订了《开户证实书质押合同》。中航鑫港担保有限公司已向优拓航服务出具</w:t>
      </w:r>
      <w:r>
        <w:rPr>
          <w:rFonts w:ascii="Times New Roman" w:hAnsi="Times New Roman" w:cs="Times New Roman" w:eastAsia="Times New Roman" w:hint="default"/>
          <w:spacing w:val="-1"/>
        </w:rPr>
        <w:t>2018</w:t>
      </w:r>
      <w:r>
        <w:rPr>
          <w:spacing w:val="-1"/>
        </w:rPr>
        <w:t>年度《不可撤销的担保</w:t>
      </w:r>
      <w:r>
        <w:rPr>
          <w:spacing w:val="-93"/>
        </w:rPr>
        <w:t> </w:t>
      </w:r>
      <w:r>
        <w:rPr>
          <w:spacing w:val="-93"/>
        </w:rPr>
      </w:r>
      <w:r>
        <w:rPr/>
        <w:t>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KGN2018030918</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w:t>
      </w:r>
    </w:p>
    <w:p>
      <w:pPr>
        <w:pStyle w:val="BodyText"/>
        <w:spacing w:line="396" w:lineRule="auto" w:before="30"/>
        <w:ind w:left="153" w:right="90" w:firstLine="420"/>
        <w:jc w:val="left"/>
      </w:pPr>
      <w:r>
        <w:rPr/>
        <w:t>（</w:t>
      </w:r>
      <w:r>
        <w:rPr>
          <w:rFonts w:ascii="Times New Roman" w:hAnsi="Times New Roman" w:cs="Times New Roman" w:eastAsia="Times New Roman" w:hint="default"/>
        </w:rPr>
        <w:t>4</w:t>
      </w:r>
      <w:r>
        <w:rPr/>
        <w:t>）按照国际航协规定，公司子公司北京开元周游国际旅行社股份有限公司（以下简称</w:t>
      </w:r>
      <w:r>
        <w:rPr>
          <w:rFonts w:ascii="Times New Roman" w:hAnsi="Times New Roman" w:cs="Times New Roman" w:eastAsia="Times New Roman" w:hint="default"/>
        </w:rPr>
        <w:t>“</w:t>
      </w:r>
      <w:r>
        <w:rPr/>
        <w:t>开元周游</w:t>
      </w:r>
      <w:r>
        <w:rPr>
          <w:rFonts w:ascii="Times New Roman" w:hAnsi="Times New Roman" w:cs="Times New Roman" w:eastAsia="Times New Roman" w:hint="default"/>
        </w:rPr>
        <w:t>”</w:t>
      </w:r>
      <w:r>
        <w:rPr/>
        <w:t>） 为取得并保持国际航协在中国实施代理人计划中的客运销售代理人资格，于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日与港中旅国际</w:t>
      </w:r>
      <w:r>
        <w:rPr>
          <w:spacing w:val="-37"/>
        </w:rPr>
        <w:t> </w:t>
      </w:r>
      <w:r>
        <w:rPr>
          <w:spacing w:val="-37"/>
        </w:rPr>
      </w:r>
      <w:r>
        <w:rPr>
          <w:spacing w:val="-10"/>
        </w:rPr>
        <w:t>担保有限公司签订了《担保与反担保协议》（该公司为国际航空运输协会认可的担保单位）。根据协议约定，</w:t>
      </w:r>
      <w:r>
        <w:rPr>
          <w:spacing w:val="-70"/>
        </w:rPr>
        <w:t> </w:t>
      </w:r>
      <w:r>
        <w:rPr>
          <w:spacing w:val="-70"/>
        </w:rPr>
      </w:r>
      <w:r>
        <w:rPr>
          <w:spacing w:val="-3"/>
        </w:rPr>
        <w:t>港中旅国际担保有限公司向开元周游提供</w:t>
      </w:r>
      <w:r>
        <w:rPr>
          <w:rFonts w:ascii="Times New Roman" w:hAnsi="Times New Roman" w:cs="Times New Roman" w:eastAsia="Times New Roman" w:hint="default"/>
          <w:spacing w:val="-3"/>
        </w:rPr>
        <w:t>150</w:t>
      </w:r>
      <w:r>
        <w:rPr>
          <w:spacing w:val="-3"/>
        </w:rPr>
        <w:t>万元担保，并出具了《不可撤销的担保函》，以后各年，若开</w:t>
      </w:r>
      <w:r>
        <w:rPr>
          <w:spacing w:val="-92"/>
        </w:rPr>
        <w:t> </w:t>
      </w:r>
      <w:r>
        <w:rPr>
          <w:spacing w:val="-92"/>
        </w:rPr>
      </w:r>
      <w:r>
        <w:rPr/>
        <w:t>元周游前一担保期间内未发生违约情况且《反担保函》中反担保人没有变化并符合该协议的规定，港中旅</w:t>
      </w:r>
      <w:r>
        <w:rPr/>
        <w:t> 国际担保有限公司为开元周游继续提供担保并出具一年期的该年度担保函；港中旅国际担保有限公司已向 开元周游出具</w:t>
      </w:r>
      <w:r>
        <w:rPr>
          <w:rFonts w:ascii="Times New Roman" w:hAnsi="Times New Roman" w:cs="Times New Roman" w:eastAsia="Times New Roman" w:hint="default"/>
        </w:rPr>
        <w:t>2018</w:t>
      </w:r>
      <w:r>
        <w:rPr/>
        <w:t>年度《不可撤销的担保函》</w:t>
      </w:r>
      <w:r>
        <w:rPr>
          <w:rFonts w:ascii="Times New Roman" w:hAnsi="Times New Roman" w:cs="Times New Roman" w:eastAsia="Times New Roman" w:hint="default"/>
        </w:rPr>
        <w:t>[</w:t>
      </w:r>
      <w:r>
        <w:rPr/>
        <w:t>（国际客）字第</w:t>
      </w:r>
      <w:r>
        <w:rPr>
          <w:rFonts w:ascii="Times New Roman" w:hAnsi="Times New Roman" w:cs="Times New Roman" w:eastAsia="Times New Roman" w:hint="default"/>
        </w:rPr>
        <w:t>CTS180077</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。开元周游向港中旅国际担 保有限公司存交保证金</w:t>
      </w:r>
      <w:r>
        <w:rPr>
          <w:rFonts w:ascii="Times New Roman" w:hAnsi="Times New Roman" w:cs="Times New Roman" w:eastAsia="Times New Roman" w:hint="default"/>
        </w:rPr>
        <w:t>150</w:t>
      </w:r>
      <w:r>
        <w:rPr/>
        <w:t>万元作为质押反担保。</w:t>
      </w:r>
    </w:p>
    <w:p>
      <w:pPr>
        <w:pStyle w:val="BodyText"/>
        <w:spacing w:line="400" w:lineRule="auto" w:before="26"/>
        <w:ind w:right="153" w:firstLine="420"/>
        <w:jc w:val="both"/>
      </w:pPr>
      <w:r>
        <w:rPr/>
        <w:t>（</w:t>
      </w:r>
      <w:r>
        <w:rPr>
          <w:rFonts w:ascii="Times New Roman" w:hAnsi="Times New Roman" w:cs="Times New Roman" w:eastAsia="Times New Roman" w:hint="default"/>
        </w:rPr>
        <w:t>5</w:t>
      </w:r>
      <w:r>
        <w:rPr/>
        <w:t>）本公司之子公司中企信商业保理有限公司（以下简称</w:t>
      </w:r>
      <w:r>
        <w:rPr>
          <w:spacing w:val="40"/>
        </w:rPr>
        <w:t> </w:t>
      </w:r>
      <w:r>
        <w:rPr>
          <w:rFonts w:ascii="Times New Roman" w:hAnsi="Times New Roman" w:cs="Times New Roman" w:eastAsia="Times New Roman" w:hint="default"/>
        </w:rPr>
        <w:t>“</w:t>
      </w:r>
      <w:r>
        <w:rPr/>
        <w:t>中企信保理</w:t>
      </w:r>
      <w:r>
        <w:rPr>
          <w:rFonts w:ascii="Times New Roman" w:hAnsi="Times New Roman" w:cs="Times New Roman" w:eastAsia="Times New Roman" w:hint="default"/>
        </w:rPr>
        <w:t>”</w:t>
      </w:r>
      <w:r>
        <w:rPr/>
        <w:t>）开展保理业务取得销货方 所转让的应收账款，享有销货方基于应收账款而享有的所有权利，因此将取得的应收账款确认为对购货方</w:t>
      </w:r>
      <w:r>
        <w:rPr>
          <w:spacing w:val="-77"/>
        </w:rPr>
        <w:t> </w:t>
      </w:r>
      <w:r>
        <w:rPr>
          <w:spacing w:val="-77"/>
        </w:rPr>
      </w:r>
      <w:r>
        <w:rPr/>
        <w:t>的债权；但由于中企信保理享有对销货方的追索权以及要求销货方进行回购的权利，在中企信保理按合同</w:t>
      </w:r>
      <w:r>
        <w:rPr>
          <w:spacing w:val="-77"/>
        </w:rPr>
        <w:t> </w:t>
      </w:r>
      <w:r>
        <w:rPr>
          <w:spacing w:val="-77"/>
        </w:rPr>
      </w:r>
      <w:r>
        <w:rPr/>
        <w:t>约定行使追索权或回购权后，所取得的对购货方的债权可转变为对销货方的债权。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386" w:lineRule="auto" w:before="0"/>
        <w:ind w:left="573" w:right="466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w:t>
      </w:r>
    </w:p>
    <w:p>
      <w:pPr>
        <w:spacing w:line="240" w:lineRule="auto" w:before="4"/>
        <w:rPr>
          <w:rFonts w:ascii="宋体" w:hAnsi="宋体" w:cs="宋体" w:eastAsia="宋体" w:hint="default"/>
          <w:sz w:val="20"/>
          <w:szCs w:val="20"/>
        </w:rPr>
      </w:pPr>
    </w:p>
    <w:p>
      <w:pPr>
        <w:pStyle w:val="Heading2"/>
        <w:spacing w:line="240" w:lineRule="auto"/>
        <w:ind w:right="6771"/>
        <w:jc w:val="left"/>
        <w:rPr>
          <w:b w:val="0"/>
          <w:bCs w:val="0"/>
        </w:rPr>
      </w:pP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6771"/>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23,789,998.96</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23,789,998.96</w:t>
            </w:r>
          </w:p>
        </w:tc>
      </w:tr>
    </w:tbl>
    <w:p>
      <w:pPr>
        <w:spacing w:line="240" w:lineRule="auto" w:before="2"/>
        <w:rPr>
          <w:rFonts w:ascii="宋体" w:hAnsi="宋体" w:cs="宋体" w:eastAsia="宋体" w:hint="default"/>
          <w:sz w:val="18"/>
          <w:szCs w:val="18"/>
        </w:rPr>
      </w:pPr>
    </w:p>
    <w:p>
      <w:pPr>
        <w:pStyle w:val="Heading2"/>
        <w:spacing w:line="240" w:lineRule="auto" w:before="26"/>
        <w:ind w:right="90"/>
        <w:jc w:val="left"/>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90"/>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right="90" w:firstLine="419"/>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11</w:t>
      </w:r>
      <w:r>
        <w:rPr>
          <w:spacing w:val="-5"/>
        </w:rPr>
        <w:t>日公司召开第三届董事会第七十二次会议审议通过了《关于公司进行业务调整的议案》，</w:t>
      </w:r>
      <w:r>
        <w:rPr/>
        <w:t> 为了落实公司集团化发展战略，促进各板块业务发展，同意自</w:t>
      </w:r>
      <w:r>
        <w:rPr>
          <w:rFonts w:ascii="Times New Roman" w:hAnsi="Times New Roman" w:cs="Times New Roman" w:eastAsia="Times New Roman" w:hint="default"/>
        </w:rPr>
        <w:t>2018</w:t>
      </w:r>
      <w:r>
        <w:rPr/>
        <w:t>年起，众信旅游集团股份有限公司所辖 出境游批发业务逐步调整至公司下属全资子公司</w:t>
      </w:r>
      <w:r>
        <w:rPr>
          <w:spacing w:val="-2"/>
        </w:rPr>
        <w:t> </w:t>
      </w:r>
      <w:r>
        <w:rPr/>
        <w:t>优耐德（北京）国际旅行社有限公司经营管理。</w:t>
      </w:r>
    </w:p>
    <w:p>
      <w:pPr>
        <w:pStyle w:val="BodyText"/>
        <w:spacing w:line="393" w:lineRule="auto" w:before="65"/>
        <w:ind w:right="90" w:firstLine="419"/>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日，公司分别召开第三届董事会第七十二次会议、</w:t>
      </w:r>
      <w:r>
        <w:rPr>
          <w:rFonts w:ascii="Times New Roman" w:hAnsi="Times New Roman" w:cs="Times New Roman" w:eastAsia="Times New Roman" w:hint="default"/>
          <w:spacing w:val="-1"/>
        </w:rPr>
        <w:t>2018</w:t>
      </w:r>
      <w:r>
        <w:rPr>
          <w:spacing w:val="-1"/>
        </w:rPr>
        <w:t>年第一次临时股东大</w:t>
      </w:r>
      <w:r>
        <w:rPr/>
        <w:t> </w:t>
      </w:r>
      <w:r>
        <w:rPr>
          <w:spacing w:val="-1"/>
        </w:rPr>
        <w:t>会，审议通过了《关于控股子公司申请终止其股票在全国中小企业股份转让系统挂牌的议案》，同意公司</w:t>
      </w:r>
      <w:r>
        <w:rPr>
          <w:spacing w:val="-82"/>
        </w:rPr>
        <w:t> </w:t>
      </w:r>
      <w:r>
        <w:rPr>
          <w:spacing w:val="-82"/>
        </w:rPr>
      </w:r>
      <w:r>
        <w:rPr>
          <w:spacing w:val="-1"/>
        </w:rPr>
        <w:t>控股子公司众信博睿终止其股票在全国中小企业股份转让系统挂牌。全国中小企业股份转让系统有限责任</w:t>
      </w:r>
      <w:r>
        <w:rPr>
          <w:spacing w:val="-81"/>
        </w:rPr>
        <w:t> </w:t>
      </w:r>
      <w:r>
        <w:rPr>
          <w:spacing w:val="-81"/>
        </w:rPr>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6</w:t>
      </w:r>
      <w:r>
        <w:rPr>
          <w:spacing w:val="-1"/>
        </w:rPr>
        <w:t>日出具了《关于同意众信博睿整合营销咨询股份有限公司股票终止在全国中小企业股份</w:t>
      </w:r>
      <w:r>
        <w:rPr>
          <w:spacing w:val="-82"/>
        </w:rPr>
        <w:t> </w:t>
      </w:r>
      <w:r>
        <w:rPr>
          <w:spacing w:val="-82"/>
        </w:rPr>
      </w:r>
      <w:r>
        <w:rPr>
          <w:spacing w:val="-2"/>
        </w:rPr>
        <w:t>转让系统挂牌的函》（股转系统函</w:t>
      </w:r>
      <w:r>
        <w:rPr>
          <w:rFonts w:ascii="Times New Roman" w:hAnsi="Times New Roman" w:cs="Times New Roman" w:eastAsia="Times New Roman" w:hint="default"/>
          <w:spacing w:val="-2"/>
        </w:rPr>
        <w:t>[2018]826</w:t>
      </w:r>
      <w:r>
        <w:rPr>
          <w:spacing w:val="-2"/>
        </w:rPr>
        <w:t>号），同意众信博睿股票（证券代码：</w:t>
      </w:r>
      <w:r>
        <w:rPr>
          <w:rFonts w:ascii="Times New Roman" w:hAnsi="Times New Roman" w:cs="Times New Roman" w:eastAsia="Times New Roman" w:hint="default"/>
          <w:spacing w:val="-2"/>
        </w:rPr>
        <w:t>839541</w:t>
      </w:r>
      <w:r>
        <w:rPr>
          <w:spacing w:val="-2"/>
        </w:rPr>
        <w:t>，证券简称：众</w:t>
      </w:r>
      <w:r>
        <w:rPr>
          <w:spacing w:val="-66"/>
        </w:rPr>
        <w:t> </w:t>
      </w:r>
      <w:r>
        <w:rPr>
          <w:spacing w:val="-66"/>
        </w:rPr>
      </w:r>
      <w:r>
        <w:rPr/>
        <w:t>信博睿）自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日起终止在全国中小企业股份转让系统挂牌。截至本报告出具日，众信博睿相关 股份退出登记已在中国结算办理完成。</w:t>
      </w:r>
    </w:p>
    <w:p>
      <w:pPr>
        <w:pStyle w:val="BodyText"/>
        <w:spacing w:line="388" w:lineRule="auto" w:before="59"/>
        <w:ind w:right="296" w:firstLine="420"/>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6</w:t>
      </w:r>
      <w:r>
        <w:rPr>
          <w:spacing w:val="-1"/>
        </w:rPr>
        <w:t>日，公司分别召开第三届董事会第七十二次会议、</w:t>
      </w:r>
      <w:r>
        <w:rPr>
          <w:rFonts w:ascii="Times New Roman" w:hAnsi="Times New Roman" w:cs="Times New Roman" w:eastAsia="Times New Roman" w:hint="default"/>
          <w:spacing w:val="-1"/>
        </w:rPr>
        <w:t>2018</w:t>
      </w:r>
      <w:r>
        <w:rPr>
          <w:spacing w:val="-1"/>
        </w:rPr>
        <w:t>年第一次临时股东大</w:t>
      </w:r>
      <w:r>
        <w:rPr/>
        <w:t> </w:t>
      </w:r>
      <w:r>
        <w:rPr>
          <w:spacing w:val="-1"/>
        </w:rPr>
        <w:t>会，审议通过了《关于子公司合作设立旅游产业投资合伙企业（有限合伙）的议案》，同意公司全资子公</w:t>
      </w:r>
      <w:r>
        <w:rPr>
          <w:spacing w:val="-83"/>
        </w:rPr>
        <w:t> </w:t>
      </w:r>
      <w:r>
        <w:rPr>
          <w:spacing w:val="-83"/>
        </w:rPr>
      </w:r>
      <w:r>
        <w:rPr>
          <w:spacing w:val="-2"/>
        </w:rPr>
        <w:t>司上海优葵投资管理有限公司（简称</w:t>
      </w:r>
      <w:r>
        <w:rPr>
          <w:rFonts w:ascii="Times New Roman" w:hAnsi="Times New Roman" w:cs="Times New Roman" w:eastAsia="Times New Roman" w:hint="default"/>
          <w:spacing w:val="-2"/>
        </w:rPr>
        <w:t>“</w:t>
      </w:r>
      <w:r>
        <w:rPr>
          <w:spacing w:val="-2"/>
        </w:rPr>
        <w:t>上海优葵</w:t>
      </w:r>
      <w:r>
        <w:rPr>
          <w:rFonts w:ascii="Times New Roman" w:hAnsi="Times New Roman" w:cs="Times New Roman" w:eastAsia="Times New Roman" w:hint="default"/>
          <w:spacing w:val="-2"/>
        </w:rPr>
        <w:t>”</w:t>
      </w:r>
      <w:r>
        <w:rPr>
          <w:spacing w:val="-2"/>
        </w:rPr>
        <w:t>）与芜湖恒晖投资管理合伙企业（有限合伙）（简称</w:t>
      </w:r>
      <w:r>
        <w:rPr>
          <w:rFonts w:ascii="Times New Roman" w:hAnsi="Times New Roman" w:cs="Times New Roman" w:eastAsia="Times New Roman" w:hint="default"/>
          <w:spacing w:val="-2"/>
        </w:rPr>
        <w:t>“</w:t>
      </w:r>
      <w:r>
        <w:rPr>
          <w:spacing w:val="-2"/>
        </w:rPr>
        <w:t>芜湖</w:t>
      </w:r>
      <w:r>
        <w:rPr/>
        <w:t> </w:t>
      </w:r>
      <w:r>
        <w:rPr>
          <w:spacing w:val="-2"/>
        </w:rPr>
        <w:t>恒晖</w:t>
      </w:r>
      <w:r>
        <w:rPr>
          <w:rFonts w:ascii="Times New Roman" w:hAnsi="Times New Roman" w:cs="Times New Roman" w:eastAsia="Times New Roman" w:hint="default"/>
          <w:spacing w:val="-2"/>
        </w:rPr>
        <w:t>”</w:t>
      </w:r>
      <w:r>
        <w:rPr>
          <w:spacing w:val="-2"/>
        </w:rPr>
        <w:t>）、上海骏域投资发展有限公司（简称</w:t>
      </w:r>
      <w:r>
        <w:rPr>
          <w:rFonts w:ascii="Times New Roman" w:hAnsi="Times New Roman" w:cs="Times New Roman" w:eastAsia="Times New Roman" w:hint="default"/>
          <w:spacing w:val="-2"/>
        </w:rPr>
        <w:t>“</w:t>
      </w:r>
      <w:r>
        <w:rPr>
          <w:spacing w:val="-2"/>
        </w:rPr>
        <w:t>上海骏域</w:t>
      </w:r>
      <w:r>
        <w:rPr>
          <w:rFonts w:ascii="Times New Roman" w:hAnsi="Times New Roman" w:cs="Times New Roman" w:eastAsia="Times New Roman" w:hint="default"/>
          <w:spacing w:val="-2"/>
        </w:rPr>
        <w:t>”</w:t>
      </w:r>
      <w:r>
        <w:rPr>
          <w:spacing w:val="-2"/>
        </w:rPr>
        <w:t>）共同签署《芜湖泛游旅游产业投资合伙企业（有</w:t>
      </w:r>
      <w:r>
        <w:rPr/>
        <w:t> 限合伙）之合伙协议》，上海优葵拟出资</w:t>
      </w:r>
      <w:r>
        <w:rPr>
          <w:rFonts w:ascii="Times New Roman" w:hAnsi="Times New Roman" w:cs="Times New Roman" w:eastAsia="Times New Roman" w:hint="default"/>
        </w:rPr>
        <w:t>5</w:t>
      </w:r>
      <w:r>
        <w:rPr/>
        <w:t>亿元人民币与芜湖恒晖、上海骏域共同设立芜湖泛游旅游产业 投资合伙企业 （有限合伙），对旅游产业上下游及相关领域进行投资，其中芜湖恒晖出资</w:t>
      </w:r>
      <w:r>
        <w:rPr>
          <w:spacing w:val="-3"/>
        </w:rPr>
        <w:t> </w:t>
      </w:r>
      <w:r>
        <w:rPr>
          <w:rFonts w:ascii="Times New Roman" w:hAnsi="Times New Roman" w:cs="Times New Roman" w:eastAsia="Times New Roman" w:hint="default"/>
        </w:rPr>
        <w:t>100</w:t>
      </w:r>
      <w:r>
        <w:rPr/>
        <w:t>万元人民 币，为普通合伙人；上海优葵、上海骏域分别出资</w:t>
      </w:r>
      <w:r>
        <w:rPr>
          <w:rFonts w:ascii="Times New Roman" w:hAnsi="Times New Roman" w:cs="Times New Roman" w:eastAsia="Times New Roman" w:hint="default"/>
        </w:rPr>
        <w:t>5</w:t>
      </w:r>
      <w:r>
        <w:rPr/>
        <w:t>亿元人民币为有限合伙人。截至本报告出具日，该合 伙企业已在相关工商部门设立完毕。</w:t>
      </w:r>
    </w:p>
    <w:p>
      <w:pPr>
        <w:spacing w:line="240" w:lineRule="auto" w:before="1"/>
        <w:rPr>
          <w:rFonts w:ascii="宋体" w:hAnsi="宋体" w:cs="宋体" w:eastAsia="宋体" w:hint="default"/>
          <w:sz w:val="20"/>
          <w:szCs w:val="20"/>
        </w:rPr>
      </w:pPr>
    </w:p>
    <w:p>
      <w:pPr>
        <w:pStyle w:val="Heading2"/>
        <w:spacing w:line="240" w:lineRule="auto"/>
        <w:ind w:right="9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9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9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93"/>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8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26,514,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786.00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57.04%</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26,514,786.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63,661,5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15,016,5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48,645,02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19,966,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267.34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3,523,808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16,442,458.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63,661,5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15,016,5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48,645,02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46,481,</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053.34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3,523,808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42,957,244.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400" w:bottom="2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42,495,255.48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2,990,878.39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299,087.84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2,851,856.76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855,557.03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2,923,352.30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1,461,676.15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51,261,342.93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2,616,321.02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12,400,208.86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12,400,208.86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63,661,551.79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15,016,529.88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11,492,721.34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4"/>
        <w:gridCol w:w="1822"/>
        <w:gridCol w:w="1822"/>
        <w:gridCol w:w="1823"/>
        <w:gridCol w:w="1822"/>
      </w:tblGrid>
      <w:tr>
        <w:trPr>
          <w:trHeight w:val="342" w:hRule="exact"/>
        </w:trPr>
        <w:tc>
          <w:tcPr>
            <w:tcW w:w="190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288"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1904" w:type="dxa"/>
            <w:vMerge/>
            <w:tcBorders>
              <w:left w:val="single" w:sz="4" w:space="0" w:color="000000"/>
              <w:bottom w:val="single" w:sz="4" w:space="0" w:color="000000"/>
              <w:right w:val="single" w:sz="4" w:space="0" w:color="000000"/>
            </w:tcBorders>
            <w:shd w:val="clear" w:color="auto" w:fill="D0CECE"/>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680" w:right="5"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计提坏账准备金额</w:t>
            </w:r>
          </w:p>
        </w:tc>
        <w:tc>
          <w:tcPr>
            <w:tcW w:w="18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1904"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22"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61"/>
              <w:ind w:left="772" w:right="0"/>
              <w:jc w:val="left"/>
              <w:rPr>
                <w:rFonts w:ascii="Times New Roman" w:hAnsi="Times New Roman" w:cs="Times New Roman" w:eastAsia="Times New Roman" w:hint="default"/>
                <w:sz w:val="18"/>
                <w:szCs w:val="18"/>
              </w:rPr>
            </w:pPr>
            <w:r>
              <w:rPr>
                <w:rFonts w:ascii="Times New Roman"/>
                <w:sz w:val="18"/>
              </w:rPr>
              <w:t>16,228,370.52</w:t>
            </w:r>
          </w:p>
        </w:tc>
        <w:tc>
          <w:tcPr>
            <w:tcW w:w="1822"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25.49</w:t>
            </w:r>
          </w:p>
        </w:tc>
        <w:tc>
          <w:tcPr>
            <w:tcW w:w="1823"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61"/>
              <w:ind w:left="773" w:right="0"/>
              <w:jc w:val="left"/>
              <w:rPr>
                <w:rFonts w:ascii="Times New Roman" w:hAnsi="Times New Roman" w:cs="Times New Roman" w:eastAsia="Times New Roman" w:hint="default"/>
                <w:sz w:val="18"/>
                <w:szCs w:val="18"/>
              </w:rPr>
            </w:pPr>
            <w:r>
              <w:rPr>
                <w:rFonts w:ascii="Times New Roman"/>
                <w:sz w:val="18"/>
              </w:rPr>
              <w:t>13,075,355.60</w:t>
            </w:r>
          </w:p>
        </w:tc>
        <w:tc>
          <w:tcPr>
            <w:tcW w:w="1822" w:type="dxa"/>
            <w:tcBorders>
              <w:top w:val="single" w:sz="4" w:space="0" w:color="000000"/>
              <w:left w:val="single" w:sz="4" w:space="0" w:color="000000"/>
              <w:bottom w:val="single" w:sz="4" w:space="0" w:color="000000"/>
              <w:right w:val="single" w:sz="4" w:space="0" w:color="000000"/>
            </w:tcBorders>
            <w:shd w:val="clear" w:color="auto" w:fill="C8ECC8"/>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00" w:bottom="2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04"/>
        <w:gridCol w:w="1822"/>
        <w:gridCol w:w="1822"/>
        <w:gridCol w:w="1823"/>
        <w:gridCol w:w="1822"/>
      </w:tblGrid>
      <w:tr>
        <w:trPr>
          <w:trHeight w:val="34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13,179,811.11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20.70</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2,811,092.98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4.42</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1,653,599.44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2.60</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1,624,894.56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2.55</w:t>
            </w:r>
          </w:p>
        </w:tc>
        <w:tc>
          <w:tcPr>
            <w:tcW w:w="182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35,497,768.61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55.76</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73" w:right="0"/>
              <w:jc w:val="left"/>
              <w:rPr>
                <w:rFonts w:ascii="Times New Roman" w:hAnsi="Times New Roman" w:cs="Times New Roman" w:eastAsia="Times New Roman" w:hint="default"/>
                <w:sz w:val="18"/>
                <w:szCs w:val="18"/>
              </w:rPr>
            </w:pPr>
            <w:r>
              <w:rPr>
                <w:rFonts w:ascii="Times New Roman"/>
                <w:sz w:val="18"/>
              </w:rPr>
              <w:t>13,075,355.60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36.83</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584,568,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917.93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4,786,47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579,782,4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435,675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,409.08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7,442,623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428,232,78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5.56</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584,568,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917.93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4,786,47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579,782,4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435,675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,409.08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7,442,623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428,232,78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line="340" w:lineRule="auto" w:before="42"/>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38" w:lineRule="auto" w:before="40"/>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-2,656,147.63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机票押金及其他押金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147,486,177.33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205,564,764.83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签证借款及备用金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2,904,943.68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2,988,775.67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与子公司往来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432,815,073.44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207,760,751.42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1,362,723.48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19,361,117.16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584,568,917.93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435,675,409.08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163,184,000.00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130,012,037.00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与子公司往来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100,087,775.09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49,618,000.00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机票押金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240,640.00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454,933,812.09</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240,640.00</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1,540,594,203.36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1,540,594,203.36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1,397,295,144.25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1,397,295,144.25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19,867,067.08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19,867,067.08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20,438,582.47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20,438,582.47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1,560,461,270.44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1,560,461,270.44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1,417,733,726.72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1,417,733,726.72</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29"/>
        <w:gridCol w:w="1320"/>
        <w:gridCol w:w="1178"/>
        <w:gridCol w:w="1004"/>
        <w:gridCol w:w="1320"/>
        <w:gridCol w:w="822"/>
        <w:gridCol w:w="820"/>
      </w:tblGrid>
      <w:tr>
        <w:trPr>
          <w:trHeight w:val="713"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 w:right="4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竹园国际旅行社有限公司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52"/>
              <w:jc w:val="left"/>
              <w:rPr>
                <w:rFonts w:ascii="Times New Roman" w:hAnsi="Times New Roman" w:cs="Times New Roman" w:eastAsia="Times New Roman" w:hint="default"/>
                <w:sz w:val="18"/>
                <w:szCs w:val="18"/>
              </w:rPr>
            </w:pPr>
            <w:r>
              <w:rPr>
                <w:rFonts w:ascii="Times New Roman"/>
                <w:sz w:val="18"/>
              </w:rPr>
              <w:t>Hongkong </w:t>
            </w:r>
            <w:r>
              <w:rPr>
                <w:rFonts w:ascii="Times New Roman"/>
                <w:spacing w:val="-3"/>
                <w:sz w:val="18"/>
              </w:rPr>
              <w:t>UTour </w:t>
            </w:r>
            <w:r>
              <w:rPr>
                <w:rFonts w:ascii="Times New Roman"/>
                <w:sz w:val="18"/>
              </w:rPr>
              <w:t>International</w:t>
            </w:r>
            <w:r>
              <w:rPr>
                <w:rFonts w:ascii="Times New Roman"/>
                <w:spacing w:val="-10"/>
                <w:sz w:val="18"/>
              </w:rPr>
              <w:t> </w:t>
            </w:r>
            <w:r>
              <w:rPr>
                <w:rFonts w:ascii="Times New Roman"/>
                <w:sz w:val="18"/>
              </w:rPr>
              <w:t>Travel</w:t>
            </w:r>
            <w:r>
              <w:rPr>
                <w:rFonts w:ascii="Times New Roman"/>
                <w:sz w:val="18"/>
              </w:rPr>
              <w:t> Service Co.,</w:t>
            </w:r>
            <w:r>
              <w:rPr>
                <w:rFonts w:ascii="Times New Roman"/>
                <w:spacing w:val="-3"/>
                <w:sz w:val="18"/>
              </w:rPr>
              <w:t> </w:t>
            </w:r>
            <w:r>
              <w:rPr>
                <w:rFonts w:ascii="Times New Roman"/>
                <w:sz w:val="18"/>
              </w:rPr>
              <w:t>Limited</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311,253,700.00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18,746,300.00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广州优贷小额贷款有限公司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众信博睿整合营销咨询股份有限公司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北京开元周游国际旅行社有限公司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71,132,485.00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71,132,485.00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中企信商业保理有限公司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60,000,000.00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北京优展逸途国际旅行社有限公司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30,245,270.00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31,245,270.00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29"/>
        <w:gridCol w:w="1320"/>
        <w:gridCol w:w="1178"/>
        <w:gridCol w:w="1004"/>
        <w:gridCol w:w="1320"/>
        <w:gridCol w:w="822"/>
        <w:gridCol w:w="820"/>
      </w:tblGrid>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上海众信国际旅行社有限公司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上海巨龙国际旅行社有限公司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12,535,064.25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8,484,000.00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21,019,064.25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北京聚力优游投资管理合伙企业（有限合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15,465,435.62</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15,465,435.62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天津众信悠哉网国际旅行社有限公司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北京优拓航空服务有限公司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北京优达出入境服务有限公司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北京悠联货币汇兑有限公司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7,204,080.00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7,204,080.00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北京众信奇迹国际旅行社有限公司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北京优泰科网络科技有限公司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4,947,085.49</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4,947,085.49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上海悠哉网络科技有限公司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厦门开元周游投资管理合伙企业（有限合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3,743,815.00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3,743,815.00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杭州四达因私出入境服务有限公司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四川众信国际旅行社有限公司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优耐德（北京）国际旅行社有限公司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北京优玖科技有限责任公司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295,968.00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2,695,968.00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广州众信旅行社有限公司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太原众信旅行社有限公司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云南众信国际旅行社有限公司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浙江众信旅行社有限公司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湖北众信悠哉国际旅行社有限公司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重庆众信国际旅行社有限公司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辽宁众信旅行社有限公司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北京众信优学国际旅行社有限公司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北京众信优游国际旅行社有限公司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湖南众信旅行社有限公司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陕西众信旅行社有限公司</w:t>
            </w:r>
          </w:p>
        </w:tc>
        <w:tc>
          <w:tcPr>
            <w:tcW w:w="132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北京九州联合国际旅行社有限公司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7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1,397,295,144.25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146,299,059.11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1,540,594,203.36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05"/>
        <w:gridCol w:w="1097"/>
        <w:gridCol w:w="436"/>
        <w:gridCol w:w="436"/>
        <w:gridCol w:w="1340"/>
        <w:gridCol w:w="1140"/>
        <w:gridCol w:w="570"/>
        <w:gridCol w:w="904"/>
        <w:gridCol w:w="570"/>
        <w:gridCol w:w="301"/>
        <w:gridCol w:w="1093"/>
        <w:gridCol w:w="702"/>
      </w:tblGrid>
      <w:tr>
        <w:trPr>
          <w:trHeight w:val="402" w:hRule="exact"/>
        </w:trPr>
        <w:tc>
          <w:tcPr>
            <w:tcW w:w="11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9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75" w:right="74"/>
              <w:jc w:val="left"/>
              <w:rPr>
                <w:rFonts w:ascii="宋体" w:hAnsi="宋体" w:cs="宋体" w:eastAsia="宋体" w:hint="default"/>
                <w:sz w:val="18"/>
                <w:szCs w:val="18"/>
              </w:rPr>
            </w:pPr>
            <w:r>
              <w:rPr>
                <w:rFonts w:ascii="宋体" w:hAnsi="宋体" w:cs="宋体" w:eastAsia="宋体" w:hint="default"/>
                <w:sz w:val="18"/>
                <w:szCs w:val="18"/>
              </w:rPr>
              <w:t>减值准 备期末</w:t>
            </w:r>
          </w:p>
        </w:tc>
      </w:tr>
      <w:tr>
        <w:trPr>
          <w:trHeight w:val="362" w:hRule="exact"/>
        </w:trPr>
        <w:tc>
          <w:tcPr>
            <w:tcW w:w="1105" w:type="dxa"/>
            <w:vMerge/>
            <w:tcBorders>
              <w:left w:val="single" w:sz="4" w:space="0" w:color="000000"/>
              <w:bottom w:val="single" w:sz="4" w:space="0" w:color="000000"/>
              <w:right w:val="single" w:sz="4" w:space="0" w:color="000000"/>
            </w:tcBorders>
            <w:shd w:val="clear" w:color="auto" w:fill="D3D3D3"/>
          </w:tcPr>
          <w:p>
            <w:pPr/>
          </w:p>
        </w:tc>
        <w:tc>
          <w:tcPr>
            <w:tcW w:w="1097" w:type="dxa"/>
            <w:vMerge/>
            <w:tcBorders>
              <w:left w:val="single" w:sz="4" w:space="0" w:color="000000"/>
              <w:bottom w:val="single" w:sz="4" w:space="0" w:color="000000"/>
              <w:right w:val="single" w:sz="4" w:space="0" w:color="000000"/>
            </w:tcBorders>
            <w:shd w:val="clear" w:color="auto" w:fill="D3D3D3"/>
          </w:tcPr>
          <w:p>
            <w:pPr/>
          </w:p>
        </w:tc>
        <w:tc>
          <w:tcPr>
            <w:tcW w:w="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追加</w:t>
            </w:r>
          </w:p>
        </w:tc>
        <w:tc>
          <w:tcPr>
            <w:tcW w:w="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权益法下确认的</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其</w:t>
            </w:r>
          </w:p>
        </w:tc>
        <w:tc>
          <w:tcPr>
            <w:tcW w:w="1093" w:type="dxa"/>
            <w:vMerge/>
            <w:tcBorders>
              <w:left w:val="single" w:sz="4" w:space="0" w:color="000000"/>
              <w:bottom w:val="single" w:sz="4" w:space="0" w:color="000000"/>
              <w:right w:val="single" w:sz="4" w:space="0" w:color="000000"/>
            </w:tcBorders>
            <w:shd w:val="clear" w:color="auto" w:fill="D3D3D3"/>
          </w:tcPr>
          <w:p>
            <w:pPr/>
          </w:p>
        </w:tc>
        <w:tc>
          <w:tcPr>
            <w:tcW w:w="70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05"/>
        <w:gridCol w:w="1097"/>
        <w:gridCol w:w="436"/>
        <w:gridCol w:w="436"/>
        <w:gridCol w:w="1340"/>
        <w:gridCol w:w="1140"/>
        <w:gridCol w:w="570"/>
        <w:gridCol w:w="904"/>
        <w:gridCol w:w="570"/>
        <w:gridCol w:w="301"/>
        <w:gridCol w:w="1093"/>
        <w:gridCol w:w="702"/>
      </w:tblGrid>
      <w:tr>
        <w:trPr>
          <w:trHeight w:val="674" w:hRule="exact"/>
        </w:trPr>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05" w:right="0"/>
              <w:jc w:val="left"/>
              <w:rPr>
                <w:rFonts w:ascii="宋体" w:hAnsi="宋体" w:cs="宋体" w:eastAsia="宋体" w:hint="default"/>
                <w:sz w:val="18"/>
                <w:szCs w:val="18"/>
              </w:rPr>
            </w:pPr>
            <w:r>
              <w:rPr>
                <w:rFonts w:ascii="宋体" w:hAnsi="宋体" w:cs="宋体" w:eastAsia="宋体" w:hint="default"/>
                <w:sz w:val="18"/>
                <w:szCs w:val="18"/>
              </w:rPr>
              <w:t>投资损益</w:t>
            </w:r>
          </w:p>
        </w:tc>
        <w:tc>
          <w:tcPr>
            <w:tcW w:w="1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调整</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9" w:right="98"/>
              <w:jc w:val="left"/>
              <w:rPr>
                <w:rFonts w:ascii="宋体" w:hAnsi="宋体" w:cs="宋体" w:eastAsia="宋体" w:hint="default"/>
                <w:sz w:val="18"/>
                <w:szCs w:val="18"/>
              </w:rPr>
            </w:pPr>
            <w:r>
              <w:rPr>
                <w:rFonts w:ascii="宋体" w:hAnsi="宋体" w:cs="宋体" w:eastAsia="宋体" w:hint="default"/>
                <w:sz w:val="18"/>
                <w:szCs w:val="18"/>
              </w:rPr>
              <w:t>权益 变动</w:t>
            </w:r>
          </w:p>
        </w:tc>
        <w:tc>
          <w:tcPr>
            <w:tcW w:w="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76" w:right="85"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9" w:right="9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5"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11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厦门众信凡</w:t>
            </w:r>
          </w:p>
        </w:tc>
        <w:tc>
          <w:tcPr>
            <w:tcW w:w="1097" w:type="dxa"/>
            <w:tcBorders>
              <w:top w:val="single" w:sz="4" w:space="0" w:color="000000"/>
              <w:left w:val="single" w:sz="4" w:space="0" w:color="000000"/>
              <w:bottom w:val="nil" w:sz="6" w:space="0" w:color="auto"/>
              <w:right w:val="single" w:sz="4" w:space="0" w:color="000000"/>
            </w:tcBorders>
          </w:tcPr>
          <w:p>
            <w:pPr/>
          </w:p>
        </w:tc>
        <w:tc>
          <w:tcPr>
            <w:tcW w:w="436" w:type="dxa"/>
            <w:vMerge w:val="restart"/>
            <w:tcBorders>
              <w:top w:val="single" w:sz="4" w:space="0" w:color="000000"/>
              <w:left w:val="single" w:sz="4" w:space="0" w:color="000000"/>
              <w:right w:val="single" w:sz="4" w:space="0" w:color="000000"/>
            </w:tcBorders>
          </w:tcPr>
          <w:p>
            <w:pPr/>
          </w:p>
        </w:tc>
        <w:tc>
          <w:tcPr>
            <w:tcW w:w="436" w:type="dxa"/>
            <w:vMerge w:val="restart"/>
            <w:tcBorders>
              <w:top w:val="single" w:sz="4" w:space="0" w:color="000000"/>
              <w:left w:val="single" w:sz="4" w:space="0" w:color="000000"/>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140" w:type="dxa"/>
            <w:vMerge w:val="restart"/>
            <w:tcBorders>
              <w:top w:val="single" w:sz="4" w:space="0" w:color="000000"/>
              <w:left w:val="single" w:sz="4" w:space="0" w:color="000000"/>
              <w:right w:val="single" w:sz="4" w:space="0" w:color="000000"/>
            </w:tcBorders>
          </w:tcPr>
          <w:p>
            <w:pPr/>
          </w:p>
        </w:tc>
        <w:tc>
          <w:tcPr>
            <w:tcW w:w="570" w:type="dxa"/>
            <w:vMerge w:val="restart"/>
            <w:tcBorders>
              <w:top w:val="single" w:sz="4" w:space="0" w:color="000000"/>
              <w:left w:val="single" w:sz="4" w:space="0" w:color="000000"/>
              <w:right w:val="single" w:sz="4" w:space="0" w:color="000000"/>
            </w:tcBorders>
          </w:tcPr>
          <w:p>
            <w:pPr/>
          </w:p>
        </w:tc>
        <w:tc>
          <w:tcPr>
            <w:tcW w:w="904" w:type="dxa"/>
            <w:vMerge w:val="restart"/>
            <w:tcBorders>
              <w:top w:val="single" w:sz="4" w:space="0" w:color="000000"/>
              <w:left w:val="single" w:sz="4" w:space="0" w:color="000000"/>
              <w:right w:val="single" w:sz="4" w:space="0" w:color="000000"/>
            </w:tcBorders>
          </w:tcPr>
          <w:p>
            <w:pPr/>
          </w:p>
        </w:tc>
        <w:tc>
          <w:tcPr>
            <w:tcW w:w="570" w:type="dxa"/>
            <w:vMerge w:val="restart"/>
            <w:tcBorders>
              <w:top w:val="single" w:sz="4" w:space="0" w:color="000000"/>
              <w:left w:val="single" w:sz="4" w:space="0" w:color="000000"/>
              <w:right w:val="single" w:sz="4" w:space="0" w:color="000000"/>
            </w:tcBorders>
          </w:tcPr>
          <w:p>
            <w:pPr/>
          </w:p>
        </w:tc>
        <w:tc>
          <w:tcPr>
            <w:tcW w:w="301" w:type="dxa"/>
            <w:vMerge w:val="restart"/>
            <w:tcBorders>
              <w:top w:val="single" w:sz="4" w:space="0" w:color="000000"/>
              <w:left w:val="single" w:sz="4" w:space="0" w:color="000000"/>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702" w:type="dxa"/>
            <w:vMerge w:val="restart"/>
            <w:tcBorders>
              <w:top w:val="single" w:sz="4" w:space="0" w:color="000000"/>
              <w:left w:val="single" w:sz="4" w:space="0" w:color="000000"/>
              <w:right w:val="single" w:sz="4" w:space="0" w:color="000000"/>
            </w:tcBorders>
          </w:tcPr>
          <w:p>
            <w:pPr/>
          </w:p>
        </w:tc>
      </w:tr>
      <w:tr>
        <w:trPr>
          <w:trHeight w:val="316" w:hRule="exact"/>
        </w:trPr>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星教育科技</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2" w:right="0"/>
              <w:jc w:val="center"/>
              <w:rPr>
                <w:rFonts w:ascii="Times New Roman" w:hAnsi="Times New Roman" w:cs="Times New Roman" w:eastAsia="Times New Roman" w:hint="default"/>
                <w:sz w:val="18"/>
                <w:szCs w:val="18"/>
              </w:rPr>
            </w:pPr>
            <w:r>
              <w:rPr>
                <w:rFonts w:ascii="Times New Roman"/>
                <w:sz w:val="18"/>
              </w:rPr>
              <w:t>986,191.17</w:t>
            </w:r>
          </w:p>
        </w:tc>
        <w:tc>
          <w:tcPr>
            <w:tcW w:w="436"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-234,139.03</w:t>
            </w:r>
          </w:p>
        </w:tc>
        <w:tc>
          <w:tcPr>
            <w:tcW w:w="1140"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752,052.14</w:t>
            </w:r>
          </w:p>
        </w:tc>
        <w:tc>
          <w:tcPr>
            <w:tcW w:w="702" w:type="dxa"/>
            <w:vMerge/>
            <w:tcBorders>
              <w:left w:val="single" w:sz="4" w:space="0" w:color="000000"/>
              <w:right w:val="single" w:sz="4" w:space="0" w:color="000000"/>
            </w:tcBorders>
          </w:tcPr>
          <w:p>
            <w:pPr/>
          </w:p>
        </w:tc>
      </w:tr>
      <w:tr>
        <w:trPr>
          <w:trHeight w:val="353" w:hRule="exact"/>
        </w:trPr>
        <w:tc>
          <w:tcPr>
            <w:tcW w:w="11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97" w:type="dxa"/>
            <w:tcBorders>
              <w:top w:val="nil" w:sz="6" w:space="0" w:color="auto"/>
              <w:left w:val="single" w:sz="4" w:space="0" w:color="000000"/>
              <w:bottom w:val="single" w:sz="4" w:space="0" w:color="000000"/>
              <w:right w:val="single" w:sz="4" w:space="0" w:color="000000"/>
            </w:tcBorders>
          </w:tcPr>
          <w:p>
            <w:pPr/>
          </w:p>
        </w:tc>
        <w:tc>
          <w:tcPr>
            <w:tcW w:w="436" w:type="dxa"/>
            <w:vMerge/>
            <w:tcBorders>
              <w:left w:val="single" w:sz="4" w:space="0" w:color="000000"/>
              <w:bottom w:val="single" w:sz="4" w:space="0" w:color="000000"/>
              <w:right w:val="single" w:sz="4" w:space="0" w:color="000000"/>
            </w:tcBorders>
          </w:tcPr>
          <w:p>
            <w:pPr/>
          </w:p>
        </w:tc>
        <w:tc>
          <w:tcPr>
            <w:tcW w:w="436" w:type="dxa"/>
            <w:vMerge/>
            <w:tcBorders>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301" w:type="dxa"/>
            <w:vMerge/>
            <w:tcBorders>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r>
      <w:tr>
        <w:trPr>
          <w:trHeight w:val="357" w:hRule="exact"/>
        </w:trPr>
        <w:tc>
          <w:tcPr>
            <w:tcW w:w="11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北京行天下</w:t>
            </w:r>
          </w:p>
        </w:tc>
        <w:tc>
          <w:tcPr>
            <w:tcW w:w="1097" w:type="dxa"/>
            <w:tcBorders>
              <w:top w:val="single" w:sz="4" w:space="0" w:color="000000"/>
              <w:left w:val="single" w:sz="4" w:space="0" w:color="000000"/>
              <w:bottom w:val="nil" w:sz="6" w:space="0" w:color="auto"/>
              <w:right w:val="single" w:sz="4" w:space="0" w:color="000000"/>
            </w:tcBorders>
          </w:tcPr>
          <w:p>
            <w:pPr/>
          </w:p>
        </w:tc>
        <w:tc>
          <w:tcPr>
            <w:tcW w:w="436" w:type="dxa"/>
            <w:vMerge w:val="restart"/>
            <w:tcBorders>
              <w:top w:val="single" w:sz="4" w:space="0" w:color="000000"/>
              <w:left w:val="single" w:sz="4" w:space="0" w:color="000000"/>
              <w:right w:val="single" w:sz="4" w:space="0" w:color="000000"/>
            </w:tcBorders>
          </w:tcPr>
          <w:p>
            <w:pPr/>
          </w:p>
        </w:tc>
        <w:tc>
          <w:tcPr>
            <w:tcW w:w="436" w:type="dxa"/>
            <w:vMerge w:val="restart"/>
            <w:tcBorders>
              <w:top w:val="single" w:sz="4" w:space="0" w:color="000000"/>
              <w:left w:val="single" w:sz="4" w:space="0" w:color="000000"/>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140" w:type="dxa"/>
            <w:vMerge w:val="restart"/>
            <w:tcBorders>
              <w:top w:val="single" w:sz="4" w:space="0" w:color="000000"/>
              <w:left w:val="single" w:sz="4" w:space="0" w:color="000000"/>
              <w:right w:val="single" w:sz="4" w:space="0" w:color="000000"/>
            </w:tcBorders>
          </w:tcPr>
          <w:p>
            <w:pPr/>
          </w:p>
        </w:tc>
        <w:tc>
          <w:tcPr>
            <w:tcW w:w="570" w:type="dxa"/>
            <w:vMerge w:val="restart"/>
            <w:tcBorders>
              <w:top w:val="single" w:sz="4" w:space="0" w:color="000000"/>
              <w:left w:val="single" w:sz="4" w:space="0" w:color="000000"/>
              <w:right w:val="single" w:sz="4" w:space="0" w:color="000000"/>
            </w:tcBorders>
          </w:tcPr>
          <w:p>
            <w:pPr/>
          </w:p>
        </w:tc>
        <w:tc>
          <w:tcPr>
            <w:tcW w:w="904" w:type="dxa"/>
            <w:vMerge w:val="restart"/>
            <w:tcBorders>
              <w:top w:val="single" w:sz="4" w:space="0" w:color="000000"/>
              <w:left w:val="single" w:sz="4" w:space="0" w:color="000000"/>
              <w:right w:val="single" w:sz="4" w:space="0" w:color="000000"/>
            </w:tcBorders>
          </w:tcPr>
          <w:p>
            <w:pPr/>
          </w:p>
        </w:tc>
        <w:tc>
          <w:tcPr>
            <w:tcW w:w="570" w:type="dxa"/>
            <w:vMerge w:val="restart"/>
            <w:tcBorders>
              <w:top w:val="single" w:sz="4" w:space="0" w:color="000000"/>
              <w:left w:val="single" w:sz="4" w:space="0" w:color="000000"/>
              <w:right w:val="single" w:sz="4" w:space="0" w:color="000000"/>
            </w:tcBorders>
          </w:tcPr>
          <w:p>
            <w:pPr/>
          </w:p>
        </w:tc>
        <w:tc>
          <w:tcPr>
            <w:tcW w:w="301" w:type="dxa"/>
            <w:vMerge w:val="restart"/>
            <w:tcBorders>
              <w:top w:val="single" w:sz="4" w:space="0" w:color="000000"/>
              <w:left w:val="single" w:sz="4" w:space="0" w:color="000000"/>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702" w:type="dxa"/>
            <w:vMerge w:val="restart"/>
            <w:tcBorders>
              <w:top w:val="single" w:sz="4" w:space="0" w:color="000000"/>
              <w:left w:val="single" w:sz="4" w:space="0" w:color="000000"/>
              <w:right w:val="single" w:sz="4" w:space="0" w:color="000000"/>
            </w:tcBorders>
          </w:tcPr>
          <w:p>
            <w:pPr/>
          </w:p>
        </w:tc>
      </w:tr>
      <w:tr>
        <w:trPr>
          <w:trHeight w:val="316" w:hRule="exact"/>
        </w:trPr>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国际旅行社</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 w:right="0"/>
              <w:jc w:val="center"/>
              <w:rPr>
                <w:rFonts w:ascii="Times New Roman" w:hAnsi="Times New Roman" w:cs="Times New Roman" w:eastAsia="Times New Roman" w:hint="default"/>
                <w:sz w:val="18"/>
                <w:szCs w:val="18"/>
              </w:rPr>
            </w:pPr>
            <w:r>
              <w:rPr>
                <w:rFonts w:ascii="Times New Roman"/>
                <w:sz w:val="18"/>
              </w:rPr>
              <w:t>15,765,259.69</w:t>
            </w:r>
          </w:p>
        </w:tc>
        <w:tc>
          <w:tcPr>
            <w:tcW w:w="436"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97,860.81</w:t>
            </w:r>
          </w:p>
        </w:tc>
        <w:tc>
          <w:tcPr>
            <w:tcW w:w="1140"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15,863,120.50</w:t>
            </w:r>
          </w:p>
        </w:tc>
        <w:tc>
          <w:tcPr>
            <w:tcW w:w="702" w:type="dxa"/>
            <w:vMerge/>
            <w:tcBorders>
              <w:left w:val="single" w:sz="4" w:space="0" w:color="000000"/>
              <w:right w:val="single" w:sz="4" w:space="0" w:color="000000"/>
            </w:tcBorders>
          </w:tcPr>
          <w:p>
            <w:pPr/>
          </w:p>
        </w:tc>
      </w:tr>
      <w:tr>
        <w:trPr>
          <w:trHeight w:val="353" w:hRule="exact"/>
        </w:trPr>
        <w:tc>
          <w:tcPr>
            <w:tcW w:w="11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97" w:type="dxa"/>
            <w:tcBorders>
              <w:top w:val="nil" w:sz="6" w:space="0" w:color="auto"/>
              <w:left w:val="single" w:sz="4" w:space="0" w:color="000000"/>
              <w:bottom w:val="single" w:sz="4" w:space="0" w:color="000000"/>
              <w:right w:val="single" w:sz="4" w:space="0" w:color="000000"/>
            </w:tcBorders>
          </w:tcPr>
          <w:p>
            <w:pPr/>
          </w:p>
        </w:tc>
        <w:tc>
          <w:tcPr>
            <w:tcW w:w="436" w:type="dxa"/>
            <w:vMerge/>
            <w:tcBorders>
              <w:left w:val="single" w:sz="4" w:space="0" w:color="000000"/>
              <w:bottom w:val="single" w:sz="4" w:space="0" w:color="000000"/>
              <w:right w:val="single" w:sz="4" w:space="0" w:color="000000"/>
            </w:tcBorders>
          </w:tcPr>
          <w:p>
            <w:pPr/>
          </w:p>
        </w:tc>
        <w:tc>
          <w:tcPr>
            <w:tcW w:w="436" w:type="dxa"/>
            <w:vMerge/>
            <w:tcBorders>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301" w:type="dxa"/>
            <w:vMerge/>
            <w:tcBorders>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r>
      <w:tr>
        <w:trPr>
          <w:trHeight w:val="357" w:hRule="exact"/>
        </w:trPr>
        <w:tc>
          <w:tcPr>
            <w:tcW w:w="11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中国海外旅</w:t>
            </w:r>
          </w:p>
        </w:tc>
        <w:tc>
          <w:tcPr>
            <w:tcW w:w="1097" w:type="dxa"/>
            <w:tcBorders>
              <w:top w:val="single" w:sz="4" w:space="0" w:color="000000"/>
              <w:left w:val="single" w:sz="4" w:space="0" w:color="000000"/>
              <w:bottom w:val="nil" w:sz="6" w:space="0" w:color="auto"/>
              <w:right w:val="single" w:sz="4" w:space="0" w:color="000000"/>
            </w:tcBorders>
          </w:tcPr>
          <w:p>
            <w:pPr/>
          </w:p>
        </w:tc>
        <w:tc>
          <w:tcPr>
            <w:tcW w:w="436" w:type="dxa"/>
            <w:vMerge w:val="restart"/>
            <w:tcBorders>
              <w:top w:val="single" w:sz="4" w:space="0" w:color="000000"/>
              <w:left w:val="single" w:sz="4" w:space="0" w:color="000000"/>
              <w:right w:val="single" w:sz="4" w:space="0" w:color="000000"/>
            </w:tcBorders>
          </w:tcPr>
          <w:p>
            <w:pPr/>
          </w:p>
        </w:tc>
        <w:tc>
          <w:tcPr>
            <w:tcW w:w="436" w:type="dxa"/>
            <w:vMerge w:val="restart"/>
            <w:tcBorders>
              <w:top w:val="single" w:sz="4" w:space="0" w:color="000000"/>
              <w:left w:val="single" w:sz="4" w:space="0" w:color="000000"/>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
        </w:tc>
        <w:tc>
          <w:tcPr>
            <w:tcW w:w="570" w:type="dxa"/>
            <w:vMerge w:val="restart"/>
            <w:tcBorders>
              <w:top w:val="single" w:sz="4" w:space="0" w:color="000000"/>
              <w:left w:val="single" w:sz="4" w:space="0" w:color="000000"/>
              <w:right w:val="single" w:sz="4" w:space="0" w:color="000000"/>
            </w:tcBorders>
          </w:tcPr>
          <w:p>
            <w:pPr/>
          </w:p>
        </w:tc>
        <w:tc>
          <w:tcPr>
            <w:tcW w:w="904" w:type="dxa"/>
            <w:vMerge w:val="restart"/>
            <w:tcBorders>
              <w:top w:val="single" w:sz="4" w:space="0" w:color="000000"/>
              <w:left w:val="single" w:sz="4" w:space="0" w:color="000000"/>
              <w:right w:val="single" w:sz="4" w:space="0" w:color="000000"/>
            </w:tcBorders>
          </w:tcPr>
          <w:p>
            <w:pPr/>
          </w:p>
        </w:tc>
        <w:tc>
          <w:tcPr>
            <w:tcW w:w="570" w:type="dxa"/>
            <w:vMerge w:val="restart"/>
            <w:tcBorders>
              <w:top w:val="single" w:sz="4" w:space="0" w:color="000000"/>
              <w:left w:val="single" w:sz="4" w:space="0" w:color="000000"/>
              <w:right w:val="single" w:sz="4" w:space="0" w:color="000000"/>
            </w:tcBorders>
          </w:tcPr>
          <w:p>
            <w:pPr/>
          </w:p>
        </w:tc>
        <w:tc>
          <w:tcPr>
            <w:tcW w:w="301" w:type="dxa"/>
            <w:vMerge w:val="restart"/>
            <w:tcBorders>
              <w:top w:val="single" w:sz="4" w:space="0" w:color="000000"/>
              <w:left w:val="single" w:sz="4" w:space="0" w:color="000000"/>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702" w:type="dxa"/>
            <w:vMerge w:val="restart"/>
            <w:tcBorders>
              <w:top w:val="single" w:sz="4" w:space="0" w:color="000000"/>
              <w:left w:val="single" w:sz="4" w:space="0" w:color="000000"/>
              <w:right w:val="single" w:sz="4" w:space="0" w:color="000000"/>
            </w:tcBorders>
          </w:tcPr>
          <w:p>
            <w:pPr/>
          </w:p>
        </w:tc>
      </w:tr>
      <w:tr>
        <w:trPr>
          <w:trHeight w:val="316" w:hRule="exact"/>
        </w:trPr>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游投资管理</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8" w:right="0"/>
              <w:jc w:val="center"/>
              <w:rPr>
                <w:rFonts w:ascii="Times New Roman" w:hAnsi="Times New Roman" w:cs="Times New Roman" w:eastAsia="Times New Roman" w:hint="default"/>
                <w:sz w:val="18"/>
                <w:szCs w:val="18"/>
              </w:rPr>
            </w:pPr>
            <w:r>
              <w:rPr>
                <w:rFonts w:ascii="Times New Roman"/>
                <w:sz w:val="18"/>
              </w:rPr>
              <w:t>3,687,131.61</w:t>
            </w:r>
          </w:p>
        </w:tc>
        <w:tc>
          <w:tcPr>
            <w:tcW w:w="436" w:type="dxa"/>
            <w:vMerge/>
            <w:tcBorders>
              <w:left w:val="single" w:sz="4" w:space="0" w:color="000000"/>
              <w:right w:val="single" w:sz="4" w:space="0" w:color="000000"/>
            </w:tcBorders>
          </w:tcPr>
          <w:p>
            <w:pPr/>
          </w:p>
        </w:tc>
        <w:tc>
          <w:tcPr>
            <w:tcW w:w="436" w:type="dxa"/>
            <w:vMerge/>
            <w:tcBorders>
              <w:left w:val="single" w:sz="4" w:space="0" w:color="000000"/>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-195,846.50</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-239,390.67</w:t>
            </w:r>
          </w:p>
        </w:tc>
        <w:tc>
          <w:tcPr>
            <w:tcW w:w="570" w:type="dxa"/>
            <w:vMerge/>
            <w:tcBorders>
              <w:left w:val="single" w:sz="4" w:space="0" w:color="000000"/>
              <w:right w:val="single" w:sz="4" w:space="0" w:color="000000"/>
            </w:tcBorders>
          </w:tcPr>
          <w:p>
            <w:pPr/>
          </w:p>
        </w:tc>
        <w:tc>
          <w:tcPr>
            <w:tcW w:w="904" w:type="dxa"/>
            <w:vMerge/>
            <w:tcBorders>
              <w:left w:val="single" w:sz="4" w:space="0" w:color="000000"/>
              <w:right w:val="single" w:sz="4" w:space="0" w:color="000000"/>
            </w:tcBorders>
          </w:tcPr>
          <w:p>
            <w:pPr/>
          </w:p>
        </w:tc>
        <w:tc>
          <w:tcPr>
            <w:tcW w:w="570" w:type="dxa"/>
            <w:vMerge/>
            <w:tcBorders>
              <w:left w:val="single" w:sz="4" w:space="0" w:color="000000"/>
              <w:right w:val="single" w:sz="4" w:space="0" w:color="000000"/>
            </w:tcBorders>
          </w:tcPr>
          <w:p>
            <w:pPr/>
          </w:p>
        </w:tc>
        <w:tc>
          <w:tcPr>
            <w:tcW w:w="301" w:type="dxa"/>
            <w:vMerge/>
            <w:tcBorders>
              <w:left w:val="single" w:sz="4" w:space="0" w:color="000000"/>
              <w:right w:val="single" w:sz="4" w:space="0" w:color="000000"/>
            </w:tcBorders>
          </w:tcPr>
          <w:p>
            <w:pP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3,251,894.44</w:t>
            </w:r>
          </w:p>
        </w:tc>
        <w:tc>
          <w:tcPr>
            <w:tcW w:w="702" w:type="dxa"/>
            <w:vMerge/>
            <w:tcBorders>
              <w:left w:val="single" w:sz="4" w:space="0" w:color="000000"/>
              <w:right w:val="single" w:sz="4" w:space="0" w:color="000000"/>
            </w:tcBorders>
          </w:tcPr>
          <w:p>
            <w:pPr/>
          </w:p>
        </w:tc>
      </w:tr>
      <w:tr>
        <w:trPr>
          <w:trHeight w:val="353" w:hRule="exact"/>
        </w:trPr>
        <w:tc>
          <w:tcPr>
            <w:tcW w:w="11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97" w:type="dxa"/>
            <w:tcBorders>
              <w:top w:val="nil" w:sz="6" w:space="0" w:color="auto"/>
              <w:left w:val="single" w:sz="4" w:space="0" w:color="000000"/>
              <w:bottom w:val="single" w:sz="4" w:space="0" w:color="000000"/>
              <w:right w:val="single" w:sz="4" w:space="0" w:color="000000"/>
            </w:tcBorders>
          </w:tcPr>
          <w:p>
            <w:pPr/>
          </w:p>
        </w:tc>
        <w:tc>
          <w:tcPr>
            <w:tcW w:w="436" w:type="dxa"/>
            <w:vMerge/>
            <w:tcBorders>
              <w:left w:val="single" w:sz="4" w:space="0" w:color="000000"/>
              <w:bottom w:val="single" w:sz="4" w:space="0" w:color="000000"/>
              <w:right w:val="single" w:sz="4" w:space="0" w:color="000000"/>
            </w:tcBorders>
          </w:tcPr>
          <w:p>
            <w:pPr/>
          </w:p>
        </w:tc>
        <w:tc>
          <w:tcPr>
            <w:tcW w:w="436" w:type="dxa"/>
            <w:vMerge/>
            <w:tcBorders>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904" w:type="dxa"/>
            <w:vMerge/>
            <w:tcBorders>
              <w:left w:val="single" w:sz="4" w:space="0" w:color="000000"/>
              <w:bottom w:val="single" w:sz="4" w:space="0" w:color="000000"/>
              <w:right w:val="single" w:sz="4" w:space="0" w:color="000000"/>
            </w:tcBorders>
          </w:tcPr>
          <w:p>
            <w:pPr/>
          </w:p>
        </w:tc>
        <w:tc>
          <w:tcPr>
            <w:tcW w:w="570" w:type="dxa"/>
            <w:vMerge/>
            <w:tcBorders>
              <w:left w:val="single" w:sz="4" w:space="0" w:color="000000"/>
              <w:bottom w:val="single" w:sz="4" w:space="0" w:color="000000"/>
              <w:right w:val="single" w:sz="4" w:space="0" w:color="000000"/>
            </w:tcBorders>
          </w:tcPr>
          <w:p>
            <w:pPr/>
          </w:p>
        </w:tc>
        <w:tc>
          <w:tcPr>
            <w:tcW w:w="301" w:type="dxa"/>
            <w:vMerge/>
            <w:tcBorders>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702" w:type="dxa"/>
            <w:vMerge/>
            <w:tcBorders>
              <w:left w:val="single" w:sz="4" w:space="0" w:color="000000"/>
              <w:bottom w:val="single" w:sz="4" w:space="0" w:color="000000"/>
              <w:right w:val="single" w:sz="4" w:space="0" w:color="000000"/>
            </w:tcBorders>
          </w:tcPr>
          <w:p>
            <w:pPr/>
          </w:p>
        </w:tc>
      </w:tr>
      <w:tr>
        <w:trPr>
          <w:trHeight w:val="402" w:hRule="exact"/>
        </w:trPr>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20,438,582.47</w:t>
            </w:r>
          </w:p>
        </w:tc>
        <w:tc>
          <w:tcPr>
            <w:tcW w:w="43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-332,124.72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-239,390.67</w:t>
            </w:r>
          </w:p>
        </w:tc>
        <w:tc>
          <w:tcPr>
            <w:tcW w:w="570"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19,867,067.08</w:t>
            </w:r>
          </w:p>
        </w:tc>
        <w:tc>
          <w:tcPr>
            <w:tcW w:w="7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20,438,582.47</w:t>
            </w:r>
          </w:p>
        </w:tc>
        <w:tc>
          <w:tcPr>
            <w:tcW w:w="436"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-332,124.72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-239,390.67</w:t>
            </w:r>
          </w:p>
        </w:tc>
        <w:tc>
          <w:tcPr>
            <w:tcW w:w="570"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19,867,067.08</w:t>
            </w:r>
          </w:p>
        </w:tc>
        <w:tc>
          <w:tcPr>
            <w:tcW w:w="7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3,543,857,779.57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3,149,391,296.05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3,594,569,707.74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3,180,322,796.91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1,163,522.01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2,872,641.51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3,545,021,301.58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3,149,391,296.05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3,597,442,349.25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3,180,322,796.91</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-332,124.72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-46,679.85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25,725.63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2,653,604.00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10,847,204.91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2,953,320.15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416"/>
        <w:gridCol w:w="2138"/>
        <w:gridCol w:w="2140"/>
      </w:tblGrid>
      <w:tr>
        <w:trPr>
          <w:trHeight w:val="397"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-264,351.22</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定额或定量享受的政府补助除外）</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4,002,862.28</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124,215.99</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287,239.05</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资产、交易性金融负债产生的公允价值变动损益，以及处置交易性金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融资产、交易性金融负债和可供出售金融资产取得的投资收益</w:t>
            </w:r>
          </w:p>
        </w:tc>
        <w:tc>
          <w:tcPr>
            <w:tcW w:w="21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2,653,604.00</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707,547.17</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-377,209.97</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1,755,072.78</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-75,482.45</w:t>
            </w:r>
          </w:p>
        </w:tc>
        <w:tc>
          <w:tcPr>
            <w:tcW w:w="2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5,454,316.97</w:t>
            </w:r>
          </w:p>
        </w:tc>
        <w:tc>
          <w:tcPr>
            <w:tcW w:w="2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0.272</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after="0" w:line="259"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7"/>
        <w:rPr>
          <w:rFonts w:ascii="宋体" w:hAnsi="宋体" w:cs="宋体" w:eastAsia="宋体" w:hint="default"/>
          <w:b/>
          <w:bCs/>
          <w:sz w:val="46"/>
          <w:szCs w:val="46"/>
        </w:rPr>
      </w:pPr>
    </w:p>
    <w:p>
      <w:pPr>
        <w:pStyle w:val="BodyText"/>
        <w:spacing w:line="403" w:lineRule="auto" w:before="0"/>
        <w:ind w:left="153" w:right="1581"/>
        <w:jc w:val="left"/>
      </w:pPr>
      <w:r>
        <w:rPr/>
        <w:t>一、载有法定代表人、主管会计工作负责人、会计机构负责人签名并盖章的财务报表。 二、载有会计师事务所盖章、注册会计师签名并盖章的审计报告原件。 三、报告期内在中国证监会指定报纸上公开披露过的所有公司文件的正本及公告的原稿。 四、载有法定代表人签名的公司</w:t>
      </w:r>
      <w:r>
        <w:rPr>
          <w:rFonts w:ascii="Times New Roman" w:hAnsi="Times New Roman" w:cs="Times New Roman" w:eastAsia="Times New Roman" w:hint="default"/>
        </w:rPr>
        <w:t>2017</w:t>
      </w:r>
      <w:r>
        <w:rPr/>
        <w:t>年年度报告文本。 五、以上备查文件的备置地点：公司证券事务部。</w:t>
      </w:r>
    </w:p>
    <w:sectPr>
      <w:footerReference w:type="default" r:id="rId35"/>
      <w:pgSz w:w="11910" w:h="16840"/>
      <w:pgMar w:footer="982" w:header="877"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92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2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2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1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1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1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1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1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1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1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091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92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092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92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92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92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092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92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092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9244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179993pt;margin-top:42.865326pt;width:186.45pt;height:11.5pt;mso-position-horizontal-relative:page;mso-position-vertical-relative:page;z-index:-1092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092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9230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092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1092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9208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1092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众信旅游集团股份有限公司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53"/>
    </w:pPr>
    <w:rPr>
      <w:rFonts w:ascii="宋体" w:hAnsi="宋体" w:eastAsia="宋体"/>
      <w:sz w:val="21"/>
      <w:szCs w:val="21"/>
    </w:rPr>
  </w:style>
  <w:style w:styleId="BodyText" w:type="paragraph">
    <w:name w:val="Body Text"/>
    <w:basedOn w:val="Normal"/>
    <w:uiPriority w:val="1"/>
    <w:qFormat/>
    <w:pPr>
      <w:spacing w:before="46"/>
      <w:ind w:left="154"/>
    </w:pPr>
    <w:rPr>
      <w:rFonts w:ascii="宋体" w:hAnsi="宋体" w:eastAsia="宋体"/>
      <w:sz w:val="21"/>
      <w:szCs w:val="21"/>
    </w:rPr>
  </w:style>
  <w:style w:styleId="Heading1" w:type="paragraph">
    <w:name w:val="Heading 1"/>
    <w:basedOn w:val="Normal"/>
    <w:uiPriority w:val="1"/>
    <w:qFormat/>
    <w:pPr>
      <w:spacing w:before="1"/>
      <w:ind w:left="342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192"/>
      <w:ind w:left="153" w:firstLine="480"/>
      <w:outlineLvl w:val="3"/>
    </w:pPr>
    <w:rPr>
      <w:rFonts w:ascii="楷体" w:hAnsi="楷体" w:eastAsia="楷体"/>
      <w:sz w:val="24"/>
      <w:szCs w:val="24"/>
    </w:rPr>
  </w:style>
  <w:style w:styleId="Heading4" w:type="paragraph">
    <w:name w:val="Heading 4"/>
    <w:basedOn w:val="Normal"/>
    <w:uiPriority w:val="1"/>
    <w:qFormat/>
    <w:pPr>
      <w:ind w:left="595"/>
      <w:outlineLvl w:val="4"/>
    </w:pPr>
    <w:rPr>
      <w:rFonts w:ascii="宋体" w:hAnsi="宋体" w:eastAsia="宋体"/>
      <w:b/>
      <w:bCs/>
      <w:sz w:val="22"/>
      <w:szCs w:val="22"/>
    </w:rPr>
  </w:style>
  <w:style w:styleId="Heading5" w:type="paragraph">
    <w:name w:val="Heading 5"/>
    <w:basedOn w:val="Normal"/>
    <w:uiPriority w:val="1"/>
    <w:qFormat/>
    <w:pPr>
      <w:spacing w:before="31"/>
      <w:ind w:left="154"/>
      <w:outlineLvl w:val="5"/>
    </w:pPr>
    <w:rPr>
      <w:rFonts w:ascii="宋体" w:hAnsi="宋体" w:eastAsia="宋体"/>
      <w:sz w:val="22"/>
      <w:szCs w:val="22"/>
    </w:rPr>
  </w:style>
  <w:style w:styleId="Heading6" w:type="paragraph">
    <w:name w:val="Heading 6"/>
    <w:basedOn w:val="Normal"/>
    <w:uiPriority w:val="1"/>
    <w:qFormat/>
    <w:pPr>
      <w:ind w:left="154"/>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uzai.com/" TargetMode="External"/><Relationship Id="rId9" Type="http://schemas.openxmlformats.org/officeDocument/2006/relationships/hyperlink" Target="mailto:stock@utourworld.com" TargetMode="Externa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4.xml"/><Relationship Id="rId23" Type="http://schemas.openxmlformats.org/officeDocument/2006/relationships/footer" Target="footer9.xml"/><Relationship Id="rId24" Type="http://schemas.openxmlformats.org/officeDocument/2006/relationships/header" Target="header5.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image" Target="media/image4.png"/><Relationship Id="rId35"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2020-05-02T23:06:08Z</dcterms:created>
  <dcterms:modified xsi:type="dcterms:W3CDTF">2020-05-02T23:06:08Z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PScript5.dll Version 5.2.2</vt:lpwstr>
  </property>
  <property fmtid="{D5CDD505-2E9C-101B-9397-08002B2CF9AE}" pid="4" name="LastSaved">
    <vt:filetime>2020-05-02T00:00:00Z</vt:filetime>
  </property>
</Properties>
</file>