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1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1242" cy="5810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1242"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844" w:right="848" w:firstLine="0"/>
        <w:jc w:val="center"/>
        <w:rPr>
          <w:rFonts w:ascii="宋体" w:hAnsi="宋体" w:cs="宋体" w:eastAsia="宋体" w:hint="default"/>
          <w:sz w:val="36"/>
          <w:szCs w:val="36"/>
        </w:rPr>
      </w:pPr>
      <w:r>
        <w:rPr>
          <w:rFonts w:ascii="宋体" w:hAnsi="宋体" w:cs="宋体" w:eastAsia="宋体" w:hint="default"/>
          <w:b/>
          <w:bCs/>
          <w:sz w:val="36"/>
          <w:szCs w:val="36"/>
        </w:rPr>
        <w:t>深圳市爱迪尔珠宝股份有限公司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844" w:right="8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844" w:right="8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5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386" w:lineRule="auto" w:before="163"/>
        <w:ind w:right="151" w:firstLine="562"/>
        <w:jc w:val="both"/>
        <w:rPr>
          <w:b w:val="0"/>
          <w:bCs w:val="0"/>
        </w:rPr>
      </w:pPr>
      <w:r>
        <w:rPr>
          <w:w w:val="95"/>
        </w:rPr>
        <w:t>公司负责人苏日明、主管会计工作负责人李城峰及会计机构负责人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鲍俊芳声明：保证年度报告中财务报告的真实、准确、完整。</w:t>
      </w:r>
      <w:r>
        <w:rPr>
          <w:b w:val="0"/>
          <w:bCs w:val="0"/>
        </w:rPr>
      </w:r>
    </w:p>
    <w:p>
      <w:pPr>
        <w:pStyle w:val="Heading2"/>
        <w:spacing w:line="472" w:lineRule="auto" w:before="148"/>
        <w:ind w:left="714" w:right="153"/>
        <w:jc w:val="left"/>
        <w:rPr>
          <w:b w:val="0"/>
          <w:bCs w:val="0"/>
        </w:rPr>
      </w:pPr>
      <w:r>
        <w:rPr/>
        <w:t>所有董事均已出席了审议本报告的董事会会议。</w:t>
      </w:r>
      <w:r>
        <w:rPr>
          <w:w w:val="99"/>
        </w:rPr>
        <w:t> </w:t>
      </w:r>
      <w:r>
        <w:rPr>
          <w:spacing w:val="2"/>
        </w:rPr>
        <w:t>公司不存在对生产经营状况、财务状况和持续盈利能力有严重不利影响的</w:t>
      </w:r>
      <w:r>
        <w:rPr>
          <w:b w:val="0"/>
          <w:bCs w:val="0"/>
          <w:spacing w:val="2"/>
        </w:rPr>
      </w:r>
    </w:p>
    <w:p>
      <w:pPr>
        <w:pStyle w:val="Heading2"/>
        <w:spacing w:line="408" w:lineRule="auto"/>
        <w:ind w:right="149"/>
        <w:jc w:val="left"/>
        <w:rPr>
          <w:b w:val="0"/>
          <w:bCs w:val="0"/>
        </w:rPr>
      </w:pPr>
      <w:r>
        <w:rPr>
          <w:spacing w:val="2"/>
        </w:rPr>
        <w:t>有关风险因素。关于公司经营中可能面临的风险因素，详见本报告第四节管理</w:t>
      </w:r>
      <w:r>
        <w:rPr>
          <w:w w:val="99"/>
        </w:rPr>
        <w:t> </w:t>
      </w:r>
      <w:r>
        <w:rPr/>
        <w:t>层讨论与分析第九项公司未来发展的展望之</w:t>
      </w:r>
      <w:r>
        <w:rPr>
          <w:rFonts w:ascii="Times New Roman" w:hAnsi="Times New Roman" w:cs="Times New Roman" w:eastAsia="Times New Roman" w:hint="default"/>
        </w:rPr>
        <w:t>“</w:t>
      </w:r>
      <w:r>
        <w:rPr/>
        <w:t>（四）公司可能面对的风险</w:t>
      </w:r>
      <w:r>
        <w:rPr>
          <w:rFonts w:ascii="Times New Roman" w:hAnsi="Times New Roman" w:cs="Times New Roman" w:eastAsia="Times New Roman" w:hint="default"/>
        </w:rPr>
        <w:t>”</w:t>
      </w:r>
      <w:r>
        <w:rPr/>
        <w:t>。</w:t>
      </w:r>
      <w:r>
        <w:rPr>
          <w:b w:val="0"/>
          <w:bCs w:val="0"/>
        </w:rPr>
      </w:r>
    </w:p>
    <w:p>
      <w:pPr>
        <w:pStyle w:val="Heading2"/>
        <w:spacing w:line="240" w:lineRule="auto" w:before="120"/>
        <w:ind w:left="714" w:right="0"/>
        <w:jc w:val="left"/>
        <w:rPr>
          <w:b w:val="0"/>
          <w:bCs w:val="0"/>
        </w:rPr>
      </w:pPr>
      <w:r>
        <w:rPr/>
        <w:t>公司经本次董事会审议通过的利润分配预案为：以 </w:t>
      </w:r>
      <w:r>
        <w:rPr>
          <w:rFonts w:ascii="Times New Roman" w:hAnsi="Times New Roman" w:cs="Times New Roman" w:eastAsia="Times New Roman" w:hint="default"/>
        </w:rPr>
        <w:t>100000000</w:t>
      </w:r>
      <w:r>
        <w:rPr>
          <w:rFonts w:ascii="Times New Roman" w:hAnsi="Times New Roman" w:cs="Times New Roman" w:eastAsia="Times New Roman" w:hint="default"/>
          <w:spacing w:val="8"/>
        </w:rPr>
        <w:t> </w:t>
      </w:r>
      <w:r>
        <w:rPr/>
        <w:t>为基数，向</w:t>
      </w:r>
      <w:r>
        <w:rPr>
          <w:b w:val="0"/>
          <w:bCs w:val="0"/>
        </w:rPr>
      </w:r>
    </w:p>
    <w:p>
      <w:pPr>
        <w:pStyle w:val="Heading2"/>
        <w:spacing w:line="240" w:lineRule="auto" w:before="236"/>
        <w:ind w:right="0"/>
        <w:jc w:val="left"/>
        <w:rPr>
          <w:b w:val="0"/>
          <w:bCs w:val="0"/>
        </w:rPr>
      </w:pPr>
      <w:r>
        <w:rPr>
          <w:w w:val="99"/>
        </w:rPr>
        <w:t>全体</w:t>
      </w:r>
      <w:r>
        <w:rPr>
          <w:spacing w:val="2"/>
          <w:w w:val="99"/>
        </w:rPr>
        <w:t>股</w:t>
      </w:r>
      <w:r>
        <w:rPr>
          <w:w w:val="99"/>
        </w:rPr>
        <w:t>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股派发现</w:t>
      </w:r>
      <w:r>
        <w:rPr>
          <w:spacing w:val="2"/>
          <w:w w:val="99"/>
        </w:rPr>
        <w:t>金</w:t>
      </w:r>
      <w:r>
        <w:rPr>
          <w:w w:val="99"/>
        </w:rPr>
        <w:t>红利</w:t>
      </w:r>
      <w:r>
        <w:rPr>
          <w:spacing w:val="-7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rPr>
        <w:t> </w:t>
      </w:r>
      <w:r>
        <w:rPr>
          <w:spacing w:val="-32"/>
          <w:w w:val="99"/>
        </w:rPr>
        <w:t>元</w:t>
      </w:r>
      <w:r>
        <w:rPr>
          <w:w w:val="99"/>
        </w:rPr>
        <w:t>（含</w:t>
      </w:r>
      <w:r>
        <w:rPr>
          <w:spacing w:val="2"/>
          <w:w w:val="99"/>
        </w:rPr>
        <w:t>税</w:t>
      </w:r>
      <w:r>
        <w:rPr>
          <w:spacing w:val="-142"/>
          <w:w w:val="99"/>
        </w:rPr>
        <w:t>）</w:t>
      </w:r>
      <w:r>
        <w:rPr>
          <w:spacing w:val="-32"/>
          <w:w w:val="99"/>
        </w:rPr>
        <w:t>，</w:t>
      </w:r>
      <w:r>
        <w:rPr>
          <w:w w:val="99"/>
        </w:rPr>
        <w:t>送红股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32"/>
          <w:w w:val="99"/>
        </w:rPr>
        <w:t>股</w:t>
      </w:r>
      <w:r>
        <w:rPr>
          <w:w w:val="99"/>
        </w:rPr>
        <w:t>（含</w:t>
      </w:r>
      <w:r>
        <w:rPr>
          <w:spacing w:val="2"/>
          <w:w w:val="99"/>
        </w:rPr>
        <w:t>税</w:t>
      </w:r>
      <w:r>
        <w:rPr>
          <w:spacing w:val="-142"/>
          <w:w w:val="99"/>
        </w:rPr>
        <w:t>）</w:t>
      </w:r>
      <w:r>
        <w:rPr>
          <w:spacing w:val="-32"/>
          <w:w w:val="99"/>
        </w:rPr>
        <w:t>，</w:t>
      </w:r>
      <w:r>
        <w:rPr>
          <w:w w:val="99"/>
        </w:rPr>
        <w:t>以资本公</w:t>
      </w:r>
      <w:r>
        <w:rPr>
          <w:b w:val="0"/>
          <w:bCs w:val="0"/>
        </w:rPr>
      </w:r>
    </w:p>
    <w:p>
      <w:pPr>
        <w:pStyle w:val="Heading2"/>
        <w:spacing w:line="240" w:lineRule="auto" w:before="236"/>
        <w:ind w:right="153"/>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7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股。</w:t>
      </w:r>
      <w:r>
        <w:rPr>
          <w:b w:val="0"/>
          <w:bCs w:val="0"/>
        </w:rPr>
      </w:r>
    </w:p>
    <w:p>
      <w:pPr>
        <w:spacing w:after="0" w:line="240" w:lineRule="auto"/>
        <w:jc w:val="left"/>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844" w:right="84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844" w:right="84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龙岩爱迪尔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武汉灵感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重庆灵感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北京爱迪尔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沈阳爱航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宝易通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深圳市宝易通珠宝网络科技有限公司，参股子公司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爱投融科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北京爱投融科技有限公司，参股子公司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爱航投资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深圳市爱航投资有限公司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星河投资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深圳市星河投资有限公司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嘉俪九鼎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北京嘉俪九鼎投资中心（有限合伙企业）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金交所</w:t>
            </w:r>
            <w:r>
              <w:rPr>
                <w:rFonts w:ascii="Times New Roman" w:hAnsi="Times New Roman" w:cs="Times New Roman" w:eastAsia="Times New Roman" w:hint="default"/>
                <w:sz w:val="18"/>
                <w:szCs w:val="18"/>
              </w:rPr>
              <w:t>/</w:t>
            </w:r>
            <w:r>
              <w:rPr>
                <w:rFonts w:ascii="宋体" w:hAnsi="宋体" w:cs="宋体" w:eastAsia="宋体" w:hint="default"/>
                <w:sz w:val="18"/>
                <w:szCs w:val="18"/>
              </w:rPr>
              <w:t>上海金交所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上海黄金交易所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钻交所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境内上市人民币普通股</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公司本次非公开发行面值为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15,015,012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股人民币普通股（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股）的行为</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深圳市爱迪尔珠宝股份有限公司章程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82297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TOC_250009"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002740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Ideal Jewellery</w:t>
            </w:r>
            <w:r>
              <w:rPr>
                <w:rFonts w:ascii="Times New Roman"/>
                <w:spacing w:val="-13"/>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IDEAL</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苏日明</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z w:val="18"/>
                <w:szCs w:val="18"/>
              </w:rPr>
              <w:t>号北楼二、三楼</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z w:val="18"/>
                <w:szCs w:val="18"/>
              </w:rPr>
              <w:t>号北楼二、三楼</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http://www.idr.com.cn/</w:t>
              </w:r>
            </w:hyperlink>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zhu@idr.com.cn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王优</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号北楼二、三</w:t>
            </w:r>
            <w:r>
              <w:rPr>
                <w:rFonts w:ascii="宋体" w:hAnsi="宋体" w:cs="宋体" w:eastAsia="宋体" w:hint="default"/>
                <w:sz w:val="18"/>
                <w:szCs w:val="18"/>
              </w:rPr>
              <w:t>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号北楼二、三</w:t>
            </w:r>
            <w:r>
              <w:rPr>
                <w:rFonts w:ascii="宋体" w:hAnsi="宋体" w:cs="宋体" w:eastAsia="宋体" w:hint="default"/>
                <w:sz w:val="18"/>
                <w:szCs w:val="18"/>
              </w:rPr>
              <w:t> 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0755-25798819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0755-25798819</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0755-25631878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0755-25631878</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zhu@idr.com.cn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wangyou725@163.com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深圳市爱迪尔珠宝股份有限公司证券部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4"/>
        <w:spacing w:line="240" w:lineRule="auto" w:before="26"/>
        <w:ind w:right="15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73111295-4</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4"/>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李素英、徐士宝</w:t>
            </w:r>
          </w:p>
        </w:tc>
      </w:tr>
    </w:tbl>
    <w:p>
      <w:pPr>
        <w:pStyle w:val="BodyText"/>
        <w:spacing w:line="240" w:lineRule="auto" w:before="49"/>
        <w:ind w:right="153"/>
        <w:jc w:val="left"/>
      </w:pPr>
      <w:r>
        <w:rPr/>
        <w:t>公司聘请的报告期内履行持续督导职责的保荐机构</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号中深</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张恒、幸强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153"/>
        <w:jc w:val="left"/>
      </w:pPr>
      <w:r>
        <w:rPr/>
        <w:t>公司聘请的报告期内履行持续督导职责的财务顾问</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t>公司是否因会计政策变更及会计差错更正等追溯调整或重述以前年度会计数据</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839,515,616.15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884,901,700.31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798,964,317.76</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67,378,787.20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87,373,694.77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90,980,310.03</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64,826,111.95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85,559,545.93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88,906,226.93</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-102,637,497.76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-40,337,391.05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43,619,217.12</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1,179,380,952.79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843,016,839.25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674,353,835.52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949,209,664.09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536,854,567.92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76.81%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449,480,873.15</w:t>
            </w:r>
          </w:p>
        </w:tc>
      </w:tr>
    </w:tbl>
    <w:p>
      <w:pPr>
        <w:spacing w:line="240" w:lineRule="auto" w:before="1"/>
        <w:rPr>
          <w:rFonts w:ascii="宋体" w:hAnsi="宋体" w:cs="宋体" w:eastAsia="宋体" w:hint="default"/>
          <w:sz w:val="18"/>
          <w:szCs w:val="18"/>
        </w:rPr>
      </w:pPr>
    </w:p>
    <w:p>
      <w:pPr>
        <w:pStyle w:val="Heading4"/>
        <w:spacing w:line="240" w:lineRule="auto" w:before="26"/>
        <w:ind w:right="15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171,164,668.46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267,302,388.61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139,181,026.15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261,867,532.92</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11,574,215.06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23,573,686.95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11,452,892.41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20,777,992.78</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11,381,142.16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23,096,155.17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10,890,554.86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19,458,259.76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-247,520,049.22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-69,968,049.89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-35,236,646.78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-39,677,854.79</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3,355,427.69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2,561,361.10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3,100,417.47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48,139.31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-209,162.64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-336,640.00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850,891.75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538,049.62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689,694.37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2,552,675.25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1,814,148.84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2,074,083.10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说明原因</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441" w:right="94" w:hanging="289"/>
        <w:jc w:val="left"/>
      </w:pPr>
      <w:r>
        <w:rPr>
          <w:rFonts w:ascii="Times New Roman" w:hAnsi="Times New Roman" w:cs="Times New Roman" w:eastAsia="Times New Roman" w:hint="default"/>
        </w:rPr>
        <w:t>1</w:t>
      </w:r>
      <w:r>
        <w:rPr/>
        <w:t>、主要业务、产品及经营模式 </w:t>
      </w:r>
      <w:r>
        <w:rPr>
          <w:spacing w:val="-1"/>
        </w:rPr>
        <w:t>公司的主营业务是集珠宝首饰产品设计加工、品牌加盟为一体的珠宝企业，采用加盟商加盟销售和非加盟商经销商销售</w:t>
      </w:r>
    </w:p>
    <w:p>
      <w:pPr>
        <w:pStyle w:val="BodyText"/>
        <w:spacing w:line="302" w:lineRule="auto" w:before="31"/>
        <w:ind w:right="94"/>
        <w:jc w:val="left"/>
      </w:pPr>
      <w:r>
        <w:rPr>
          <w:spacing w:val="-2"/>
        </w:rPr>
        <w:t>相结合的业务模式，开展</w:t>
      </w:r>
      <w:r>
        <w:rPr>
          <w:rFonts w:ascii="Times New Roman" w:hAnsi="Times New Roman" w:cs="Times New Roman" w:eastAsia="Times New Roman" w:hint="default"/>
          <w:spacing w:val="-2"/>
        </w:rPr>
        <w:t>“IDEAL”</w:t>
      </w:r>
      <w:r>
        <w:rPr>
          <w:spacing w:val="-2"/>
        </w:rPr>
        <w:t>品牌珠宝首饰的设计、生产与销售。经历</w:t>
      </w:r>
      <w:r>
        <w:rPr>
          <w:rFonts w:ascii="Times New Roman" w:hAnsi="Times New Roman" w:cs="Times New Roman" w:eastAsia="Times New Roman" w:hint="default"/>
          <w:spacing w:val="-2"/>
        </w:rPr>
        <w:t>14</w:t>
      </w:r>
      <w:r>
        <w:rPr>
          <w:spacing w:val="-2"/>
        </w:rPr>
        <w:t>年的发展，已经拥有了长期稳定并且十分优质</w:t>
      </w:r>
      <w:r>
        <w:rPr>
          <w:spacing w:val="-40"/>
        </w:rPr>
        <w:t> </w:t>
      </w:r>
      <w:r>
        <w:rPr>
          <w:spacing w:val="-40"/>
        </w:rPr>
      </w:r>
      <w:r>
        <w:rPr>
          <w:spacing w:val="-2"/>
        </w:rPr>
        <w:t>的上下游渠道，在产品上避开价格战以</w:t>
      </w:r>
      <w:r>
        <w:rPr>
          <w:rFonts w:ascii="Times New Roman" w:hAnsi="Times New Roman" w:cs="Times New Roman" w:eastAsia="Times New Roman" w:hint="default"/>
          <w:spacing w:val="-2"/>
        </w:rPr>
        <w:t>“</w:t>
      </w:r>
      <w:r>
        <w:rPr>
          <w:spacing w:val="-2"/>
        </w:rPr>
        <w:t>品牌建设</w:t>
      </w:r>
      <w:r>
        <w:rPr>
          <w:rFonts w:ascii="Times New Roman" w:hAnsi="Times New Roman" w:cs="Times New Roman" w:eastAsia="Times New Roman" w:hint="default"/>
          <w:spacing w:val="-2"/>
        </w:rPr>
        <w:t>”</w:t>
      </w:r>
      <w:r>
        <w:rPr>
          <w:spacing w:val="-2"/>
        </w:rPr>
        <w:t>为中心，强有力的品牌推广能力结合优秀的产品研发团队，爱迪尔已经营</w:t>
      </w:r>
      <w:r>
        <w:rPr>
          <w:spacing w:val="-45"/>
        </w:rPr>
        <w:t> </w:t>
      </w:r>
      <w:r>
        <w:rPr>
          <w:spacing w:val="-45"/>
        </w:rPr>
      </w:r>
      <w:r>
        <w:rPr/>
        <w:t>造出独有的强劲的</w:t>
      </w:r>
      <w:r>
        <w:rPr>
          <w:rFonts w:ascii="Times New Roman" w:hAnsi="Times New Roman" w:cs="Times New Roman" w:eastAsia="Times New Roman" w:hint="default"/>
        </w:rPr>
        <w:t>“</w:t>
      </w:r>
      <w:r>
        <w:rPr/>
        <w:t>产品势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舒适戒臂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炫彩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灵动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吻钻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一生一心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品牌印记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耳语</w:t>
      </w:r>
      <w:r>
        <w:rPr>
          <w:rFonts w:ascii="Times New Roman" w:hAnsi="Times New Roman" w:cs="Times New Roman" w:eastAsia="Times New Roman" w:hint="default"/>
        </w:rPr>
        <w:t>”</w:t>
      </w:r>
      <w:r>
        <w:rPr/>
        <w:t>等系列，已然成 </w:t>
      </w:r>
      <w:r>
        <w:rPr>
          <w:spacing w:val="-2"/>
        </w:rPr>
        <w:t>为行业的经典产品，达到了较为理想的产品溢价。</w:t>
      </w:r>
      <w:r>
        <w:rPr>
          <w:rFonts w:ascii="Times New Roman" w:hAnsi="Times New Roman" w:cs="Times New Roman" w:eastAsia="Times New Roman" w:hint="default"/>
          <w:spacing w:val="-2"/>
        </w:rPr>
        <w:t>2015</w:t>
      </w:r>
      <w:r>
        <w:rPr>
          <w:spacing w:val="-2"/>
        </w:rPr>
        <w:t>年公司相继在北京、重庆、武汉、成都、济南和沈阳成立六大全资子</w:t>
      </w:r>
      <w:r>
        <w:rPr>
          <w:spacing w:val="-67"/>
        </w:rPr>
        <w:t> </w:t>
      </w:r>
      <w:r>
        <w:rPr>
          <w:spacing w:val="-67"/>
        </w:rPr>
      </w:r>
      <w:r>
        <w:rPr/>
        <w:t>公司，实现区域服务前移，缩短了信息流通时间。报告期内公司明确了实体产业经营与资本运营协同发展的经营发展方向，</w:t>
      </w:r>
      <w:r>
        <w:rPr/>
        <w:t> </w:t>
      </w:r>
      <w:r>
        <w:rPr>
          <w:rFonts w:ascii="Times New Roman" w:hAnsi="Times New Roman" w:cs="Times New Roman" w:eastAsia="Times New Roman" w:hint="default"/>
        </w:rPr>
        <w:t>9</w:t>
      </w:r>
      <w:r>
        <w:rPr/>
        <w:t>月爱迪尔与昆吾九鼎投资管理有限公司共同设立玖爱并购基金正式成立，后续将通过整合各方面的资源优势，为公司未来 发展储备符合公司发展战略的并购标的，进一步优化公司商业模式，实现产业升级。</w:t>
      </w:r>
    </w:p>
    <w:p>
      <w:pPr>
        <w:pStyle w:val="BodyText"/>
        <w:spacing w:line="240" w:lineRule="auto" w:before="29"/>
        <w:ind w:right="94"/>
        <w:jc w:val="left"/>
      </w:pPr>
      <w:r>
        <w:rPr>
          <w:rFonts w:ascii="Times New Roman" w:hAnsi="Times New Roman" w:cs="Times New Roman" w:eastAsia="Times New Roman" w:hint="default"/>
        </w:rPr>
        <w:t>2</w:t>
      </w:r>
      <w:r>
        <w:rPr/>
        <w:t>、行业发展现状</w:t>
      </w:r>
    </w:p>
    <w:p>
      <w:pPr>
        <w:pStyle w:val="BodyText"/>
        <w:spacing w:line="300" w:lineRule="auto" w:before="63"/>
        <w:ind w:right="191" w:firstLine="288"/>
        <w:jc w:val="both"/>
      </w:pPr>
      <w:r>
        <w:rPr>
          <w:rFonts w:ascii="Times New Roman" w:hAnsi="Times New Roman" w:cs="Times New Roman" w:eastAsia="Times New Roman" w:hint="default"/>
          <w:spacing w:val="-1"/>
        </w:rPr>
        <w:t>2015</w:t>
      </w:r>
      <w:r>
        <w:rPr>
          <w:spacing w:val="-1"/>
        </w:rPr>
        <w:t>年国际黄金价格持续震荡，处于下行通道。珠宝市场需求趋缓，行业竞争加剧。在过去</w:t>
      </w:r>
      <w:r>
        <w:rPr>
          <w:rFonts w:ascii="Times New Roman" w:hAnsi="Times New Roman" w:cs="Times New Roman" w:eastAsia="Times New Roman" w:hint="default"/>
          <w:spacing w:val="-1"/>
        </w:rPr>
        <w:t>20</w:t>
      </w:r>
      <w:r>
        <w:rPr>
          <w:spacing w:val="-1"/>
        </w:rPr>
        <w:t>年中珠宝行业的复合式增</w:t>
      </w:r>
      <w:r>
        <w:rPr/>
        <w:t> </w:t>
      </w:r>
      <w:r>
        <w:rPr>
          <w:spacing w:val="-2"/>
        </w:rPr>
        <w:t>长造就一片繁荣，增长速度较快。</w:t>
      </w:r>
      <w:r>
        <w:rPr>
          <w:rFonts w:ascii="Times New Roman" w:hAnsi="Times New Roman" w:cs="Times New Roman" w:eastAsia="Times New Roman" w:hint="default"/>
          <w:spacing w:val="-2"/>
        </w:rPr>
        <w:t>2015</w:t>
      </w:r>
      <w:r>
        <w:rPr>
          <w:spacing w:val="-2"/>
        </w:rPr>
        <w:t>年由于国内经济、行业环境调整等因素，出现行业拐点，进入珠宝行业寒冬期，爱迪</w:t>
      </w:r>
      <w:r>
        <w:rPr>
          <w:spacing w:val="-64"/>
        </w:rPr>
        <w:t> </w:t>
      </w:r>
      <w:r>
        <w:rPr>
          <w:spacing w:val="-64"/>
        </w:rPr>
      </w:r>
      <w:r>
        <w:rPr/>
        <w:t>尔珠宝作为深圳第一家</w:t>
      </w:r>
      <w:r>
        <w:rPr>
          <w:rFonts w:ascii="Times New Roman" w:hAnsi="Times New Roman" w:cs="Times New Roman" w:eastAsia="Times New Roman" w:hint="default"/>
        </w:rPr>
        <w:t>IPO</w:t>
      </w:r>
      <w:r>
        <w:rPr/>
        <w:t>珠宝企业将不断提升自身核心竞争力，打破坚冰拥抱珠宝行业的涅槃重生。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4"/>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3"/>
        <w:rPr>
          <w:rFonts w:ascii="宋体" w:hAnsi="宋体" w:cs="宋体" w:eastAsia="宋体" w:hint="default"/>
          <w:b/>
          <w:bCs/>
          <w:sz w:val="19"/>
          <w:szCs w:val="19"/>
        </w:rPr>
      </w:pPr>
    </w:p>
    <w:p>
      <w:pPr>
        <w:pStyle w:val="Heading6"/>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t>公司依托自身优势，从多方面推进核心竞争能力的提升。</w:t>
      </w:r>
    </w:p>
    <w:p>
      <w:pPr>
        <w:pStyle w:val="BodyText"/>
        <w:spacing w:line="240" w:lineRule="auto" w:before="77"/>
        <w:ind w:right="94"/>
        <w:jc w:val="left"/>
      </w:pPr>
      <w:r>
        <w:rPr>
          <w:rFonts w:ascii="Times New Roman" w:hAnsi="Times New Roman" w:cs="Times New Roman" w:eastAsia="Times New Roman" w:hint="default"/>
        </w:rPr>
        <w:t>1</w:t>
      </w:r>
      <w:r>
        <w:rPr/>
        <w:t>、人才优势</w:t>
      </w:r>
    </w:p>
    <w:p>
      <w:pPr>
        <w:pStyle w:val="BodyText"/>
        <w:spacing w:line="240" w:lineRule="auto" w:before="63"/>
        <w:ind w:right="94"/>
        <w:jc w:val="left"/>
      </w:pPr>
      <w:r>
        <w:rPr/>
        <w:t>（</w:t>
      </w:r>
      <w:r>
        <w:rPr>
          <w:rFonts w:ascii="Times New Roman" w:hAnsi="Times New Roman" w:cs="Times New Roman" w:eastAsia="Times New Roman" w:hint="default"/>
        </w:rPr>
        <w:t>1</w:t>
      </w:r>
      <w:r>
        <w:rPr/>
        <w:t>）专业、稳定的团队优势</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right="191" w:firstLine="271"/>
        <w:jc w:val="both"/>
      </w:pPr>
      <w:r>
        <w:rPr/>
        <w:t>公司中高层管理团队中，多数毕业于行业相关专业，并在珠宝玉石首饰行业从业多年，有相当丰富的行业经验。公司高 </w:t>
      </w:r>
      <w:r>
        <w:rPr>
          <w:spacing w:val="-2"/>
        </w:rPr>
        <w:t>级管理团队成员在公司平均任职时间超过八年，中高层管理团队成员在公司平均任职时间超过五年，报告期内，公司中高层</w:t>
      </w:r>
      <w:r>
        <w:rPr>
          <w:spacing w:val="-66"/>
        </w:rPr>
        <w:t> </w:t>
      </w:r>
      <w:r>
        <w:rPr>
          <w:spacing w:val="-66"/>
        </w:rPr>
      </w:r>
      <w:r>
        <w:rPr/>
        <w:t>管理团队员工流失率为</w:t>
      </w:r>
      <w:r>
        <w:rPr>
          <w:rFonts w:ascii="Times New Roman" w:hAnsi="Times New Roman" w:cs="Times New Roman" w:eastAsia="Times New Roman" w:hint="default"/>
        </w:rPr>
        <w:t>0</w:t>
      </w:r>
      <w:r>
        <w:rPr/>
        <w:t>，公司技能人才</w:t>
      </w:r>
      <w:r>
        <w:rPr>
          <w:rFonts w:ascii="Times New Roman" w:hAnsi="Times New Roman" w:cs="Times New Roman" w:eastAsia="Times New Roman" w:hint="default"/>
        </w:rPr>
        <w:t>57</w:t>
      </w:r>
      <w:r>
        <w:rPr/>
        <w:t>人，高级技师</w:t>
      </w:r>
      <w:r>
        <w:rPr>
          <w:rFonts w:ascii="Times New Roman" w:hAnsi="Times New Roman" w:cs="Times New Roman" w:eastAsia="Times New Roman" w:hint="default"/>
        </w:rPr>
        <w:t>9</w:t>
      </w:r>
      <w:r>
        <w:rPr/>
        <w:t>人，技能人才团队占比</w:t>
      </w:r>
      <w:r>
        <w:rPr>
          <w:rFonts w:ascii="Times New Roman" w:hAnsi="Times New Roman" w:cs="Times New Roman" w:eastAsia="Times New Roman" w:hint="default"/>
        </w:rPr>
        <w:t>16%</w:t>
      </w:r>
      <w:r>
        <w:rPr>
          <w:rFonts w:ascii="Times New Roman" w:hAnsi="Times New Roman" w:cs="Times New Roman" w:eastAsia="Times New Roman" w:hint="default"/>
          <w:spacing w:val="29"/>
        </w:rPr>
        <w:t> </w:t>
      </w:r>
      <w:r>
        <w:rPr/>
        <w:t>。</w:t>
      </w:r>
    </w:p>
    <w:p>
      <w:pPr>
        <w:pStyle w:val="BodyText"/>
        <w:spacing w:line="300" w:lineRule="auto" w:before="0"/>
        <w:ind w:left="424" w:right="94" w:hanging="272"/>
        <w:jc w:val="left"/>
      </w:pPr>
      <w:r>
        <w:rPr/>
        <w:t>（</w:t>
      </w:r>
      <w:r>
        <w:rPr>
          <w:rFonts w:ascii="Times New Roman" w:hAnsi="Times New Roman" w:cs="Times New Roman" w:eastAsia="Times New Roman" w:hint="default"/>
        </w:rPr>
        <w:t>2</w:t>
      </w:r>
      <w:r>
        <w:rPr/>
        <w:t>）科学有效的人才培养机制 </w:t>
      </w:r>
      <w:r>
        <w:rPr>
          <w:spacing w:val="-2"/>
        </w:rPr>
        <w:t>公司考虑到本行业人才需求的特殊性，秉持</w:t>
      </w:r>
      <w:r>
        <w:rPr>
          <w:rFonts w:ascii="Times New Roman" w:hAnsi="Times New Roman" w:cs="Times New Roman" w:eastAsia="Times New Roman" w:hint="default"/>
          <w:spacing w:val="-2"/>
        </w:rPr>
        <w:t>“</w:t>
      </w:r>
      <w:r>
        <w:rPr>
          <w:spacing w:val="-2"/>
        </w:rPr>
        <w:t>赢在起点，而不是输在终点</w:t>
      </w:r>
      <w:r>
        <w:rPr>
          <w:rFonts w:ascii="Times New Roman" w:hAnsi="Times New Roman" w:cs="Times New Roman" w:eastAsia="Times New Roman" w:hint="default"/>
          <w:spacing w:val="-2"/>
        </w:rPr>
        <w:t>”</w:t>
      </w:r>
      <w:r>
        <w:rPr>
          <w:spacing w:val="-2"/>
        </w:rPr>
        <w:t>的人才战略思想，一直关注人才的培养与储备，</w:t>
      </w:r>
    </w:p>
    <w:p>
      <w:pPr>
        <w:pStyle w:val="BodyText"/>
        <w:spacing w:line="300" w:lineRule="auto" w:before="13"/>
        <w:ind w:right="94"/>
        <w:jc w:val="left"/>
      </w:pPr>
      <w:r>
        <w:rPr>
          <w:rFonts w:ascii="Times New Roman" w:hAnsi="Times New Roman" w:cs="Times New Roman" w:eastAsia="Times New Roman" w:hint="default"/>
          <w:spacing w:val="-2"/>
        </w:rPr>
        <w:t>2006</w:t>
      </w:r>
      <w:r>
        <w:rPr>
          <w:spacing w:val="-2"/>
        </w:rPr>
        <w:t>年率先在行业内开创校企结合的人才培养模式，截至报告期，爱迪尔珠宝联合天津商业大学，长春工程学院，无锡商业</w:t>
      </w:r>
      <w:r>
        <w:rPr>
          <w:spacing w:val="-62"/>
        </w:rPr>
        <w:t> </w:t>
      </w:r>
      <w:r>
        <w:rPr>
          <w:spacing w:val="-62"/>
        </w:rPr>
      </w:r>
      <w:r>
        <w:rPr>
          <w:spacing w:val="-3"/>
        </w:rPr>
        <w:t>职业技术学院，深圳职业技术学院，陕西国际商贸学院，中国地质大学（武汉）等十一所院校，共开设</w:t>
      </w:r>
      <w:r>
        <w:rPr>
          <w:rFonts w:ascii="Times New Roman" w:hAnsi="Times New Roman" w:cs="Times New Roman" w:eastAsia="Times New Roman" w:hint="default"/>
          <w:spacing w:val="-3"/>
        </w:rPr>
        <w:t>83</w:t>
      </w:r>
      <w:r>
        <w:rPr>
          <w:spacing w:val="-3"/>
        </w:rPr>
        <w:t>个</w:t>
      </w:r>
      <w:r>
        <w:rPr>
          <w:rFonts w:ascii="Times New Roman" w:hAnsi="Times New Roman" w:cs="Times New Roman" w:eastAsia="Times New Roman" w:hint="default"/>
          <w:spacing w:val="-3"/>
        </w:rPr>
        <w:t>“</w:t>
      </w:r>
      <w:r>
        <w:rPr>
          <w:spacing w:val="-3"/>
        </w:rPr>
        <w:t>爱迪尔珠宝班</w:t>
      </w:r>
      <w:r>
        <w:rPr>
          <w:rFonts w:ascii="Times New Roman" w:hAnsi="Times New Roman" w:cs="Times New Roman" w:eastAsia="Times New Roman" w:hint="default"/>
          <w:spacing w:val="-3"/>
        </w:rPr>
        <w:t>”</w:t>
      </w:r>
      <w:r>
        <w:rPr>
          <w:spacing w:val="-3"/>
        </w:rPr>
        <w:t>，</w:t>
      </w:r>
      <w:r>
        <w:rPr>
          <w:spacing w:val="-73"/>
        </w:rPr>
        <w:t> </w:t>
      </w:r>
      <w:r>
        <w:rPr/>
        <w:t>接收培养近</w:t>
      </w:r>
      <w:r>
        <w:rPr>
          <w:rFonts w:ascii="Times New Roman" w:hAnsi="Times New Roman" w:cs="Times New Roman" w:eastAsia="Times New Roman" w:hint="default"/>
        </w:rPr>
        <w:t>3000</w:t>
      </w:r>
      <w:r>
        <w:rPr/>
        <w:t>千名学员，</w:t>
      </w:r>
      <w:r>
        <w:rPr>
          <w:rFonts w:ascii="Times New Roman" w:hAnsi="Times New Roman" w:cs="Times New Roman" w:eastAsia="Times New Roman" w:hint="default"/>
        </w:rPr>
        <w:t>2015</w:t>
      </w:r>
      <w:r>
        <w:rPr/>
        <w:t>年通过竞聘机制公司选取</w:t>
      </w:r>
      <w:r>
        <w:rPr>
          <w:rFonts w:ascii="Times New Roman" w:hAnsi="Times New Roman" w:cs="Times New Roman" w:eastAsia="Times New Roman" w:hint="default"/>
        </w:rPr>
        <w:t>“</w:t>
      </w:r>
      <w:r>
        <w:rPr/>
        <w:t>灵感新势力</w:t>
      </w:r>
      <w:r>
        <w:rPr>
          <w:rFonts w:ascii="Times New Roman" w:hAnsi="Times New Roman" w:cs="Times New Roman" w:eastAsia="Times New Roman" w:hint="default"/>
        </w:rPr>
        <w:t>”</w:t>
      </w:r>
      <w:r>
        <w:rPr/>
        <w:t>十期</w:t>
      </w:r>
      <w:r>
        <w:rPr>
          <w:rFonts w:ascii="Times New Roman" w:hAnsi="Times New Roman" w:cs="Times New Roman" w:eastAsia="Times New Roman" w:hint="default"/>
        </w:rPr>
        <w:t>26</w:t>
      </w:r>
      <w:r>
        <w:rPr/>
        <w:t>名精英进入公司工作，并推荐其为加盟伙伴服 务，从而解决市场上专业珠宝人才短缺的问题，为公司业务发展提供保障。</w:t>
      </w:r>
    </w:p>
    <w:p>
      <w:pPr>
        <w:pStyle w:val="BodyText"/>
        <w:spacing w:line="300" w:lineRule="auto" w:before="31"/>
        <w:ind w:right="192" w:firstLine="271"/>
        <w:jc w:val="both"/>
      </w:pPr>
      <w:r>
        <w:rPr>
          <w:rFonts w:ascii="Times New Roman" w:hAnsi="Times New Roman" w:cs="Times New Roman" w:eastAsia="Times New Roman" w:hint="default"/>
          <w:spacing w:val="-2"/>
        </w:rPr>
        <w:t>2015</w:t>
      </w:r>
      <w:r>
        <w:rPr>
          <w:spacing w:val="-2"/>
        </w:rPr>
        <w:t>年，爱迪尔珠宝再上新高度，</w:t>
      </w:r>
      <w:r>
        <w:rPr>
          <w:rFonts w:ascii="Times New Roman" w:hAnsi="Times New Roman" w:cs="Times New Roman" w:eastAsia="Times New Roman" w:hint="default"/>
          <w:spacing w:val="-2"/>
        </w:rPr>
        <w:t>5</w:t>
      </w:r>
      <w:r>
        <w:rPr>
          <w:spacing w:val="-2"/>
        </w:rPr>
        <w:t>月筹备已久的爱迪尔珠宝学院宣布正式成立。爱迪尔珠宝学院的成立，是爱迪尔珠宝</w:t>
      </w:r>
      <w:r>
        <w:rPr/>
        <w:t> 发挥自身优势在专业育才领域的新作为，续写了联合办学的新篇章。</w:t>
      </w:r>
    </w:p>
    <w:p>
      <w:pPr>
        <w:pStyle w:val="BodyText"/>
        <w:spacing w:line="300" w:lineRule="auto" w:before="32"/>
        <w:ind w:left="424" w:right="182" w:hanging="272"/>
        <w:jc w:val="left"/>
      </w:pPr>
      <w:r>
        <w:rPr>
          <w:rFonts w:ascii="Times New Roman" w:hAnsi="Times New Roman" w:cs="Times New Roman" w:eastAsia="Times New Roman" w:hint="default"/>
        </w:rPr>
        <w:t>2</w:t>
      </w:r>
      <w:r>
        <w:rPr/>
        <w:t>、设计优势 公司现有三十多名专业研发人员的团队，均具有良好的时尚敏感度，能够面向市场珠宝流行趋势，把时间准确性、成本</w:t>
      </w:r>
    </w:p>
    <w:p>
      <w:pPr>
        <w:pStyle w:val="BodyText"/>
        <w:spacing w:line="307" w:lineRule="auto" w:before="31"/>
        <w:ind w:right="94"/>
        <w:jc w:val="left"/>
      </w:pPr>
      <w:r>
        <w:rPr>
          <w:spacing w:val="-2"/>
        </w:rPr>
        <w:t>合理性、质量可靠性、服务周到性有机结合起来，实现高效益、高品质的产品研发创新。公司在保持款式设计不断更新的同</w:t>
      </w:r>
      <w:r>
        <w:rPr>
          <w:spacing w:val="-67"/>
        </w:rPr>
        <w:t> </w:t>
      </w:r>
      <w:r>
        <w:rPr>
          <w:spacing w:val="-67"/>
        </w:rPr>
      </w:r>
      <w:r>
        <w:rPr/>
        <w:t>时，结合生产经验，不断创新生产工艺，研发新的技术，爱迪尔历年强势产品系列</w:t>
      </w:r>
      <w:r>
        <w:rPr>
          <w:rFonts w:ascii="Times New Roman" w:hAnsi="Times New Roman" w:cs="Times New Roman" w:eastAsia="Times New Roman" w:hint="default"/>
        </w:rPr>
        <w:t>“</w:t>
      </w:r>
      <w:r>
        <w:rPr/>
        <w:t>舒适戒臂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炫彩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灵动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吻钻</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一生一心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品牌印记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耳语</w:t>
      </w:r>
      <w:r>
        <w:rPr>
          <w:rFonts w:ascii="Times New Roman" w:hAnsi="Times New Roman" w:cs="Times New Roman" w:eastAsia="Times New Roman" w:hint="default"/>
        </w:rPr>
        <w:t>”</w:t>
      </w:r>
      <w:r>
        <w:rPr/>
        <w:t>等一系列全新概念的饰品，每一个系列都在产品的工艺、设计创意、营销策划上都提炼 </w:t>
      </w:r>
      <w:r>
        <w:rPr>
          <w:spacing w:val="-2"/>
        </w:rPr>
        <w:t>创意爆点，领先行业而引导潮流，给行业新品带来新的活力，给终端顾客带来创意的美好产品，创造了很大的市场价值。截</w:t>
      </w:r>
      <w:r>
        <w:rPr>
          <w:spacing w:val="-67"/>
        </w:rPr>
        <w:t> </w:t>
      </w:r>
      <w:r>
        <w:rPr>
          <w:spacing w:val="-67"/>
        </w:rPr>
      </w:r>
      <w:r>
        <w:rPr>
          <w:spacing w:val="-4"/>
        </w:rPr>
        <w:t>至目前，公司已拥有研发专利共</w:t>
      </w:r>
      <w:r>
        <w:rPr>
          <w:rFonts w:ascii="Times New Roman" w:hAnsi="Times New Roman" w:cs="Times New Roman" w:eastAsia="Times New Roman" w:hint="default"/>
          <w:spacing w:val="-4"/>
        </w:rPr>
        <w:t>94</w:t>
      </w:r>
      <w:r>
        <w:rPr>
          <w:spacing w:val="-4"/>
        </w:rPr>
        <w:t>个，其中产品设计外观专利</w:t>
      </w:r>
      <w:r>
        <w:rPr>
          <w:rFonts w:ascii="Times New Roman" w:hAnsi="Times New Roman" w:cs="Times New Roman" w:eastAsia="Times New Roman" w:hint="default"/>
          <w:spacing w:val="-4"/>
        </w:rPr>
        <w:t>82</w:t>
      </w:r>
      <w:r>
        <w:rPr>
          <w:spacing w:val="-4"/>
        </w:rPr>
        <w:t>个，实用新型专利</w:t>
      </w:r>
      <w:r>
        <w:rPr>
          <w:rFonts w:ascii="Times New Roman" w:hAnsi="Times New Roman" w:cs="Times New Roman" w:eastAsia="Times New Roman" w:hint="default"/>
          <w:spacing w:val="-4"/>
        </w:rPr>
        <w:t>12</w:t>
      </w:r>
      <w:r>
        <w:rPr>
          <w:spacing w:val="-4"/>
        </w:rPr>
        <w:t>个；其中，炫彩、吻钻等工艺技术专利，</w:t>
      </w:r>
      <w:r>
        <w:rPr>
          <w:spacing w:val="-35"/>
        </w:rPr>
        <w:t> </w:t>
      </w:r>
      <w:r>
        <w:rPr>
          <w:spacing w:val="-35"/>
        </w:rPr>
      </w:r>
      <w:r>
        <w:rPr/>
        <w:t>带领行业形成产品链条，为行业带来新产品创新的价值。</w:t>
      </w:r>
    </w:p>
    <w:p>
      <w:pPr>
        <w:pStyle w:val="BodyText"/>
        <w:spacing w:line="300" w:lineRule="auto" w:before="26"/>
        <w:ind w:left="424" w:right="182" w:hanging="272"/>
        <w:jc w:val="left"/>
      </w:pPr>
      <w:r>
        <w:rPr>
          <w:rFonts w:ascii="Times New Roman" w:hAnsi="Times New Roman" w:cs="Times New Roman" w:eastAsia="Times New Roman" w:hint="default"/>
        </w:rPr>
        <w:t>3</w:t>
      </w:r>
      <w:r>
        <w:rPr/>
        <w:t>、原材料采购优势 公司主营业务为钻石镶嵌饰品，由于钻石采购价格由净度、大小、切工、色度等因素共同决定，因此对于采购人员的专</w:t>
      </w:r>
    </w:p>
    <w:p>
      <w:pPr>
        <w:pStyle w:val="BodyText"/>
        <w:spacing w:line="319" w:lineRule="auto" w:before="31"/>
        <w:ind w:right="94"/>
        <w:jc w:val="left"/>
      </w:pPr>
      <w:r>
        <w:rPr>
          <w:spacing w:val="-2"/>
        </w:rPr>
        <w:t>业水平要求更高。公司主要采购人员毕业于南京大学地球科学系宝玉石工艺与检测专业，熟悉成品钻市场，并与全球多个国</w:t>
      </w:r>
      <w:r>
        <w:rPr>
          <w:spacing w:val="-63"/>
        </w:rPr>
        <w:t> </w:t>
      </w:r>
      <w:r>
        <w:rPr>
          <w:spacing w:val="-63"/>
        </w:rPr>
      </w:r>
      <w:r>
        <w:rPr/>
        <w:t>家的多家钻石一级供应商建立起了长期的合作关系。在采购环节中，公司通过到合作单位看货确定货品的质量及成交价格， </w:t>
      </w:r>
      <w:r>
        <w:rPr>
          <w:spacing w:val="-2"/>
        </w:rPr>
        <w:t>再通过其在国内的进口物流服务商在钻交所成交。由于公司管理层多年维护形成了良好的市场关系，并随公司采购规模的快</w:t>
      </w:r>
      <w:r>
        <w:rPr>
          <w:spacing w:val="-63"/>
        </w:rPr>
        <w:t> </w:t>
      </w:r>
      <w:r>
        <w:rPr>
          <w:spacing w:val="-63"/>
        </w:rPr>
      </w:r>
      <w:r>
        <w:rPr>
          <w:spacing w:val="-4"/>
        </w:rPr>
        <w:t>速增长，公司通常可以以较低价格及时、足量的获取生产所需的成品钻，确保了货品的质量、节约了公司的原材料采购成本，</w:t>
      </w:r>
      <w:r>
        <w:rPr>
          <w:spacing w:val="-46"/>
        </w:rPr>
        <w:t> </w:t>
      </w:r>
      <w:r>
        <w:rPr>
          <w:spacing w:val="-46"/>
        </w:rPr>
      </w:r>
      <w:r>
        <w:rPr/>
        <w:t>更重要的是，满足了顾客货品的时间需求，为在维护原有客户关系的基础上拓展更多的新客户奠定了基础。</w:t>
      </w:r>
    </w:p>
    <w:p>
      <w:pPr>
        <w:spacing w:after="0" w:line="319"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4"/>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before="0"/>
        <w:ind w:right="188"/>
        <w:jc w:val="both"/>
      </w:pPr>
      <w:r>
        <w:rPr>
          <w:spacing w:val="-2"/>
        </w:rPr>
        <w:t>报告期内，公司主营业务未发生重大变化。公司的主营业务是集珠宝首饰产品设计加工、品牌连锁为一体的珠宝企业，采用</w:t>
      </w:r>
      <w:r>
        <w:rPr>
          <w:spacing w:val="-63"/>
        </w:rPr>
        <w:t> </w:t>
      </w:r>
      <w:r>
        <w:rPr>
          <w:spacing w:val="-63"/>
        </w:rPr>
      </w:r>
      <w:r>
        <w:rPr>
          <w:spacing w:val="-2"/>
        </w:rPr>
        <w:t>加盟商加盟销售和非加盟商经销商销售相结合的业务模式，开展</w:t>
      </w:r>
      <w:r>
        <w:rPr>
          <w:rFonts w:ascii="Times New Roman" w:hAnsi="Times New Roman" w:cs="Times New Roman" w:eastAsia="Times New Roman" w:hint="default"/>
          <w:spacing w:val="-2"/>
        </w:rPr>
        <w:t>“IDEAL”</w:t>
      </w:r>
      <w:r>
        <w:rPr>
          <w:spacing w:val="-2"/>
        </w:rPr>
        <w:t>品牌珠宝首饰的设计、生产与销售。报告期内，营</w:t>
      </w:r>
      <w:r>
        <w:rPr>
          <w:spacing w:val="-38"/>
        </w:rPr>
        <w:t> </w:t>
      </w:r>
      <w:r>
        <w:rPr>
          <w:spacing w:val="-38"/>
        </w:rPr>
      </w:r>
      <w:r>
        <w:rPr/>
        <w:t>业总收入</w:t>
      </w:r>
      <w:r>
        <w:rPr>
          <w:rFonts w:ascii="Times New Roman" w:hAnsi="Times New Roman" w:cs="Times New Roman" w:eastAsia="Times New Roman" w:hint="default"/>
        </w:rPr>
        <w:t>83,951.56</w:t>
      </w:r>
      <w:r>
        <w:rPr>
          <w:rFonts w:ascii="Times New Roman" w:hAnsi="Times New Roman" w:cs="Times New Roman" w:eastAsia="Times New Roman" w:hint="default"/>
          <w:spacing w:val="39"/>
        </w:rPr>
        <w:t> </w:t>
      </w:r>
      <w:r>
        <w:rPr>
          <w:spacing w:val="-4"/>
        </w:rPr>
        <w:t>万元，同比下降</w:t>
      </w:r>
      <w:r>
        <w:rPr>
          <w:rFonts w:ascii="Times New Roman" w:hAnsi="Times New Roman" w:cs="Times New Roman" w:eastAsia="Times New Roman" w:hint="default"/>
          <w:spacing w:val="-4"/>
        </w:rPr>
        <w:t>5.13%</w:t>
      </w:r>
      <w:r>
        <w:rPr>
          <w:spacing w:val="-4"/>
        </w:rPr>
        <w:t>；营业利润</w:t>
      </w:r>
      <w:r>
        <w:rPr>
          <w:rFonts w:ascii="Times New Roman" w:hAnsi="Times New Roman" w:cs="Times New Roman" w:eastAsia="Times New Roman" w:hint="default"/>
          <w:spacing w:val="-4"/>
        </w:rPr>
        <w:t>8,946.43 </w:t>
      </w:r>
      <w:r>
        <w:rPr>
          <w:spacing w:val="-3"/>
        </w:rPr>
        <w:t>万元，同比下降</w:t>
      </w:r>
      <w:r>
        <w:rPr>
          <w:rFonts w:ascii="Times New Roman" w:hAnsi="Times New Roman" w:cs="Times New Roman" w:eastAsia="Times New Roman" w:hint="default"/>
          <w:spacing w:val="-3"/>
        </w:rPr>
        <w:t>23.02%</w:t>
      </w:r>
      <w:r>
        <w:rPr>
          <w:spacing w:val="-3"/>
        </w:rPr>
        <w:t>；归属于上市公司股东的净利润</w:t>
      </w:r>
      <w:r>
        <w:rPr>
          <w:rFonts w:ascii="Times New Roman" w:hAnsi="Times New Roman" w:cs="Times New Roman" w:eastAsia="Times New Roman" w:hint="default"/>
          <w:spacing w:val="-3"/>
        </w:rPr>
        <w:t>6,737.88</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万元，同比下降</w:t>
      </w:r>
      <w:r>
        <w:rPr>
          <w:rFonts w:ascii="Times New Roman" w:hAnsi="Times New Roman" w:cs="Times New Roman" w:eastAsia="Times New Roman" w:hint="default"/>
        </w:rPr>
        <w:t>22.88%</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rFonts w:ascii="Times New Roman" w:hAnsi="Times New Roman" w:cs="Times New Roman" w:eastAsia="Times New Roman" w:hint="default"/>
        </w:rPr>
        <w:t>117,938.10 </w:t>
      </w:r>
      <w:r>
        <w:rPr/>
        <w:t>万元，同比增加</w:t>
      </w:r>
      <w:r>
        <w:rPr>
          <w:rFonts w:ascii="Times New Roman" w:hAnsi="Times New Roman" w:cs="Times New Roman" w:eastAsia="Times New Roman" w:hint="default"/>
        </w:rPr>
        <w:t>33,636.41</w:t>
      </w:r>
      <w:r>
        <w:rPr>
          <w:rFonts w:ascii="Times New Roman" w:hAnsi="Times New Roman" w:cs="Times New Roman" w:eastAsia="Times New Roman" w:hint="default"/>
          <w:spacing w:val="28"/>
        </w:rPr>
        <w:t> </w:t>
      </w:r>
      <w:r>
        <w:rPr/>
        <w:t>万元，归属于上市公司股</w:t>
      </w:r>
      <w:r>
        <w:rPr>
          <w:w w:val="100"/>
        </w:rPr>
        <w:t> </w:t>
      </w:r>
      <w:r>
        <w:rPr/>
        <w:t>东的净资产</w:t>
      </w:r>
      <w:r>
        <w:rPr>
          <w:rFonts w:ascii="Times New Roman" w:hAnsi="Times New Roman" w:cs="Times New Roman" w:eastAsia="Times New Roman" w:hint="default"/>
        </w:rPr>
        <w:t>94,920.97  </w:t>
      </w:r>
      <w:r>
        <w:rPr/>
        <w:t>万元，同比增加</w:t>
      </w:r>
      <w:r>
        <w:rPr>
          <w:rFonts w:ascii="Times New Roman" w:hAnsi="Times New Roman" w:cs="Times New Roman" w:eastAsia="Times New Roman" w:hint="default"/>
        </w:rPr>
        <w:t>41,235.51</w:t>
      </w:r>
      <w:r>
        <w:rPr>
          <w:rFonts w:ascii="Times New Roman" w:hAnsi="Times New Roman" w:cs="Times New Roman" w:eastAsia="Times New Roman" w:hint="default"/>
          <w:spacing w:val="6"/>
        </w:rPr>
        <w:t> </w:t>
      </w:r>
      <w:r>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before="0"/>
        <w:ind w:right="94"/>
        <w:jc w:val="left"/>
      </w:pPr>
      <w:r>
        <w:rPr/>
        <w:t>公司回顾总结前期披露的发展战略和经营计划在报告期内的进展情况</w:t>
      </w:r>
    </w:p>
    <w:p>
      <w:pPr>
        <w:pStyle w:val="BodyText"/>
        <w:spacing w:line="240" w:lineRule="auto" w:before="117"/>
        <w:ind w:right="94"/>
        <w:jc w:val="left"/>
      </w:pPr>
      <w:r>
        <w:rPr>
          <w:rFonts w:ascii="Times New Roman" w:hAnsi="Times New Roman" w:cs="Times New Roman" w:eastAsia="Times New Roman" w:hint="default"/>
        </w:rPr>
        <w:t>2015</w:t>
      </w:r>
      <w:r>
        <w:rPr/>
        <w:t>年度公司基本实现了上年度所制定的工作目标。报告期内主要完成以下工作：</w:t>
      </w:r>
    </w:p>
    <w:p>
      <w:pPr>
        <w:pStyle w:val="BodyText"/>
        <w:spacing w:line="300" w:lineRule="auto" w:before="101"/>
        <w:ind w:left="424" w:right="94" w:hanging="272"/>
        <w:jc w:val="left"/>
      </w:pPr>
      <w:r>
        <w:rPr>
          <w:rFonts w:ascii="Times New Roman" w:hAnsi="Times New Roman" w:cs="Times New Roman" w:eastAsia="Times New Roman" w:hint="default"/>
        </w:rPr>
        <w:t>1</w:t>
      </w:r>
      <w:r>
        <w:rPr/>
        <w:t>、调整组织架构，梳理部门职责 </w:t>
      </w:r>
      <w:r>
        <w:rPr>
          <w:spacing w:val="-2"/>
        </w:rPr>
        <w:t>为更加高效的服务于公司上市后的发展战略，</w:t>
      </w:r>
      <w:r>
        <w:rPr>
          <w:rFonts w:ascii="Times New Roman" w:hAnsi="Times New Roman" w:cs="Times New Roman" w:eastAsia="Times New Roman" w:hint="default"/>
          <w:spacing w:val="-2"/>
        </w:rPr>
        <w:t>2015</w:t>
      </w:r>
      <w:r>
        <w:rPr>
          <w:spacing w:val="-2"/>
        </w:rPr>
        <w:t>年年初对公司组织架构进行调整。构建出以</w:t>
      </w:r>
      <w:r>
        <w:rPr>
          <w:rFonts w:ascii="Times New Roman" w:hAnsi="Times New Roman" w:cs="Times New Roman" w:eastAsia="Times New Roman" w:hint="default"/>
          <w:spacing w:val="-2"/>
        </w:rPr>
        <w:t>“</w:t>
      </w:r>
      <w:r>
        <w:rPr>
          <w:spacing w:val="-2"/>
        </w:rPr>
        <w:t>两办</w:t>
      </w:r>
      <w:r>
        <w:rPr>
          <w:rFonts w:ascii="Times New Roman" w:hAnsi="Times New Roman" w:cs="Times New Roman" w:eastAsia="Times New Roman" w:hint="default"/>
          <w:spacing w:val="-2"/>
        </w:rPr>
        <w:t>+</w:t>
      </w:r>
      <w:r>
        <w:rPr>
          <w:spacing w:val="-2"/>
        </w:rPr>
        <w:t>六大中心</w:t>
      </w:r>
      <w:r>
        <w:rPr>
          <w:rFonts w:ascii="Times New Roman" w:hAnsi="Times New Roman" w:cs="Times New Roman" w:eastAsia="Times New Roman" w:hint="default"/>
          <w:spacing w:val="-2"/>
        </w:rPr>
        <w:t>”</w:t>
      </w:r>
      <w:r>
        <w:rPr>
          <w:spacing w:val="-2"/>
        </w:rPr>
        <w:t>为主的经</w:t>
      </w:r>
    </w:p>
    <w:p>
      <w:pPr>
        <w:pStyle w:val="BodyText"/>
        <w:spacing w:line="316" w:lineRule="auto" w:before="13"/>
        <w:ind w:right="94"/>
        <w:jc w:val="left"/>
      </w:pPr>
      <w:r>
        <w:rPr>
          <w:spacing w:val="-2"/>
        </w:rPr>
        <w:t>营管理体系，力求最大化的展现出对效率和效益的两方面结果要求。以文化为先导，公司六大中心各司其职，辅之以总经办</w:t>
      </w:r>
      <w:r>
        <w:rPr>
          <w:spacing w:val="-64"/>
        </w:rPr>
        <w:t> </w:t>
      </w:r>
      <w:r>
        <w:rPr>
          <w:spacing w:val="-64"/>
        </w:rPr>
      </w:r>
      <w:r>
        <w:rPr/>
        <w:t>跟进督办与各方协调，共同推动公司各项任务及指标的达成。</w:t>
      </w:r>
    </w:p>
    <w:p>
      <w:pPr>
        <w:pStyle w:val="BodyText"/>
        <w:spacing w:line="300" w:lineRule="auto" w:before="19"/>
        <w:ind w:right="104" w:firstLine="271"/>
        <w:jc w:val="both"/>
      </w:pPr>
      <w:r>
        <w:rPr/>
        <w:t>从业务及管理职能出发，结合公司特有的</w:t>
      </w:r>
      <w:r>
        <w:rPr>
          <w:rFonts w:ascii="Times New Roman" w:hAnsi="Times New Roman" w:cs="Times New Roman" w:eastAsia="Times New Roman" w:hint="default"/>
        </w:rPr>
        <w:t>“</w:t>
      </w:r>
      <w:r>
        <w:rPr/>
        <w:t>三精</w:t>
      </w:r>
      <w:r>
        <w:rPr>
          <w:rFonts w:ascii="Times New Roman" w:hAnsi="Times New Roman" w:cs="Times New Roman" w:eastAsia="Times New Roman" w:hint="default"/>
        </w:rPr>
        <w:t>”</w:t>
      </w:r>
      <w:r>
        <w:rPr/>
        <w:t>管理体系，充分授权、落实个人工作，清晰梳理并明确了部门职责，</w:t>
      </w:r>
      <w:r>
        <w:rPr>
          <w:spacing w:val="-42"/>
        </w:rPr>
        <w:t> </w:t>
      </w:r>
      <w:r>
        <w:rPr/>
        <w:t>保</w:t>
      </w:r>
      <w:r>
        <w:rPr/>
        <w:t> </w:t>
      </w:r>
      <w:r>
        <w:rPr>
          <w:spacing w:val="-4"/>
        </w:rPr>
        <w:t>证各部门基础管理工作有效开展，有效提升了员工的品质和企业的综合管理水平，为实现公司的可持续发展奠定坚实的基础。</w:t>
      </w:r>
    </w:p>
    <w:p>
      <w:pPr>
        <w:spacing w:line="240" w:lineRule="auto" w:before="4"/>
        <w:rPr>
          <w:rFonts w:ascii="宋体" w:hAnsi="宋体" w:cs="宋体" w:eastAsia="宋体" w:hint="default"/>
          <w:sz w:val="26"/>
          <w:szCs w:val="26"/>
        </w:rPr>
      </w:pPr>
    </w:p>
    <w:p>
      <w:pPr>
        <w:pStyle w:val="BodyText"/>
        <w:spacing w:line="316" w:lineRule="auto" w:before="0"/>
        <w:ind w:left="424" w:right="182" w:hanging="272"/>
        <w:jc w:val="left"/>
      </w:pPr>
      <w:r>
        <w:rPr>
          <w:rFonts w:ascii="宋体" w:hAnsi="宋体" w:cs="宋体" w:eastAsia="宋体" w:hint="default"/>
        </w:rPr>
        <w:t>2.</w:t>
      </w:r>
      <w:r>
        <w:rPr>
          <w:rFonts w:ascii="宋体" w:hAnsi="宋体" w:cs="宋体" w:eastAsia="宋体" w:hint="default"/>
          <w:spacing w:val="89"/>
        </w:rPr>
        <w:t> </w:t>
      </w:r>
      <w:r>
        <w:rPr/>
        <w:t>成立六大子公司，加大市场开拓力度 报告期内，在北京、成都、沈阳、济南、重庆、武汉设立区域营销子公司，并已完成增资事宜，进一步实现将总部形象</w:t>
      </w:r>
    </w:p>
    <w:p>
      <w:pPr>
        <w:pStyle w:val="BodyText"/>
        <w:spacing w:line="316" w:lineRule="auto" w:before="19"/>
        <w:ind w:right="191"/>
        <w:jc w:val="both"/>
      </w:pPr>
      <w:r>
        <w:rPr>
          <w:spacing w:val="-2"/>
        </w:rPr>
        <w:t>展示、配货功能前移，提高终端采购频率，加快新产品推广；更好的服务于现有加盟商并拓展加盟业务。同时，从全国区域</w:t>
      </w:r>
      <w:r>
        <w:rPr>
          <w:spacing w:val="-68"/>
        </w:rPr>
        <w:t> </w:t>
      </w:r>
      <w:r>
        <w:rPr>
          <w:spacing w:val="-68"/>
        </w:rPr>
      </w:r>
      <w:r>
        <w:rPr>
          <w:spacing w:val="-2"/>
        </w:rPr>
        <w:t>发展具备相当实力、有志于为爱迪尔珠宝加盟拓展市场的加盟伙伴成为公司区域协助开发商，共享爱迪尔品牌战略、产品文</w:t>
      </w:r>
      <w:r>
        <w:rPr>
          <w:spacing w:val="-64"/>
        </w:rPr>
        <w:t> </w:t>
      </w:r>
      <w:r>
        <w:rPr>
          <w:spacing w:val="-64"/>
        </w:rPr>
      </w:r>
      <w:r>
        <w:rPr/>
        <w:t>化、终端策略、营销推广等各方面的信息与资源，进而实现共同利益最大化。</w:t>
      </w:r>
    </w:p>
    <w:p>
      <w:pPr>
        <w:pStyle w:val="BodyText"/>
        <w:spacing w:line="300" w:lineRule="auto" w:before="19"/>
        <w:ind w:right="175" w:firstLine="271"/>
        <w:jc w:val="both"/>
      </w:pPr>
      <w:r>
        <w:rPr/>
        <w:t>借助于公司上市之机，深化</w:t>
      </w:r>
      <w:r>
        <w:rPr>
          <w:rFonts w:ascii="Times New Roman" w:hAnsi="Times New Roman" w:cs="Times New Roman" w:eastAsia="Times New Roman" w:hint="default"/>
        </w:rPr>
        <w:t>“</w:t>
      </w:r>
      <w:r>
        <w:rPr/>
        <w:t>同道者同行</w:t>
      </w:r>
      <w:r>
        <w:rPr>
          <w:rFonts w:ascii="Times New Roman" w:hAnsi="Times New Roman" w:cs="Times New Roman" w:eastAsia="Times New Roman" w:hint="default"/>
        </w:rPr>
        <w:t>,</w:t>
      </w:r>
      <w:r>
        <w:rPr/>
        <w:t>同行者同享</w:t>
      </w:r>
      <w:r>
        <w:rPr>
          <w:rFonts w:ascii="Times New Roman" w:hAnsi="Times New Roman" w:cs="Times New Roman" w:eastAsia="Times New Roman" w:hint="default"/>
        </w:rPr>
        <w:t>”</w:t>
      </w:r>
      <w:r>
        <w:rPr/>
        <w:t>的合作理念，在珠宝行业内倡导资产证券化的必要性和操作模式， 指导珠宝同行以区域为中心成立合作企业，把原有分散业务集中的创新模式。</w:t>
      </w:r>
    </w:p>
    <w:p>
      <w:pPr>
        <w:spacing w:line="240" w:lineRule="auto" w:before="3"/>
        <w:rPr>
          <w:rFonts w:ascii="宋体" w:hAnsi="宋体" w:cs="宋体" w:eastAsia="宋体" w:hint="default"/>
          <w:sz w:val="26"/>
          <w:szCs w:val="26"/>
        </w:rPr>
      </w:pPr>
    </w:p>
    <w:p>
      <w:pPr>
        <w:pStyle w:val="BodyText"/>
        <w:spacing w:line="340" w:lineRule="auto" w:before="0"/>
        <w:ind w:left="424" w:right="173" w:hanging="272"/>
        <w:jc w:val="left"/>
      </w:pPr>
      <w:r>
        <w:rPr>
          <w:rFonts w:ascii="Times New Roman" w:hAnsi="Times New Roman" w:cs="Times New Roman" w:eastAsia="Times New Roman" w:hint="default"/>
        </w:rPr>
        <w:t>3</w:t>
      </w:r>
      <w:r>
        <w:rPr/>
        <w:t>、产品推陈出新，强化跨洋合作 产品是品牌最好的代言，在经历了</w:t>
      </w:r>
      <w:r>
        <w:rPr>
          <w:rFonts w:ascii="Times New Roman" w:hAnsi="Times New Roman" w:cs="Times New Roman" w:eastAsia="Times New Roman" w:hint="default"/>
        </w:rPr>
        <w:t>“</w:t>
      </w:r>
      <w:r>
        <w:rPr/>
        <w:t>炫彩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灵动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吻钻</w:t>
      </w:r>
      <w:r>
        <w:rPr>
          <w:rFonts w:ascii="Times New Roman" w:hAnsi="Times New Roman" w:cs="Times New Roman" w:eastAsia="Times New Roman" w:hint="default"/>
        </w:rPr>
        <w:t>”</w:t>
      </w:r>
      <w:r>
        <w:rPr/>
        <w:t>三大系列的狂热之后，公司于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月推出</w:t>
      </w:r>
      <w:r>
        <w:rPr>
          <w:rFonts w:ascii="Times New Roman" w:hAnsi="Times New Roman" w:cs="Times New Roman" w:eastAsia="Times New Roman" w:hint="default"/>
        </w:rPr>
        <w:t>“</w:t>
      </w:r>
      <w:r>
        <w:rPr/>
        <w:t>品牌印记</w:t>
      </w:r>
      <w:r>
        <w:rPr>
          <w:rFonts w:ascii="Times New Roman" w:hAnsi="Times New Roman" w:cs="Times New Roman" w:eastAsia="Times New Roman" w:hint="default"/>
        </w:rPr>
        <w:t>”</w:t>
      </w:r>
      <w:r>
        <w:rPr/>
        <w:t>，该</w:t>
      </w:r>
    </w:p>
    <w:p>
      <w:pPr>
        <w:pStyle w:val="BodyText"/>
        <w:spacing w:line="229" w:lineRule="exact" w:before="0"/>
        <w:ind w:right="94"/>
        <w:jc w:val="left"/>
      </w:pPr>
      <w:r>
        <w:rPr/>
        <w:t>印记以中国人自古以来便喜爱有加的</w:t>
      </w:r>
      <w:r>
        <w:rPr>
          <w:rFonts w:ascii="Times New Roman" w:hAnsi="Times New Roman" w:cs="Times New Roman" w:eastAsia="Times New Roman" w:hint="default"/>
        </w:rPr>
        <w:t>“</w:t>
      </w:r>
      <w:r>
        <w:rPr/>
        <w:t>红</w:t>
      </w:r>
      <w:r>
        <w:rPr>
          <w:rFonts w:ascii="Times New Roman" w:hAnsi="Times New Roman" w:cs="Times New Roman" w:eastAsia="Times New Roman" w:hint="default"/>
        </w:rPr>
        <w:t>”</w:t>
      </w:r>
      <w:r>
        <w:rPr/>
        <w:t>为灵感，在钻石镶嵌和舒适戒臂工艺的基础上，植入一抹红宝之秀色，构成了爱迪</w:t>
      </w:r>
    </w:p>
    <w:p>
      <w:pPr>
        <w:pStyle w:val="BodyText"/>
        <w:spacing w:line="300" w:lineRule="auto" w:before="63"/>
        <w:ind w:right="94"/>
        <w:jc w:val="left"/>
      </w:pPr>
      <w:r>
        <w:rPr>
          <w:spacing w:val="-2"/>
        </w:rPr>
        <w:t>尔品牌印记的三大不变要素，至今共研发款式</w:t>
      </w:r>
      <w:r>
        <w:rPr>
          <w:rFonts w:ascii="Times New Roman" w:hAnsi="Times New Roman" w:cs="Times New Roman" w:eastAsia="Times New Roman" w:hint="default"/>
          <w:spacing w:val="-2"/>
        </w:rPr>
        <w:t>160</w:t>
      </w:r>
      <w:r>
        <w:rPr>
          <w:spacing w:val="-2"/>
        </w:rPr>
        <w:t>余款，引起行业热烈反响。</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月在爱迪尔珠宝</w:t>
      </w:r>
      <w:r>
        <w:rPr>
          <w:rFonts w:ascii="Times New Roman" w:hAnsi="Times New Roman" w:cs="Times New Roman" w:eastAsia="Times New Roman" w:hint="default"/>
          <w:spacing w:val="-2"/>
        </w:rPr>
        <w:t>2015</w:t>
      </w:r>
      <w:r>
        <w:rPr>
          <w:spacing w:val="-2"/>
        </w:rPr>
        <w:t>健康酒会（长沙）</w:t>
      </w:r>
      <w:r>
        <w:rPr>
          <w:spacing w:val="-55"/>
        </w:rPr>
        <w:t> </w:t>
      </w:r>
      <w:r>
        <w:rPr>
          <w:spacing w:val="-55"/>
        </w:rPr>
      </w:r>
      <w:r>
        <w:rPr>
          <w:spacing w:val="-2"/>
        </w:rPr>
        <w:t>上进行了</w:t>
      </w:r>
      <w:r>
        <w:rPr>
          <w:rFonts w:ascii="Times New Roman" w:hAnsi="Times New Roman" w:cs="Times New Roman" w:eastAsia="Times New Roman" w:hint="default"/>
          <w:spacing w:val="-2"/>
        </w:rPr>
        <w:t>“1+</w:t>
      </w:r>
      <w:r>
        <w:rPr>
          <w:spacing w:val="-2"/>
        </w:rPr>
        <w:t>尔语</w:t>
      </w:r>
      <w:r>
        <w:rPr>
          <w:rFonts w:ascii="Times New Roman" w:hAnsi="Times New Roman" w:cs="Times New Roman" w:eastAsia="Times New Roman" w:hint="default"/>
          <w:spacing w:val="-2"/>
        </w:rPr>
        <w:t>”</w:t>
      </w:r>
      <w:r>
        <w:rPr>
          <w:spacing w:val="-2"/>
        </w:rPr>
        <w:t>的全国首发，此系列延续了公司产品一贯的人文关怀，将耳饰的不对称搭配、混搭的时尚佩戴进行提炼和</w:t>
      </w:r>
      <w:r>
        <w:rPr>
          <w:spacing w:val="-52"/>
        </w:rPr>
        <w:t> </w:t>
      </w:r>
      <w:r>
        <w:rPr>
          <w:spacing w:val="-52"/>
        </w:rPr>
      </w:r>
      <w:r>
        <w:rPr/>
        <w:t>精彩演绎，再一次引领行业潮流。</w:t>
      </w:r>
    </w:p>
    <w:p>
      <w:pPr>
        <w:pStyle w:val="BodyText"/>
        <w:spacing w:line="300" w:lineRule="auto" w:before="72"/>
        <w:ind w:right="188" w:firstLine="271"/>
        <w:jc w:val="both"/>
      </w:pPr>
      <w:r>
        <w:rPr/>
        <w:t>随着品牌的发展，爱迪尔珠宝进一步打开国际视野。</w:t>
      </w:r>
      <w:r>
        <w:rPr>
          <w:rFonts w:ascii="Times New Roman" w:hAnsi="Times New Roman" w:cs="Times New Roman" w:eastAsia="Times New Roman" w:hint="default"/>
        </w:rPr>
        <w:t>2015</w:t>
      </w:r>
      <w:r>
        <w:rPr/>
        <w:t>年末，公司聘请比利时地区最大婚戒生产商</w:t>
      </w:r>
      <w:r>
        <w:rPr>
          <w:rFonts w:ascii="Times New Roman" w:hAnsi="Times New Roman" w:cs="Times New Roman" w:eastAsia="Times New Roman" w:hint="default"/>
        </w:rPr>
        <w:t>VdB CEO</w:t>
      </w:r>
      <w:r>
        <w:rPr>
          <w:rFonts w:ascii="Times New Roman" w:hAnsi="Times New Roman" w:cs="Times New Roman" w:eastAsia="Times New Roman" w:hint="default"/>
          <w:spacing w:val="24"/>
        </w:rPr>
        <w:t> </w:t>
      </w:r>
      <w:r>
        <w:rPr>
          <w:rFonts w:ascii="Times New Roman" w:hAnsi="Times New Roman" w:cs="Times New Roman" w:eastAsia="Times New Roman" w:hint="default"/>
        </w:rPr>
        <w:t>Marnix</w:t>
      </w:r>
      <w:r>
        <w:rPr>
          <w:rFonts w:ascii="Times New Roman" w:hAnsi="Times New Roman" w:cs="Times New Roman" w:eastAsia="Times New Roman" w:hint="default"/>
        </w:rPr>
        <w:t> Janssens</w:t>
      </w:r>
      <w:r>
        <w:rPr/>
        <w:t>及其夫人</w:t>
      </w:r>
      <w:r>
        <w:rPr>
          <w:rFonts w:ascii="Times New Roman" w:hAnsi="Times New Roman" w:cs="Times New Roman" w:eastAsia="Times New Roman" w:hint="default"/>
        </w:rPr>
        <w:t>Sofie Layla Aiad</w:t>
      </w:r>
      <w:r>
        <w:rPr/>
        <w:t>，和法国</w:t>
      </w:r>
      <w:r>
        <w:rPr>
          <w:rFonts w:ascii="Times New Roman" w:hAnsi="Times New Roman" w:cs="Times New Roman" w:eastAsia="Times New Roman" w:hint="default"/>
        </w:rPr>
        <w:t>Schmittgall</w:t>
      </w:r>
      <w:r>
        <w:rPr/>
        <w:t>集团</w:t>
      </w:r>
      <w:r>
        <w:rPr>
          <w:rFonts w:ascii="Times New Roman" w:hAnsi="Times New Roman" w:cs="Times New Roman" w:eastAsia="Times New Roman" w:hint="default"/>
        </w:rPr>
        <w:t>CEO Gaetan</w:t>
      </w:r>
      <w:r>
        <w:rPr>
          <w:rFonts w:ascii="Times New Roman" w:hAnsi="Times New Roman" w:cs="Times New Roman" w:eastAsia="Times New Roman" w:hint="default"/>
          <w:spacing w:val="1"/>
        </w:rPr>
        <w:t> </w:t>
      </w:r>
      <w:r>
        <w:rPr>
          <w:rFonts w:ascii="Times New Roman" w:hAnsi="Times New Roman" w:cs="Times New Roman" w:eastAsia="Times New Roman" w:hint="default"/>
        </w:rPr>
        <w:t>Pinot</w:t>
      </w:r>
      <w:r>
        <w:rPr/>
        <w:t>为</w:t>
      </w:r>
      <w:r>
        <w:rPr>
          <w:rFonts w:ascii="Times New Roman" w:hAnsi="Times New Roman" w:cs="Times New Roman" w:eastAsia="Times New Roman" w:hint="default"/>
        </w:rPr>
        <w:t>“</w:t>
      </w:r>
      <w:r>
        <w:rPr/>
        <w:t>设计顾问</w:t>
      </w:r>
      <w:r>
        <w:rPr>
          <w:rFonts w:ascii="Times New Roman" w:hAnsi="Times New Roman" w:cs="Times New Roman" w:eastAsia="Times New Roman" w:hint="default"/>
        </w:rPr>
        <w:t>”</w:t>
      </w:r>
      <w:r>
        <w:rPr/>
        <w:t>，越洋灵感的融入将与中国本土理 念碰撞出新的火花，为品牌注入不一样的活力和价值。</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40" w:lineRule="auto" w:before="0"/>
        <w:ind w:left="513" w:right="94" w:hanging="361"/>
        <w:jc w:val="left"/>
      </w:pPr>
      <w:r>
        <w:rPr>
          <w:rFonts w:ascii="Times New Roman" w:hAnsi="Times New Roman" w:cs="Times New Roman" w:eastAsia="Times New Roman" w:hint="default"/>
        </w:rPr>
        <w:t>4</w:t>
      </w:r>
      <w:r>
        <w:rPr/>
        <w:t>、整合优势资源，提升品牌形象 </w:t>
      </w:r>
      <w:r>
        <w:rPr>
          <w:spacing w:val="-2"/>
        </w:rPr>
        <w:t>报告期内，公司已在</w:t>
      </w:r>
      <w:r>
        <w:rPr>
          <w:rFonts w:ascii="Times New Roman" w:hAnsi="Times New Roman" w:cs="Times New Roman" w:eastAsia="Times New Roman" w:hint="default"/>
          <w:spacing w:val="-2"/>
        </w:rPr>
        <w:t>15</w:t>
      </w:r>
      <w:r>
        <w:rPr>
          <w:spacing w:val="-2"/>
        </w:rPr>
        <w:t>个省份的</w:t>
      </w:r>
      <w:r>
        <w:rPr>
          <w:rFonts w:ascii="Times New Roman" w:hAnsi="Times New Roman" w:cs="Times New Roman" w:eastAsia="Times New Roman" w:hint="default"/>
          <w:spacing w:val="-2"/>
        </w:rPr>
        <w:t>45</w:t>
      </w:r>
      <w:r>
        <w:rPr>
          <w:spacing w:val="-2"/>
        </w:rPr>
        <w:t>条高速竖起了</w:t>
      </w:r>
      <w:r>
        <w:rPr>
          <w:rFonts w:ascii="Times New Roman" w:hAnsi="Times New Roman" w:cs="Times New Roman" w:eastAsia="Times New Roman" w:hint="default"/>
          <w:spacing w:val="-2"/>
        </w:rPr>
        <w:t>50</w:t>
      </w:r>
      <w:r>
        <w:rPr>
          <w:spacing w:val="-2"/>
        </w:rPr>
        <w:t>个立柱，在四川，湖北，河南，北京，河北，江西，贵州，湖南，安</w:t>
      </w:r>
    </w:p>
    <w:p>
      <w:pPr>
        <w:pStyle w:val="BodyText"/>
        <w:spacing w:line="229" w:lineRule="exact" w:before="0"/>
        <w:ind w:right="0"/>
        <w:jc w:val="left"/>
      </w:pPr>
      <w:r>
        <w:rPr/>
        <w:t>徽，甘肃，云南，福建已投放金额达到</w:t>
      </w:r>
      <w:r>
        <w:rPr>
          <w:rFonts w:ascii="Times New Roman" w:hAnsi="Times New Roman" w:cs="Times New Roman" w:eastAsia="Times New Roman" w:hint="default"/>
        </w:rPr>
        <w:t>1500</w:t>
      </w:r>
      <w:r>
        <w:rPr/>
        <w:t>万全年共召开歌友会</w:t>
      </w:r>
      <w:r>
        <w:rPr>
          <w:rFonts w:ascii="Times New Roman" w:hAnsi="Times New Roman" w:cs="Times New Roman" w:eastAsia="Times New Roman" w:hint="default"/>
        </w:rPr>
        <w:t>8</w:t>
      </w:r>
      <w:r>
        <w:rPr/>
        <w:t>场，由市到省全国深度互动。举行招商会共</w:t>
      </w:r>
      <w:r>
        <w:rPr>
          <w:rFonts w:ascii="Times New Roman" w:hAnsi="Times New Roman" w:cs="Times New Roman" w:eastAsia="Times New Roman" w:hint="default"/>
        </w:rPr>
        <w:t>5</w:t>
      </w:r>
      <w:r>
        <w:rPr/>
        <w:t>场，累计签约</w:t>
      </w:r>
    </w:p>
    <w:p>
      <w:pPr>
        <w:pStyle w:val="BodyText"/>
        <w:spacing w:line="240" w:lineRule="auto" w:before="63"/>
        <w:ind w:right="94"/>
        <w:jc w:val="left"/>
      </w:pPr>
      <w:r>
        <w:rPr>
          <w:rFonts w:ascii="Times New Roman" w:hAnsi="Times New Roman" w:cs="Times New Roman" w:eastAsia="Times New Roman" w:hint="default"/>
        </w:rPr>
        <w:t>30</w:t>
      </w:r>
      <w:r>
        <w:rPr/>
        <w:t>家加盟商。</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ind w:right="189" w:firstLine="360"/>
        <w:jc w:val="both"/>
      </w:pPr>
      <w:r>
        <w:rPr>
          <w:spacing w:val="-2"/>
        </w:rPr>
        <w:t>继续巩固与《南方航空》、《深圳航空》、《中国黄金珠宝》等杂志的稳定关系，同时《灵感》杂志进行全面升级，完</w:t>
      </w:r>
      <w:r>
        <w:rPr/>
        <w:t> </w:t>
      </w:r>
      <w:r>
        <w:rPr>
          <w:spacing w:val="-2"/>
        </w:rPr>
        <w:t>成改版，并且创立副册《非凡闪耀成长手册》，助力终端销售，致力于打通线上线下，实现强力互动的《微灵感》也全面上</w:t>
      </w:r>
      <w:r>
        <w:rPr>
          <w:spacing w:val="-64"/>
        </w:rPr>
        <w:t> </w:t>
      </w:r>
      <w:r>
        <w:rPr>
          <w:spacing w:val="-64"/>
        </w:rPr>
      </w:r>
      <w:r>
        <w:rPr/>
        <w:t>线。随着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时代的到来，公司将以客户体验、个性化需求为诉求点，快速打通线上线下，让产品销售与体验的圆环</w:t>
      </w:r>
      <w:r>
        <w:rPr>
          <w:spacing w:val="-75"/>
        </w:rPr>
        <w:t> </w:t>
      </w:r>
      <w:r>
        <w:rPr>
          <w:spacing w:val="-75"/>
        </w:rPr>
      </w:r>
      <w:r>
        <w:rPr>
          <w:spacing w:val="-2"/>
        </w:rPr>
        <w:t>闭合，同时也探索尝试了更多有意思的</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时代推广方式，全年</w:t>
      </w:r>
      <w:r>
        <w:rPr>
          <w:rFonts w:ascii="Times New Roman" w:hAnsi="Times New Roman" w:cs="Times New Roman" w:eastAsia="Times New Roman" w:hint="default"/>
          <w:spacing w:val="-2"/>
        </w:rPr>
        <w:t>9</w:t>
      </w:r>
      <w:r>
        <w:rPr>
          <w:spacing w:val="-2"/>
        </w:rPr>
        <w:t>大微信营销活动，实际点击率达</w:t>
      </w:r>
      <w:r>
        <w:rPr>
          <w:rFonts w:ascii="Times New Roman" w:hAnsi="Times New Roman" w:cs="Times New Roman" w:eastAsia="Times New Roman" w:hint="default"/>
          <w:spacing w:val="-2"/>
        </w:rPr>
        <w:t>88</w:t>
      </w:r>
      <w:r>
        <w:rPr>
          <w:spacing w:val="-2"/>
        </w:rPr>
        <w:t>万次，助阵好友达</w:t>
      </w:r>
      <w:r>
        <w:rPr>
          <w:spacing w:val="-56"/>
        </w:rPr>
        <w:t> </w:t>
      </w:r>
      <w:r>
        <w:rPr>
          <w:spacing w:val="-56"/>
        </w:rPr>
      </w:r>
      <w:r>
        <w:rPr>
          <w:rFonts w:ascii="Times New Roman" w:hAnsi="Times New Roman" w:cs="Times New Roman" w:eastAsia="Times New Roman" w:hint="default"/>
        </w:rPr>
        <w:t>5.49</w:t>
      </w:r>
      <w:r>
        <w:rPr/>
        <w:t>万人，按朋友圈辐射测算累积超千万人；结合微信活动，共拍摄微电影</w:t>
      </w:r>
      <w:r>
        <w:rPr>
          <w:rFonts w:ascii="Times New Roman" w:hAnsi="Times New Roman" w:cs="Times New Roman" w:eastAsia="Times New Roman" w:hint="default"/>
        </w:rPr>
        <w:t>5</w:t>
      </w:r>
      <w:r>
        <w:rPr/>
        <w:t>部，持续传播，亮点不断绽放。</w:t>
      </w:r>
    </w:p>
    <w:p>
      <w:pPr>
        <w:pStyle w:val="BodyText"/>
        <w:spacing w:line="309" w:lineRule="auto" w:before="46"/>
        <w:ind w:right="94" w:firstLine="360"/>
        <w:jc w:val="left"/>
      </w:pPr>
      <w:r>
        <w:rPr>
          <w:rFonts w:ascii="Times New Roman" w:hAnsi="Times New Roman" w:cs="Times New Roman" w:eastAsia="Times New Roman" w:hint="default"/>
          <w:spacing w:val="-4"/>
        </w:rPr>
        <w:t>2015</w:t>
      </w:r>
      <w:r>
        <w:rPr>
          <w:spacing w:val="-4"/>
        </w:rPr>
        <w:t>年公司在终端推行爱迪尔第四代终端形象，通过指定供应厂商强化对店面的装修质量，并由品牌专人进行实时跟进，</w:t>
      </w:r>
      <w:r>
        <w:rPr/>
        <w:t> </w:t>
      </w:r>
      <w:r>
        <w:rPr>
          <w:spacing w:val="-2"/>
        </w:rPr>
        <w:t>根据订单进行道具礼品等的配比进行定额配售确保形象的统一，公司品牌管理部强化对各门店的督导巡查，并根据结果予以</w:t>
      </w:r>
      <w:r>
        <w:rPr>
          <w:spacing w:val="-64"/>
        </w:rPr>
        <w:t> </w:t>
      </w:r>
      <w:r>
        <w:rPr>
          <w:spacing w:val="-64"/>
        </w:rPr>
      </w:r>
      <w:r>
        <w:rPr/>
        <w:t>整改落实，对拒不整改且整改不到位者予以解除合同并撤店处理。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40" w:lineRule="auto" w:before="0"/>
        <w:ind w:left="424" w:right="182" w:hanging="272"/>
        <w:jc w:val="left"/>
      </w:pPr>
      <w:r>
        <w:rPr>
          <w:rFonts w:ascii="Times New Roman" w:hAnsi="Times New Roman" w:cs="Times New Roman" w:eastAsia="Times New Roman" w:hint="default"/>
        </w:rPr>
        <w:t>5</w:t>
      </w:r>
      <w:r>
        <w:rPr/>
        <w:t>、实现客户分级，完善服务体系 公司于报告期内完成上年度制定的加盟伙伴及非加盟伙伴的全面建档工作，对现有客户进行分级，并持续优化：通过重</w:t>
      </w:r>
    </w:p>
    <w:p>
      <w:pPr>
        <w:pStyle w:val="BodyText"/>
        <w:spacing w:line="300" w:lineRule="auto" w:before="1"/>
        <w:ind w:right="193"/>
        <w:jc w:val="both"/>
      </w:pPr>
      <w:r>
        <w:rPr>
          <w:spacing w:val="-1"/>
        </w:rPr>
        <w:t>新梳理公司加盟伙伴及非加盟伙伴的档案信息，综合与公司的贸易额、财务规范性、执行公司的管理政策等角度进行了</w:t>
      </w:r>
      <w:r>
        <w:rPr>
          <w:rFonts w:ascii="Times New Roman" w:hAnsi="Times New Roman" w:cs="Times New Roman" w:eastAsia="Times New Roman" w:hint="default"/>
          <w:spacing w:val="-1"/>
        </w:rPr>
        <w:t>A</w:t>
      </w:r>
      <w:r>
        <w:rPr>
          <w:spacing w:val="-1"/>
        </w:rPr>
        <w:t>级</w:t>
      </w:r>
      <w:r>
        <w:rPr>
          <w:spacing w:val="-71"/>
        </w:rPr>
        <w:t> </w:t>
      </w:r>
      <w:r>
        <w:rPr/>
        <w:t>核心客户、</w:t>
      </w:r>
      <w:r>
        <w:rPr>
          <w:rFonts w:ascii="Times New Roman" w:hAnsi="Times New Roman" w:cs="Times New Roman" w:eastAsia="Times New Roman" w:hint="default"/>
        </w:rPr>
        <w:t>B</w:t>
      </w:r>
      <w:r>
        <w:rPr/>
        <w:t>级重点客户、</w:t>
      </w:r>
      <w:r>
        <w:rPr>
          <w:rFonts w:ascii="Times New Roman" w:hAnsi="Times New Roman" w:cs="Times New Roman" w:eastAsia="Times New Roman" w:hint="default"/>
        </w:rPr>
        <w:t>C</w:t>
      </w:r>
      <w:r>
        <w:rPr/>
        <w:t>级普通客户、</w:t>
      </w:r>
      <w:r>
        <w:rPr>
          <w:rFonts w:ascii="Times New Roman" w:hAnsi="Times New Roman" w:cs="Times New Roman" w:eastAsia="Times New Roman" w:hint="default"/>
        </w:rPr>
        <w:t>D</w:t>
      </w:r>
      <w:r>
        <w:rPr/>
        <w:t>级黑名单客户的分级工作，并每半年进行一次重新评定，培育优质客户及忠诚</w:t>
      </w:r>
      <w:r>
        <w:rPr>
          <w:spacing w:val="-14"/>
        </w:rPr>
        <w:t> </w:t>
      </w:r>
      <w:r>
        <w:rPr>
          <w:spacing w:val="-14"/>
        </w:rPr>
      </w:r>
      <w:r>
        <w:rPr/>
        <w:t>客户。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4"/>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57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6"/>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91"/>
        <w:jc w:val="right"/>
      </w:pPr>
      <w:r>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839,515,616.15</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884,901,700.31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560,117,358.05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66.72%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577,307,647.86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65.24%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250,798,746.16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279,658,661.41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31.60%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7,682,711.80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12,499,266.90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-38.53%</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9,068,081.32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9,380,503.61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11,848,718.82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6,055,620.53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95.66%</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镶嵌饰品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747,603,904.81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839,120,127.59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94.83%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-10.91%</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26,163,288.35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15,375,526.50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44,831,622.85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14,969,922.08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9,068,081.32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9,380,503.61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11,848,718.82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6,055,620.53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91,264,457.17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136,049,633.58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121,253,363.22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77,075,603.30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143,411,334.34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164,262,197.34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92,713,363.36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99,452,747.88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100,596,491.71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105,182,189.04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108,180,783.18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83,551,011.63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29.48%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182,095,823.17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219,328,317.54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560,117,358.05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446,093,886.40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250,798,746.16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207,768,044.50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7,682,711.80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5,263,928.72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747,603,904.81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594,083,123.85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26,163,288.35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24,403,953.11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44,831,622.85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40,638,782.67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-67.16%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91,264,457.17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72,605,596.57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121,253,363.22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95,726,379.30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143,411,334.34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111,956,850.59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92,713,363.36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73,973,268.18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100,596,491.71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77,428,613.92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108,180,783.18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84,016,067.88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182,095,823.17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144,124,529.68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w:t>
            </w:r>
          </w:p>
        </w:tc>
      </w:tr>
    </w:tbl>
    <w:p>
      <w:pPr>
        <w:pStyle w:val="BodyText"/>
        <w:spacing w:line="240" w:lineRule="auto" w:before="49"/>
        <w:ind w:right="15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29.66%</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446,093,886.44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443,526,888.85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207,768,044.46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232,712,034.04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5,263,928.72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7,442,568.93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-29.27%</w:t>
            </w: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镶嵌饰品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603,083,123.85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659,191,071.71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24,403,953.11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13,784,218.59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31,638,782.67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10,706,201.53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195.52%</w:t>
            </w:r>
          </w:p>
        </w:tc>
      </w:tr>
    </w:tbl>
    <w:p>
      <w:pPr>
        <w:pStyle w:val="BodyText"/>
        <w:spacing w:line="240" w:lineRule="auto" w:before="49"/>
        <w:ind w:right="153"/>
        <w:jc w:val="left"/>
      </w:pPr>
      <w:r>
        <w:rPr/>
        <w:t>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26" w:lineRule="auto" w:before="0"/>
        <w:ind w:right="1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根据募集资金投资项目要求成立六大营销中心，报告期先后成立了六个子公司：成都市爱迪尔珠宝首饰有限公司、</w:t>
      </w:r>
      <w:r>
        <w:rPr>
          <w:spacing w:val="-16"/>
        </w:rPr>
        <w:t> </w:t>
      </w:r>
      <w:r>
        <w:rPr/>
        <w:t>济南爱</w:t>
      </w:r>
      <w:r>
        <w:rPr/>
        <w:t> 迪尔珠宝首饰有限公司、 武汉市灵感珠宝首饰有限公司、 重庆市灵感珠宝首饰有限公司、</w:t>
      </w:r>
      <w:r>
        <w:rPr>
          <w:spacing w:val="-54"/>
        </w:rPr>
        <w:t> </w:t>
      </w:r>
      <w:r>
        <w:rPr/>
        <w:t>北京爱迪尔灵感珠宝首饰有限</w:t>
      </w:r>
      <w:r>
        <w:rPr/>
        <w:t> 公司、</w:t>
      </w:r>
      <w:r>
        <w:rPr>
          <w:spacing w:val="-18"/>
        </w:rPr>
        <w:t> </w:t>
      </w:r>
      <w:r>
        <w:rPr/>
        <w:t>沈阳爱航珠宝首饰有限公司。</w:t>
      </w:r>
    </w:p>
    <w:p>
      <w:pPr>
        <w:spacing w:after="0" w:line="32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115,851,699.62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14.15%</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35,198,749.92</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21,370,473.00</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20,745,592.70</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20,211,370.00</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18,325,514.00</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115,851,699.62</w:t>
            </w:r>
          </w:p>
        </w:tc>
        <w:tc>
          <w:tcPr>
            <w:tcW w:w="314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14.15%</w:t>
            </w:r>
          </w:p>
        </w:tc>
      </w:tr>
    </w:tbl>
    <w:p>
      <w:pPr>
        <w:pStyle w:val="BodyText"/>
        <w:spacing w:line="240" w:lineRule="auto" w:before="49"/>
        <w:ind w:right="153"/>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605,279,749.96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78.30%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394,953,985.30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51.09%</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151,073,053.28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19.54%</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23,206,360.13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18,555,039.25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17,491,312.00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605,279,749.96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78.30%</w:t>
            </w:r>
          </w:p>
        </w:tc>
      </w:tr>
    </w:tbl>
    <w:p>
      <w:pPr>
        <w:pStyle w:val="BodyText"/>
        <w:spacing w:line="240" w:lineRule="auto" w:before="49"/>
        <w:ind w:right="153"/>
        <w:jc w:val="left"/>
      </w:pPr>
      <w:r>
        <w:rPr/>
        <w:t>主要供应商其他情况说明</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07"/>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50,432,348.75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43,077,481.76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22,435,734.00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18,742,350.21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5,473,838.08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13,476,813.55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、募集资金存款利息收入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 收益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短期借款减少</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利息支出减 少</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26" w:lineRule="auto" w:before="0"/>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公司研发中心主要负责款式设计开发、设计升级，并与生产中心合作对生产工艺进行改良。坚持以自主创新设计为主，致力</w:t>
      </w:r>
      <w:r>
        <w:rPr>
          <w:spacing w:val="-66"/>
        </w:rPr>
        <w:t> </w:t>
      </w:r>
      <w:r>
        <w:rPr>
          <w:spacing w:val="-66"/>
        </w:rPr>
      </w:r>
      <w:r>
        <w:rPr>
          <w:spacing w:val="-2"/>
        </w:rPr>
        <w:t>于为消费者提供个性化、款式新颖的产品。设计符合市场潮流趋势的时尚系列产品，为消费者提供多元化选择，进一步巩固</w:t>
      </w:r>
      <w:r>
        <w:rPr>
          <w:spacing w:val="-65"/>
        </w:rPr>
        <w:t> </w:t>
      </w:r>
      <w:r>
        <w:rPr>
          <w:spacing w:val="-65"/>
        </w:rPr>
      </w:r>
      <w:r>
        <w:rPr/>
        <w:t>公司在中高端消费品行业中的地位。报告期内，公司研发投入</w:t>
      </w:r>
      <w:r>
        <w:rPr>
          <w:rFonts w:ascii="Times New Roman" w:hAnsi="Times New Roman" w:cs="Times New Roman" w:eastAsia="Times New Roman" w:hint="default"/>
        </w:rPr>
        <w:t>8,924,653.72</w:t>
      </w:r>
      <w:r>
        <w:rPr/>
        <w:t>元，占公司营业收入</w:t>
      </w:r>
      <w:r>
        <w:rPr>
          <w:rFonts w:ascii="Times New Roman" w:hAnsi="Times New Roman" w:cs="Times New Roman" w:eastAsia="Times New Roman" w:hint="default"/>
        </w:rPr>
        <w:t>1.06%</w:t>
      </w:r>
      <w:r>
        <w:rPr/>
        <w:t>。</w:t>
      </w:r>
    </w:p>
    <w:p>
      <w:pPr>
        <w:spacing w:line="240" w:lineRule="auto" w:before="4"/>
        <w:rPr>
          <w:rFonts w:ascii="宋体" w:hAnsi="宋体" w:cs="宋体" w:eastAsia="宋体" w:hint="default"/>
          <w:sz w:val="26"/>
          <w:szCs w:val="26"/>
        </w:rPr>
      </w:pPr>
    </w:p>
    <w:p>
      <w:pPr>
        <w:pStyle w:val="BodyText"/>
        <w:spacing w:line="240" w:lineRule="auto" w:before="0"/>
        <w:ind w:right="15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64.71%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8,924,653.72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8,342,126.17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38" w:lineRule="auto" w:before="41"/>
        <w:ind w:right="8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近两年专利数情况</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4"/>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截止报告期末核心技术人员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人离职，聘任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840,431,137.08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951,579,108.42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943,068,634.84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991,916,499.47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-102,637,497.76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-40,337,391.05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111,666,791.34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3,313,971.28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3,269.58%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-111,666,791.34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-3,313,971.28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82.52%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254,084,250.62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267,085,416.69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275,215,749.38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22,914,583.31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1,101.05%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60,911,460.28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-20,736,779.02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3"/>
        <w:ind w:right="92"/>
        <w:jc w:val="left"/>
      </w:pPr>
      <w:r>
        <w:rPr>
          <w:spacing w:val="-8"/>
        </w:rPr>
        <w:t>（</w:t>
      </w: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2015</w:t>
      </w:r>
      <w:r>
        <w:rPr>
          <w:rFonts w:ascii="Times New Roman" w:hAnsi="Times New Roman" w:cs="Times New Roman" w:eastAsia="Times New Roman" w:hint="default"/>
          <w:spacing w:val="-19"/>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月公司首次公开发行股票并挂牌上市后资本实力有所提高，募集资金项目中</w:t>
      </w:r>
      <w:r>
        <w:rPr>
          <w:spacing w:val="-56"/>
        </w:rPr>
        <w:t> </w:t>
      </w:r>
      <w:r>
        <w:rPr>
          <w:rFonts w:ascii="Times New Roman" w:hAnsi="Times New Roman" w:cs="Times New Roman" w:eastAsia="Times New Roman" w:hint="default"/>
        </w:rPr>
        <w:t>7,998.01</w:t>
      </w:r>
      <w:r>
        <w:rPr>
          <w:rFonts w:ascii="Times New Roman" w:hAnsi="Times New Roman" w:cs="Times New Roman" w:eastAsia="Times New Roman" w:hint="default"/>
          <w:spacing w:val="-17"/>
        </w:rPr>
        <w:t> </w:t>
      </w:r>
      <w:r>
        <w:rPr/>
        <w:t>万元用于补充流动资金， 上述流动资金主要用于应收账款等经营性资产的投入；（</w:t>
      </w:r>
      <w:r>
        <w:rPr>
          <w:rFonts w:ascii="Times New Roman" w:hAnsi="Times New Roman" w:cs="Times New Roman" w:eastAsia="Times New Roman" w:hint="default"/>
        </w:rPr>
        <w:t>2</w:t>
      </w:r>
      <w:r>
        <w:rPr/>
        <w:t>）经过历年的合作累积，符合公司销售回款管理政策的客户逐渐 </w:t>
      </w:r>
      <w:r>
        <w:rPr>
          <w:spacing w:val="-2"/>
        </w:rPr>
        <w:t>增加，同时一方面由于互联网金融的快速发展，客户对资金使用效率更为敏感，另一方面我国经济下行压力较大，社会融资</w:t>
      </w:r>
      <w:r>
        <w:rPr>
          <w:spacing w:val="-65"/>
        </w:rPr>
        <w:t> </w:t>
      </w:r>
      <w:r>
        <w:rPr>
          <w:spacing w:val="-65"/>
        </w:rPr>
      </w:r>
      <w:r>
        <w:rPr/>
        <w:t>成本较高，融资压力较大，仅</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年央行便多次实施宏观调控，多次降准降息，因此客户更加充分的利用公司给予的信用</w:t>
      </w:r>
    </w:p>
    <w:p>
      <w:pPr>
        <w:pStyle w:val="BodyText"/>
        <w:spacing w:line="240" w:lineRule="auto" w:before="7"/>
        <w:ind w:right="0"/>
        <w:jc w:val="left"/>
      </w:pPr>
      <w:r>
        <w:rPr>
          <w:spacing w:val="-5"/>
        </w:rPr>
        <w:t>期，导致</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年末应收账款较</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年末有所增加公司在销售时给予下游客户账期延长，导致应收账款占用资金增加；（</w:t>
      </w:r>
      <w:r>
        <w:rPr>
          <w:rFonts w:ascii="Times New Roman" w:hAnsi="Times New Roman" w:cs="Times New Roman" w:eastAsia="Times New Roman" w:hint="default"/>
        </w:rPr>
        <w:t>3</w:t>
      </w:r>
      <w:r>
        <w:rPr/>
        <w:t>）</w:t>
      </w:r>
    </w:p>
    <w:p>
      <w:pPr>
        <w:pStyle w:val="BodyText"/>
        <w:spacing w:line="340" w:lineRule="auto" w:before="63"/>
        <w:ind w:right="1089"/>
        <w:jc w:val="left"/>
      </w:pPr>
      <w:r>
        <w:rPr/>
        <w:t>由于加盟商及经销商对货品款式、数量、提货周期的要求有所提高，库存商品储备规模较</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年末有所提高。 报告期内公司经营活动产生的现金净流量与本年度净利润存在重大差异的原因说明</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right="195"/>
        <w:jc w:val="both"/>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w:t>
      </w:r>
      <w:r>
        <w:rPr/>
        <w:t>月公司首次公开发行股票并挂牌上市后资本实力有所提高，经营性资产的投入大幅提高；（</w:t>
      </w:r>
      <w:r>
        <w:rPr>
          <w:rFonts w:ascii="宋体" w:hAnsi="宋体" w:cs="宋体" w:eastAsia="宋体" w:hint="default"/>
        </w:rPr>
        <w:t>2</w:t>
      </w:r>
      <w:r>
        <w:rPr/>
        <w:t>）公司在销售时 给予下游客户公司在销售时给予下游客户账期延长，导致应收账款占用资金增加；（</w:t>
      </w:r>
      <w:r>
        <w:rPr>
          <w:rFonts w:ascii="宋体" w:hAnsi="宋体" w:cs="宋体" w:eastAsia="宋体" w:hint="default"/>
        </w:rPr>
        <w:t>3</w:t>
      </w:r>
      <w:r>
        <w:rPr/>
        <w:t>）由于钻石资源本身的稀缺性，尤其 </w:t>
      </w:r>
      <w:r>
        <w:rPr>
          <w:spacing w:val="-2"/>
        </w:rPr>
        <w:t>是性价比高的钻石，公司在经过前期考察后，一旦确定了采购标的后，一般会采取批量大额采购策略进行采购；同时，供应</w:t>
      </w:r>
      <w:r>
        <w:rPr>
          <w:spacing w:val="-67"/>
        </w:rPr>
        <w:t> </w:t>
      </w:r>
      <w:r>
        <w:rPr>
          <w:spacing w:val="-67"/>
        </w:rPr>
      </w:r>
      <w:r>
        <w:rPr/>
        <w:t>商在进行钻石交易时，为降低交易成本，一般也会选择优先与采购金额较大的客户进行交易；（</w:t>
      </w:r>
      <w:r>
        <w:rPr>
          <w:rFonts w:ascii="宋体" w:hAnsi="宋体" w:cs="宋体" w:eastAsia="宋体" w:hint="default"/>
        </w:rPr>
        <w:t>4</w:t>
      </w:r>
      <w:r>
        <w:rPr/>
        <w:t>）为满足公司加盟商和经</w:t>
      </w:r>
      <w:r>
        <w:rPr>
          <w:spacing w:val="-87"/>
        </w:rPr>
        <w:t> </w:t>
      </w:r>
      <w:r>
        <w:rPr/>
        <w:t>销商的采购需要，通常需储备</w:t>
      </w:r>
      <w:r>
        <w:rPr>
          <w:rFonts w:ascii="宋体" w:hAnsi="宋体" w:cs="宋体" w:eastAsia="宋体" w:hint="default"/>
        </w:rPr>
        <w:t>1-3</w:t>
      </w:r>
      <w:r>
        <w:rPr/>
        <w:t>月销售的库存商品。因此公司现金流量净额与净利润存在一定的差异实属正常现象。</w:t>
      </w:r>
    </w:p>
    <w:p>
      <w:pPr>
        <w:spacing w:line="240" w:lineRule="auto" w:before="12"/>
        <w:rPr>
          <w:rFonts w:ascii="宋体" w:hAnsi="宋体" w:cs="宋体" w:eastAsia="宋体" w:hint="default"/>
          <w:sz w:val="20"/>
          <w:szCs w:val="20"/>
        </w:rPr>
      </w:pPr>
    </w:p>
    <w:p>
      <w:pPr>
        <w:pStyle w:val="Heading4"/>
        <w:spacing w:line="240" w:lineRule="auto"/>
        <w:ind w:right="94"/>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4"/>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154"/>
        <w:gridCol w:w="1104"/>
        <w:gridCol w:w="1164"/>
        <w:gridCol w:w="991"/>
        <w:gridCol w:w="2624"/>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262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154"/>
        <w:gridCol w:w="1104"/>
        <w:gridCol w:w="1164"/>
        <w:gridCol w:w="991"/>
        <w:gridCol w:w="2624"/>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319,424,838.8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268,813,378.5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345,275,033.8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29.28%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180,273,042.1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354,370,475.0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336,197,070.9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466,815.22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40,338,359.27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30,292,634.38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-12.96%</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注：鼓励公司结合各项营运能力和偿债能力的财务指标进行分析。</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466,815.22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9"/>
        <w:gridCol w:w="869"/>
        <w:gridCol w:w="871"/>
        <w:gridCol w:w="869"/>
        <w:gridCol w:w="360"/>
        <w:gridCol w:w="509"/>
        <w:gridCol w:w="871"/>
        <w:gridCol w:w="869"/>
        <w:gridCol w:w="871"/>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4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35,997.63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20,361.31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20,361.31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15,636.3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万购 买理财产 品，</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万定期存 款</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35,997.63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20,361.31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20,361.31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15,636.3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453" w:hRule="exact"/>
        </w:trPr>
        <w:tc>
          <w:tcPr>
            <w:tcW w:w="9566" w:type="dxa"/>
            <w:gridSpan w:val="12"/>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年度公司募集资金使用情况：</w:t>
            </w:r>
          </w:p>
          <w:p>
            <w:pPr>
              <w:pStyle w:val="TableParagraph"/>
              <w:spacing w:line="240" w:lineRule="auto" w:before="101"/>
              <w:ind w:left="17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爱迪尔珠宝营销服务中心建设项目：募集前承诺投资金额 </w:t>
            </w:r>
            <w:r>
              <w:rPr>
                <w:rFonts w:ascii="Times New Roman" w:hAnsi="Times New Roman" w:cs="Times New Roman" w:eastAsia="Times New Roman" w:hint="default"/>
                <w:sz w:val="18"/>
                <w:szCs w:val="18"/>
              </w:rPr>
              <w:t>103,554,000.00  </w:t>
            </w:r>
            <w:r>
              <w:rPr>
                <w:rFonts w:ascii="宋体" w:hAnsi="宋体" w:cs="宋体" w:eastAsia="宋体" w:hint="default"/>
                <w:sz w:val="18"/>
                <w:szCs w:val="18"/>
              </w:rPr>
              <w:t>元，本报告期实际投资金额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103,554,000.00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剩余募集资金</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该账户剩余金额为利息收</w:t>
            </w:r>
            <w:r>
              <w:rPr>
                <w:rFonts w:ascii="宋体" w:hAnsi="宋体" w:cs="宋体" w:eastAsia="宋体" w:hint="default"/>
                <w:spacing w:val="2"/>
                <w:sz w:val="18"/>
                <w:szCs w:val="18"/>
              </w:rPr>
              <w:t>入</w:t>
            </w:r>
            <w:r>
              <w:rPr>
                <w:rFonts w:ascii="宋体" w:hAnsi="宋体" w:cs="宋体" w:eastAsia="宋体" w:hint="default"/>
                <w:spacing w:val="-92"/>
                <w:sz w:val="18"/>
                <w:szCs w:val="18"/>
              </w:rPr>
              <w:t>；</w:t>
            </w:r>
            <w:r>
              <w:rPr>
                <w:rFonts w:ascii="宋体" w:hAnsi="宋体" w:cs="宋体" w:eastAsia="宋体" w:hint="default"/>
                <w:sz w:val="18"/>
                <w:szCs w:val="18"/>
              </w:rPr>
              <w:t>爱迪尔珠宝生产扩建项目</w:t>
            </w:r>
            <w:r>
              <w:rPr>
                <w:rFonts w:ascii="宋体" w:hAnsi="宋体" w:cs="宋体" w:eastAsia="宋体" w:hint="default"/>
                <w:spacing w:val="-92"/>
                <w:sz w:val="18"/>
                <w:szCs w:val="18"/>
              </w:rPr>
              <w:t>：</w:t>
            </w:r>
            <w:r>
              <w:rPr>
                <w:rFonts w:ascii="宋体" w:hAnsi="宋体" w:cs="宋体" w:eastAsia="宋体" w:hint="default"/>
                <w:spacing w:val="2"/>
                <w:sz w:val="18"/>
                <w:szCs w:val="18"/>
              </w:rPr>
              <w:t>募</w:t>
            </w:r>
            <w:r>
              <w:rPr>
                <w:rFonts w:ascii="宋体" w:hAnsi="宋体" w:cs="宋体" w:eastAsia="宋体" w:hint="default"/>
                <w:sz w:val="18"/>
                <w:szCs w:val="18"/>
              </w:rPr>
              <w:t>集前承诺投资金额</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176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元，本报告期实际投资金额 </w:t>
            </w:r>
            <w:r>
              <w:rPr>
                <w:rFonts w:ascii="Times New Roman" w:hAnsi="Times New Roman" w:cs="Times New Roman" w:eastAsia="Times New Roman" w:hint="default"/>
                <w:sz w:val="18"/>
                <w:szCs w:val="18"/>
              </w:rPr>
              <w:t>20,079,246.82 </w:t>
            </w:r>
            <w:r>
              <w:rPr>
                <w:rFonts w:ascii="宋体" w:hAnsi="宋体" w:cs="宋体" w:eastAsia="宋体" w:hint="default"/>
                <w:sz w:val="18"/>
                <w:szCs w:val="18"/>
              </w:rPr>
              <w:t>元，剩余募集资金 </w:t>
            </w:r>
            <w:r>
              <w:rPr>
                <w:rFonts w:ascii="Times New Roman" w:hAnsi="Times New Roman" w:cs="Times New Roman" w:eastAsia="Times New Roman" w:hint="default"/>
                <w:sz w:val="18"/>
                <w:szCs w:val="18"/>
              </w:rPr>
              <w:t>156,362,953.18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元；补充与主营业务相关的营运资金：募集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前承诺投资金额 </w:t>
            </w:r>
            <w:r>
              <w:rPr>
                <w:rFonts w:ascii="Times New Roman" w:hAnsi="Times New Roman" w:cs="Times New Roman" w:eastAsia="Times New Roman" w:hint="default"/>
                <w:sz w:val="18"/>
                <w:szCs w:val="18"/>
              </w:rPr>
              <w:t>79,980,108.97 </w:t>
            </w:r>
            <w:r>
              <w:rPr>
                <w:rFonts w:ascii="宋体" w:hAnsi="宋体" w:cs="宋体" w:eastAsia="宋体" w:hint="default"/>
                <w:spacing w:val="-3"/>
                <w:sz w:val="18"/>
                <w:szCs w:val="18"/>
              </w:rPr>
              <w:t>元，募集后承诺投资金额 </w:t>
            </w:r>
            <w:r>
              <w:rPr>
                <w:rFonts w:ascii="Times New Roman" w:hAnsi="Times New Roman" w:cs="Times New Roman" w:eastAsia="Times New Roman" w:hint="default"/>
                <w:sz w:val="18"/>
                <w:szCs w:val="18"/>
              </w:rPr>
              <w:t>79,980,108.97 </w:t>
            </w:r>
            <w:r>
              <w:rPr>
                <w:rFonts w:ascii="宋体" w:hAnsi="宋体" w:cs="宋体" w:eastAsia="宋体" w:hint="default"/>
                <w:spacing w:val="-3"/>
                <w:sz w:val="18"/>
                <w:szCs w:val="18"/>
              </w:rPr>
              <w:t>元，本报告期实际投资金额 </w:t>
            </w:r>
            <w:r>
              <w:rPr>
                <w:rFonts w:ascii="Times New Roman" w:hAnsi="Times New Roman" w:cs="Times New Roman" w:eastAsia="Times New Roman" w:hint="default"/>
                <w:sz w:val="18"/>
                <w:szCs w:val="18"/>
              </w:rPr>
              <w:t>79,980,108.97</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元，剩余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1,746.25 </w:t>
            </w:r>
            <w:r>
              <w:rPr>
                <w:rFonts w:ascii="宋体" w:hAnsi="宋体" w:cs="宋体" w:eastAsia="宋体" w:hint="default"/>
                <w:sz w:val="18"/>
                <w:szCs w:val="18"/>
              </w:rPr>
              <w:t>元，该账户剩余金额为利息收入；截止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159,713,879.70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日，本公司募集资金使用情况：</w:t>
            </w:r>
          </w:p>
        </w:tc>
      </w:tr>
      <w:tr>
        <w:trPr>
          <w:trHeight w:val="420" w:hRule="exact"/>
        </w:trPr>
        <w:tc>
          <w:tcPr>
            <w:tcW w:w="5577" w:type="dxa"/>
            <w:gridSpan w:val="7"/>
            <w:tcBorders>
              <w:top w:val="single" w:sz="12" w:space="0" w:color="000000"/>
              <w:left w:val="single" w:sz="4" w:space="0" w:color="000000"/>
              <w:bottom w:val="dotted" w:sz="4" w:space="0" w:color="000000"/>
              <w:right w:val="dotted" w:sz="4" w:space="0" w:color="000000"/>
            </w:tcBorders>
          </w:tcPr>
          <w:p>
            <w:pPr>
              <w:pStyle w:val="TableParagraph"/>
              <w:spacing w:line="240" w:lineRule="auto" w:before="94"/>
              <w:ind w:left="2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9" w:type="dxa"/>
            <w:gridSpan w:val="5"/>
            <w:tcBorders>
              <w:top w:val="single" w:sz="12" w:space="0" w:color="000000"/>
              <w:left w:val="dotted" w:sz="4" w:space="0" w:color="000000"/>
              <w:bottom w:val="dotted" w:sz="4" w:space="0" w:color="000000"/>
              <w:right w:val="single" w:sz="4" w:space="0" w:color="000000"/>
            </w:tcBorders>
          </w:tcPr>
          <w:p>
            <w:pPr>
              <w:pStyle w:val="TableParagraph"/>
              <w:spacing w:line="240" w:lineRule="auto" w:before="94"/>
              <w:ind w:right="29"/>
              <w:jc w:val="center"/>
              <w:rPr>
                <w:rFonts w:ascii="宋体" w:hAnsi="宋体" w:cs="宋体" w:eastAsia="宋体" w:hint="default"/>
                <w:sz w:val="18"/>
                <w:szCs w:val="18"/>
              </w:rPr>
            </w:pPr>
            <w:r>
              <w:rPr>
                <w:rFonts w:ascii="宋体" w:hAnsi="宋体" w:cs="宋体" w:eastAsia="宋体" w:hint="default"/>
                <w:sz w:val="18"/>
                <w:szCs w:val="18"/>
              </w:rPr>
              <w:t>金额（元）</w:t>
            </w: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146"/>
              <w:ind w:right="130"/>
              <w:jc w:val="right"/>
              <w:rPr>
                <w:rFonts w:ascii="Times New Roman" w:hAnsi="Times New Roman" w:cs="Times New Roman" w:eastAsia="Times New Roman" w:hint="default"/>
                <w:sz w:val="18"/>
                <w:szCs w:val="18"/>
              </w:rPr>
            </w:pPr>
            <w:r>
              <w:rPr>
                <w:rFonts w:ascii="Times New Roman"/>
                <w:spacing w:val="-1"/>
                <w:sz w:val="18"/>
              </w:rPr>
              <w:t>359,976,308.97</w:t>
            </w: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募集资金投资项目投资总额（—）</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146"/>
              <w:ind w:right="130"/>
              <w:jc w:val="right"/>
              <w:rPr>
                <w:rFonts w:ascii="Times New Roman" w:hAnsi="Times New Roman" w:cs="Times New Roman" w:eastAsia="Times New Roman" w:hint="default"/>
                <w:sz w:val="18"/>
                <w:szCs w:val="18"/>
              </w:rPr>
            </w:pPr>
            <w:r>
              <w:rPr>
                <w:rFonts w:ascii="Times New Roman"/>
                <w:spacing w:val="-1"/>
                <w:sz w:val="18"/>
              </w:rPr>
              <w:t>103,554,000.00</w:t>
            </w:r>
          </w:p>
        </w:tc>
      </w:tr>
      <w:tr>
        <w:trPr>
          <w:trHeight w:val="411"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5"/>
              <w:ind w:left="132" w:right="0"/>
              <w:jc w:val="left"/>
              <w:rPr>
                <w:rFonts w:ascii="宋体" w:hAnsi="宋体" w:cs="宋体" w:eastAsia="宋体" w:hint="default"/>
                <w:sz w:val="18"/>
                <w:szCs w:val="18"/>
              </w:rPr>
            </w:pPr>
            <w:r>
              <w:rPr>
                <w:rFonts w:ascii="宋体" w:hAnsi="宋体" w:cs="宋体" w:eastAsia="宋体" w:hint="default"/>
                <w:sz w:val="18"/>
                <w:szCs w:val="18"/>
              </w:rPr>
              <w:t>募集资金投资项目投资总额（二）</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86"/>
              <w:ind w:left="2568" w:right="0"/>
              <w:jc w:val="left"/>
              <w:rPr>
                <w:rFonts w:ascii="Arial" w:hAnsi="Arial" w:cs="Arial" w:eastAsia="Arial" w:hint="default"/>
                <w:sz w:val="20"/>
                <w:szCs w:val="20"/>
              </w:rPr>
            </w:pPr>
            <w:r>
              <w:rPr>
                <w:rFonts w:ascii="Arial"/>
                <w:sz w:val="20"/>
              </w:rPr>
              <w:t>20,079,246.82</w:t>
            </w:r>
          </w:p>
        </w:tc>
      </w:tr>
      <w:tr>
        <w:trPr>
          <w:trHeight w:val="408"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募集资金投资项目投资总额（三）</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127"/>
              <w:ind w:left="2568" w:right="0"/>
              <w:jc w:val="left"/>
              <w:rPr>
                <w:rFonts w:ascii="Arial" w:hAnsi="Arial" w:cs="Arial" w:eastAsia="Arial" w:hint="default"/>
                <w:sz w:val="20"/>
                <w:szCs w:val="20"/>
              </w:rPr>
            </w:pPr>
            <w:r>
              <w:rPr>
                <w:rFonts w:ascii="Arial"/>
                <w:sz w:val="20"/>
              </w:rPr>
              <w:t>79,980,108.97</w:t>
            </w: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7"/>
              <w:ind w:left="132" w:right="0"/>
              <w:jc w:val="left"/>
              <w:rPr>
                <w:rFonts w:ascii="宋体" w:hAnsi="宋体" w:cs="宋体" w:eastAsia="宋体" w:hint="default"/>
                <w:sz w:val="18"/>
                <w:szCs w:val="18"/>
              </w:rPr>
            </w:pPr>
            <w:r>
              <w:rPr>
                <w:rFonts w:ascii="宋体" w:hAnsi="宋体" w:cs="宋体" w:eastAsia="宋体" w:hint="default"/>
                <w:sz w:val="18"/>
                <w:szCs w:val="18"/>
              </w:rPr>
              <w:t>流动资金归还募集资金（</w:t>
            </w:r>
            <w:r>
              <w:rPr>
                <w:rFonts w:ascii="宋体" w:hAnsi="宋体" w:cs="宋体" w:eastAsia="宋体" w:hint="default"/>
                <w:sz w:val="18"/>
                <w:szCs w:val="18"/>
              </w:rPr>
              <w:t>+</w:t>
            </w:r>
            <w:r>
              <w:rPr>
                <w:rFonts w:ascii="宋体" w:hAnsi="宋体" w:cs="宋体" w:eastAsia="宋体" w:hint="default"/>
                <w:sz w:val="18"/>
                <w:szCs w:val="18"/>
              </w:rPr>
              <w:t>）</w:t>
            </w:r>
          </w:p>
        </w:tc>
        <w:tc>
          <w:tcPr>
            <w:tcW w:w="3989" w:type="dxa"/>
            <w:gridSpan w:val="5"/>
            <w:tcBorders>
              <w:top w:val="dotted" w:sz="4" w:space="0" w:color="000000"/>
              <w:left w:val="dotted" w:sz="4" w:space="0" w:color="000000"/>
              <w:bottom w:val="dotted" w:sz="4" w:space="0" w:color="000000"/>
              <w:right w:val="single" w:sz="4" w:space="0" w:color="000000"/>
            </w:tcBorders>
          </w:tcPr>
          <w:p>
            <w:pP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募集资金补充流动资金（—）</w:t>
            </w:r>
          </w:p>
        </w:tc>
        <w:tc>
          <w:tcPr>
            <w:tcW w:w="3989" w:type="dxa"/>
            <w:gridSpan w:val="5"/>
            <w:tcBorders>
              <w:top w:val="dotted" w:sz="4" w:space="0" w:color="000000"/>
              <w:left w:val="dotted" w:sz="4" w:space="0" w:color="000000"/>
              <w:bottom w:val="dotted" w:sz="4" w:space="0" w:color="000000"/>
              <w:right w:val="single" w:sz="4" w:space="0" w:color="000000"/>
            </w:tcBorders>
          </w:tcPr>
          <w:p>
            <w:pP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超募资金归还银行借款（—）</w:t>
            </w:r>
          </w:p>
        </w:tc>
        <w:tc>
          <w:tcPr>
            <w:tcW w:w="3989" w:type="dxa"/>
            <w:gridSpan w:val="5"/>
            <w:tcBorders>
              <w:top w:val="dotted" w:sz="4" w:space="0" w:color="000000"/>
              <w:left w:val="dotted" w:sz="4" w:space="0" w:color="000000"/>
              <w:bottom w:val="dotted" w:sz="4" w:space="0" w:color="000000"/>
              <w:right w:val="single" w:sz="4" w:space="0" w:color="000000"/>
            </w:tcBorders>
          </w:tcPr>
          <w:p>
            <w:pP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募集资金专项帐户利息收入（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146"/>
              <w:ind w:right="129"/>
              <w:jc w:val="right"/>
              <w:rPr>
                <w:rFonts w:ascii="Times New Roman" w:hAnsi="Times New Roman" w:cs="Times New Roman" w:eastAsia="Times New Roman" w:hint="default"/>
                <w:sz w:val="18"/>
                <w:szCs w:val="18"/>
              </w:rPr>
            </w:pPr>
            <w:r>
              <w:rPr>
                <w:rFonts w:ascii="Times New Roman"/>
                <w:spacing w:val="-1"/>
                <w:sz w:val="18"/>
              </w:rPr>
              <w:t>3,351,255.72</w:t>
            </w:r>
          </w:p>
        </w:tc>
      </w:tr>
      <w:tr>
        <w:trPr>
          <w:trHeight w:val="410"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募集资金专项帐户手续费支出（—）</w:t>
            </w:r>
          </w:p>
        </w:tc>
        <w:tc>
          <w:tcPr>
            <w:tcW w:w="3989" w:type="dxa"/>
            <w:gridSpan w:val="5"/>
            <w:tcBorders>
              <w:top w:val="dotted" w:sz="4" w:space="0" w:color="000000"/>
              <w:left w:val="dotted" w:sz="4" w:space="0" w:color="000000"/>
              <w:bottom w:val="dotted" w:sz="4" w:space="0" w:color="000000"/>
              <w:right w:val="single" w:sz="4" w:space="0" w:color="000000"/>
            </w:tcBorders>
          </w:tcPr>
          <w:p>
            <w:pPr>
              <w:pStyle w:val="TableParagraph"/>
              <w:spacing w:line="240" w:lineRule="auto" w:before="98"/>
              <w:ind w:right="129"/>
              <w:jc w:val="right"/>
              <w:rPr>
                <w:rFonts w:ascii="Times New Roman" w:hAnsi="Times New Roman" w:cs="Times New Roman" w:eastAsia="Times New Roman" w:hint="default"/>
                <w:sz w:val="18"/>
                <w:szCs w:val="18"/>
              </w:rPr>
            </w:pPr>
            <w:r>
              <w:rPr>
                <w:rFonts w:ascii="Times New Roman"/>
                <w:sz w:val="18"/>
              </w:rPr>
              <w:t>329.2</w:t>
            </w:r>
          </w:p>
        </w:tc>
      </w:tr>
      <w:tr>
        <w:trPr>
          <w:trHeight w:val="408" w:hRule="exact"/>
        </w:trPr>
        <w:tc>
          <w:tcPr>
            <w:tcW w:w="5577" w:type="dxa"/>
            <w:gridSpan w:val="7"/>
            <w:tcBorders>
              <w:top w:val="dotted" w:sz="4" w:space="0" w:color="000000"/>
              <w:left w:val="single" w:sz="4" w:space="0" w:color="000000"/>
              <w:bottom w:val="dotted" w:sz="4" w:space="0" w:color="000000"/>
              <w:right w:val="dotted" w:sz="4" w:space="0" w:color="000000"/>
            </w:tcBorders>
          </w:tcPr>
          <w:p>
            <w:pPr>
              <w:pStyle w:val="TableParagraph"/>
              <w:spacing w:line="240" w:lineRule="auto" w:before="94"/>
              <w:ind w:left="132" w:right="0"/>
              <w:jc w:val="left"/>
              <w:rPr>
                <w:rFonts w:ascii="宋体" w:hAnsi="宋体" w:cs="宋体" w:eastAsia="宋体" w:hint="default"/>
                <w:sz w:val="18"/>
                <w:szCs w:val="18"/>
              </w:rPr>
            </w:pPr>
            <w:r>
              <w:rPr>
                <w:rFonts w:ascii="宋体" w:hAnsi="宋体" w:cs="宋体" w:eastAsia="宋体" w:hint="default"/>
                <w:sz w:val="18"/>
                <w:szCs w:val="18"/>
              </w:rPr>
              <w:t>其他流入（</w:t>
            </w:r>
            <w:r>
              <w:rPr>
                <w:rFonts w:ascii="宋体" w:hAnsi="宋体" w:cs="宋体" w:eastAsia="宋体" w:hint="default"/>
                <w:sz w:val="18"/>
                <w:szCs w:val="18"/>
              </w:rPr>
              <w:t>+</w:t>
            </w:r>
            <w:r>
              <w:rPr>
                <w:rFonts w:ascii="宋体" w:hAnsi="宋体" w:cs="宋体" w:eastAsia="宋体" w:hint="default"/>
                <w:sz w:val="18"/>
                <w:szCs w:val="18"/>
              </w:rPr>
              <w:t>）</w:t>
            </w:r>
          </w:p>
        </w:tc>
        <w:tc>
          <w:tcPr>
            <w:tcW w:w="3989" w:type="dxa"/>
            <w:gridSpan w:val="5"/>
            <w:tcBorders>
              <w:top w:val="dotted" w:sz="4" w:space="0" w:color="000000"/>
              <w:left w:val="dotted" w:sz="4" w:space="0" w:color="000000"/>
              <w:bottom w:val="dotted" w:sz="4" w:space="0" w:color="000000"/>
              <w:right w:val="single" w:sz="4" w:space="0" w:color="000000"/>
            </w:tcBorders>
          </w:tcPr>
          <w:p>
            <w:pPr/>
          </w:p>
        </w:tc>
      </w:tr>
      <w:tr>
        <w:trPr>
          <w:trHeight w:val="428" w:hRule="exact"/>
        </w:trPr>
        <w:tc>
          <w:tcPr>
            <w:tcW w:w="5577" w:type="dxa"/>
            <w:gridSpan w:val="7"/>
            <w:tcBorders>
              <w:top w:val="dotted" w:sz="4" w:space="0" w:color="000000"/>
              <w:left w:val="single" w:sz="4" w:space="0" w:color="000000"/>
              <w:bottom w:val="single" w:sz="12" w:space="0" w:color="000000"/>
              <w:right w:val="dotted" w:sz="4" w:space="0" w:color="000000"/>
            </w:tcBorders>
          </w:tcPr>
          <w:p>
            <w:pPr>
              <w:pStyle w:val="TableParagraph"/>
              <w:spacing w:line="240" w:lineRule="auto" w:before="97"/>
              <w:ind w:left="132" w:right="0"/>
              <w:jc w:val="left"/>
              <w:rPr>
                <w:rFonts w:ascii="宋体" w:hAnsi="宋体" w:cs="宋体" w:eastAsia="宋体" w:hint="default"/>
                <w:sz w:val="18"/>
                <w:szCs w:val="18"/>
              </w:rPr>
            </w:pPr>
            <w:r>
              <w:rPr>
                <w:rFonts w:ascii="宋体" w:hAnsi="宋体" w:cs="宋体" w:eastAsia="宋体" w:hint="default"/>
                <w:sz w:val="18"/>
                <w:szCs w:val="18"/>
              </w:rPr>
              <w:t>募集资金专项帐户实际余额</w:t>
            </w:r>
          </w:p>
        </w:tc>
        <w:tc>
          <w:tcPr>
            <w:tcW w:w="3989" w:type="dxa"/>
            <w:gridSpan w:val="5"/>
            <w:tcBorders>
              <w:top w:val="dotted" w:sz="4" w:space="0" w:color="000000"/>
              <w:left w:val="dotted" w:sz="4" w:space="0" w:color="000000"/>
              <w:bottom w:val="single" w:sz="12" w:space="0" w:color="000000"/>
              <w:right w:val="single" w:sz="4" w:space="0" w:color="000000"/>
            </w:tcBorders>
          </w:tcPr>
          <w:p>
            <w:pPr>
              <w:pStyle w:val="TableParagraph"/>
              <w:spacing w:line="240" w:lineRule="auto" w:before="101"/>
              <w:ind w:right="130"/>
              <w:jc w:val="right"/>
              <w:rPr>
                <w:rFonts w:ascii="Times New Roman" w:hAnsi="Times New Roman" w:cs="Times New Roman" w:eastAsia="Times New Roman" w:hint="default"/>
                <w:sz w:val="18"/>
                <w:szCs w:val="18"/>
              </w:rPr>
            </w:pPr>
            <w:r>
              <w:rPr>
                <w:rFonts w:ascii="Times New Roman"/>
                <w:spacing w:val="-1"/>
                <w:sz w:val="18"/>
              </w:rPr>
              <w:t>159,713,879.70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0"/>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爱迪尔珠宝营销服务 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爱迪尔珠宝生产扩建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17,644.22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补充与主营业务相关 的营运资金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35,997.63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20,361.31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20,361.31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20,361.31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爱迪尔珠宝生产扩建项目：项目投入初期，投资进度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11.38%</w:t>
            </w:r>
            <w:r>
              <w:rPr>
                <w:rFonts w:ascii="宋体" w:hAnsi="宋体" w:cs="宋体" w:eastAsia="宋体" w:hint="default"/>
                <w:sz w:val="18"/>
                <w:szCs w:val="18"/>
              </w:rPr>
              <w:t>，预计效益尚未体现。</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本报告期内无项目可行性重大变化情况发生</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384"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51"/>
              <w:ind w:left="16" w:right="19"/>
              <w:jc w:val="both"/>
              <w:rPr>
                <w:rFonts w:ascii="宋体" w:hAnsi="宋体" w:cs="宋体" w:eastAsia="宋体" w:hint="default"/>
                <w:sz w:val="18"/>
                <w:szCs w:val="18"/>
              </w:rPr>
            </w:pPr>
            <w:r>
              <w:rPr>
                <w:rFonts w:ascii="宋体" w:hAnsi="宋体" w:cs="宋体" w:eastAsia="宋体" w:hint="default"/>
                <w:spacing w:val="-3"/>
                <w:sz w:val="18"/>
                <w:szCs w:val="18"/>
              </w:rPr>
              <w:t>原区域服务中心地点上海、西安变更为重庆、济南。</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、本次变更募集资金投资项目实施地点不属于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募集资金投资项目的变更，未改变募集资金的投资方向和项目建设内容，不会对该项目的实施造成 </w:t>
            </w:r>
            <w:r>
              <w:rPr>
                <w:rFonts w:ascii="宋体" w:hAnsi="宋体" w:cs="宋体" w:eastAsia="宋体" w:hint="default"/>
                <w:spacing w:val="-3"/>
                <w:sz w:val="18"/>
                <w:szCs w:val="18"/>
              </w:rPr>
              <w:t>实质性的影响；</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、本次变更部分募集资金投资项目的实施地，主要原因是考虑现有市场分布状况及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公司市场发展战略规划。本次变更未改变募集资金的用途以及项目实施的实质内容，不影响募集资 金投资项目的正常进行，有利于提高募集资金使用效率，有利于借助区位优势降低公司营运成本， 降低物流成本，最大限度地实现和提升项目投资收益率。上述变更已经公司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w:t>
            </w:r>
          </w:p>
          <w:p>
            <w:pPr>
              <w:pStyle w:val="TableParagraph"/>
              <w:spacing w:line="240" w:lineRule="auto" w:before="5"/>
              <w:ind w:left="16" w:right="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年度股东大会通过了</w:t>
            </w:r>
            <w:r>
              <w:rPr>
                <w:rFonts w:ascii="宋体" w:hAnsi="宋体" w:cs="宋体" w:eastAsia="宋体" w:hint="default"/>
                <w:spacing w:val="-3"/>
                <w:sz w:val="18"/>
                <w:szCs w:val="18"/>
              </w:rPr>
              <w:t>《</w:t>
            </w:r>
            <w:r>
              <w:rPr>
                <w:rFonts w:ascii="宋体" w:hAnsi="宋体" w:cs="宋体" w:eastAsia="宋体" w:hint="default"/>
                <w:sz w:val="18"/>
                <w:szCs w:val="18"/>
              </w:rPr>
              <w:t>关于变更募投项目部分实施地的议案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right w:val="single" w:sz="4" w:space="0" w:color="000000"/>
            </w:tcBorders>
          </w:tcPr>
          <w:p>
            <w:pPr/>
          </w:p>
        </w:tc>
      </w:tr>
      <w:tr>
        <w:trPr>
          <w:trHeight w:val="118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营销服务中心与补充流动资金项目募集资金已按承诺金额使用完毕，账面结余均为利息收入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154.3 </w:t>
            </w:r>
            <w:r>
              <w:rPr>
                <w:rFonts w:ascii="宋体" w:hAnsi="宋体" w:cs="宋体" w:eastAsia="宋体" w:hint="default"/>
                <w:sz w:val="18"/>
                <w:szCs w:val="18"/>
              </w:rPr>
              <w:t>万；惠州工厂扩建募投项目募集资金结余的主要原因是该阶段募集资金的投入尚处于募投项目的初 级阶段，该募投项目募集资金结余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15,636.30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134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both"/>
              <w:rPr>
                <w:rFonts w:ascii="宋体" w:hAnsi="宋体" w:cs="宋体" w:eastAsia="宋体" w:hint="default"/>
                <w:sz w:val="18"/>
                <w:szCs w:val="18"/>
              </w:rPr>
            </w:pPr>
            <w:r>
              <w:rPr>
                <w:rFonts w:ascii="宋体" w:hAnsi="宋体" w:cs="宋体" w:eastAsia="宋体" w:hint="default"/>
                <w:sz w:val="18"/>
                <w:szCs w:val="18"/>
              </w:rPr>
              <w:t>公司利用闲置募集资金购买保本浮动收益型理财产品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万，分</w:t>
            </w:r>
          </w:p>
          <w:p>
            <w:pPr>
              <w:pStyle w:val="TableParagraph"/>
              <w:spacing w:line="309" w:lineRule="auto" w:before="60"/>
              <w:ind w:left="24" w:right="22"/>
              <w:jc w:val="both"/>
              <w:rPr>
                <w:rFonts w:ascii="宋体" w:hAnsi="宋体" w:cs="宋体" w:eastAsia="宋体" w:hint="default"/>
                <w:sz w:val="18"/>
                <w:szCs w:val="18"/>
              </w:rPr>
            </w:pPr>
            <w:r>
              <w:rPr>
                <w:rFonts w:ascii="宋体" w:hAnsi="宋体" w:cs="宋体" w:eastAsia="宋体" w:hint="default"/>
                <w:sz w:val="18"/>
                <w:szCs w:val="18"/>
              </w:rPr>
              <w:t>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到期；</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万三个月期定存，</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个月期定存。截止日后公司将根 据前次募集说明书相关信息披露文件中关于募集资金的运用，按原计划逐步投入剩余的募集资金； 除此之外不用作其他用途。</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4"/>
        <w:spacing w:line="240" w:lineRule="auto"/>
        <w:ind w:right="15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4"/>
        <w:spacing w:line="240" w:lineRule="auto"/>
        <w:ind w:right="15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604" w:right="182"/>
        <w:jc w:val="left"/>
      </w:pPr>
      <w:r>
        <w:rPr/>
        <w:t>（一）行业竞争格局和发展趋势 受益于居民可支配收入稳定增长背景下购买力的增强以及黄金价格的大幅波动，过去五年来国内珠宝首饰行业零售额</w:t>
      </w:r>
    </w:p>
    <w:p>
      <w:pPr>
        <w:pStyle w:val="BodyText"/>
        <w:spacing w:line="307" w:lineRule="auto" w:before="19"/>
        <w:ind w:right="94"/>
        <w:jc w:val="left"/>
      </w:pPr>
      <w:r>
        <w:rPr/>
        <w:t>实现了</w:t>
      </w:r>
      <w:r>
        <w:rPr>
          <w:spacing w:val="-19"/>
        </w:rPr>
        <w:t> </w:t>
      </w:r>
      <w:r>
        <w:rPr>
          <w:rFonts w:ascii="Times New Roman" w:hAnsi="Times New Roman" w:cs="Times New Roman" w:eastAsia="Times New Roman" w:hint="default"/>
        </w:rPr>
        <w:t>17%</w:t>
      </w:r>
      <w:r>
        <w:rPr/>
        <w:t>以上的年复合增速，是国内规模增长最为迅速的可选消费品之一，但</w:t>
      </w:r>
      <w:r>
        <w:rPr>
          <w:rFonts w:ascii="Times New Roman" w:hAnsi="Times New Roman" w:cs="Times New Roman" w:eastAsia="Times New Roman" w:hint="default"/>
        </w:rPr>
        <w:t>2015</w:t>
      </w:r>
      <w:r>
        <w:rPr/>
        <w:t>年在宏观经济景气度持续疲软下，据 相关数据统计，</w:t>
      </w:r>
      <w:r>
        <w:rPr>
          <w:rFonts w:ascii="Times New Roman" w:hAnsi="Times New Roman" w:cs="Times New Roman" w:eastAsia="Times New Roman" w:hint="default"/>
        </w:rPr>
        <w:t>2015</w:t>
      </w:r>
      <w:r>
        <w:rPr/>
        <w:t>年全国百家重点大型零售企业零售额同比下降</w:t>
      </w:r>
      <w:r>
        <w:rPr>
          <w:rFonts w:ascii="Times New Roman" w:hAnsi="Times New Roman" w:cs="Times New Roman" w:eastAsia="Times New Roman" w:hint="default"/>
        </w:rPr>
        <w:t>0.1%</w:t>
      </w:r>
      <w:r>
        <w:rPr/>
        <w:t>，其中珠宝品类下降</w:t>
      </w:r>
      <w:r>
        <w:rPr>
          <w:rFonts w:ascii="Times New Roman" w:hAnsi="Times New Roman" w:cs="Times New Roman" w:eastAsia="Times New Roman" w:hint="default"/>
        </w:rPr>
        <w:t>3.5%</w:t>
      </w:r>
      <w:r>
        <w:rPr/>
        <w:t>，由于整个珠宝零售市场 大幅提升率较小，单个店铺销售额持续下降难以避免。对于珠宝行业来说，消化市场存量、创新适销产品，抵制价格论战、 发力品牌营销，减少噱头炒作、整合资源实干，将是珠宝市场筑底回升的重要途径。</w:t>
      </w:r>
    </w:p>
    <w:p>
      <w:pPr>
        <w:pStyle w:val="BodyText"/>
        <w:spacing w:line="316" w:lineRule="auto" w:before="26"/>
        <w:ind w:left="604" w:right="182"/>
        <w:jc w:val="left"/>
      </w:pPr>
      <w:r>
        <w:rPr/>
        <w:t>（二）公司发展战略 公司仍将坚持以加盟业务推广为基础的销售模式，通过募集资金的投入和投资项目的顺利实施，借鉴和利用深圳总部</w:t>
      </w:r>
    </w:p>
    <w:p>
      <w:pPr>
        <w:pStyle w:val="BodyText"/>
        <w:spacing w:line="312" w:lineRule="auto" w:before="19"/>
        <w:ind w:right="94"/>
        <w:jc w:val="left"/>
      </w:pPr>
      <w:r>
        <w:rPr>
          <w:spacing w:val="-4"/>
        </w:rPr>
        <w:t>服务的成功经验和模式，使爱迪尔区域服务中心覆盖国内其他几大经济区域，加强对现有加盟商服务，促进加盟业务的推广，</w:t>
      </w:r>
      <w:r>
        <w:rPr>
          <w:spacing w:val="-44"/>
        </w:rPr>
        <w:t> </w:t>
      </w:r>
      <w:r>
        <w:rPr>
          <w:spacing w:val="-44"/>
        </w:rPr>
      </w:r>
      <w:r>
        <w:rPr>
          <w:spacing w:val="-2"/>
        </w:rPr>
        <w:t>迅速增加加盟店数量，扩大爱迪尔品牌珠宝首饰的销售额和市场份额，使公司实现跨越式增长；同时，公司将积极探索与互</w:t>
      </w:r>
      <w:r>
        <w:rPr>
          <w:spacing w:val="-64"/>
        </w:rPr>
        <w:t> </w:t>
      </w:r>
      <w:r>
        <w:rPr>
          <w:spacing w:val="-64"/>
        </w:rPr>
      </w:r>
      <w:r>
        <w:rPr>
          <w:spacing w:val="-2"/>
        </w:rPr>
        <w:t>联网</w:t>
      </w:r>
      <w:r>
        <w:rPr>
          <w:rFonts w:ascii="Times New Roman" w:hAnsi="Times New Roman" w:cs="Times New Roman" w:eastAsia="Times New Roman" w:hint="default"/>
          <w:spacing w:val="-2"/>
        </w:rPr>
        <w:t>+</w:t>
      </w:r>
      <w:r>
        <w:rPr>
          <w:spacing w:val="-2"/>
        </w:rPr>
        <w:t>相融合的经营模式，构建</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珠宝开放平台</w:t>
      </w:r>
      <w:r>
        <w:rPr>
          <w:rFonts w:ascii="Times New Roman" w:hAnsi="Times New Roman" w:cs="Times New Roman" w:eastAsia="Times New Roman" w:hint="default"/>
          <w:spacing w:val="-2"/>
        </w:rPr>
        <w:t>”</w:t>
      </w:r>
      <w:r>
        <w:rPr>
          <w:spacing w:val="-2"/>
        </w:rPr>
        <w:t>，借此进一步加快爱迪尔品牌建设，加强设计能力，丰富品牌的文化</w:t>
      </w:r>
      <w:r>
        <w:rPr>
          <w:spacing w:val="-66"/>
        </w:rPr>
        <w:t> </w:t>
      </w:r>
      <w:r>
        <w:rPr>
          <w:spacing w:val="-66"/>
        </w:rPr>
      </w:r>
      <w:r>
        <w:rPr/>
        <w:t>内涵，将爱迪尔品牌建设成为国内一流的珠宝首饰品牌。</w:t>
      </w:r>
    </w:p>
    <w:p>
      <w:pPr>
        <w:pStyle w:val="BodyText"/>
        <w:spacing w:line="240" w:lineRule="auto" w:before="22"/>
        <w:ind w:left="604" w:right="94"/>
        <w:jc w:val="left"/>
      </w:pPr>
      <w:r>
        <w:rPr/>
        <w:t>（三）经营计划</w:t>
      </w:r>
    </w:p>
    <w:p>
      <w:pPr>
        <w:pStyle w:val="BodyText"/>
        <w:spacing w:line="309" w:lineRule="auto" w:before="76"/>
        <w:ind w:right="94" w:firstLine="451"/>
        <w:jc w:val="left"/>
      </w:pPr>
      <w:r>
        <w:rPr>
          <w:rFonts w:ascii="Times New Roman" w:hAnsi="Times New Roman" w:cs="Times New Roman" w:eastAsia="Times New Roman" w:hint="default"/>
        </w:rPr>
        <w:t>2016</w:t>
      </w:r>
      <w:r>
        <w:rPr/>
        <w:t>年公司将从</w:t>
      </w:r>
      <w:r>
        <w:rPr>
          <w:rFonts w:ascii="Times New Roman" w:hAnsi="Times New Roman" w:cs="Times New Roman" w:eastAsia="Times New Roman" w:hint="default"/>
        </w:rPr>
        <w:t>“</w:t>
      </w:r>
      <w:r>
        <w:rPr/>
        <w:t>提高市场占有率”和</w:t>
      </w:r>
      <w:r>
        <w:rPr>
          <w:rFonts w:ascii="Times New Roman" w:hAnsi="Times New Roman" w:cs="Times New Roman" w:eastAsia="Times New Roman" w:hint="default"/>
        </w:rPr>
        <w:t>“</w:t>
      </w:r>
      <w:r>
        <w:rPr/>
        <w:t>资本运作</w:t>
      </w:r>
      <w:r>
        <w:rPr>
          <w:rFonts w:ascii="Times New Roman" w:hAnsi="Times New Roman" w:cs="Times New Roman" w:eastAsia="Times New Roman" w:hint="default"/>
        </w:rPr>
        <w:t>”</w:t>
      </w:r>
      <w:r>
        <w:rPr/>
        <w:t>两个主要方向推进各项工作的实施，继续认真贯彻执行</w:t>
      </w:r>
      <w:r>
        <w:rPr>
          <w:rFonts w:ascii="Times New Roman" w:hAnsi="Times New Roman" w:cs="Times New Roman" w:eastAsia="Times New Roman" w:hint="default"/>
        </w:rPr>
        <w:t>“</w:t>
      </w:r>
      <w:r>
        <w:rPr/>
        <w:t>三精</w:t>
      </w:r>
      <w:r>
        <w:rPr>
          <w:rFonts w:ascii="Times New Roman" w:hAnsi="Times New Roman" w:cs="Times New Roman" w:eastAsia="Times New Roman" w:hint="default"/>
        </w:rPr>
        <w:t>”</w:t>
      </w:r>
      <w:r>
        <w:rPr/>
        <w:t>管理理 </w:t>
      </w:r>
      <w:r>
        <w:rPr>
          <w:spacing w:val="-4"/>
        </w:rPr>
        <w:t>念，锻造非凡品牌，提升非凡产品，打造非凡终端，提供非凡服务，从而逐步提高运营效率、扩大品牌影响，开拓市场网络，</w:t>
      </w:r>
      <w:r>
        <w:rPr>
          <w:spacing w:val="-41"/>
        </w:rPr>
        <w:t> </w:t>
      </w:r>
      <w:r>
        <w:rPr>
          <w:spacing w:val="-41"/>
        </w:rPr>
      </w:r>
      <w:r>
        <w:rPr/>
        <w:t>提升核心竞争力。</w:t>
      </w:r>
    </w:p>
    <w:p>
      <w:pPr>
        <w:pStyle w:val="BodyText"/>
        <w:tabs>
          <w:tab w:pos="993" w:val="left" w:leader="none"/>
        </w:tabs>
        <w:spacing w:line="240" w:lineRule="auto" w:before="24"/>
        <w:ind w:left="604" w:right="94"/>
        <w:jc w:val="left"/>
      </w:pPr>
      <w:r>
        <w:rPr>
          <w:rFonts w:ascii="Times New Roman" w:hAnsi="Times New Roman" w:cs="Times New Roman" w:eastAsia="Times New Roman" w:hint="default"/>
        </w:rPr>
        <w:t>1.</w:t>
        <w:tab/>
      </w:r>
      <w:r>
        <w:rPr/>
        <w:t>市场方面</w:t>
      </w:r>
    </w:p>
    <w:p>
      <w:pPr>
        <w:pStyle w:val="BodyText"/>
        <w:spacing w:line="312" w:lineRule="auto" w:before="63"/>
        <w:ind w:right="103" w:firstLine="451"/>
        <w:jc w:val="both"/>
      </w:pPr>
      <w:r>
        <w:rPr>
          <w:rFonts w:ascii="Times New Roman" w:hAnsi="Times New Roman" w:cs="Times New Roman" w:eastAsia="Times New Roman" w:hint="default"/>
        </w:rPr>
        <w:t>2016</w:t>
      </w:r>
      <w:r>
        <w:rPr/>
        <w:t>年将更加注重并强化成交意识，扩大市场占有率，加速推动加盟网点的拓展，公司在香港及上海成立的子公司， </w:t>
      </w:r>
      <w:r>
        <w:rPr>
          <w:spacing w:val="-2"/>
        </w:rPr>
        <w:t>将全面推进钻石采销创新模式，致力于为所有客户提供货量大、质量优、选择多、价格惠的钻石采销体系，稳步提升爱迪尔</w:t>
      </w:r>
      <w:r>
        <w:rPr>
          <w:spacing w:val="-63"/>
        </w:rPr>
        <w:t> </w:t>
      </w:r>
      <w:r>
        <w:rPr>
          <w:spacing w:val="-63"/>
        </w:rPr>
      </w:r>
      <w:r>
        <w:rPr>
          <w:spacing w:val="-2"/>
        </w:rPr>
        <w:t>钻石主营地位。同时，为充分满足客人对素金类配套产品的需求，公司将进行素金、翡翠等产品配套中心的打造，进行多品</w:t>
      </w:r>
      <w:r>
        <w:rPr>
          <w:spacing w:val="-67"/>
        </w:rPr>
        <w:t> </w:t>
      </w:r>
      <w:r>
        <w:rPr>
          <w:spacing w:val="-67"/>
        </w:rPr>
      </w:r>
      <w:r>
        <w:rPr>
          <w:spacing w:val="-1"/>
        </w:rPr>
        <w:t>类扩展，有效实施对钻石主营的配套补充。</w:t>
      </w:r>
      <w:r>
        <w:rPr>
          <w:spacing w:val="-29"/>
        </w:rPr>
        <w:t> </w:t>
      </w:r>
      <w:r>
        <w:rPr>
          <w:spacing w:val="-1"/>
        </w:rPr>
        <w:t>此外，公司将加大力度进行大客户品牌定制及推广，尤其是全国及区域性品牌。</w:t>
      </w:r>
    </w:p>
    <w:p>
      <w:pPr>
        <w:pStyle w:val="BodyText"/>
        <w:tabs>
          <w:tab w:pos="993" w:val="left" w:leader="none"/>
        </w:tabs>
        <w:spacing w:line="300" w:lineRule="auto" w:before="22"/>
        <w:ind w:left="604" w:right="193"/>
        <w:jc w:val="left"/>
      </w:pPr>
      <w:r>
        <w:rPr>
          <w:rFonts w:ascii="Times New Roman" w:hAnsi="Times New Roman" w:cs="Times New Roman" w:eastAsia="Times New Roman" w:hint="default"/>
        </w:rPr>
        <w:t>2.</w:t>
        <w:tab/>
      </w:r>
      <w:r>
        <w:rPr/>
        <w:t>产品方面 </w:t>
      </w:r>
      <w:r>
        <w:rPr>
          <w:spacing w:val="-1"/>
        </w:rPr>
        <w:t>让经典更经典：</w:t>
      </w:r>
      <w:r>
        <w:rPr>
          <w:rFonts w:ascii="Times New Roman" w:hAnsi="Times New Roman" w:cs="Times New Roman" w:eastAsia="Times New Roman" w:hint="default"/>
          <w:spacing w:val="-1"/>
        </w:rPr>
        <w:t>2016</w:t>
      </w:r>
      <w:r>
        <w:rPr>
          <w:spacing w:val="-1"/>
        </w:rPr>
        <w:t>年公司将对现有主系列产品进行梳理、升级并不断丰富，如</w:t>
      </w:r>
      <w:r>
        <w:rPr>
          <w:rFonts w:ascii="Times New Roman" w:hAnsi="Times New Roman" w:cs="Times New Roman" w:eastAsia="Times New Roman" w:hint="default"/>
          <w:spacing w:val="-1"/>
        </w:rPr>
        <w:t>“</w:t>
      </w:r>
      <w:r>
        <w:rPr>
          <w:spacing w:val="-1"/>
        </w:rPr>
        <w:t>一生一心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吻</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灵动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炫彩蝶</w:t>
      </w:r>
    </w:p>
    <w:p>
      <w:pPr>
        <w:pStyle w:val="BodyText"/>
        <w:spacing w:line="300" w:lineRule="auto" w:before="13"/>
        <w:ind w:left="604" w:right="94" w:hanging="452"/>
        <w:jc w:val="left"/>
      </w:pPr>
      <w:r>
        <w:rPr/>
        <w:t>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品牌印记</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尔语</w:t>
      </w:r>
      <w:r>
        <w:rPr>
          <w:rFonts w:ascii="Times New Roman" w:hAnsi="Times New Roman" w:cs="Times New Roman" w:eastAsia="Times New Roman" w:hint="default"/>
        </w:rPr>
        <w:t>”</w:t>
      </w:r>
      <w:r>
        <w:rPr/>
        <w:t>等系列，并在加强研发的同时加强对专利进行认证和保护意识。 </w:t>
      </w:r>
      <w:r>
        <w:rPr>
          <w:spacing w:val="-2"/>
        </w:rPr>
        <w:t>自有体系产品推广：融入消费者权重，加强互动体验感、增加购买记忆点；融入终端导购积极性，加大对导购员培训、</w:t>
      </w:r>
    </w:p>
    <w:p>
      <w:pPr>
        <w:pStyle w:val="BodyText"/>
        <w:spacing w:line="316" w:lineRule="auto" w:before="31"/>
        <w:ind w:left="604" w:right="182" w:hanging="452"/>
        <w:jc w:val="left"/>
      </w:pPr>
      <w:r>
        <w:rPr/>
        <w:t>持续销售激励政策。 融合差异化产品：分设特色大钻、彩钻、异形钻等特色钻区，满足多元化需求，提升市场占有率和销售利润。在爱迪</w:t>
      </w:r>
    </w:p>
    <w:p>
      <w:pPr>
        <w:pStyle w:val="BodyText"/>
        <w:tabs>
          <w:tab w:pos="993" w:val="left" w:leader="none"/>
        </w:tabs>
        <w:spacing w:line="309" w:lineRule="auto" w:before="19"/>
        <w:ind w:left="604" w:right="1367" w:hanging="452"/>
        <w:jc w:val="left"/>
      </w:pPr>
      <w:r>
        <w:rPr/>
        <w:t>尔总部以及终端优质的、有市场承载力的店面开放差异化钻石专区。 融合国内外著名机构、设计师：法国</w:t>
      </w:r>
      <w:r>
        <w:rPr>
          <w:rFonts w:ascii="Times New Roman" w:hAnsi="Times New Roman" w:cs="Times New Roman" w:eastAsia="Times New Roman" w:hint="default"/>
        </w:rPr>
        <w:t>PACOMA</w:t>
      </w:r>
      <w:r>
        <w:rPr/>
        <w:t>设计、比利时</w:t>
      </w:r>
      <w:r>
        <w:rPr>
          <w:rFonts w:ascii="Times New Roman" w:hAnsi="Times New Roman" w:cs="Times New Roman" w:eastAsia="Times New Roman" w:hint="default"/>
        </w:rPr>
        <w:t>VDB</w:t>
      </w:r>
      <w:r>
        <w:rPr/>
        <w:t>团队、</w:t>
      </w:r>
      <w:r>
        <w:rPr>
          <w:rFonts w:ascii="Times New Roman" w:hAnsi="Times New Roman" w:cs="Times New Roman" w:eastAsia="Times New Roman" w:hint="default"/>
        </w:rPr>
        <w:t>HRD</w:t>
      </w:r>
      <w:r>
        <w:rPr/>
        <w:t>等，以求不断推陈出新。 </w:t>
      </w:r>
      <w:r>
        <w:rPr>
          <w:rFonts w:ascii="Times New Roman" w:hAnsi="Times New Roman" w:cs="Times New Roman" w:eastAsia="Times New Roman" w:hint="default"/>
        </w:rPr>
        <w:t>3.</w:t>
        <w:tab/>
      </w:r>
      <w:r>
        <w:rPr/>
        <w:t>品牌方面</w:t>
      </w:r>
    </w:p>
    <w:p>
      <w:pPr>
        <w:pStyle w:val="BodyText"/>
        <w:spacing w:line="300" w:lineRule="auto" w:before="5"/>
        <w:ind w:right="196" w:firstLine="451"/>
        <w:jc w:val="both"/>
      </w:pPr>
      <w:r>
        <w:rPr/>
        <w:t>以内宣为基石，</w:t>
      </w:r>
      <w:r>
        <w:rPr>
          <w:rFonts w:ascii="Times New Roman" w:hAnsi="Times New Roman" w:cs="Times New Roman" w:eastAsia="Times New Roman" w:hint="default"/>
        </w:rPr>
        <w:t>2016</w:t>
      </w:r>
      <w:r>
        <w:rPr/>
        <w:t>年公司将进行品牌文化手册的中心整编，通过文化大讲堂、品牌设计、推广和服务等形式进行终 端落地；以品牌建设为中心，</w:t>
      </w:r>
      <w:r>
        <w:rPr>
          <w:rFonts w:ascii="Times New Roman" w:hAnsi="Times New Roman" w:cs="Times New Roman" w:eastAsia="Times New Roman" w:hint="default"/>
        </w:rPr>
        <w:t>2016</w:t>
      </w:r>
      <w:r>
        <w:rPr/>
        <w:t>年品牌传播将覆盖</w:t>
      </w:r>
      <w:r>
        <w:rPr>
          <w:rFonts w:ascii="Times New Roman" w:hAnsi="Times New Roman" w:cs="Times New Roman" w:eastAsia="Times New Roman" w:hint="default"/>
        </w:rPr>
        <w:t>50</w:t>
      </w:r>
      <w:r>
        <w:rPr/>
        <w:t>亿人次，实际将覆盖近</w:t>
      </w:r>
      <w:r>
        <w:rPr>
          <w:rFonts w:ascii="Times New Roman" w:hAnsi="Times New Roman" w:cs="Times New Roman" w:eastAsia="Times New Roman" w:hint="default"/>
        </w:rPr>
        <w:t>5</w:t>
      </w:r>
      <w:r>
        <w:rPr/>
        <w:t>亿人群，做消费者能收到的品牌投放，如江 苏卫视综艺节目《缘来非诚勿扰》、电视剧《漂洋过海来看你》等，以此强化消费者品牌形象。</w:t>
      </w:r>
    </w:p>
    <w:p>
      <w:pPr>
        <w:pStyle w:val="BodyText"/>
        <w:tabs>
          <w:tab w:pos="993" w:val="left" w:leader="none"/>
        </w:tabs>
        <w:spacing w:line="240" w:lineRule="auto" w:before="29"/>
        <w:ind w:left="604" w:right="94"/>
        <w:jc w:val="left"/>
      </w:pPr>
      <w:r>
        <w:rPr>
          <w:rFonts w:ascii="Times New Roman" w:hAnsi="Times New Roman" w:cs="Times New Roman" w:eastAsia="Times New Roman" w:hint="default"/>
        </w:rPr>
        <w:t>4.</w:t>
        <w:tab/>
      </w:r>
      <w:r>
        <w:rPr/>
        <w:t>终端方面</w:t>
      </w:r>
    </w:p>
    <w:p>
      <w:pPr>
        <w:pStyle w:val="BodyText"/>
        <w:spacing w:line="316" w:lineRule="auto" w:before="63"/>
        <w:ind w:right="194" w:firstLine="451"/>
        <w:jc w:val="both"/>
      </w:pPr>
      <w:r>
        <w:rPr>
          <w:spacing w:val="-1"/>
        </w:rPr>
        <w:t>以直营模式管理加盟网点，助力终端盈利</w:t>
      </w:r>
      <w:r>
        <w:rPr>
          <w:spacing w:val="-4"/>
        </w:rPr>
        <w:t> </w:t>
      </w:r>
      <w:r>
        <w:rPr>
          <w:spacing w:val="-2"/>
        </w:rPr>
        <w:t>：进行终端服务执行部门进行架构的重组，同时将人员划分为前线、后勤及</w:t>
      </w:r>
      <w:r>
        <w:rPr/>
        <w:t> 地区驻外人员；在人、货、店、销售等方面明确直营模式服务方向；重构区域重点店，在各区域打造爱迪尔旗舰店；</w:t>
      </w:r>
    </w:p>
    <w:p>
      <w:pPr>
        <w:pStyle w:val="BodyText"/>
        <w:spacing w:line="309" w:lineRule="auto" w:before="19"/>
        <w:ind w:right="199" w:firstLine="451"/>
        <w:jc w:val="both"/>
      </w:pPr>
      <w:r>
        <w:rPr/>
        <w:t>以三套系统将人才培养、库存管理、营销管理以及数据管理进行整合升级，如：进行二代升级后的终端导购系统，立 足于</w:t>
      </w:r>
      <w:r>
        <w:rPr>
          <w:rFonts w:ascii="Times New Roman" w:hAnsi="Times New Roman" w:cs="Times New Roman" w:eastAsia="Times New Roman" w:hint="default"/>
        </w:rPr>
        <w:t>B2B2C</w:t>
      </w:r>
      <w:r>
        <w:rPr/>
        <w:t>，服务于加盟体系，通过软件系统的优化，手机、</w:t>
      </w:r>
      <w:r>
        <w:rPr>
          <w:rFonts w:ascii="Times New Roman" w:hAnsi="Times New Roman" w:cs="Times New Roman" w:eastAsia="Times New Roman" w:hint="default"/>
        </w:rPr>
        <w:t>ipad</w:t>
      </w:r>
      <w:r>
        <w:rPr/>
        <w:t>、电脑三网合一，增强客户体验，上万颗的裸钻现货，</w:t>
      </w:r>
      <w:r>
        <w:rPr>
          <w:rFonts w:ascii="Times New Roman" w:hAnsi="Times New Roman" w:cs="Times New Roman" w:eastAsia="Times New Roman" w:hint="default"/>
        </w:rPr>
        <w:t>7 </w:t>
      </w:r>
      <w:r>
        <w:rPr/>
        <w:t>万件的成品现货与总部库存实时同步，缓解资金占用压力，助力终端销售</w:t>
      </w:r>
      <w:r>
        <w:rPr>
          <w:rFonts w:ascii="Times New Roman" w:hAnsi="Times New Roman" w:cs="Times New Roman" w:eastAsia="Times New Roman" w:hint="default"/>
        </w:rPr>
        <w:t>“</w:t>
      </w:r>
      <w:r>
        <w:rPr/>
        <w:t>轻装上阵</w:t>
      </w:r>
      <w:r>
        <w:rPr>
          <w:rFonts w:ascii="Times New Roman" w:hAnsi="Times New Roman" w:cs="Times New Roman" w:eastAsia="Times New Roman" w:hint="default"/>
        </w:rPr>
        <w:t>”</w:t>
      </w:r>
      <w:r>
        <w:rPr/>
        <w:t>。</w:t>
      </w:r>
    </w:p>
    <w:p>
      <w:pPr>
        <w:pStyle w:val="BodyText"/>
        <w:tabs>
          <w:tab w:pos="993" w:val="left" w:leader="none"/>
        </w:tabs>
        <w:spacing w:line="300" w:lineRule="auto" w:before="5"/>
        <w:ind w:left="604" w:right="189"/>
        <w:jc w:val="left"/>
      </w:pPr>
      <w:r>
        <w:rPr>
          <w:rFonts w:ascii="Times New Roman" w:hAnsi="Times New Roman" w:cs="Times New Roman" w:eastAsia="Times New Roman" w:hint="default"/>
        </w:rPr>
        <w:t>5.</w:t>
        <w:tab/>
      </w:r>
      <w:r>
        <w:rPr/>
        <w:t>服务方面 </w:t>
      </w:r>
      <w:r>
        <w:rPr>
          <w:spacing w:val="-2"/>
        </w:rPr>
        <w:t>爱迪尔珠宝学院的实际运用：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日，在第十届爱迪尔珠宝全国总裁峰会举办之际，筹备已久的爱迪尔珠宝学</w:t>
      </w:r>
    </w:p>
    <w:p>
      <w:pPr>
        <w:pStyle w:val="BodyText"/>
        <w:spacing w:line="240" w:lineRule="auto" w:before="13"/>
        <w:ind w:right="0"/>
        <w:jc w:val="left"/>
      </w:pPr>
      <w:r>
        <w:rPr/>
        <w:t>院宣布正式成立。</w:t>
      </w:r>
      <w:r>
        <w:rPr>
          <w:rFonts w:ascii="Times New Roman" w:hAnsi="Times New Roman" w:cs="Times New Roman" w:eastAsia="Times New Roman" w:hint="default"/>
        </w:rPr>
        <w:t>2016</w:t>
      </w:r>
      <w:r>
        <w:rPr/>
        <w:t>年，珠宝学院将着力在针对所有终端新开店或新入职员工进行的新员工上岗培训，针对基层、中层管</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left="604" w:right="252" w:hanging="452"/>
        <w:jc w:val="left"/>
      </w:pPr>
      <w:r>
        <w:rPr/>
        <w:t>理人员进行的本部进修，以及针对全国七大区域的文化大讲堂的巡讲等几方面展开实际运用。 客户分级管理等的应用：公司将持续优化客户分级体系，并将在</w:t>
      </w:r>
      <w:r>
        <w:rPr>
          <w:rFonts w:ascii="Times New Roman" w:hAnsi="Times New Roman" w:cs="Times New Roman" w:eastAsia="Times New Roman" w:hint="default"/>
        </w:rPr>
        <w:t>2016</w:t>
      </w:r>
      <w:r>
        <w:rPr/>
        <w:t>年对加盟及非加盟伙伴进行</w:t>
      </w:r>
      <w:r>
        <w:rPr>
          <w:rFonts w:ascii="Times New Roman" w:hAnsi="Times New Roman" w:cs="Times New Roman" w:eastAsia="Times New Roman" w:hint="default"/>
        </w:rPr>
        <w:t>A\B\C\D</w:t>
      </w:r>
      <w:r>
        <w:rPr/>
        <w:t>类对应服务</w:t>
      </w:r>
    </w:p>
    <w:p>
      <w:pPr>
        <w:pStyle w:val="BodyText"/>
        <w:spacing w:line="235" w:lineRule="exact" w:before="0"/>
        <w:ind w:right="94"/>
        <w:jc w:val="left"/>
      </w:pPr>
      <w:r>
        <w:rPr/>
        <w:t>的实际应用。</w:t>
      </w:r>
    </w:p>
    <w:p>
      <w:pPr>
        <w:pStyle w:val="BodyText"/>
        <w:tabs>
          <w:tab w:pos="993" w:val="left" w:leader="none"/>
        </w:tabs>
        <w:spacing w:line="240" w:lineRule="auto" w:before="76"/>
        <w:ind w:left="604" w:right="94"/>
        <w:jc w:val="left"/>
      </w:pPr>
      <w:r>
        <w:rPr>
          <w:rFonts w:ascii="Times New Roman" w:hAnsi="Times New Roman" w:cs="Times New Roman" w:eastAsia="Times New Roman" w:hint="default"/>
        </w:rPr>
        <w:t>6.</w:t>
        <w:tab/>
      </w:r>
      <w:r>
        <w:rPr/>
        <w:t>资本运作方面</w:t>
      </w:r>
    </w:p>
    <w:p>
      <w:pPr>
        <w:pStyle w:val="BodyText"/>
        <w:spacing w:line="307" w:lineRule="auto" w:before="63"/>
        <w:ind w:right="188" w:firstLine="451"/>
        <w:jc w:val="both"/>
      </w:pPr>
      <w:r>
        <w:rPr>
          <w:rFonts w:ascii="Times New Roman" w:hAnsi="Times New Roman" w:cs="Times New Roman" w:eastAsia="Times New Roman" w:hint="default"/>
          <w:spacing w:val="-2"/>
        </w:rPr>
        <w:t>2016</w:t>
      </w:r>
      <w:r>
        <w:rPr>
          <w:spacing w:val="-2"/>
        </w:rPr>
        <w:t>年公司将通过已设立的并购基金、参股、并购或其他方式不断整合行业产业链的优质资源。</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月爱迪尔与昆</w:t>
      </w:r>
      <w:r>
        <w:rPr/>
        <w:t> </w:t>
      </w:r>
      <w:r>
        <w:rPr>
          <w:spacing w:val="-2"/>
        </w:rPr>
        <w:t>吾九鼎投资管理有限公司共同设立玖爱并购基金正式成立，</w:t>
      </w:r>
      <w:r>
        <w:rPr>
          <w:rFonts w:ascii="Times New Roman" w:hAnsi="Times New Roman" w:cs="Times New Roman" w:eastAsia="Times New Roman" w:hint="default"/>
          <w:spacing w:val="-2"/>
        </w:rPr>
        <w:t>12</w:t>
      </w:r>
      <w:r>
        <w:rPr>
          <w:spacing w:val="-2"/>
        </w:rPr>
        <w:t>月公司与北京方圆金鼎投资管理有限公司签订合作意向书，拟</w:t>
      </w:r>
      <w:r>
        <w:rPr>
          <w:spacing w:val="-62"/>
        </w:rPr>
        <w:t> </w:t>
      </w:r>
      <w:r>
        <w:rPr>
          <w:spacing w:val="-62"/>
        </w:rPr>
      </w:r>
      <w:r>
        <w:rPr>
          <w:spacing w:val="-2"/>
        </w:rPr>
        <w:t>共同投资设立产业并购基金，后续将通过整合各方面的资源优势，为公司未来发展储备符合公司发展战略的并购标的，进一</w:t>
      </w:r>
      <w:r>
        <w:rPr>
          <w:spacing w:val="-63"/>
        </w:rPr>
        <w:t> </w:t>
      </w:r>
      <w:r>
        <w:rPr>
          <w:spacing w:val="-63"/>
        </w:rPr>
      </w:r>
      <w:r>
        <w:rPr/>
        <w:t>步优化公司商业模式，实现产业升级。</w:t>
      </w:r>
    </w:p>
    <w:p>
      <w:pPr>
        <w:spacing w:line="240" w:lineRule="auto" w:before="11"/>
        <w:rPr>
          <w:rFonts w:ascii="宋体" w:hAnsi="宋体" w:cs="宋体" w:eastAsia="宋体" w:hint="default"/>
          <w:sz w:val="25"/>
          <w:szCs w:val="25"/>
        </w:rPr>
      </w:pPr>
    </w:p>
    <w:p>
      <w:pPr>
        <w:pStyle w:val="BodyText"/>
        <w:spacing w:line="240" w:lineRule="auto" w:before="0"/>
        <w:ind w:left="604" w:right="94"/>
        <w:jc w:val="left"/>
      </w:pPr>
      <w:r>
        <w:rPr/>
        <w:t>（四）可能面对的风险</w:t>
      </w:r>
    </w:p>
    <w:p>
      <w:pPr>
        <w:pStyle w:val="BodyText"/>
        <w:spacing w:line="312" w:lineRule="auto" w:before="76"/>
        <w:ind w:right="191" w:firstLine="451"/>
        <w:jc w:val="both"/>
      </w:pPr>
      <w:r>
        <w:rPr>
          <w:rFonts w:ascii="Times New Roman" w:hAnsi="Times New Roman" w:cs="Times New Roman" w:eastAsia="Times New Roman" w:hint="default"/>
          <w:spacing w:val="-2"/>
        </w:rPr>
        <w:t>1</w:t>
      </w:r>
      <w:r>
        <w:rPr>
          <w:spacing w:val="-2"/>
        </w:rPr>
        <w:t>、受制于资产规模相对偏小，公司面临较为严重的产能瓶颈，现有的机器设备、配套设施难以满足产品市场需求日益</w:t>
      </w:r>
      <w:r>
        <w:rPr/>
        <w:t> </w:t>
      </w:r>
      <w:r>
        <w:rPr>
          <w:spacing w:val="-2"/>
        </w:rPr>
        <w:t>增长的需要，也难以满足公司产品设计、工艺多样化、复杂化、高科技化的发展趋势，制约了公司新产品的市场拓展，影响</w:t>
      </w:r>
      <w:r>
        <w:rPr>
          <w:spacing w:val="-68"/>
        </w:rPr>
        <w:t> </w:t>
      </w:r>
      <w:r>
        <w:rPr>
          <w:spacing w:val="-68"/>
        </w:rPr>
      </w:r>
      <w:r>
        <w:rPr>
          <w:spacing w:val="-2"/>
        </w:rPr>
        <w:t>了公司的发展速度，因此迫切需要增加投入，购置新设备以扩充产能，进一步提高产品精密度。对此公司将加快前次募集资</w:t>
      </w:r>
      <w:r>
        <w:rPr>
          <w:spacing w:val="-65"/>
        </w:rPr>
        <w:t> </w:t>
      </w:r>
      <w:r>
        <w:rPr>
          <w:spacing w:val="-65"/>
        </w:rPr>
      </w:r>
      <w:r>
        <w:rPr/>
        <w:t>金的建设，以缓解产能不足的劣势。</w:t>
      </w:r>
    </w:p>
    <w:p>
      <w:pPr>
        <w:pStyle w:val="BodyText"/>
        <w:spacing w:line="309" w:lineRule="auto" w:before="22"/>
        <w:ind w:right="94" w:firstLine="451"/>
        <w:jc w:val="left"/>
      </w:pPr>
      <w:r>
        <w:rPr>
          <w:rFonts w:ascii="Times New Roman" w:hAnsi="Times New Roman" w:cs="Times New Roman" w:eastAsia="Times New Roman" w:hint="default"/>
          <w:spacing w:val="-2"/>
        </w:rPr>
        <w:t>2</w:t>
      </w:r>
      <w:r>
        <w:rPr>
          <w:spacing w:val="-2"/>
        </w:rPr>
        <w:t>、经过多年的品牌积累和持续的品牌投入，公司在国内珠宝市场形成了一定的品牌影响力和市场美誉度，具有一定的</w:t>
      </w:r>
      <w:r>
        <w:rPr/>
        <w:t> </w:t>
      </w:r>
      <w:r>
        <w:rPr>
          <w:spacing w:val="-4"/>
        </w:rPr>
        <w:t>品牌优势，但珠宝品牌的塑造是一个长期的过程，需要持续的投入，不仅是长期的资金投入，更重要的是价值观的持续输出，</w:t>
      </w:r>
      <w:r>
        <w:rPr>
          <w:spacing w:val="-44"/>
        </w:rPr>
        <w:t> </w:t>
      </w:r>
      <w:r>
        <w:rPr>
          <w:spacing w:val="-44"/>
        </w:rPr>
      </w:r>
      <w:r>
        <w:rPr/>
        <w:t>与国际知名品牌相比，本公司的品牌影响力有待进一步提升。</w:t>
      </w:r>
    </w:p>
    <w:p>
      <w:pPr>
        <w:pStyle w:val="BodyText"/>
        <w:spacing w:line="312" w:lineRule="auto" w:before="24"/>
        <w:ind w:right="190" w:firstLine="451"/>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日，中国证监会发行审核委员会对公司</w:t>
      </w:r>
      <w:r>
        <w:rPr>
          <w:rFonts w:ascii="Times New Roman" w:hAnsi="Times New Roman" w:cs="Times New Roman" w:eastAsia="Times New Roman" w:hint="default"/>
          <w:spacing w:val="-2"/>
        </w:rPr>
        <w:t>2015</w:t>
      </w:r>
      <w:r>
        <w:rPr>
          <w:spacing w:val="-2"/>
        </w:rPr>
        <w:t>年非公开发行股票的申请进行了审核。根据审核结果，公司</w:t>
      </w:r>
      <w:r>
        <w:rPr/>
        <w:t> 非公开发行股票申请获得审核通过。本次非公开发行募集资金将主要用于打造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珠宝开放平台</w:t>
      </w:r>
      <w:r>
        <w:rPr>
          <w:rFonts w:ascii="Times New Roman" w:hAnsi="Times New Roman" w:cs="Times New Roman" w:eastAsia="Times New Roman" w:hint="default"/>
        </w:rPr>
        <w:t>”</w:t>
      </w:r>
      <w:r>
        <w:rPr/>
        <w:t>，有利于提升产业链 </w:t>
      </w:r>
      <w:r>
        <w:rPr>
          <w:spacing w:val="-2"/>
        </w:rPr>
        <w:t>整体效率，提高公司核心竞争力。虽然公司在确定投资项目之前进行了科学严格的论证，募投项目符合国家产业政策和行业</w:t>
      </w:r>
      <w:r>
        <w:rPr>
          <w:spacing w:val="-63"/>
        </w:rPr>
        <w:t> </w:t>
      </w:r>
      <w:r>
        <w:rPr>
          <w:spacing w:val="-63"/>
        </w:rPr>
      </w:r>
      <w:r>
        <w:rPr>
          <w:spacing w:val="-2"/>
        </w:rPr>
        <w:t>发展趋势，具备良好的发展前景。项目建设完成后，公司每年新增大额的折旧摊销费用，若未来出现产业政策变化、市场环</w:t>
      </w:r>
      <w:r>
        <w:rPr>
          <w:spacing w:val="-66"/>
        </w:rPr>
        <w:t> </w:t>
      </w:r>
      <w:r>
        <w:rPr>
          <w:spacing w:val="-66"/>
        </w:rPr>
      </w:r>
      <w:r>
        <w:rPr>
          <w:spacing w:val="-2"/>
        </w:rPr>
        <w:t>境变化或公司管理未能及时跟进等情况，可能会对项目的实施进度和实现效益情况产生不利影响，从而导致公司利润大幅下</w:t>
      </w:r>
      <w:r>
        <w:rPr>
          <w:spacing w:val="-64"/>
        </w:rPr>
        <w:t> </w:t>
      </w:r>
      <w:r>
        <w:rPr>
          <w:spacing w:val="-64"/>
        </w:rPr>
      </w:r>
      <w:r>
        <w:rPr/>
        <w:t>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4"/>
        <w:spacing w:line="240" w:lineRule="auto"/>
        <w:ind w:right="94"/>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、公司主营业务及产品介绍。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、了解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公司运营情况。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、了解珠宝行业过去 及未来发展趋势。未提供资料。</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、公司主营业务及产品介绍。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、了解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公司运营情况。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、了解珠宝行业过去 及未来发展趋势。未提供资料。</w:t>
            </w:r>
          </w:p>
        </w:tc>
      </w:tr>
      <w:tr>
        <w:trPr>
          <w:trHeight w:val="98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、公司主营业务及产品介绍。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、了解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公司运营情况。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、了解珠宝行业过去 </w:t>
            </w:r>
            <w:r>
              <w:rPr>
                <w:rFonts w:ascii="宋体" w:hAnsi="宋体" w:cs="宋体" w:eastAsia="宋体" w:hint="default"/>
                <w:spacing w:val="-6"/>
                <w:sz w:val="18"/>
                <w:szCs w:val="18"/>
              </w:rPr>
              <w:t>及未来发展趋势。（宏禾投资相关人员</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列席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年年度股东大会）未提供资 料。</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、公司主营业务及产品介绍。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、了解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公司运营情况。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、了解珠宝行业过去 及未来发展趋势。未提供资料。</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公司报告期期末至披露日期间未发生接待调研、沟通、采访等活动。</w:t>
      </w:r>
    </w:p>
    <w:p>
      <w:pPr>
        <w:spacing w:after="0" w:line="3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843"/>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5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报告期内普通股利润分配政策，特别是现金分红政策的制定、执行或调整情况</w:t>
      </w:r>
    </w:p>
    <w:p>
      <w:pPr>
        <w:pStyle w:val="BodyText"/>
        <w:spacing w:line="314"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1"/>
        </w:rPr>
        <w:t>1.</w:t>
      </w:r>
      <w:r>
        <w:rPr>
          <w:spacing w:val="-1"/>
        </w:rPr>
        <w:t>报告期内，为维护公司股东依法享有的资产收益等权利，不断完善董事会、股东大会对公司利润分配事项的决策程序和机</w:t>
      </w:r>
      <w:r>
        <w:rPr>
          <w:spacing w:val="-74"/>
        </w:rPr>
        <w:t> </w:t>
      </w:r>
      <w:r>
        <w:rPr>
          <w:spacing w:val="-74"/>
        </w:rPr>
      </w:r>
      <w:r>
        <w:rPr>
          <w:spacing w:val="-2"/>
        </w:rPr>
        <w:t>制，进一步细化《公司章程》中关于利润分配原则的条款，根据《公司章程》和中国证券监督管理委员会《关于进一步落实</w:t>
      </w:r>
      <w:r>
        <w:rPr>
          <w:spacing w:val="-69"/>
        </w:rPr>
        <w:t> </w:t>
      </w:r>
      <w:r>
        <w:rPr>
          <w:spacing w:val="-69"/>
        </w:rPr>
      </w:r>
      <w:r>
        <w:rPr/>
        <w:t>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上市公司现金分红》等规定，制定了《深圳市爱迪尔珠 宝股份有限公司未来三年分红回报规划》并刊登在巨潮资讯网（</w:t>
      </w:r>
      <w:hyperlink r:id="rId12">
        <w:r>
          <w:rPr>
            <w:rFonts w:ascii="Times New Roman" w:hAnsi="Times New Roman" w:cs="Times New Roman" w:eastAsia="Times New Roman" w:hint="default"/>
          </w:rPr>
          <w:t>http://www.cninfo.com.cn</w:t>
        </w:r>
      </w:hyperlink>
      <w:r>
        <w:rPr/>
        <w:t>）上，且严格遵照执行。</w:t>
      </w:r>
    </w:p>
    <w:p>
      <w:pPr>
        <w:pStyle w:val="BodyText"/>
        <w:spacing w:line="300" w:lineRule="auto" w:before="1"/>
        <w:ind w:right="151"/>
        <w:jc w:val="both"/>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2014</w:t>
      </w:r>
      <w:r>
        <w:rPr>
          <w:spacing w:val="-1"/>
        </w:rPr>
        <w:t>年度股东大会审议通过了《公司</w:t>
      </w:r>
      <w:r>
        <w:rPr>
          <w:rFonts w:ascii="Times New Roman" w:hAnsi="Times New Roman" w:cs="Times New Roman" w:eastAsia="Times New Roman" w:hint="default"/>
          <w:spacing w:val="-1"/>
        </w:rPr>
        <w:t>2014</w:t>
      </w:r>
      <w:r>
        <w:rPr>
          <w:spacing w:val="-1"/>
        </w:rPr>
        <w:t>年度利润分配预案》：以公司现有总股本</w:t>
      </w:r>
      <w:r>
        <w:rPr>
          <w:rFonts w:ascii="Times New Roman" w:hAnsi="Times New Roman" w:cs="Times New Roman" w:eastAsia="Times New Roman" w:hint="default"/>
          <w:spacing w:val="-1"/>
        </w:rPr>
        <w:t>100,000,000</w:t>
      </w:r>
      <w:r>
        <w:rPr>
          <w:spacing w:val="-1"/>
        </w:rPr>
        <w:t>股为基数，向全体股东</w:t>
      </w:r>
      <w:r>
        <w:rPr>
          <w:spacing w:val="-71"/>
        </w:rPr>
        <w:t> </w:t>
      </w:r>
      <w:r>
        <w:rPr>
          <w:spacing w:val="-71"/>
        </w:rPr>
      </w:r>
      <w:r>
        <w:rPr>
          <w:spacing w:val="-2"/>
        </w:rPr>
        <w:t>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1.5</w:t>
      </w:r>
      <w:r>
        <w:rPr>
          <w:spacing w:val="-2"/>
        </w:rPr>
        <w:t>元人民币现金，本次拟分配现金股利总额为</w:t>
      </w:r>
      <w:r>
        <w:rPr>
          <w:rFonts w:ascii="Times New Roman" w:hAnsi="Times New Roman" w:cs="Times New Roman" w:eastAsia="Times New Roman" w:hint="default"/>
          <w:spacing w:val="-2"/>
        </w:rPr>
        <w:t>1,500</w:t>
      </w:r>
      <w:r>
        <w:rPr>
          <w:spacing w:val="-2"/>
        </w:rPr>
        <w:t>万元，不送红股，不以公积金转增股本。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日，本次</w:t>
      </w:r>
      <w:r>
        <w:rPr>
          <w:spacing w:val="-53"/>
        </w:rPr>
        <w:t> </w:t>
      </w:r>
      <w:r>
        <w:rPr>
          <w:spacing w:val="-53"/>
        </w:rPr>
      </w:r>
      <w:r>
        <w:rPr/>
        <w:t>权益分完毕。</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7"/>
        <w:ind w:right="0"/>
        <w:jc w:val="both"/>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年利润分配方案</w:t>
      </w:r>
    </w:p>
    <w:p>
      <w:pPr>
        <w:pStyle w:val="BodyText"/>
        <w:spacing w:line="240" w:lineRule="auto" w:before="63"/>
        <w:ind w:right="0"/>
        <w:jc w:val="both"/>
      </w:pPr>
      <w:r>
        <w:rPr>
          <w:rFonts w:ascii="Times New Roman" w:hAnsi="Times New Roman" w:cs="Times New Roman" w:eastAsia="Times New Roman" w:hint="default"/>
        </w:rPr>
        <w:t>2013</w:t>
      </w:r>
      <w:r>
        <w:rPr/>
        <w:t>年，公司未进行利润分配。</w:t>
      </w:r>
    </w:p>
    <w:p>
      <w:pPr>
        <w:pStyle w:val="BodyText"/>
        <w:spacing w:line="240" w:lineRule="auto" w:before="63"/>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年利润分配方案</w:t>
      </w:r>
    </w:p>
    <w:p>
      <w:pPr>
        <w:pStyle w:val="BodyText"/>
        <w:spacing w:line="300" w:lineRule="auto" w:before="63"/>
        <w:ind w:right="15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日公司召开的</w:t>
      </w:r>
      <w:r>
        <w:rPr>
          <w:rFonts w:ascii="Times New Roman" w:hAnsi="Times New Roman" w:cs="Times New Roman" w:eastAsia="Times New Roman" w:hint="default"/>
        </w:rPr>
        <w:t>2014</w:t>
      </w:r>
      <w:r>
        <w:rPr/>
        <w:t>年度股东大会，审议通过</w:t>
      </w:r>
      <w:r>
        <w:rPr>
          <w:rFonts w:ascii="Times New Roman" w:hAnsi="Times New Roman" w:cs="Times New Roman" w:eastAsia="Times New Roman" w:hint="default"/>
        </w:rPr>
        <w:t>2014</w:t>
      </w:r>
      <w:r>
        <w:rPr/>
        <w:t>年年度权益分派方案，具体为：以首次公开发行股票并上市后 的总股本</w:t>
      </w:r>
      <w:r>
        <w:rPr>
          <w:rFonts w:ascii="Times New Roman" w:hAnsi="Times New Roman" w:cs="Times New Roman" w:eastAsia="Times New Roman" w:hint="default"/>
        </w:rPr>
        <w:t>10,000</w:t>
      </w:r>
      <w:r>
        <w:rPr/>
        <w:t>万股为基数，向全体股东每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w:t>
      </w:r>
      <w:r>
        <w:rPr/>
        <w:t>元（含税）。本次分配现金股利总额为</w:t>
      </w:r>
      <w:r>
        <w:rPr>
          <w:rFonts w:ascii="Times New Roman" w:hAnsi="Times New Roman" w:cs="Times New Roman" w:eastAsia="Times New Roman" w:hint="default"/>
        </w:rPr>
        <w:t>1,500</w:t>
      </w:r>
      <w:r>
        <w:rPr/>
        <w:t>万元，</w:t>
      </w:r>
      <w:r>
        <w:rPr>
          <w:spacing w:val="-44"/>
        </w:rPr>
        <w:t> </w:t>
      </w:r>
      <w:r>
        <w:rPr/>
        <w:t>不送红股，不以公积金转增股本。</w:t>
      </w:r>
    </w:p>
    <w:p>
      <w:pPr>
        <w:pStyle w:val="BodyText"/>
        <w:spacing w:line="240" w:lineRule="auto" w:before="31"/>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年年度利润分配预案</w:t>
      </w:r>
    </w:p>
    <w:p>
      <w:pPr>
        <w:pStyle w:val="BodyText"/>
        <w:spacing w:line="240" w:lineRule="auto" w:before="63"/>
        <w:ind w:right="0"/>
        <w:jc w:val="both"/>
      </w:pPr>
      <w:r>
        <w:rPr>
          <w:rFonts w:ascii="Times New Roman" w:hAnsi="Times New Roman" w:cs="Times New Roman" w:eastAsia="Times New Roman" w:hint="default"/>
          <w:spacing w:val="3"/>
        </w:rPr>
        <w:t>2015</w:t>
      </w:r>
      <w:r>
        <w:rPr>
          <w:spacing w:val="3"/>
        </w:rPr>
        <w:t>年度公司计划以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100,000,000</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1.1</w:t>
      </w:r>
      <w:r>
        <w:rPr>
          <w:spacing w:val="3"/>
        </w:rPr>
        <w:t>元（含税），共计</w:t>
      </w:r>
      <w:r>
        <w:rPr/>
      </w:r>
    </w:p>
    <w:p>
      <w:pPr>
        <w:pStyle w:val="BodyText"/>
        <w:spacing w:line="300" w:lineRule="auto" w:before="63"/>
        <w:ind w:right="149"/>
        <w:jc w:val="both"/>
      </w:pPr>
      <w:r>
        <w:rPr>
          <w:rFonts w:ascii="Times New Roman" w:hAnsi="Times New Roman" w:cs="Times New Roman" w:eastAsia="Times New Roman" w:hint="default"/>
        </w:rPr>
        <w:t>11,000,000</w:t>
      </w:r>
      <w:r>
        <w:rPr/>
        <w:t>元（含税），剩余未分配利润转入以后年度；同时，进行资本公积转增股本，向全体股东每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股，共计</w:t>
      </w:r>
      <w:r>
        <w:rPr>
          <w:spacing w:val="-86"/>
        </w:rPr>
        <w:t> </w:t>
      </w:r>
      <w:r>
        <w:rPr>
          <w:spacing w:val="-86"/>
        </w:rPr>
      </w:r>
      <w:r>
        <w:rPr>
          <w:spacing w:val="-2"/>
        </w:rPr>
        <w:t>转增</w:t>
      </w:r>
      <w:r>
        <w:rPr>
          <w:rFonts w:ascii="Times New Roman" w:hAnsi="Times New Roman" w:cs="Times New Roman" w:eastAsia="Times New Roman" w:hint="default"/>
          <w:spacing w:val="-2"/>
        </w:rPr>
        <w:t>200,000,000</w:t>
      </w:r>
      <w:r>
        <w:rPr>
          <w:spacing w:val="-2"/>
        </w:rPr>
        <w:t>股，转增后公司总股本将增加至</w:t>
      </w:r>
      <w:r>
        <w:rPr>
          <w:rFonts w:ascii="Times New Roman" w:hAnsi="Times New Roman" w:cs="Times New Roman" w:eastAsia="Times New Roman" w:hint="default"/>
          <w:spacing w:val="-2"/>
        </w:rPr>
        <w:t>300,000,000</w:t>
      </w:r>
      <w:r>
        <w:rPr>
          <w:spacing w:val="-2"/>
        </w:rPr>
        <w:t>股。若董事会审议利润分配方案后股本发生变动，则以未来实施</w:t>
      </w:r>
      <w:r>
        <w:rPr>
          <w:spacing w:val="-47"/>
        </w:rPr>
        <w:t> </w:t>
      </w:r>
      <w:r>
        <w:rPr>
          <w:spacing w:val="-47"/>
        </w:rPr>
      </w:r>
      <w:r>
        <w:rPr>
          <w:spacing w:val="-2"/>
        </w:rPr>
        <w:t>分配方案时股权登记日的总股本为基数，按照分配总额不变的原则对分配比例进行调整。该利润分配议案尚需提交</w:t>
      </w:r>
      <w:r>
        <w:rPr>
          <w:rFonts w:ascii="Times New Roman" w:hAnsi="Times New Roman" w:cs="Times New Roman" w:eastAsia="Times New Roman" w:hint="default"/>
          <w:spacing w:val="-2"/>
        </w:rPr>
        <w:t>2015</w:t>
      </w:r>
      <w:r>
        <w:rPr>
          <w:spacing w:val="-2"/>
        </w:rPr>
        <w:t>年度</w:t>
      </w:r>
      <w:r>
        <w:rPr>
          <w:spacing w:val="-59"/>
        </w:rPr>
        <w:t> </w:t>
      </w:r>
      <w:r>
        <w:rPr/>
        <w:t>股东大会审议。</w:t>
      </w:r>
    </w:p>
    <w:p>
      <w:pPr>
        <w:spacing w:line="240" w:lineRule="auto" w:before="13"/>
        <w:rPr>
          <w:rFonts w:ascii="宋体" w:hAnsi="宋体" w:cs="宋体" w:eastAsia="宋体" w:hint="default"/>
          <w:sz w:val="25"/>
          <w:szCs w:val="25"/>
        </w:rPr>
      </w:pPr>
    </w:p>
    <w:p>
      <w:pPr>
        <w:pStyle w:val="BodyText"/>
        <w:spacing w:line="240" w:lineRule="auto"/>
        <w:ind w:right="153"/>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586"/>
        <w:gridCol w:w="1594"/>
        <w:gridCol w:w="1594"/>
        <w:gridCol w:w="1595"/>
        <w:gridCol w:w="1594"/>
        <w:gridCol w:w="1583"/>
      </w:tblGrid>
      <w:tr>
        <w:trPr>
          <w:trHeight w:val="38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1"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2"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6"/>
        <w:gridCol w:w="1605"/>
        <w:gridCol w:w="1594"/>
        <w:gridCol w:w="1596"/>
        <w:gridCol w:w="1594"/>
        <w:gridCol w:w="1594"/>
      </w:tblGrid>
      <w:tr>
        <w:trPr>
          <w:trHeight w:val="358" w:hRule="exact"/>
        </w:trPr>
        <w:tc>
          <w:tcPr>
            <w:tcW w:w="1586" w:type="dxa"/>
            <w:vMerge w:val="restart"/>
            <w:tcBorders>
              <w:top w:val="single" w:sz="4" w:space="0" w:color="000000"/>
              <w:left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71" w:right="71"/>
              <w:jc w:val="center"/>
              <w:rPr>
                <w:rFonts w:ascii="宋体" w:hAnsi="宋体" w:cs="宋体" w:eastAsia="宋体" w:hint="default"/>
                <w:sz w:val="18"/>
                <w:szCs w:val="18"/>
              </w:rPr>
            </w:pPr>
            <w:r>
              <w:rPr>
                <w:rFonts w:ascii="宋体" w:hAnsi="宋体" w:cs="宋体" w:eastAsia="宋体" w:hint="default"/>
                <w:sz w:val="18"/>
                <w:szCs w:val="18"/>
              </w:rPr>
              <w:t>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71" w:right="72"/>
              <w:jc w:val="center"/>
              <w:rPr>
                <w:rFonts w:ascii="宋体" w:hAnsi="宋体" w:cs="宋体" w:eastAsia="宋体" w:hint="default"/>
                <w:sz w:val="18"/>
                <w:szCs w:val="18"/>
              </w:rPr>
            </w:pPr>
            <w:r>
              <w:rPr>
                <w:rFonts w:ascii="宋体" w:hAnsi="宋体" w:cs="宋体" w:eastAsia="宋体" w:hint="default"/>
                <w:sz w:val="18"/>
                <w:szCs w:val="18"/>
              </w:rPr>
              <w:t>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629" w:hRule="exact"/>
        </w:trPr>
        <w:tc>
          <w:tcPr>
            <w:tcW w:w="1586"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67,378,787.20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87,373,694.77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90,980,310.03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公司报告期内盈利且母公司可供普通股股东分配利润为正但未提出普通股现金红利分配预案</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67,378,787.20</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68"/>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6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共计</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w:t>
            </w:r>
            <w:r>
              <w:rPr>
                <w:rFonts w:ascii="宋体" w:hAnsi="宋体" w:cs="宋体" w:eastAsia="宋体" w:hint="default"/>
                <w:spacing w:val="2"/>
                <w:sz w:val="18"/>
                <w:szCs w:val="18"/>
              </w:rPr>
              <w:t>转</w:t>
            </w:r>
            <w:r>
              <w:rPr>
                <w:rFonts w:ascii="宋体" w:hAnsi="宋体" w:cs="宋体" w:eastAsia="宋体" w:hint="default"/>
                <w:sz w:val="18"/>
                <w:szCs w:val="18"/>
              </w:rPr>
              <w:t>入以后年度；同时，进行资本公积金转增股本，向全体股东每</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4"/>
        <w:spacing w:line="240" w:lineRule="auto" w:before="26"/>
        <w:ind w:right="153"/>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6"/>
        <w:spacing w:line="259" w:lineRule="auto"/>
        <w:ind w:right="153"/>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4"/>
              <w:jc w:val="righ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3"/>
                <w:sz w:val="18"/>
                <w:szCs w:val="18"/>
              </w:rPr>
              <w:t>苏日明、苗志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稳定公司股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1"/>
              <w:jc w:val="right"/>
              <w:rPr>
                <w:rFonts w:ascii="宋体" w:hAnsi="宋体" w:cs="宋体" w:eastAsia="宋体" w:hint="default"/>
                <w:sz w:val="18"/>
                <w:szCs w:val="18"/>
              </w:rPr>
            </w:pPr>
            <w:r>
              <w:rPr>
                <w:rFonts w:ascii="宋体" w:hAnsi="宋体" w:cs="宋体" w:eastAsia="宋体" w:hint="default"/>
                <w:sz w:val="18"/>
                <w:szCs w:val="18"/>
              </w:rPr>
              <w:t>公司上市后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5"/>
                <w:sz w:val="18"/>
                <w:szCs w:val="18"/>
              </w:rPr>
              <w:t>履行完毕，无</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
              <w:jc w:val="left"/>
              <w:rPr>
                <w:rFonts w:ascii="宋体" w:hAnsi="宋体" w:cs="宋体" w:eastAsia="宋体" w:hint="default"/>
                <w:sz w:val="18"/>
                <w:szCs w:val="18"/>
              </w:rPr>
            </w:pPr>
            <w:r>
              <w:rPr>
                <w:rFonts w:ascii="宋体" w:hAnsi="宋体" w:cs="宋体" w:eastAsia="宋体" w:hint="default"/>
                <w:sz w:val="18"/>
                <w:szCs w:val="18"/>
              </w:rPr>
              <w:t>国、苏永明、 狄爱玲、刘 丽、李城峰、 </w:t>
            </w:r>
            <w:r>
              <w:rPr>
                <w:rFonts w:ascii="宋体" w:hAnsi="宋体" w:cs="宋体" w:eastAsia="宋体" w:hint="default"/>
                <w:spacing w:val="-3"/>
                <w:sz w:val="18"/>
                <w:szCs w:val="18"/>
              </w:rPr>
              <w:t>朱新武、苏啟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价承诺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六个月内如 公司股票连 续二十个交 易日的收盘 价均低于公 司首次公开 发行股票的 </w:t>
            </w:r>
            <w:r>
              <w:rPr>
                <w:rFonts w:ascii="宋体" w:hAnsi="宋体" w:cs="宋体" w:eastAsia="宋体" w:hint="default"/>
                <w:spacing w:val="-2"/>
                <w:sz w:val="18"/>
                <w:szCs w:val="18"/>
              </w:rPr>
              <w:t>发行价，或者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上市后六个 月期末收盘 价低于公司 首次公开发 行股票的发 </w:t>
            </w:r>
            <w:r>
              <w:rPr>
                <w:rFonts w:ascii="宋体" w:hAnsi="宋体" w:cs="宋体" w:eastAsia="宋体" w:hint="default"/>
                <w:spacing w:val="-2"/>
                <w:sz w:val="18"/>
                <w:szCs w:val="18"/>
              </w:rPr>
              <w:t>行价，本人直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接或间接持 有公司股票 的锁定期限 自动延长六 </w:t>
            </w:r>
            <w:r>
              <w:rPr>
                <w:rFonts w:ascii="宋体" w:hAnsi="宋体" w:cs="宋体" w:eastAsia="宋体" w:hint="default"/>
                <w:spacing w:val="-2"/>
                <w:sz w:val="18"/>
                <w:szCs w:val="18"/>
              </w:rPr>
              <w:t>个月；本人所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持发行人股 票在锁定期 满后两年内 </w:t>
            </w:r>
            <w:r>
              <w:rPr>
                <w:rFonts w:ascii="宋体" w:hAnsi="宋体" w:cs="宋体" w:eastAsia="宋体" w:hint="default"/>
                <w:spacing w:val="-2"/>
                <w:sz w:val="18"/>
                <w:szCs w:val="18"/>
              </w:rPr>
              <w:t>减持的，其减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持价格不低 于首次公开 发行股票的 </w:t>
            </w:r>
            <w:r>
              <w:rPr>
                <w:rFonts w:ascii="宋体" w:hAnsi="宋体" w:cs="宋体" w:eastAsia="宋体" w:hint="default"/>
                <w:spacing w:val="-2"/>
                <w:sz w:val="18"/>
                <w:szCs w:val="18"/>
              </w:rPr>
              <w:t>发行价；本人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不会因职务 </w:t>
            </w:r>
            <w:r>
              <w:rPr>
                <w:rFonts w:ascii="宋体" w:hAnsi="宋体" w:cs="宋体" w:eastAsia="宋体" w:hint="default"/>
                <w:spacing w:val="-2"/>
                <w:sz w:val="18"/>
                <w:szCs w:val="18"/>
              </w:rPr>
              <w:t>变更、离职等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原因而放弃 履行上述承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需延长</w:t>
            </w: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7"/>
              <w:jc w:val="left"/>
              <w:rPr>
                <w:rFonts w:ascii="宋体" w:hAnsi="宋体" w:cs="宋体" w:eastAsia="宋体" w:hint="default"/>
                <w:sz w:val="18"/>
                <w:szCs w:val="18"/>
              </w:rPr>
            </w:pPr>
            <w:r>
              <w:rPr>
                <w:rFonts w:ascii="宋体" w:hAnsi="宋体" w:cs="宋体" w:eastAsia="宋体" w:hint="default"/>
                <w:spacing w:val="-3"/>
                <w:sz w:val="18"/>
                <w:szCs w:val="18"/>
              </w:rPr>
              <w:t>苏日明、苗志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国、苏永明、 狄爱玲、刘 丽、李城峰、 </w:t>
            </w:r>
            <w:r>
              <w:rPr>
                <w:rFonts w:ascii="宋体" w:hAnsi="宋体" w:cs="宋体" w:eastAsia="宋体" w:hint="default"/>
                <w:spacing w:val="-3"/>
                <w:sz w:val="18"/>
                <w:szCs w:val="18"/>
              </w:rPr>
              <w:t>朱新武、苏啟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6" w:right="190"/>
              <w:jc w:val="left"/>
              <w:rPr>
                <w:rFonts w:ascii="宋体" w:hAnsi="宋体" w:cs="宋体" w:eastAsia="宋体" w:hint="default"/>
                <w:sz w:val="18"/>
                <w:szCs w:val="18"/>
              </w:rPr>
            </w:pPr>
            <w:r>
              <w:rPr>
                <w:rFonts w:ascii="宋体" w:hAnsi="宋体" w:cs="宋体" w:eastAsia="宋体" w:hint="default"/>
                <w:sz w:val="18"/>
                <w:szCs w:val="18"/>
              </w:rPr>
              <w:t>稳定公司股 价承诺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公司首次公 开发行的股 票上市后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内，如公司股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交易日（不含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公司股票全 天停牌的交 </w:t>
            </w:r>
            <w:r>
              <w:rPr>
                <w:rFonts w:ascii="宋体" w:hAnsi="宋体" w:cs="宋体" w:eastAsia="宋体" w:hint="default"/>
                <w:spacing w:val="-2"/>
                <w:sz w:val="18"/>
                <w:szCs w:val="18"/>
              </w:rPr>
              <w:t>易日）的收盘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价均低于公 司最近一期 经审计的每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股净资产，非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因不可抗力 </w:t>
            </w:r>
            <w:r>
              <w:rPr>
                <w:rFonts w:ascii="宋体" w:hAnsi="宋体" w:cs="宋体" w:eastAsia="宋体" w:hint="default"/>
                <w:spacing w:val="-2"/>
                <w:sz w:val="18"/>
                <w:szCs w:val="18"/>
              </w:rPr>
              <w:t>所致，则触发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公司及控股 股东、董事</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（独立董事 </w:t>
            </w:r>
            <w:r>
              <w:rPr>
                <w:rFonts w:ascii="宋体" w:hAnsi="宋体" w:cs="宋体" w:eastAsia="宋体" w:hint="default"/>
                <w:spacing w:val="-2"/>
                <w:sz w:val="18"/>
                <w:szCs w:val="18"/>
              </w:rPr>
              <w:t>除外）及高级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管理人员稳 定公司股价 </w:t>
            </w:r>
            <w:r>
              <w:rPr>
                <w:rFonts w:ascii="宋体" w:hAnsi="宋体" w:cs="宋体" w:eastAsia="宋体" w:hint="default"/>
                <w:spacing w:val="-2"/>
                <w:sz w:val="18"/>
                <w:szCs w:val="18"/>
              </w:rPr>
              <w:t>的义务（包括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股份增持义 务和股份回 购义务）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嘉俪九鼎、星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河投资、深创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自股份公司 在中国境内 首次公开发 行股票并上 市之日起十 </w:t>
            </w:r>
            <w:r>
              <w:rPr>
                <w:rFonts w:ascii="宋体" w:hAnsi="宋体" w:cs="宋体" w:eastAsia="宋体" w:hint="default"/>
                <w:spacing w:val="-2"/>
                <w:sz w:val="18"/>
                <w:szCs w:val="18"/>
              </w:rPr>
              <w:t>二个月内，不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本股东直接 或者间接持 有的股份公 司本次公开 发行股票前 已发行的股 </w:t>
            </w:r>
            <w:r>
              <w:rPr>
                <w:rFonts w:ascii="宋体" w:hAnsi="宋体" w:cs="宋体" w:eastAsia="宋体" w:hint="default"/>
                <w:spacing w:val="-2"/>
                <w:sz w:val="18"/>
                <w:szCs w:val="18"/>
              </w:rPr>
              <w:t>份，也不由股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份公司回购 本股东直接 或者间接持 有的股份公 司本次公开 发行股票前 已发行的股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苏日明、狄爱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玲、苏永明、 </w:t>
            </w:r>
            <w:r>
              <w:rPr>
                <w:rFonts w:ascii="宋体" w:hAnsi="宋体" w:cs="宋体" w:eastAsia="宋体" w:hint="default"/>
                <w:spacing w:val="-3"/>
                <w:sz w:val="18"/>
                <w:szCs w:val="18"/>
              </w:rPr>
              <w:t>深创投、嘉俪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九鼎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 未投资于从 事与股份公 司主营业务 存在竞争的 业务活动的 公司或企业。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人参股、控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人员的公司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或企业将来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不会以任何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方式（包括但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不限于自营、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合资或联营）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参与或进行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主营业务存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的业务活动；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式从事或参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与生产任何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产品相同、相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似或可能取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代股份公司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产品的业务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活动；如从任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何第三方获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得的商业机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务有竞争或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可能竞争，则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将立即通知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股份公司，并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将该商业机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会让予股份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任何方式从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事影响或可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能影响股份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公司经营、发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展的业务或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人及本人参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股、控股、担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任董事或高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级管理人员 的公司或者 企业将严格 和善意地履 行其与股份 公司签订的 关联交易协 议，该等关联 交易价格公 允，不会损害 股份公司及 其他股东利 益。本人承诺 将不会向股 份公司谋求 任何超出上 述协议规定 以外的利益 或收益。</w:t>
            </w:r>
            <w:r>
              <w:rPr>
                <w:rFonts w:ascii="Times New Roman" w:hAnsi="Times New Roman" w:cs="Times New Roman" w:eastAsia="Times New Roman" w:hint="default"/>
                <w:sz w:val="18"/>
                <w:szCs w:val="18"/>
              </w:rPr>
              <w:t>4</w:t>
            </w:r>
            <w:r>
              <w:rPr>
                <w:rFonts w:ascii="宋体" w:hAnsi="宋体" w:cs="宋体" w:eastAsia="宋体" w:hint="default"/>
                <w:sz w:val="18"/>
                <w:szCs w:val="18"/>
              </w:rPr>
              <w:t>、 如果本人违 反上述声明、 保证与承诺， 并造成股份 公司经济损 失的，本人同 意无条件退 出竞争并赔 偿股份公司 相应损失。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
              <w:jc w:val="left"/>
              <w:rPr>
                <w:rFonts w:ascii="宋体" w:hAnsi="宋体" w:cs="宋体" w:eastAsia="宋体" w:hint="default"/>
                <w:sz w:val="18"/>
                <w:szCs w:val="18"/>
              </w:rPr>
            </w:pPr>
            <w:r>
              <w:rPr>
                <w:rFonts w:ascii="宋体" w:hAnsi="宋体" w:cs="宋体" w:eastAsia="宋体" w:hint="default"/>
                <w:spacing w:val="-3"/>
                <w:sz w:val="18"/>
                <w:szCs w:val="18"/>
              </w:rPr>
              <w:t>苏日明、狄爱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玲、苏永明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0"/>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自公司股票 在深圳证券 交易所上市 交易起三十 六个月内不 转让或者委 托他人管理 已经持有的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购该部分股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苏日明、狄爱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玲、苏永明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本人在公司 任职期间每 年转让的股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份不超过所 持有公司股 份总数的百 分之二十五； 离职后半年 内，不转让所 持有的公司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苏日明、狄爱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玲、苏永明、 </w:t>
            </w:r>
            <w:r>
              <w:rPr>
                <w:rFonts w:ascii="宋体" w:hAnsi="宋体" w:cs="宋体" w:eastAsia="宋体" w:hint="default"/>
                <w:spacing w:val="-3"/>
                <w:sz w:val="18"/>
                <w:szCs w:val="18"/>
              </w:rPr>
              <w:t>朱新武、苏啟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皓、苗志国以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及深圳市创 新投资集团 有限公司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自公司首次 公开发行股 票并上市之 日起至该承 诺函出具之 日，其不存在 减持所持公 司股份的情 况；自该承诺 函出具之日 起至本次非 公开发行完 成后六个月 内，其不存在 减持所持公 司股份的计 划；如存在或 发生上述减 持情况，其由 此所得收益 归公司所有， 并依法承担 由此产生的 全部法律责 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该承诺函出 具之日起至 本次非公开 发行完成后 六个月内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苏日明、苗志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国、苏永明、 狄爱玲、刘 丽、李城峰、 </w:t>
            </w:r>
            <w:r>
              <w:rPr>
                <w:rFonts w:ascii="宋体" w:hAnsi="宋体" w:cs="宋体" w:eastAsia="宋体" w:hint="default"/>
                <w:spacing w:val="-3"/>
                <w:sz w:val="18"/>
                <w:szCs w:val="18"/>
              </w:rPr>
              <w:t>朱新武、苏啟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在法律、法规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允许的范围 </w:t>
            </w:r>
            <w:r>
              <w:rPr>
                <w:rFonts w:ascii="宋体" w:hAnsi="宋体" w:cs="宋体" w:eastAsia="宋体" w:hint="default"/>
                <w:spacing w:val="-2"/>
                <w:sz w:val="18"/>
                <w:szCs w:val="18"/>
              </w:rPr>
              <w:t>内，在不影响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公司上市资 格条件的情 </w:t>
            </w:r>
            <w:r>
              <w:rPr>
                <w:rFonts w:ascii="宋体" w:hAnsi="宋体" w:cs="宋体" w:eastAsia="宋体" w:hint="default"/>
                <w:spacing w:val="-2"/>
                <w:sz w:val="18"/>
                <w:szCs w:val="18"/>
              </w:rPr>
              <w:t>况下，公司全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体高级管理 人员拟在复 牌后六个月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1"/>
              <w:jc w:val="left"/>
              <w:rPr>
                <w:rFonts w:ascii="宋体" w:hAnsi="宋体" w:cs="宋体" w:eastAsia="宋体" w:hint="default"/>
                <w:sz w:val="18"/>
                <w:szCs w:val="18"/>
              </w:rPr>
            </w:pPr>
            <w:r>
              <w:rPr>
                <w:rFonts w:ascii="宋体" w:hAnsi="宋体" w:cs="宋体" w:eastAsia="宋体" w:hint="default"/>
                <w:sz w:val="18"/>
                <w:szCs w:val="18"/>
              </w:rPr>
              <w:t>内择机增持 公司股票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
              <w:jc w:val="left"/>
              <w:rPr>
                <w:rFonts w:ascii="宋体" w:hAnsi="宋体" w:cs="宋体" w:eastAsia="宋体" w:hint="default"/>
                <w:sz w:val="18"/>
                <w:szCs w:val="18"/>
              </w:rPr>
            </w:pPr>
            <w:r>
              <w:rPr>
                <w:rFonts w:ascii="宋体" w:hAnsi="宋体" w:cs="宋体" w:eastAsia="宋体" w:hint="default"/>
                <w:spacing w:val="-3"/>
                <w:sz w:val="18"/>
                <w:szCs w:val="18"/>
              </w:rPr>
              <w:t>苏日明、苗志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国、苏永明、 狄爱玲、刘 丽、李城峰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一致行动承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保证增持期 间及增持完 成后的六个 月内不转让 所持有的公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6" w:right="190"/>
              <w:jc w:val="left"/>
              <w:rPr>
                <w:rFonts w:ascii="宋体" w:hAnsi="宋体" w:cs="宋体" w:eastAsia="宋体" w:hint="default"/>
                <w:sz w:val="18"/>
                <w:szCs w:val="18"/>
              </w:rPr>
            </w:pPr>
            <w:r>
              <w:rPr>
                <w:rFonts w:ascii="宋体" w:hAnsi="宋体" w:cs="宋体" w:eastAsia="宋体" w:hint="default"/>
                <w:sz w:val="18"/>
                <w:szCs w:val="18"/>
              </w:rPr>
              <w:t>一致行动承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保证增持期 间及增持完 成后的六个 月内不转让 所持有的公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一致行动承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保证增持期 间及增持完 成后的六个 月内不转让 所持有的公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15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4"/>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left="424" w:right="142" w:hanging="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根据公司董事会第三届第四次临时会议：公司决议设立北京、成都、沈阳、武汉、重庆、济南六大子公司主要用于展示</w:t>
      </w:r>
    </w:p>
    <w:p>
      <w:pPr>
        <w:pStyle w:val="BodyText"/>
        <w:spacing w:line="240" w:lineRule="auto" w:before="2"/>
        <w:ind w:right="153"/>
        <w:jc w:val="left"/>
      </w:pPr>
      <w:r>
        <w:rPr/>
        <w:t>产品、进行加盟业务推广、拓展加盟店、区域物流配送、区域售后服务以及收集市场信息等。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0" w:right="741"/>
        <w:jc w:val="right"/>
      </w:pPr>
      <w:r>
        <w:rPr/>
        <w:pict>
          <v:shape style="position:absolute;margin-left:88.704002pt;margin-top:-48.278275pt;width:418.3pt;height:426.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263"/>
                    <w:gridCol w:w="986"/>
                    <w:gridCol w:w="1136"/>
                    <w:gridCol w:w="2127"/>
                    <w:gridCol w:w="1572"/>
                  </w:tblGrid>
                  <w:tr>
                    <w:trPr>
                      <w:trHeight w:val="356" w:hRule="exact"/>
                    </w:trPr>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公司性质</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拟定经营范围</w:t>
                        </w:r>
                      </w:p>
                    </w:tc>
                  </w:tr>
                  <w:tr>
                    <w:trPr>
                      <w:trHeight w:val="977"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84" w:right="79"/>
                          <w:jc w:val="center"/>
                          <w:rPr>
                            <w:rFonts w:ascii="宋体" w:hAnsi="宋体" w:cs="宋体" w:eastAsia="宋体" w:hint="default"/>
                            <w:sz w:val="18"/>
                            <w:szCs w:val="18"/>
                          </w:rPr>
                        </w:pPr>
                        <w:r>
                          <w:rPr>
                            <w:rFonts w:ascii="宋体" w:hAnsi="宋体" w:cs="宋体" w:eastAsia="宋体" w:hint="default"/>
                            <w:sz w:val="18"/>
                            <w:szCs w:val="18"/>
                          </w:rPr>
                          <w:t>济南爱迪尔珠 宝首饰有限公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04" w:right="65" w:hanging="540"/>
                          <w:jc w:val="left"/>
                          <w:rPr>
                            <w:rFonts w:ascii="宋体" w:hAnsi="宋体" w:cs="宋体" w:eastAsia="宋体" w:hint="default"/>
                            <w:sz w:val="18"/>
                            <w:szCs w:val="18"/>
                          </w:rPr>
                        </w:pPr>
                        <w:r>
                          <w:rPr>
                            <w:rFonts w:ascii="宋体" w:hAnsi="宋体" w:cs="宋体" w:eastAsia="宋体" w:hint="default"/>
                            <w:sz w:val="18"/>
                            <w:szCs w:val="18"/>
                          </w:rPr>
                          <w:t>山东省济南市窑头路大润 珠宝城三楼</w:t>
                        </w:r>
                      </w:p>
                    </w:tc>
                    <w:tc>
                      <w:tcPr>
                        <w:tcW w:w="1572" w:type="dxa"/>
                        <w:vMerge w:val="restart"/>
                        <w:tcBorders>
                          <w:top w:val="single" w:sz="12" w:space="0" w:color="000000"/>
                          <w:left w:val="single" w:sz="6" w:space="0" w:color="000000"/>
                          <w:right w:val="single" w:sz="6" w:space="0" w:color="000000"/>
                        </w:tcBorders>
                      </w:tcPr>
                      <w:p>
                        <w:pPr>
                          <w:pStyle w:val="TableParagraph"/>
                          <w:spacing w:line="314" w:lineRule="auto" w:before="8"/>
                          <w:ind w:left="2" w:right="-15"/>
                          <w:jc w:val="left"/>
                          <w:rPr>
                            <w:rFonts w:ascii="宋体" w:hAnsi="宋体" w:cs="宋体" w:eastAsia="宋体" w:hint="default"/>
                            <w:sz w:val="18"/>
                            <w:szCs w:val="18"/>
                          </w:rPr>
                        </w:pPr>
                        <w:r>
                          <w:rPr>
                            <w:rFonts w:ascii="宋体" w:hAnsi="宋体" w:cs="宋体" w:eastAsia="宋体" w:hint="default"/>
                            <w:spacing w:val="-8"/>
                            <w:sz w:val="18"/>
                            <w:szCs w:val="18"/>
                          </w:rPr>
                          <w:t>珠宝、铂金首饰、黄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金饰品、</w:t>
                        </w:r>
                        <w:r>
                          <w:rPr>
                            <w:rFonts w:ascii="Times New Roman" w:hAnsi="Times New Roman" w:cs="Times New Roman" w:eastAsia="Times New Roman" w:hint="default"/>
                            <w:sz w:val="18"/>
                            <w:szCs w:val="18"/>
                          </w:rPr>
                          <w:t>K</w:t>
                        </w:r>
                        <w:r>
                          <w:rPr>
                            <w:rFonts w:ascii="宋体" w:hAnsi="宋体" w:cs="宋体" w:eastAsia="宋体" w:hint="default"/>
                            <w:sz w:val="18"/>
                            <w:szCs w:val="18"/>
                          </w:rPr>
                          <w:t>金饰品、 钯金首饰、银饰品 </w:t>
                        </w:r>
                        <w:r>
                          <w:rPr>
                            <w:rFonts w:ascii="宋体" w:hAnsi="宋体" w:cs="宋体" w:eastAsia="宋体" w:hint="default"/>
                            <w:spacing w:val="-8"/>
                            <w:sz w:val="18"/>
                            <w:szCs w:val="18"/>
                          </w:rPr>
                          <w:t>翡翠玉石、钻石、红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蓝宝石、镶嵌饰品 </w:t>
                        </w:r>
                        <w:r>
                          <w:rPr>
                            <w:rFonts w:ascii="宋体" w:hAnsi="宋体" w:cs="宋体" w:eastAsia="宋体" w:hint="default"/>
                            <w:spacing w:val="-8"/>
                            <w:sz w:val="18"/>
                            <w:szCs w:val="18"/>
                          </w:rPr>
                          <w:t>工艺品的购销；网上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销售钻石及钻石饰 </w:t>
                        </w:r>
                        <w:r>
                          <w:rPr>
                            <w:rFonts w:ascii="宋体" w:hAnsi="宋体" w:cs="宋体" w:eastAsia="宋体" w:hint="default"/>
                            <w:spacing w:val="-8"/>
                            <w:sz w:val="18"/>
                            <w:szCs w:val="18"/>
                          </w:rPr>
                          <w:t>品、镶嵌饰品、黄金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饰品、</w:t>
                        </w:r>
                        <w:r>
                          <w:rPr>
                            <w:rFonts w:ascii="Times New Roman" w:hAnsi="Times New Roman" w:cs="Times New Roman" w:eastAsia="Times New Roman" w:hint="default"/>
                            <w:spacing w:val="-3"/>
                            <w:sz w:val="18"/>
                            <w:szCs w:val="18"/>
                          </w:rPr>
                          <w:t>K</w:t>
                        </w:r>
                        <w:r>
                          <w:rPr>
                            <w:rFonts w:ascii="宋体" w:hAnsi="宋体" w:cs="宋体" w:eastAsia="宋体" w:hint="default"/>
                            <w:spacing w:val="-3"/>
                            <w:sz w:val="18"/>
                            <w:szCs w:val="18"/>
                          </w:rPr>
                          <w:t>金饰品、铂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金首饰、钯金首饰 银饰品、翡翠玉石 红蓝宝石、工艺品 国内贸易（不含专 营、专控、专卖商 </w:t>
                        </w:r>
                        <w:r>
                          <w:rPr>
                            <w:rFonts w:ascii="宋体" w:hAnsi="宋体" w:cs="宋体" w:eastAsia="宋体" w:hint="default"/>
                            <w:spacing w:val="-8"/>
                            <w:sz w:val="18"/>
                            <w:szCs w:val="18"/>
                          </w:rPr>
                          <w:t>品）；经济信息咨询</w:t>
                        </w:r>
                      </w:p>
                      <w:p>
                        <w:pPr>
                          <w:pStyle w:val="TableParagraph"/>
                          <w:spacing w:line="316" w:lineRule="auto" w:before="20"/>
                          <w:ind w:left="2" w:right="-1" w:hanging="3"/>
                          <w:jc w:val="center"/>
                          <w:rPr>
                            <w:rFonts w:ascii="宋体" w:hAnsi="宋体" w:cs="宋体" w:eastAsia="宋体" w:hint="default"/>
                            <w:sz w:val="18"/>
                            <w:szCs w:val="18"/>
                          </w:rPr>
                        </w:pPr>
                        <w:r>
                          <w:rPr>
                            <w:rFonts w:ascii="宋体" w:hAnsi="宋体" w:cs="宋体" w:eastAsia="宋体" w:hint="default"/>
                            <w:spacing w:val="-8"/>
                            <w:sz w:val="18"/>
                            <w:szCs w:val="18"/>
                          </w:rPr>
                          <w:t>（不含法律、行政法</w:t>
                        </w:r>
                        <w:r>
                          <w:rPr>
                            <w:rFonts w:ascii="宋体" w:hAnsi="宋体" w:cs="宋体" w:eastAsia="宋体" w:hint="default"/>
                            <w:sz w:val="18"/>
                            <w:szCs w:val="18"/>
                          </w:rPr>
                          <w:t> </w:t>
                        </w:r>
                        <w:r>
                          <w:rPr>
                            <w:rFonts w:ascii="宋体" w:hAnsi="宋体" w:cs="宋体" w:eastAsia="宋体" w:hint="default"/>
                            <w:spacing w:val="-8"/>
                            <w:sz w:val="18"/>
                            <w:szCs w:val="18"/>
                          </w:rPr>
                          <w:t>规、国务院决定禁止</w:t>
                        </w:r>
                        <w:r>
                          <w:rPr>
                            <w:rFonts w:ascii="宋体" w:hAnsi="宋体" w:cs="宋体" w:eastAsia="宋体" w:hint="default"/>
                            <w:sz w:val="18"/>
                            <w:szCs w:val="18"/>
                          </w:rPr>
                          <w:t> 及规定需审批的项 </w:t>
                        </w:r>
                        <w:r>
                          <w:rPr>
                            <w:rFonts w:ascii="宋体" w:hAnsi="宋体" w:cs="宋体" w:eastAsia="宋体" w:hint="default"/>
                            <w:spacing w:val="-8"/>
                            <w:sz w:val="18"/>
                            <w:szCs w:val="18"/>
                          </w:rPr>
                          <w:t>目）；兴办实业（具</w:t>
                        </w:r>
                        <w:r>
                          <w:rPr>
                            <w:rFonts w:ascii="宋体" w:hAnsi="宋体" w:cs="宋体" w:eastAsia="宋体" w:hint="default"/>
                            <w:sz w:val="18"/>
                            <w:szCs w:val="18"/>
                          </w:rPr>
                          <w:t> 体项目另行申报） </w:t>
                        </w:r>
                        <w:r>
                          <w:rPr>
                            <w:rFonts w:ascii="宋体" w:hAnsi="宋体" w:cs="宋体" w:eastAsia="宋体" w:hint="default"/>
                            <w:spacing w:val="-8"/>
                            <w:sz w:val="18"/>
                            <w:szCs w:val="18"/>
                          </w:rPr>
                          <w:t>经营进出口业务（法</w:t>
                        </w:r>
                        <w:r>
                          <w:rPr>
                            <w:rFonts w:ascii="宋体" w:hAnsi="宋体" w:cs="宋体" w:eastAsia="宋体" w:hint="default"/>
                            <w:sz w:val="18"/>
                            <w:szCs w:val="18"/>
                          </w:rPr>
                          <w:t> </w:t>
                        </w:r>
                        <w:r>
                          <w:rPr>
                            <w:rFonts w:ascii="宋体" w:hAnsi="宋体" w:cs="宋体" w:eastAsia="宋体" w:hint="default"/>
                            <w:spacing w:val="-8"/>
                            <w:sz w:val="18"/>
                            <w:szCs w:val="18"/>
                          </w:rPr>
                          <w:t>律、行政法规、国务</w:t>
                        </w:r>
                        <w:r>
                          <w:rPr>
                            <w:rFonts w:ascii="宋体" w:hAnsi="宋体" w:cs="宋体" w:eastAsia="宋体" w:hint="default"/>
                            <w:sz w:val="18"/>
                            <w:szCs w:val="18"/>
                          </w:rPr>
                          <w:t> 院决定禁止的项目 </w:t>
                        </w:r>
                        <w:r>
                          <w:rPr>
                            <w:rFonts w:ascii="宋体" w:hAnsi="宋体" w:cs="宋体" w:eastAsia="宋体" w:hint="default"/>
                            <w:spacing w:val="-8"/>
                            <w:sz w:val="18"/>
                            <w:szCs w:val="18"/>
                          </w:rPr>
                          <w:t>除外，限制的项目须</w:t>
                        </w:r>
                        <w:r>
                          <w:rPr>
                            <w:rFonts w:ascii="宋体" w:hAnsi="宋体" w:cs="宋体" w:eastAsia="宋体" w:hint="default"/>
                            <w:sz w:val="18"/>
                            <w:szCs w:val="18"/>
                          </w:rPr>
                          <w:t> 取得许可后方可经 营）。</w:t>
                        </w:r>
                      </w:p>
                    </w:tc>
                  </w:tr>
                  <w:tr>
                    <w:trPr>
                      <w:trHeight w:val="974"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84" w:right="79"/>
                          <w:jc w:val="center"/>
                          <w:rPr>
                            <w:rFonts w:ascii="宋体" w:hAnsi="宋体" w:cs="宋体" w:eastAsia="宋体" w:hint="default"/>
                            <w:sz w:val="18"/>
                            <w:szCs w:val="18"/>
                          </w:rPr>
                        </w:pPr>
                        <w:r>
                          <w:rPr>
                            <w:rFonts w:ascii="宋体" w:hAnsi="宋体" w:cs="宋体" w:eastAsia="宋体" w:hint="default"/>
                            <w:sz w:val="18"/>
                            <w:szCs w:val="18"/>
                          </w:rPr>
                          <w:t>重庆市灵感珠 宝首饰有限公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重庆市渝中区民权路</w:t>
                        </w:r>
                        <w:r>
                          <w:rPr>
                            <w:rFonts w:ascii="Times New Roman" w:hAnsi="Times New Roman" w:cs="Times New Roman" w:eastAsia="Times New Roman" w:hint="default"/>
                            <w:sz w:val="18"/>
                            <w:szCs w:val="18"/>
                          </w:rPr>
                          <w:t>27</w:t>
                        </w:r>
                        <w:r>
                          <w:rPr>
                            <w:rFonts w:ascii="宋体" w:hAnsi="宋体" w:cs="宋体" w:eastAsia="宋体" w:hint="default"/>
                            <w:sz w:val="18"/>
                            <w:szCs w:val="18"/>
                          </w:rPr>
                          <w:t>号</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22-3#</w:t>
                        </w:r>
                      </w:p>
                    </w:tc>
                    <w:tc>
                      <w:tcPr>
                        <w:tcW w:w="1572" w:type="dxa"/>
                        <w:vMerge/>
                        <w:tcBorders>
                          <w:left w:val="single" w:sz="6" w:space="0" w:color="000000"/>
                          <w:right w:val="single" w:sz="6" w:space="0" w:color="000000"/>
                        </w:tcBorders>
                      </w:tcPr>
                      <w:p>
                        <w:pPr/>
                      </w:p>
                    </w:tc>
                  </w:tr>
                  <w:tr>
                    <w:trPr>
                      <w:trHeight w:val="977"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84" w:right="79"/>
                          <w:jc w:val="center"/>
                          <w:rPr>
                            <w:rFonts w:ascii="宋体" w:hAnsi="宋体" w:cs="宋体" w:eastAsia="宋体" w:hint="default"/>
                            <w:sz w:val="18"/>
                            <w:szCs w:val="18"/>
                          </w:rPr>
                        </w:pPr>
                        <w:r>
                          <w:rPr>
                            <w:rFonts w:ascii="宋体" w:hAnsi="宋体" w:cs="宋体" w:eastAsia="宋体" w:hint="default"/>
                            <w:sz w:val="18"/>
                            <w:szCs w:val="18"/>
                          </w:rPr>
                          <w:t>成都市爱迪尔 珠宝首饰有限 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650" w:right="18" w:hanging="632"/>
                          <w:jc w:val="left"/>
                          <w:rPr>
                            <w:rFonts w:ascii="宋体" w:hAnsi="宋体" w:cs="宋体" w:eastAsia="宋体" w:hint="default"/>
                            <w:sz w:val="18"/>
                            <w:szCs w:val="18"/>
                          </w:rPr>
                        </w:pPr>
                        <w:r>
                          <w:rPr>
                            <w:rFonts w:ascii="宋体" w:hAnsi="宋体" w:cs="宋体" w:eastAsia="宋体" w:hint="default"/>
                            <w:sz w:val="18"/>
                            <w:szCs w:val="18"/>
                          </w:rPr>
                          <w:t>青羊区人民南路一段</w:t>
                        </w:r>
                        <w:r>
                          <w:rPr>
                            <w:rFonts w:ascii="Times New Roman" w:hAnsi="Times New Roman" w:cs="Times New Roman" w:eastAsia="Times New Roman" w:hint="default"/>
                            <w:sz w:val="18"/>
                            <w:szCs w:val="18"/>
                          </w:rPr>
                          <w:t>97</w:t>
                        </w:r>
                        <w:r>
                          <w:rPr>
                            <w:rFonts w:ascii="宋体" w:hAnsi="宋体" w:cs="宋体" w:eastAsia="宋体" w:hint="default"/>
                            <w:sz w:val="18"/>
                            <w:szCs w:val="18"/>
                          </w:rPr>
                          <w:t>号</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25</w:t>
                        </w:r>
                        <w:r>
                          <w:rPr>
                            <w:rFonts w:ascii="宋体" w:hAnsi="宋体" w:cs="宋体" w:eastAsia="宋体" w:hint="default"/>
                            <w:sz w:val="18"/>
                            <w:szCs w:val="18"/>
                          </w:rPr>
                          <w:t>号</w:t>
                        </w:r>
                      </w:p>
                    </w:tc>
                    <w:tc>
                      <w:tcPr>
                        <w:tcW w:w="1572" w:type="dxa"/>
                        <w:vMerge/>
                        <w:tcBorders>
                          <w:left w:val="single" w:sz="6" w:space="0" w:color="000000"/>
                          <w:right w:val="single" w:sz="6" w:space="0" w:color="000000"/>
                        </w:tcBorders>
                      </w:tcPr>
                      <w:p>
                        <w:pPr/>
                      </w:p>
                    </w:tc>
                  </w:tr>
                  <w:tr>
                    <w:trPr>
                      <w:trHeight w:val="665"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84" w:right="79"/>
                          <w:jc w:val="left"/>
                          <w:rPr>
                            <w:rFonts w:ascii="宋体" w:hAnsi="宋体" w:cs="宋体" w:eastAsia="宋体" w:hint="default"/>
                            <w:sz w:val="18"/>
                            <w:szCs w:val="18"/>
                          </w:rPr>
                        </w:pPr>
                        <w:r>
                          <w:rPr>
                            <w:rFonts w:ascii="宋体" w:hAnsi="宋体" w:cs="宋体" w:eastAsia="宋体" w:hint="default"/>
                            <w:sz w:val="18"/>
                            <w:szCs w:val="18"/>
                          </w:rPr>
                          <w:t>沈阳爱航珠宝 首饰有限公司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516" w:right="65" w:hanging="452"/>
                          <w:jc w:val="left"/>
                          <w:rPr>
                            <w:rFonts w:ascii="宋体" w:hAnsi="宋体" w:cs="宋体" w:eastAsia="宋体" w:hint="default"/>
                            <w:sz w:val="18"/>
                            <w:szCs w:val="18"/>
                          </w:rPr>
                        </w:pPr>
                        <w:r>
                          <w:rPr>
                            <w:rFonts w:ascii="宋体" w:hAnsi="宋体" w:cs="宋体" w:eastAsia="宋体" w:hint="default"/>
                            <w:sz w:val="18"/>
                            <w:szCs w:val="18"/>
                          </w:rPr>
                          <w:t>辽宁省沈阳市沈河区西顺 城街</w:t>
                        </w:r>
                        <w:r>
                          <w:rPr>
                            <w:rFonts w:ascii="Times New Roman" w:hAnsi="Times New Roman" w:cs="Times New Roman" w:eastAsia="Times New Roman" w:hint="default"/>
                            <w:sz w:val="18"/>
                            <w:szCs w:val="18"/>
                          </w:rPr>
                          <w:t>72</w:t>
                        </w:r>
                        <w:r>
                          <w:rPr>
                            <w:rFonts w:ascii="宋体" w:hAnsi="宋体" w:cs="宋体" w:eastAsia="宋体" w:hint="default"/>
                            <w:sz w:val="18"/>
                            <w:szCs w:val="18"/>
                          </w:rPr>
                          <w:t>号五楼</w:t>
                        </w:r>
                      </w:p>
                    </w:tc>
                    <w:tc>
                      <w:tcPr>
                        <w:tcW w:w="1572" w:type="dxa"/>
                        <w:vMerge/>
                        <w:tcBorders>
                          <w:left w:val="single" w:sz="6" w:space="0" w:color="000000"/>
                          <w:right w:val="single" w:sz="6" w:space="0" w:color="000000"/>
                        </w:tcBorders>
                      </w:tcPr>
                      <w:p>
                        <w:pPr/>
                      </w:p>
                    </w:tc>
                  </w:tr>
                  <w:tr>
                    <w:trPr>
                      <w:trHeight w:val="974"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84" w:right="79"/>
                          <w:jc w:val="center"/>
                          <w:rPr>
                            <w:rFonts w:ascii="宋体" w:hAnsi="宋体" w:cs="宋体" w:eastAsia="宋体" w:hint="default"/>
                            <w:sz w:val="18"/>
                            <w:szCs w:val="18"/>
                          </w:rPr>
                        </w:pPr>
                        <w:r>
                          <w:rPr>
                            <w:rFonts w:ascii="宋体" w:hAnsi="宋体" w:cs="宋体" w:eastAsia="宋体" w:hint="default"/>
                            <w:sz w:val="18"/>
                            <w:szCs w:val="18"/>
                          </w:rPr>
                          <w:t>北京爱迪尔灵 感珠宝首饰有 限公司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6" w:right="65" w:hanging="92"/>
                          <w:jc w:val="left"/>
                          <w:rPr>
                            <w:rFonts w:ascii="宋体" w:hAnsi="宋体" w:cs="宋体" w:eastAsia="宋体" w:hint="default"/>
                            <w:sz w:val="18"/>
                            <w:szCs w:val="18"/>
                          </w:rPr>
                        </w:pPr>
                        <w:r>
                          <w:rPr>
                            <w:rFonts w:ascii="宋体" w:hAnsi="宋体" w:cs="宋体" w:eastAsia="宋体" w:hint="default"/>
                            <w:sz w:val="18"/>
                            <w:szCs w:val="18"/>
                          </w:rPr>
                          <w:t>北京市西城区新街口北大 街</w:t>
                        </w:r>
                        <w:r>
                          <w:rPr>
                            <w:rFonts w:ascii="Times New Roman" w:hAnsi="Times New Roman" w:cs="Times New Roman" w:eastAsia="Times New Roman" w:hint="default"/>
                            <w:sz w:val="18"/>
                            <w:szCs w:val="18"/>
                          </w:rPr>
                          <w:t>59</w:t>
                        </w:r>
                        <w:r>
                          <w:rPr>
                            <w:rFonts w:ascii="宋体" w:hAnsi="宋体" w:cs="宋体" w:eastAsia="宋体" w:hint="default"/>
                            <w:sz w:val="18"/>
                            <w:szCs w:val="18"/>
                          </w:rPr>
                          <w:t>号万丰珠宝城四楼</w:t>
                        </w:r>
                      </w:p>
                    </w:tc>
                    <w:tc>
                      <w:tcPr>
                        <w:tcW w:w="1572" w:type="dxa"/>
                        <w:vMerge/>
                        <w:tcBorders>
                          <w:left w:val="single" w:sz="6" w:space="0" w:color="000000"/>
                          <w:right w:val="single" w:sz="6" w:space="0" w:color="000000"/>
                        </w:tcBorders>
                      </w:tcPr>
                      <w:p>
                        <w:pPr/>
                      </w:p>
                    </w:tc>
                  </w:tr>
                  <w:tr>
                    <w:trPr>
                      <w:trHeight w:val="3586"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6"/>
                          <w:ind w:left="84" w:right="79"/>
                          <w:jc w:val="center"/>
                          <w:rPr>
                            <w:rFonts w:ascii="宋体" w:hAnsi="宋体" w:cs="宋体" w:eastAsia="宋体" w:hint="default"/>
                            <w:sz w:val="18"/>
                            <w:szCs w:val="18"/>
                          </w:rPr>
                        </w:pPr>
                        <w:r>
                          <w:rPr>
                            <w:rFonts w:ascii="宋体" w:hAnsi="宋体" w:cs="宋体" w:eastAsia="宋体" w:hint="default"/>
                            <w:sz w:val="18"/>
                            <w:szCs w:val="18"/>
                          </w:rPr>
                          <w:t>武汉市灵感珠 宝首饰有限公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苗志国</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6"/>
                          <w:ind w:left="19" w:right="17" w:hanging="3"/>
                          <w:jc w:val="center"/>
                          <w:rPr>
                            <w:rFonts w:ascii="宋体" w:hAnsi="宋体" w:cs="宋体" w:eastAsia="宋体" w:hint="default"/>
                            <w:sz w:val="18"/>
                            <w:szCs w:val="18"/>
                          </w:rPr>
                        </w:pPr>
                        <w:r>
                          <w:rPr>
                            <w:rFonts w:ascii="宋体" w:hAnsi="宋体" w:cs="宋体" w:eastAsia="宋体" w:hint="default"/>
                            <w:sz w:val="18"/>
                            <w:szCs w:val="18"/>
                          </w:rPr>
                          <w:t>湖北省武汉市江汉区中山 大道</w:t>
                        </w:r>
                        <w:r>
                          <w:rPr>
                            <w:rFonts w:ascii="Times New Roman" w:hAnsi="Times New Roman" w:cs="Times New Roman" w:eastAsia="Times New Roman" w:hint="default"/>
                            <w:sz w:val="18"/>
                            <w:szCs w:val="18"/>
                          </w:rPr>
                          <w:t>357</w:t>
                        </w:r>
                        <w:r>
                          <w:rPr>
                            <w:rFonts w:ascii="宋体" w:hAnsi="宋体" w:cs="宋体" w:eastAsia="宋体" w:hint="default"/>
                            <w:sz w:val="18"/>
                            <w:szCs w:val="18"/>
                          </w:rPr>
                          <w:t>号新金珠宝大厦七 楼</w:t>
                        </w:r>
                      </w:p>
                    </w:tc>
                    <w:tc>
                      <w:tcPr>
                        <w:tcW w:w="1572" w:type="dxa"/>
                        <w:vMerge/>
                        <w:tcBorders>
                          <w:left w:val="single" w:sz="6" w:space="0" w:color="000000"/>
                          <w:bottom w:val="single" w:sz="12" w:space="0" w:color="000000"/>
                          <w:right w:val="single" w:sz="6" w:space="0" w:color="000000"/>
                        </w:tcBorders>
                      </w:tcPr>
                      <w:p>
                        <w:pP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ind w:left="0" w:right="7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741"/>
        <w:jc w:val="right"/>
      </w:pPr>
      <w:r>
        <w:rPr/>
        <w:t>、</w:t>
      </w:r>
    </w:p>
    <w:p>
      <w:pPr>
        <w:pStyle w:val="BodyText"/>
        <w:spacing w:line="240" w:lineRule="auto" w:before="77"/>
        <w:ind w:left="0" w:right="741"/>
        <w:jc w:val="right"/>
      </w:pPr>
      <w:r>
        <w:rPr/>
        <w:t>、</w:t>
      </w:r>
    </w:p>
    <w:p>
      <w:pPr>
        <w:pStyle w:val="BodyText"/>
        <w:spacing w:line="240" w:lineRule="auto" w:before="76"/>
        <w:ind w:left="0" w:right="7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0" w:right="7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40" w:lineRule="auto" w:before="26"/>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李素英 </w:t>
            </w:r>
            <w:r>
              <w:rPr>
                <w:rFonts w:ascii="宋体" w:hAnsi="宋体" w:cs="宋体" w:eastAsia="宋体" w:hint="default"/>
                <w:spacing w:val="2"/>
                <w:sz w:val="18"/>
                <w:szCs w:val="18"/>
              </w:rPr>
              <w:t> </w:t>
            </w:r>
            <w:r>
              <w:rPr>
                <w:rFonts w:ascii="宋体" w:hAnsi="宋体" w:cs="宋体" w:eastAsia="宋体" w:hint="default"/>
                <w:sz w:val="18"/>
                <w:szCs w:val="18"/>
              </w:rPr>
              <w:t>徐士宝</w:t>
            </w:r>
          </w:p>
        </w:tc>
      </w:tr>
    </w:tbl>
    <w:p>
      <w:pPr>
        <w:pStyle w:val="BodyText"/>
        <w:spacing w:line="240" w:lineRule="auto" w:before="49"/>
        <w:ind w:right="153"/>
        <w:jc w:val="left"/>
      </w:pP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4"/>
        <w:gridCol w:w="912"/>
        <w:gridCol w:w="930"/>
        <w:gridCol w:w="1304"/>
        <w:gridCol w:w="1051"/>
        <w:gridCol w:w="1041"/>
        <w:gridCol w:w="1059"/>
        <w:gridCol w:w="782"/>
        <w:gridCol w:w="782"/>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96" w:right="8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浙江禧福珠宝有限公 司</w:t>
            </w:r>
          </w:p>
        </w:tc>
        <w:tc>
          <w:tcPr>
            <w:tcW w:w="91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3" w:right="0"/>
              <w:jc w:val="left"/>
              <w:rPr>
                <w:rFonts w:ascii="Times New Roman" w:hAnsi="Times New Roman" w:cs="Times New Roman" w:eastAsia="Times New Roman" w:hint="default"/>
                <w:sz w:val="18"/>
                <w:szCs w:val="18"/>
              </w:rPr>
            </w:pPr>
            <w:r>
              <w:rPr>
                <w:rFonts w:ascii="Times New Roman"/>
                <w:sz w:val="18"/>
              </w:rPr>
              <w:t>2,000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4"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1"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4"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2"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714"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4"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8"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4"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2"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56" w:hRule="exact"/>
        </w:trPr>
        <w:tc>
          <w:tcPr>
            <w:tcW w:w="1714"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4"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20" w:hRule="exact"/>
        </w:trPr>
        <w:tc>
          <w:tcPr>
            <w:tcW w:w="2626"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4" w:type="dxa"/>
            <w:gridSpan w:val="2"/>
            <w:tcBorders>
              <w:top w:val="single" w:sz="4" w:space="0" w:color="000000"/>
              <w:left w:val="single" w:sz="14"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3"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153"/>
        <w:jc w:val="left"/>
      </w:pPr>
      <w:r>
        <w:rPr/>
        <w:t>采用复合方式担保的具体情况说明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公司报告期无违规对外担保情况。</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9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6"/>
        <w:spacing w:line="240" w:lineRule="auto"/>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21"/>
          <w:szCs w:val="21"/>
        </w:rPr>
      </w:pPr>
    </w:p>
    <w:p>
      <w:pPr>
        <w:pStyle w:val="Heading6"/>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9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left="333" w:right="94" w:hanging="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w:t>
      </w:r>
      <w:r>
        <w:rPr>
          <w:spacing w:val="-2"/>
        </w:rPr>
        <w:t>日，中国证券监督管理委员会发行审核委员会对深圳市爱迪尔股份有限公司</w:t>
      </w:r>
      <w:r>
        <w:rPr>
          <w:rFonts w:ascii="宋体" w:hAnsi="宋体" w:cs="宋体" w:eastAsia="宋体" w:hint="default"/>
          <w:spacing w:val="-2"/>
        </w:rPr>
        <w:t>2015</w:t>
      </w:r>
      <w:r>
        <w:rPr>
          <w:spacing w:val="-2"/>
        </w:rPr>
        <w:t>年非公开发行股票的申请进行</w:t>
      </w:r>
    </w:p>
    <w:p>
      <w:pPr>
        <w:pStyle w:val="BodyText"/>
        <w:spacing w:line="319" w:lineRule="auto" w:before="2"/>
        <w:ind w:left="333" w:right="993" w:hanging="181"/>
        <w:jc w:val="left"/>
      </w:pPr>
      <w:r>
        <w:rPr/>
        <w:t>了审核。根据审核结果，公司非公开发行股票申请获得审核通过。 目前，公司尚未收到中国证监会的书面核准文件，公司将在收到中国证监会予以核准的正式文件后另行公告。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right="9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94"/>
        <w:jc w:val="left"/>
        <w:rPr>
          <w:b w:val="0"/>
          <w:bCs w:val="0"/>
        </w:rPr>
      </w:pPr>
      <w:r>
        <w:rPr/>
        <w:t>二十、社会责任情况</w:t>
      </w:r>
      <w:r>
        <w:rPr>
          <w:b w:val="0"/>
          <w:bCs w:val="0"/>
        </w:rPr>
      </w:r>
    </w:p>
    <w:p>
      <w:pPr>
        <w:spacing w:line="240" w:lineRule="auto" w:before="4"/>
        <w:rPr>
          <w:rFonts w:ascii="宋体" w:hAnsi="宋体" w:cs="宋体" w:eastAsia="宋体" w:hint="default"/>
          <w:b/>
          <w:bCs/>
          <w:sz w:val="26"/>
          <w:szCs w:val="26"/>
        </w:rPr>
      </w:pPr>
    </w:p>
    <w:p>
      <w:pPr>
        <w:pStyle w:val="BodyText"/>
        <w:spacing w:line="321"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公司坚持</w:t>
      </w:r>
      <w:r>
        <w:rPr>
          <w:rFonts w:ascii="Times New Roman" w:hAnsi="Times New Roman" w:cs="Times New Roman" w:eastAsia="Times New Roman" w:hint="default"/>
          <w:spacing w:val="-2"/>
        </w:rPr>
        <w:t>“</w:t>
      </w:r>
      <w:r>
        <w:rPr>
          <w:spacing w:val="-2"/>
        </w:rPr>
        <w:t>成为以关爱指导服务的非凡公司</w:t>
      </w:r>
      <w:r>
        <w:rPr>
          <w:rFonts w:ascii="Times New Roman" w:hAnsi="Times New Roman" w:cs="Times New Roman" w:eastAsia="Times New Roman" w:hint="default"/>
          <w:spacing w:val="-2"/>
        </w:rPr>
        <w:t>”</w:t>
      </w:r>
      <w:r>
        <w:rPr>
          <w:spacing w:val="-2"/>
        </w:rPr>
        <w:t>为愿景，始终坚持关爱文化，对内关爱员工，对外回馈社会，努力承担企业的社</w:t>
      </w:r>
      <w:r>
        <w:rPr>
          <w:spacing w:val="-45"/>
        </w:rPr>
        <w:t> </w:t>
      </w:r>
      <w:r>
        <w:rPr>
          <w:spacing w:val="-45"/>
        </w:rPr>
      </w:r>
      <w:r>
        <w:rPr/>
        <w:t>会公众作用。一是积极参与关爱文化传播活动，自</w:t>
      </w:r>
      <w:r>
        <w:rPr>
          <w:rFonts w:ascii="Times New Roman" w:hAnsi="Times New Roman" w:cs="Times New Roman" w:eastAsia="Times New Roman" w:hint="default"/>
        </w:rPr>
        <w:t>2005</w:t>
      </w:r>
      <w:r>
        <w:rPr/>
        <w:t>年以来，先后编撰并出版关爱系列丛书《关爱，钻石般的人间真情》</w:t>
      </w:r>
    </w:p>
    <w:p>
      <w:pPr>
        <w:pStyle w:val="BodyText"/>
        <w:spacing w:line="307" w:lineRule="auto" w:before="0"/>
        <w:ind w:right="93"/>
        <w:jc w:val="left"/>
      </w:pPr>
      <w:r>
        <w:rPr/>
        <w:t>《关爱，钻石般的人间真爱》《关爱，钻石般的永恒力量》，与《深圳青年》联合邀请知名作家举办</w:t>
      </w:r>
      <w:r>
        <w:rPr>
          <w:rFonts w:ascii="Times New Roman" w:hAnsi="Times New Roman" w:cs="Times New Roman" w:eastAsia="Times New Roman" w:hint="default"/>
        </w:rPr>
        <w:t>“</w:t>
      </w:r>
      <w:r>
        <w:rPr/>
        <w:t>名家写关爱</w:t>
      </w:r>
      <w:r>
        <w:rPr>
          <w:rFonts w:ascii="Times New Roman" w:hAnsi="Times New Roman" w:cs="Times New Roman" w:eastAsia="Times New Roman" w:hint="default"/>
        </w:rPr>
        <w:t>”</w:t>
      </w:r>
      <w:r>
        <w:rPr/>
        <w:t>活动，传 递社会人文关怀等；二是成立</w:t>
      </w:r>
      <w:r>
        <w:rPr>
          <w:rFonts w:ascii="Times New Roman" w:hAnsi="Times New Roman" w:cs="Times New Roman" w:eastAsia="Times New Roman" w:hint="default"/>
        </w:rPr>
        <w:t>“</w:t>
      </w:r>
      <w:r>
        <w:rPr/>
        <w:t>联合办学</w:t>
      </w:r>
      <w:r>
        <w:rPr>
          <w:rFonts w:ascii="Times New Roman" w:hAnsi="Times New Roman" w:cs="Times New Roman" w:eastAsia="Times New Roman" w:hint="default"/>
        </w:rPr>
        <w:t>”</w:t>
      </w:r>
      <w:r>
        <w:rPr/>
        <w:t>项目，在各校设立爱迪尔珠宝班，为在校学生提供更多的实习机会和成长体验，实 </w:t>
      </w:r>
      <w:r>
        <w:rPr>
          <w:spacing w:val="-2"/>
        </w:rPr>
        <w:t>现校企对接，培养更多现代化人才，减轻毕业生就业压力，为支持就业作出贡献；三是保障员工福利，关注员工身心健康发</w:t>
      </w:r>
      <w:r>
        <w:rPr>
          <w:spacing w:val="-67"/>
        </w:rPr>
        <w:t> </w:t>
      </w:r>
      <w:r>
        <w:rPr>
          <w:spacing w:val="-67"/>
        </w:rPr>
      </w:r>
      <w:r>
        <w:rPr>
          <w:spacing w:val="-2"/>
        </w:rPr>
        <w:t>展，设立职工书屋、党群文化广场，定期组织员工体检、旅游，鼓励员工培训参赛，拓展职业技能。积极响应区总工会的部</w:t>
      </w:r>
      <w:r>
        <w:rPr>
          <w:spacing w:val="-70"/>
        </w:rPr>
        <w:t> </w:t>
      </w:r>
      <w:r>
        <w:rPr>
          <w:spacing w:val="-70"/>
        </w:rPr>
      </w:r>
      <w:r>
        <w:rPr/>
        <w:t>署，将</w:t>
      </w:r>
      <w:r>
        <w:rPr>
          <w:rFonts w:ascii="Times New Roman" w:hAnsi="Times New Roman" w:cs="Times New Roman" w:eastAsia="Times New Roman" w:hint="default"/>
        </w:rPr>
        <w:t>“</w:t>
      </w:r>
      <w:r>
        <w:rPr/>
        <w:t>创建劳动关系和谐企业</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创建公司精神文明建设</w:t>
      </w:r>
      <w:r>
        <w:rPr>
          <w:rFonts w:ascii="Times New Roman" w:hAnsi="Times New Roman" w:cs="Times New Roman" w:eastAsia="Times New Roman" w:hint="default"/>
        </w:rPr>
        <w:t>”</w:t>
      </w:r>
      <w:r>
        <w:rPr/>
        <w:t>有机结合，坚持以人为本，规范用工管理，不断完善规章制度， 切实保障职工合法权益，促进劳动关系问题有效化解，长期以来，构建起稳定和谐的劳动关系。先后被授予</w:t>
      </w:r>
      <w:r>
        <w:rPr>
          <w:rFonts w:ascii="Times New Roman" w:hAnsi="Times New Roman" w:cs="Times New Roman" w:eastAsia="Times New Roman" w:hint="default"/>
        </w:rPr>
        <w:t>“</w:t>
      </w:r>
      <w:r>
        <w:rPr/>
        <w:t>深圳市劳动关 </w:t>
      </w:r>
      <w:r>
        <w:rPr>
          <w:spacing w:val="-1"/>
        </w:rPr>
        <w:t>系和谐企业</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w:t>
      </w:r>
      <w:r>
        <w:rPr>
          <w:spacing w:val="-1"/>
        </w:rPr>
        <w:t>深圳市和谐劳动关系先进企业</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rPr>
        <w:t>“</w:t>
      </w:r>
      <w:r>
        <w:rPr>
          <w:spacing w:val="-2"/>
        </w:rPr>
        <w:t>履行社会责任优秀企业</w:t>
      </w:r>
      <w:r>
        <w:rPr>
          <w:rFonts w:ascii="Times New Roman" w:hAnsi="Times New Roman" w:cs="Times New Roman" w:eastAsia="Times New Roman" w:hint="default"/>
          <w:spacing w:val="-2"/>
        </w:rPr>
        <w:t>”</w:t>
      </w:r>
      <w:r>
        <w:rPr>
          <w:spacing w:val="-2"/>
        </w:rPr>
        <w:t>，被深圳人社局认定为“深圳市技师工作站”，</w:t>
      </w:r>
      <w:r>
        <w:rPr>
          <w:spacing w:val="-88"/>
        </w:rPr>
        <w:t> </w:t>
      </w:r>
      <w:r>
        <w:rPr>
          <w:spacing w:val="-88"/>
        </w:rPr>
      </w:r>
      <w:r>
        <w:rPr/>
        <w:t>在公司成立劳动关系协调委员会。四是积极参与慈善关爱事业，在</w:t>
      </w:r>
      <w:r>
        <w:rPr>
          <w:rFonts w:ascii="Times New Roman" w:hAnsi="Times New Roman" w:cs="Times New Roman" w:eastAsia="Times New Roman" w:hint="default"/>
        </w:rPr>
        <w:t>“</w:t>
      </w:r>
      <w:r>
        <w:rPr/>
        <w:t>关爱</w:t>
      </w:r>
      <w:r>
        <w:rPr>
          <w:rFonts w:ascii="Times New Roman" w:hAnsi="Times New Roman" w:cs="Times New Roman" w:eastAsia="Times New Roman" w:hint="default"/>
        </w:rPr>
        <w:t>”</w:t>
      </w:r>
      <w:r>
        <w:rPr/>
        <w:t>文化的引领下，自</w:t>
      </w:r>
      <w:r>
        <w:rPr>
          <w:rFonts w:ascii="Times New Roman" w:hAnsi="Times New Roman" w:cs="Times New Roman" w:eastAsia="Times New Roman" w:hint="default"/>
        </w:rPr>
        <w:t>2006</w:t>
      </w:r>
      <w:r>
        <w:rPr/>
        <w:t>年开始，与中国关工委文化 </w:t>
      </w:r>
      <w:r>
        <w:rPr>
          <w:spacing w:val="-2"/>
        </w:rPr>
        <w:t>中心结成关爱文化战略合作伙伴，十年如一日地支持践行关爱，为关爱下一代健康成长事业做出了力所能及的贡献。，关注</w:t>
      </w:r>
      <w:r>
        <w:rPr>
          <w:spacing w:val="-62"/>
        </w:rPr>
        <w:t> </w:t>
      </w:r>
      <w:r>
        <w:rPr>
          <w:spacing w:val="-62"/>
        </w:rPr>
      </w:r>
      <w:r>
        <w:rPr>
          <w:spacing w:val="-2"/>
        </w:rPr>
        <w:t>少年儿童成长，举办多次夏令营活动，看望聋哑儿童，资助贫困学生，先后为印度海啸、汶川地震等捐款，积极组织或参加</w:t>
      </w:r>
    </w:p>
    <w:p>
      <w:pPr>
        <w:spacing w:after="0" w:line="30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ind w:right="173"/>
        <w:jc w:val="both"/>
      </w:pPr>
      <w:r>
        <w:rPr/>
        <w:t>各种爱心慈善活动，在公司内部建立爱心基金，援助困难员工。先后被授予</w:t>
      </w:r>
      <w:r>
        <w:rPr>
          <w:rFonts w:ascii="Times New Roman" w:hAnsi="Times New Roman" w:cs="Times New Roman" w:eastAsia="Times New Roman" w:hint="default"/>
        </w:rPr>
        <w:t>“</w:t>
      </w:r>
      <w:r>
        <w:rPr/>
        <w:t>中华大家园关爱成长行动特别贡献单位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 华大家园关爱儿童贡献奖</w:t>
      </w:r>
      <w:r>
        <w:rPr>
          <w:rFonts w:ascii="Times New Roman" w:hAnsi="Times New Roman" w:cs="Times New Roman" w:eastAsia="Times New Roman" w:hint="default"/>
        </w:rPr>
        <w:t>”</w:t>
      </w:r>
      <w:r>
        <w:rPr/>
        <w:t>等荣誉。爱迪尔珠宝在用实际行动践行，企业在社会中扮演的不仅仅是财富创造者的角色，更应 该去成为正能量的传递者。</w:t>
      </w:r>
    </w:p>
    <w:p>
      <w:pPr>
        <w:pStyle w:val="BodyText"/>
        <w:spacing w:line="240" w:lineRule="auto" w:before="72"/>
        <w:ind w:right="0"/>
        <w:jc w:val="both"/>
      </w:pPr>
      <w:r>
        <w:rPr/>
        <w:t>上市公司及其子公司是否属于国家环境保护部门规定的重污染行业</w:t>
      </w:r>
    </w:p>
    <w:p>
      <w:pPr>
        <w:pStyle w:val="BodyText"/>
        <w:spacing w:line="340" w:lineRule="auto" w:before="115"/>
        <w:ind w:right="7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是否发布社会责任报告</w:t>
      </w:r>
    </w:p>
    <w:p>
      <w:pPr>
        <w:pStyle w:val="BodyText"/>
        <w:spacing w:line="240" w:lineRule="auto" w:before="4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77.93%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16.55%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22.07%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58,450,60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58.45%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股份变动的原因</w:t>
      </w:r>
    </w:p>
    <w:p>
      <w:pPr>
        <w:pStyle w:val="BodyText"/>
        <w:spacing w:line="321" w:lineRule="auto" w:before="115"/>
        <w:ind w:right="24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公司首次公开发行的人民币普通股股票于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日在深圳证券交易所中小板挂牌上市。 本次公司公开发行新股</w:t>
      </w:r>
      <w:r>
        <w:rPr>
          <w:rFonts w:ascii="Times New Roman" w:hAnsi="Times New Roman" w:cs="Times New Roman" w:eastAsia="Times New Roman" w:hint="default"/>
        </w:rPr>
        <w:t>2500</w:t>
      </w:r>
      <w:r>
        <w:rPr/>
        <w:t>万股，发行后公司总股本由</w:t>
      </w:r>
      <w:r>
        <w:rPr>
          <w:rFonts w:ascii="Times New Roman" w:hAnsi="Times New Roman" w:cs="Times New Roman" w:eastAsia="Times New Roman" w:hint="default"/>
        </w:rPr>
        <w:t>7500</w:t>
      </w:r>
      <w:r>
        <w:rPr/>
        <w:t>万股增至</w:t>
      </w:r>
      <w:r>
        <w:rPr>
          <w:rFonts w:ascii="Times New Roman" w:hAnsi="Times New Roman" w:cs="Times New Roman" w:eastAsia="Times New Roman" w:hint="default"/>
        </w:rPr>
        <w:t>10000</w:t>
      </w:r>
      <w:r>
        <w:rPr/>
        <w:t>万股。</w:t>
      </w:r>
    </w:p>
    <w:p>
      <w:pPr>
        <w:spacing w:line="240" w:lineRule="auto" w:before="8"/>
        <w:rPr>
          <w:rFonts w:ascii="宋体" w:hAnsi="宋体" w:cs="宋体" w:eastAsia="宋体" w:hint="default"/>
          <w:sz w:val="26"/>
          <w:szCs w:val="26"/>
        </w:rPr>
      </w:pPr>
    </w:p>
    <w:p>
      <w:pPr>
        <w:pStyle w:val="BodyText"/>
        <w:spacing w:line="240" w:lineRule="auto" w:before="0"/>
        <w:ind w:right="153"/>
        <w:jc w:val="left"/>
      </w:pPr>
      <w:r>
        <w:rPr/>
        <w:t>股份变动的批准情况</w:t>
      </w:r>
    </w:p>
    <w:p>
      <w:pPr>
        <w:pStyle w:val="BodyText"/>
        <w:spacing w:line="319" w:lineRule="auto" w:before="115"/>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4</w:t>
      </w:r>
      <w:r>
        <w:rPr>
          <w:spacing w:val="-5"/>
        </w:rPr>
        <w:t>月，经中国证券监督管理委员会签发关于核准深圳市爱迪尔珠宝股份有限公司首次公开发行股票的批复》核准（证</w:t>
      </w:r>
      <w:r>
        <w:rPr>
          <w:spacing w:val="-67"/>
        </w:rPr>
        <w:t> </w:t>
      </w:r>
      <w:r>
        <w:rPr>
          <w:spacing w:val="-67"/>
        </w:rPr>
      </w:r>
      <w:r>
        <w:rPr>
          <w:spacing w:val="-2"/>
        </w:rPr>
        <w:t>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28</w:t>
      </w:r>
      <w:r>
        <w:rPr>
          <w:spacing w:val="-2"/>
        </w:rPr>
        <w:t>号）文核准，公司发行新股。本次发行采用网下向投资者询价配售和网上按市值申购定价发行相结合的方</w:t>
      </w:r>
    </w:p>
    <w:p>
      <w:pPr>
        <w:pStyle w:val="BodyText"/>
        <w:spacing w:line="233" w:lineRule="exact" w:before="0"/>
        <w:ind w:right="153"/>
        <w:jc w:val="left"/>
      </w:pPr>
      <w:r>
        <w:rPr/>
        <w:t>式。</w:t>
      </w:r>
    </w:p>
    <w:p>
      <w:pPr>
        <w:pStyle w:val="BodyText"/>
        <w:spacing w:line="300" w:lineRule="auto" w:before="117"/>
        <w:ind w:right="149" w:firstLine="288"/>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20</w:t>
      </w:r>
      <w:r>
        <w:rPr>
          <w:spacing w:val="4"/>
        </w:rPr>
        <w:t>日，经深圳证券交易所《关于深圳市爱迪尔珠宝股份有限公司人民币普通股股票上市的通知》（深证上 </w:t>
      </w:r>
      <w:r>
        <w:rPr>
          <w:rFonts w:ascii="Times New Roman" w:hAnsi="Times New Roman" w:cs="Times New Roman" w:eastAsia="Times New Roman" w:hint="default"/>
        </w:rPr>
        <w:t>[2015]30 </w:t>
      </w:r>
      <w:r>
        <w:rPr>
          <w:spacing w:val="-6"/>
        </w:rPr>
        <w:t>号）同意，本公司本次公开发行的 </w:t>
      </w:r>
      <w:r>
        <w:rPr>
          <w:rFonts w:ascii="Times New Roman" w:hAnsi="Times New Roman" w:cs="Times New Roman" w:eastAsia="Times New Roman" w:hint="default"/>
        </w:rPr>
        <w:t>2,500 </w:t>
      </w:r>
      <w:r>
        <w:rPr/>
        <w:t>万股股票于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39"/>
        </w:rPr>
        <w:t> </w:t>
      </w:r>
      <w:r>
        <w:rPr>
          <w:spacing w:val="-5"/>
        </w:rPr>
        <w:t>日起在深圳证券交易所上市，股票简称：</w:t>
      </w:r>
      <w:r>
        <w:rPr>
          <w:rFonts w:ascii="Times New Roman" w:hAnsi="Times New Roman" w:cs="Times New Roman" w:eastAsia="Times New Roman" w:hint="default"/>
          <w:spacing w:val="-5"/>
        </w:rPr>
        <w:t>“</w:t>
      </w:r>
      <w:r>
        <w:rPr>
          <w:spacing w:val="-5"/>
        </w:rPr>
        <w:t>爱</w:t>
      </w:r>
      <w:r>
        <w:rPr/>
        <w:t> 迪尔</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“002740”</w:t>
      </w:r>
      <w:r>
        <w:rPr/>
        <w:t>。</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94"/>
        <w:jc w:val="left"/>
      </w:pPr>
      <w:r>
        <w:rPr/>
        <w:t>股份变动的过户情况</w:t>
      </w:r>
    </w:p>
    <w:p>
      <w:pPr>
        <w:pStyle w:val="BodyText"/>
        <w:spacing w:line="338" w:lineRule="auto" w:before="117"/>
        <w:ind w:right="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319"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本次公司公开发行人民币普通（</w:t>
      </w:r>
      <w:r>
        <w:rPr>
          <w:rFonts w:ascii="Times New Roman" w:hAnsi="Times New Roman" w:cs="Times New Roman" w:eastAsia="Times New Roman" w:hint="default"/>
        </w:rPr>
        <w:t>A</w:t>
      </w:r>
      <w:r>
        <w:rPr/>
        <w:t>股）新股</w:t>
      </w:r>
      <w:r>
        <w:rPr>
          <w:rFonts w:ascii="Times New Roman" w:hAnsi="Times New Roman" w:cs="Times New Roman" w:eastAsia="Times New Roman" w:hint="default"/>
        </w:rPr>
        <w:t>2500</w:t>
      </w:r>
      <w:r>
        <w:rPr/>
        <w:t>万股，发行后公司总股本由</w:t>
      </w:r>
      <w:r>
        <w:rPr>
          <w:rFonts w:ascii="Times New Roman" w:hAnsi="Times New Roman" w:cs="Times New Roman" w:eastAsia="Times New Roman" w:hint="default"/>
        </w:rPr>
        <w:t>7500</w:t>
      </w:r>
      <w:r>
        <w:rPr/>
        <w:t>万股增至</w:t>
      </w:r>
      <w:r>
        <w:rPr>
          <w:rFonts w:ascii="Times New Roman" w:hAnsi="Times New Roman" w:cs="Times New Roman" w:eastAsia="Times New Roman" w:hint="default"/>
        </w:rPr>
        <w:t>10000</w:t>
      </w:r>
      <w:r>
        <w:rPr/>
        <w:t>万股。其中有限售条件股份 </w:t>
      </w:r>
      <w:r>
        <w:rPr>
          <w:rFonts w:ascii="Times New Roman" w:hAnsi="Times New Roman" w:cs="Times New Roman" w:eastAsia="Times New Roman" w:hint="default"/>
        </w:rPr>
        <w:t>7500</w:t>
      </w:r>
      <w:r>
        <w:rPr/>
        <w:t>万股，无限售条件</w:t>
      </w:r>
      <w:r>
        <w:rPr>
          <w:rFonts w:ascii="Times New Roman" w:hAnsi="Times New Roman" w:cs="Times New Roman" w:eastAsia="Times New Roman" w:hint="default"/>
        </w:rPr>
        <w:t>2500</w:t>
      </w:r>
      <w:r>
        <w:rPr/>
        <w:t>万股。公司已完成相关工商登记手续，并与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日在指定信息披露媒体披露了相关公告。</w:t>
      </w:r>
    </w:p>
    <w:p>
      <w:pPr>
        <w:pStyle w:val="BodyText"/>
        <w:spacing w:line="233" w:lineRule="exact" w:before="0"/>
        <w:ind w:right="94"/>
        <w:jc w:val="left"/>
      </w:pPr>
      <w:r>
        <w:rPr/>
        <w:t>因公司发行股份，公司资产增加，资产负债率降低。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6"/>
        <w:spacing w:line="240" w:lineRule="auto"/>
        <w:ind w:right="9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爱迪尔</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94"/>
        <w:jc w:val="left"/>
      </w:pPr>
      <w:r>
        <w:rPr/>
        <w:t>报告期内证券发行（不含优先股）情况的说明</w:t>
      </w:r>
    </w:p>
    <w:p>
      <w:pPr>
        <w:spacing w:line="240" w:lineRule="auto" w:before="0"/>
        <w:rPr>
          <w:rFonts w:ascii="宋体" w:hAnsi="宋体" w:cs="宋体" w:eastAsia="宋体" w:hint="default"/>
          <w:sz w:val="18"/>
          <w:szCs w:val="18"/>
        </w:rPr>
      </w:pPr>
    </w:p>
    <w:p>
      <w:pPr>
        <w:pStyle w:val="Heading6"/>
        <w:spacing w:line="240" w:lineRule="auto" w:before="118"/>
        <w:ind w:right="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9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91"/>
        <w:jc w:val="right"/>
      </w:pPr>
      <w:r>
        <w:rPr/>
        <w:t>单位：股</w:t>
      </w:r>
    </w:p>
    <w:p>
      <w:pPr>
        <w:spacing w:after="0" w:line="240" w:lineRule="auto"/>
        <w:jc w:val="right"/>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8,865</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11,612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25.99%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25,985,00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pacing w:val="-1"/>
                <w:sz w:val="18"/>
              </w:rPr>
              <w:t>25,985,00</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22,511,400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11,250,60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w w:val="95"/>
                <w:sz w:val="18"/>
              </w:rPr>
              <w:t>11,250,60</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6.70%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11"/>
              <w:jc w:val="center"/>
              <w:rPr>
                <w:rFonts w:ascii="Times New Roman" w:hAnsi="Times New Roman" w:cs="Times New Roman" w:eastAsia="Times New Roman" w:hint="default"/>
                <w:sz w:val="18"/>
                <w:szCs w:val="18"/>
              </w:rPr>
            </w:pPr>
            <w:r>
              <w:rPr>
                <w:rFonts w:ascii="Times New Roman"/>
                <w:sz w:val="18"/>
              </w:rPr>
              <w:t>6,700,000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5.10%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11"/>
              <w:jc w:val="center"/>
              <w:rPr>
                <w:rFonts w:ascii="Times New Roman" w:hAnsi="Times New Roman" w:cs="Times New Roman" w:eastAsia="Times New Roman" w:hint="default"/>
                <w:sz w:val="18"/>
                <w:szCs w:val="18"/>
              </w:rPr>
            </w:pPr>
            <w:r>
              <w:rPr>
                <w:rFonts w:ascii="Times New Roman"/>
                <w:sz w:val="18"/>
              </w:rPr>
              <w:t>5,100,000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北京嘉俪九鼎投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11"/>
              <w:jc w:val="center"/>
              <w:rPr>
                <w:rFonts w:ascii="Times New Roman" w:hAnsi="Times New Roman" w:cs="Times New Roman" w:eastAsia="Times New Roman" w:hint="default"/>
                <w:sz w:val="18"/>
                <w:szCs w:val="18"/>
              </w:rPr>
            </w:pPr>
            <w:r>
              <w:rPr>
                <w:rFonts w:ascii="Times New Roman"/>
                <w:sz w:val="18"/>
              </w:rPr>
              <w:t>5,000,000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3.55%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11"/>
              <w:jc w:val="center"/>
              <w:rPr>
                <w:rFonts w:ascii="Times New Roman" w:hAnsi="Times New Roman" w:cs="Times New Roman" w:eastAsia="Times New Roman" w:hint="default"/>
                <w:sz w:val="18"/>
                <w:szCs w:val="18"/>
              </w:rPr>
            </w:pPr>
            <w:r>
              <w:rPr>
                <w:rFonts w:ascii="Times New Roman"/>
                <w:sz w:val="18"/>
              </w:rPr>
              <w:t>3,545,000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深圳市爱航投资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3.35%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3,349,400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11"/>
              <w:jc w:val="center"/>
              <w:rPr>
                <w:rFonts w:ascii="Times New Roman" w:hAnsi="Times New Roman" w:cs="Times New Roman" w:eastAsia="Times New Roman" w:hint="default"/>
                <w:sz w:val="18"/>
                <w:szCs w:val="18"/>
              </w:rPr>
            </w:pPr>
            <w:r>
              <w:rPr>
                <w:rFonts w:ascii="Times New Roman"/>
                <w:sz w:val="18"/>
              </w:rPr>
              <w:t>3,349,400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孙林</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3.00%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11"/>
              <w:jc w:val="center"/>
              <w:rPr>
                <w:rFonts w:ascii="Times New Roman" w:hAnsi="Times New Roman" w:cs="Times New Roman" w:eastAsia="Times New Roman" w:hint="default"/>
                <w:sz w:val="18"/>
                <w:szCs w:val="18"/>
              </w:rPr>
            </w:pPr>
            <w:r>
              <w:rPr>
                <w:rFonts w:ascii="Times New Roman"/>
                <w:sz w:val="18"/>
              </w:rPr>
              <w:t>3,000,000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2.60%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2,595,000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11"/>
              <w:jc w:val="center"/>
              <w:rPr>
                <w:rFonts w:ascii="Times New Roman" w:hAnsi="Times New Roman" w:cs="Times New Roman" w:eastAsia="Times New Roman" w:hint="default"/>
                <w:sz w:val="18"/>
                <w:szCs w:val="18"/>
              </w:rPr>
            </w:pPr>
            <w:r>
              <w:rPr>
                <w:rFonts w:ascii="Times New Roman"/>
                <w:sz w:val="18"/>
              </w:rPr>
              <w:t>2,595,000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深圳市星河投资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11"/>
              <w:jc w:val="center"/>
              <w:rPr>
                <w:rFonts w:ascii="Times New Roman" w:hAnsi="Times New Roman" w:cs="Times New Roman" w:eastAsia="Times New Roman" w:hint="default"/>
                <w:sz w:val="18"/>
                <w:szCs w:val="18"/>
              </w:rPr>
            </w:pPr>
            <w:r>
              <w:rPr>
                <w:rFonts w:ascii="Times New Roman"/>
                <w:sz w:val="18"/>
              </w:rPr>
              <w:t>1,500,000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苏日明，狄爱玲夫妇为一致行动人，合计持有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31,085,000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股，占公司总股份数的</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31.09%</w:t>
            </w:r>
            <w:r>
              <w:rPr>
                <w:rFonts w:ascii="宋体" w:hAnsi="宋体" w:cs="宋体" w:eastAsia="宋体" w:hint="default"/>
                <w:sz w:val="18"/>
                <w:szCs w:val="18"/>
              </w:rPr>
              <w:t>。苏永明为苏日明弟弟，持有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11,250,600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股，占公司总股份数的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11.25%</w:t>
            </w:r>
            <w:r>
              <w:rPr>
                <w:rFonts w:ascii="宋体" w:hAnsi="宋体" w:cs="宋体" w:eastAsia="宋体" w:hint="default"/>
                <w:sz w:val="18"/>
                <w:szCs w:val="18"/>
              </w:rPr>
              <w:t>。</w:t>
            </w:r>
          </w:p>
        </w:tc>
      </w:tr>
      <w:tr>
        <w:trPr>
          <w:trHeight w:val="402"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2"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39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1,150,000</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孙小明</w:t>
            </w:r>
          </w:p>
        </w:tc>
        <w:tc>
          <w:tcPr>
            <w:tcW w:w="39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9" w:right="0"/>
              <w:jc w:val="left"/>
              <w:rPr>
                <w:rFonts w:ascii="Times New Roman" w:hAnsi="Times New Roman" w:cs="Times New Roman" w:eastAsia="Times New Roman" w:hint="default"/>
                <w:sz w:val="18"/>
                <w:szCs w:val="18"/>
              </w:rPr>
            </w:pPr>
            <w:r>
              <w:rPr>
                <w:rFonts w:ascii="Times New Roman"/>
                <w:sz w:val="18"/>
              </w:rPr>
              <w:t>418,500</w:t>
            </w: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中国农业银行－新华行业轮换灵活</w:t>
            </w:r>
          </w:p>
        </w:tc>
        <w:tc>
          <w:tcPr>
            <w:tcW w:w="39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sz w:val="18"/>
              </w:rPr>
              <w:t>287,496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36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配置混合型证券投资基金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闵茂群</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陈玉琴</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包文忠</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235,990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许和</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177,895</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李煜</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上海猛犸资产管理有限公司－猛犸 梧桐树证券投资基金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吴见娣</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144,950</w:t>
            </w: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名无限售条件股东是否存在关联关系或是否属于一致行动人。</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苏日明担任公司董事长，狄爱玲担任公司副总经理。</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7"/>
        <w:ind w:right="153"/>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743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7"/>
        <w:gridCol w:w="2302"/>
        <w:gridCol w:w="3838"/>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苏日明担任公司董事长，狄爱玲担任公司副总经理。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53"/>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4"/>
          <w:szCs w:val="24"/>
        </w:rPr>
      </w:pPr>
    </w:p>
    <w:p>
      <w:pPr>
        <w:spacing w:line="3780" w:lineRule="exact"/>
        <w:ind w:left="135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89947" cy="24003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89947" cy="240030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2"/>
        <w:rPr>
          <w:rFonts w:ascii="宋体" w:hAnsi="宋体" w:cs="宋体" w:eastAsia="宋体" w:hint="default"/>
          <w:sz w:val="21"/>
          <w:szCs w:val="21"/>
        </w:rPr>
      </w:pPr>
    </w:p>
    <w:p>
      <w:pPr>
        <w:pStyle w:val="Heading5"/>
        <w:spacing w:line="240" w:lineRule="auto" w:before="26"/>
        <w:ind w:right="153"/>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938"/>
        <w:gridCol w:w="658"/>
        <w:gridCol w:w="797"/>
        <w:gridCol w:w="799"/>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25,985,000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25,985,00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3,545,000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11,250,60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郑恒毅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938"/>
        <w:gridCol w:w="658"/>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樊行健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毕立君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50,335,600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50,335,60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94"/>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毕立君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樊行健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因连续担任本公司独立董事的时间已满六年，申请辞 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由公司股东大会补选为独立董事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公司总经理提名，经董事会提名委员会资格审查，独 立董事发表独立意见，聘任为公司副总经理</w:t>
            </w:r>
          </w:p>
        </w:tc>
      </w:tr>
    </w:tbl>
    <w:p>
      <w:pPr>
        <w:spacing w:line="240" w:lineRule="auto" w:before="1"/>
        <w:rPr>
          <w:rFonts w:ascii="宋体" w:hAnsi="宋体" w:cs="宋体" w:eastAsia="宋体" w:hint="default"/>
          <w:b/>
          <w:bCs/>
          <w:sz w:val="18"/>
          <w:szCs w:val="18"/>
        </w:rPr>
      </w:pPr>
    </w:p>
    <w:p>
      <w:pPr>
        <w:pStyle w:val="Heading4"/>
        <w:spacing w:line="240" w:lineRule="auto" w:before="26"/>
        <w:ind w:right="94"/>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2794"/>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240" w:lineRule="auto" w:before="4"/>
        <w:ind w:right="94"/>
        <w:jc w:val="left"/>
      </w:pPr>
      <w:r>
        <w:rPr>
          <w:rFonts w:ascii="Times New Roman" w:hAnsi="Times New Roman" w:cs="Times New Roman" w:eastAsia="Times New Roman" w:hint="default"/>
        </w:rPr>
        <w:t>1</w:t>
      </w:r>
      <w:r>
        <w:rPr/>
        <w:t>、董事主要工作经历</w:t>
      </w:r>
    </w:p>
    <w:p>
      <w:pPr>
        <w:pStyle w:val="BodyText"/>
        <w:spacing w:line="309" w:lineRule="auto" w:before="63"/>
        <w:ind w:right="94"/>
        <w:jc w:val="left"/>
      </w:pPr>
      <w:r>
        <w:rPr/>
        <w:t>（</w:t>
      </w:r>
      <w:r>
        <w:rPr>
          <w:rFonts w:ascii="Times New Roman" w:hAnsi="Times New Roman" w:cs="Times New Roman" w:eastAsia="Times New Roman" w:hint="default"/>
        </w:rPr>
        <w:t>1</w:t>
      </w:r>
      <w:r>
        <w:rPr/>
        <w:t>）苏日明：男，</w:t>
      </w:r>
      <w:r>
        <w:rPr>
          <w:rFonts w:ascii="Times New Roman" w:hAnsi="Times New Roman" w:cs="Times New Roman" w:eastAsia="Times New Roman" w:hint="default"/>
        </w:rPr>
        <w:t>1968</w:t>
      </w:r>
      <w:r>
        <w:rPr/>
        <w:t>年出生，中国国籍，无境外永久居留权，毕业于福建农林大学，亚洲（澳门）国际公开大学工商管 理硕士。曾任福建省永定县农业局技术员，深圳市太难得宝石有限公司业务经理。现任中国珠宝玉石首饰行业协会副会长， </w:t>
      </w:r>
      <w:r>
        <w:rPr>
          <w:spacing w:val="-2"/>
        </w:rPr>
        <w:t>中华全国工商业联合会金银珠宝业商会副会长，广东省金银珠宝玉器业厂商会副会长，中国爱国英才报效祖国活动组织委员</w:t>
      </w:r>
    </w:p>
    <w:p>
      <w:pPr>
        <w:spacing w:after="0" w:line="30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right="100"/>
        <w:jc w:val="both"/>
      </w:pPr>
      <w:r>
        <w:rPr>
          <w:spacing w:val="-4"/>
        </w:rPr>
        <w:t>会常务委员，中国国际经济发展研究中心研究员，天津商业大学珠宝系客座教授，中国地质大学（武汉）珠宝学院高级顾问，</w:t>
      </w:r>
      <w:r>
        <w:rPr>
          <w:spacing w:val="-42"/>
        </w:rPr>
        <w:t> </w:t>
      </w:r>
      <w:r>
        <w:rPr>
          <w:spacing w:val="-42"/>
        </w:rPr>
      </w:r>
      <w:r>
        <w:rPr/>
        <w:t>无锡商业职业技术学院客座教授，本公司董事长。</w:t>
      </w:r>
    </w:p>
    <w:p>
      <w:pPr>
        <w:pStyle w:val="BodyText"/>
        <w:spacing w:line="309" w:lineRule="auto" w:before="19"/>
        <w:ind w:right="190"/>
        <w:jc w:val="both"/>
      </w:pPr>
      <w:r>
        <w:rPr/>
        <w:t>（</w:t>
      </w:r>
      <w:r>
        <w:rPr>
          <w:rFonts w:ascii="Times New Roman" w:hAnsi="Times New Roman" w:cs="Times New Roman" w:eastAsia="Times New Roman" w:hint="default"/>
        </w:rPr>
        <w:t>2</w:t>
      </w:r>
      <w:r>
        <w:rPr/>
        <w:t>）朱新武：男，</w:t>
      </w:r>
      <w:r>
        <w:rPr>
          <w:rFonts w:ascii="Times New Roman" w:hAnsi="Times New Roman" w:cs="Times New Roman" w:eastAsia="Times New Roman" w:hint="default"/>
        </w:rPr>
        <w:t>1971</w:t>
      </w:r>
      <w:r>
        <w:rPr/>
        <w:t>年出生，中国国籍，无境外永久居留权，毕业于福建农林大学，清华高级工商管理硕士课程研修班 </w:t>
      </w:r>
      <w:r>
        <w:rPr>
          <w:spacing w:val="-2"/>
        </w:rPr>
        <w:t>结业，助理经济师。曾任深圳市罗湖区天业经济开发公司业务部经理，深圳市新灵感首饰有限公司执行董事、总经理、法定</w:t>
      </w:r>
      <w:r>
        <w:rPr>
          <w:spacing w:val="-67"/>
        </w:rPr>
        <w:t> </w:t>
      </w:r>
      <w:r>
        <w:rPr>
          <w:spacing w:val="-67"/>
        </w:rPr>
      </w:r>
      <w:r>
        <w:rPr>
          <w:spacing w:val="-2"/>
        </w:rPr>
        <w:t>代表人。</w:t>
      </w:r>
      <w:r>
        <w:rPr>
          <w:rFonts w:ascii="Times New Roman" w:hAnsi="Times New Roman" w:cs="Times New Roman" w:eastAsia="Times New Roman" w:hint="default"/>
          <w:spacing w:val="-2"/>
        </w:rPr>
        <w:t>2001</w:t>
      </w:r>
      <w:r>
        <w:rPr>
          <w:spacing w:val="-2"/>
        </w:rPr>
        <w:t>年进公司工作，曾任本公司总经理。现任中国珠宝玉石首饰行业协会常务理事，深圳黄金珠宝首饰行业协会常</w:t>
      </w:r>
      <w:r>
        <w:rPr>
          <w:spacing w:val="-61"/>
        </w:rPr>
        <w:t> </w:t>
      </w:r>
      <w:r>
        <w:rPr>
          <w:spacing w:val="-61"/>
        </w:rPr>
      </w:r>
      <w:r>
        <w:rPr>
          <w:spacing w:val="-2"/>
        </w:rPr>
        <w:t>务理事，罗湖区总商会常务理事，中国质量检验协会常务理事，深圳市中小企业促进会副会长，本公司副董事长、董事会秘</w:t>
      </w:r>
      <w:r>
        <w:rPr>
          <w:spacing w:val="-66"/>
        </w:rPr>
        <w:t> </w:t>
      </w:r>
      <w:r>
        <w:rPr>
          <w:spacing w:val="-66"/>
        </w:rPr>
      </w:r>
      <w:r>
        <w:rPr/>
        <w:t>书。</w:t>
      </w:r>
    </w:p>
    <w:p>
      <w:pPr>
        <w:pStyle w:val="BodyText"/>
        <w:spacing w:line="300" w:lineRule="auto" w:before="24"/>
        <w:ind w:right="199"/>
        <w:jc w:val="both"/>
      </w:pPr>
      <w:r>
        <w:rPr/>
        <w:t>（</w:t>
      </w:r>
      <w:r>
        <w:rPr>
          <w:rFonts w:ascii="Times New Roman" w:hAnsi="Times New Roman" w:cs="Times New Roman" w:eastAsia="Times New Roman" w:hint="default"/>
        </w:rPr>
        <w:t>3</w:t>
      </w:r>
      <w:r>
        <w:rPr/>
        <w:t>）苗志国：男，</w:t>
      </w:r>
      <w:r>
        <w:rPr>
          <w:rFonts w:ascii="Times New Roman" w:hAnsi="Times New Roman" w:cs="Times New Roman" w:eastAsia="Times New Roman" w:hint="default"/>
        </w:rPr>
        <w:t>1980</w:t>
      </w:r>
      <w:r>
        <w:rPr/>
        <w:t>年出生，中国国籍，无境外永久居留权，毕业于长春工程学院国土资源和市场营销专业，加拿大皇 家大学</w:t>
      </w:r>
      <w:r>
        <w:rPr>
          <w:rFonts w:ascii="Times New Roman" w:hAnsi="Times New Roman" w:cs="Times New Roman" w:eastAsia="Times New Roman" w:hint="default"/>
        </w:rPr>
        <w:t>MBA</w:t>
      </w:r>
      <w:r>
        <w:rPr/>
        <w:t>，中国宝玉石协会宝石鉴定师，香港人力资源中心认证职业经理人。曾任沈阳卓宇贸易公司市场业务经理，本 公司业务经理、总经理助理、副总经理、董事会秘书。现任无锡商业职业技术学院客座教授，本公司董事、总经理。</w:t>
      </w:r>
    </w:p>
    <w:p>
      <w:pPr>
        <w:pStyle w:val="BodyText"/>
        <w:spacing w:line="300" w:lineRule="auto" w:before="31"/>
        <w:ind w:right="199"/>
        <w:jc w:val="both"/>
      </w:pPr>
      <w:r>
        <w:rPr/>
        <w:t>（</w:t>
      </w:r>
      <w:r>
        <w:rPr>
          <w:rFonts w:ascii="Times New Roman" w:hAnsi="Times New Roman" w:cs="Times New Roman" w:eastAsia="Times New Roman" w:hint="default"/>
        </w:rPr>
        <w:t>4</w:t>
      </w:r>
      <w:r>
        <w:rPr/>
        <w:t>）苏永明：男，</w:t>
      </w:r>
      <w:r>
        <w:rPr>
          <w:rFonts w:ascii="Times New Roman" w:hAnsi="Times New Roman" w:cs="Times New Roman" w:eastAsia="Times New Roman" w:hint="default"/>
        </w:rPr>
        <w:t>1975</w:t>
      </w:r>
      <w:r>
        <w:rPr/>
        <w:t>年出生，中国国籍，无境外永久居留权，毕业于南京陆军指挥学院法律专业，香港人力资源中心认 证职业经理人。曾任本公司业务经理。现任本公司董事、副总经理。</w:t>
      </w:r>
    </w:p>
    <w:p>
      <w:pPr>
        <w:pStyle w:val="BodyText"/>
        <w:spacing w:line="312" w:lineRule="auto" w:before="31"/>
        <w:ind w:right="94"/>
        <w:jc w:val="left"/>
      </w:pPr>
      <w:r>
        <w:rPr/>
        <w:t>（</w:t>
      </w:r>
      <w:r>
        <w:rPr>
          <w:rFonts w:ascii="Times New Roman" w:hAnsi="Times New Roman" w:cs="Times New Roman" w:eastAsia="Times New Roman" w:hint="default"/>
        </w:rPr>
        <w:t>5</w:t>
      </w:r>
      <w:r>
        <w:rPr/>
        <w:t>）苏啟皓：男，</w:t>
      </w:r>
      <w:r>
        <w:rPr>
          <w:rFonts w:ascii="Times New Roman" w:hAnsi="Times New Roman" w:cs="Times New Roman" w:eastAsia="Times New Roman" w:hint="default"/>
        </w:rPr>
        <w:t>1968</w:t>
      </w:r>
      <w:r>
        <w:rPr/>
        <w:t>年出生，中国国籍，无境外永久居留权，毕业于中原工学院工商管理系，清华高级工商管理硕士课 程研修班结业。曾任广东金泰集团编辑部副主任，广东新北江制药股份有限公司企业发展部经理，公司品牌文化中心总监。 </w:t>
      </w:r>
      <w:r>
        <w:rPr>
          <w:spacing w:val="-2"/>
        </w:rPr>
        <w:t>现任无锡商业职业技术学院、深圳高等职业技术学院客座教授，中华爱国英才报效祖国活动组织委员会委员，中国关心下一</w:t>
      </w:r>
      <w:r>
        <w:rPr>
          <w:spacing w:val="-63"/>
        </w:rPr>
        <w:t> </w:t>
      </w:r>
      <w:r>
        <w:rPr>
          <w:spacing w:val="-63"/>
        </w:rPr>
      </w:r>
      <w:r>
        <w:rPr/>
        <w:t>代工作委员会关爱文化荣誉宣传员，现任本公司董事、副总经理。</w:t>
      </w:r>
    </w:p>
    <w:p>
      <w:pPr>
        <w:pStyle w:val="BodyText"/>
        <w:spacing w:line="309" w:lineRule="auto" w:before="22"/>
        <w:ind w:right="94"/>
        <w:jc w:val="left"/>
      </w:pPr>
      <w:r>
        <w:rPr/>
        <w:t>（</w:t>
      </w:r>
      <w:r>
        <w:rPr>
          <w:rFonts w:ascii="Times New Roman" w:hAnsi="Times New Roman" w:cs="Times New Roman" w:eastAsia="Times New Roman" w:hint="default"/>
        </w:rPr>
        <w:t>6</w:t>
      </w:r>
      <w:r>
        <w:rPr/>
        <w:t>）金燕：女，</w:t>
      </w:r>
      <w:r>
        <w:rPr>
          <w:rFonts w:ascii="Times New Roman" w:hAnsi="Times New Roman" w:cs="Times New Roman" w:eastAsia="Times New Roman" w:hint="default"/>
        </w:rPr>
        <w:t>1963</w:t>
      </w:r>
      <w:r>
        <w:rPr/>
        <w:t>年出生，中国国籍，无境外永久居留权，毕业于辽宁工程技术大学，工学硕士，高级经济师。曾任新 产业股份有限公司投资经理。现任深圳市创新投资集团投资发展总部总经理、深圳市福田创新资本创业投资有限公司董事、 总经理，深圳市腾邦国际票务股份有限公司董事，深圳市递四方速递有限公司董事，本公司董事。</w:t>
      </w:r>
    </w:p>
    <w:p>
      <w:pPr>
        <w:pStyle w:val="BodyText"/>
        <w:spacing w:line="312" w:lineRule="auto" w:before="24"/>
        <w:ind w:right="188"/>
        <w:jc w:val="both"/>
      </w:pPr>
      <w:r>
        <w:rPr/>
        <w:t>（</w:t>
      </w:r>
      <w:r>
        <w:rPr>
          <w:rFonts w:ascii="Times New Roman" w:hAnsi="Times New Roman" w:cs="Times New Roman" w:eastAsia="Times New Roman" w:hint="default"/>
        </w:rPr>
        <w:t>7</w:t>
      </w:r>
      <w:r>
        <w:rPr/>
        <w:t>）樊行健：男，</w:t>
      </w:r>
      <w:r>
        <w:rPr>
          <w:rFonts w:ascii="Times New Roman" w:hAnsi="Times New Roman" w:cs="Times New Roman" w:eastAsia="Times New Roman" w:hint="default"/>
        </w:rPr>
        <w:t>1944</w:t>
      </w:r>
      <w:r>
        <w:rPr/>
        <w:t>年出生，中国国籍，无境外永久居留权，毕业于湖南财经学院会计学专业，中国注册会计师。曾任 </w:t>
      </w:r>
      <w:r>
        <w:rPr>
          <w:spacing w:val="-2"/>
        </w:rPr>
        <w:t>湖北省咸宁地区拖拉机厂财务科会计师、西南财经大学副校长。现任西南财经大学教授、博士生导师，惠州中京电子科技股</w:t>
      </w:r>
      <w:r>
        <w:rPr>
          <w:spacing w:val="-64"/>
        </w:rPr>
        <w:t> </w:t>
      </w:r>
      <w:r>
        <w:rPr>
          <w:spacing w:val="-64"/>
        </w:rPr>
      </w:r>
      <w:r>
        <w:rPr>
          <w:spacing w:val="-2"/>
        </w:rPr>
        <w:t>份有限公司独立董事，北京银信科技长远发展股份有限公司独立董事，湖南郴电国际发展股份有限公司独立董事，湖南红宇</w:t>
      </w:r>
      <w:r>
        <w:rPr>
          <w:spacing w:val="-61"/>
        </w:rPr>
        <w:t> </w:t>
      </w:r>
      <w:r>
        <w:rPr>
          <w:spacing w:val="-61"/>
        </w:rPr>
      </w:r>
      <w:r>
        <w:rPr/>
        <w:t>新材料股份有限公司独立董事，本公司独立董事。</w:t>
      </w:r>
    </w:p>
    <w:p>
      <w:pPr>
        <w:pStyle w:val="BodyText"/>
        <w:spacing w:line="300" w:lineRule="auto" w:before="22"/>
        <w:ind w:right="190"/>
        <w:jc w:val="both"/>
      </w:pPr>
      <w:r>
        <w:rPr/>
        <w:t>（</w:t>
      </w:r>
      <w:r>
        <w:rPr>
          <w:rFonts w:ascii="Times New Roman" w:hAnsi="Times New Roman" w:cs="Times New Roman" w:eastAsia="Times New Roman" w:hint="default"/>
        </w:rPr>
        <w:t>8</w:t>
      </w:r>
      <w:r>
        <w:rPr/>
        <w:t>）苏茂先：男，</w:t>
      </w:r>
      <w:r>
        <w:rPr>
          <w:rFonts w:ascii="Times New Roman" w:hAnsi="Times New Roman" w:cs="Times New Roman" w:eastAsia="Times New Roman" w:hint="default"/>
        </w:rPr>
        <w:t>1970</w:t>
      </w:r>
      <w:r>
        <w:rPr/>
        <w:t>年出生，中国国籍，无境外永久居留权，律师。毕业于厦门大学法学专业。</w:t>
      </w:r>
      <w:r>
        <w:rPr>
          <w:rFonts w:ascii="Times New Roman" w:hAnsi="Times New Roman" w:cs="Times New Roman" w:eastAsia="Times New Roman" w:hint="default"/>
        </w:rPr>
        <w:t>1992</w:t>
      </w:r>
      <w:r>
        <w:rPr/>
        <w:t>年进入人民法院工 </w:t>
      </w:r>
      <w:r>
        <w:rPr>
          <w:spacing w:val="-2"/>
        </w:rPr>
        <w:t>作，</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月开始在广东蛇口律师事务所执业，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月创建广东贤耀律师事务所。现任广东贤耀律师事务所主任，深圳</w:t>
      </w:r>
      <w:r>
        <w:rPr>
          <w:spacing w:val="-59"/>
        </w:rPr>
        <w:t> </w:t>
      </w:r>
      <w:r>
        <w:rPr>
          <w:spacing w:val="-59"/>
        </w:rPr>
      </w:r>
      <w:r>
        <w:rPr/>
        <w:t>市律师协会房地产专业委员会委员，本公司独立董事。</w:t>
      </w:r>
    </w:p>
    <w:p>
      <w:pPr>
        <w:pStyle w:val="BodyText"/>
        <w:spacing w:line="309" w:lineRule="auto" w:before="31"/>
        <w:ind w:right="190"/>
        <w:jc w:val="both"/>
      </w:pPr>
      <w:r>
        <w:rPr/>
        <w:t>（</w:t>
      </w:r>
      <w:r>
        <w:rPr>
          <w:rFonts w:ascii="Times New Roman" w:hAnsi="Times New Roman" w:cs="Times New Roman" w:eastAsia="Times New Roman" w:hint="default"/>
        </w:rPr>
        <w:t>9</w:t>
      </w:r>
      <w:r>
        <w:rPr/>
        <w:t>）王斌康：男，</w:t>
      </w:r>
      <w:r>
        <w:rPr>
          <w:rFonts w:ascii="Times New Roman" w:hAnsi="Times New Roman" w:cs="Times New Roman" w:eastAsia="Times New Roman" w:hint="default"/>
        </w:rPr>
        <w:t>1949</w:t>
      </w:r>
      <w:r>
        <w:rPr/>
        <w:t>年生，中国国籍，无境外永久居留权，武汉水利电力大学（现合并于武汉大学）哲学学士，美国纽 约佩斯大学商学院</w:t>
      </w:r>
      <w:r>
        <w:rPr>
          <w:rFonts w:ascii="Times New Roman" w:hAnsi="Times New Roman" w:cs="Times New Roman" w:eastAsia="Times New Roman" w:hint="default"/>
        </w:rPr>
        <w:t>MBA</w:t>
      </w:r>
      <w:r>
        <w:rPr/>
        <w:t>课程进修班结业，暨南大学经济学硕士、西安交通大学管理工程博士。曾在政府、企业、学校及研 </w:t>
      </w:r>
      <w:r>
        <w:rPr>
          <w:spacing w:val="-2"/>
        </w:rPr>
        <w:t>究机构任职。现任广东丰乐集团有限公司副总裁及战略管理委员会主任、广州市丰乐工商管理研究院院长，兼任深圳市太平</w:t>
      </w:r>
      <w:r>
        <w:rPr>
          <w:spacing w:val="-63"/>
        </w:rPr>
        <w:t> </w:t>
      </w:r>
      <w:r>
        <w:rPr>
          <w:spacing w:val="-63"/>
        </w:rPr>
      </w:r>
      <w:r>
        <w:rPr>
          <w:spacing w:val="-2"/>
        </w:rPr>
        <w:t>洋经济合作研究会会长（法定代表人），企业发展战略研究中心主任，中国市场经济研究会第三产业研究会理事，中国银行</w:t>
      </w:r>
      <w:r>
        <w:rPr>
          <w:spacing w:val="-67"/>
        </w:rPr>
        <w:t> </w:t>
      </w:r>
      <w:r>
        <w:rPr>
          <w:spacing w:val="-67"/>
        </w:rPr>
      </w:r>
      <w:r>
        <w:rPr/>
        <w:t>深圳分行风险管理委员会委员，中国社会科学院边疆史地研究中心受聘研究员，本公司独立董事。</w:t>
      </w:r>
    </w:p>
    <w:p>
      <w:pPr>
        <w:pStyle w:val="BodyText"/>
        <w:spacing w:line="240" w:lineRule="auto" w:before="24"/>
        <w:ind w:right="0"/>
        <w:jc w:val="both"/>
      </w:pPr>
      <w:r>
        <w:rPr>
          <w:rFonts w:ascii="Times New Roman" w:hAnsi="Times New Roman" w:cs="Times New Roman" w:eastAsia="Times New Roman" w:hint="default"/>
        </w:rPr>
        <w:t>2</w:t>
      </w:r>
      <w:r>
        <w:rPr/>
        <w:t>、监事主要工作经历</w:t>
      </w:r>
    </w:p>
    <w:p>
      <w:pPr>
        <w:pStyle w:val="BodyText"/>
        <w:spacing w:line="300" w:lineRule="auto" w:before="63"/>
        <w:ind w:right="199"/>
        <w:jc w:val="both"/>
      </w:pPr>
      <w:r>
        <w:rPr/>
        <w:t>（</w:t>
      </w:r>
      <w:r>
        <w:rPr>
          <w:rFonts w:ascii="Times New Roman" w:hAnsi="Times New Roman" w:cs="Times New Roman" w:eastAsia="Times New Roman" w:hint="default"/>
        </w:rPr>
        <w:t>1</w:t>
      </w:r>
      <w:r>
        <w:rPr/>
        <w:t>）苏江洪：男，</w:t>
      </w:r>
      <w:r>
        <w:rPr>
          <w:rFonts w:ascii="Times New Roman" w:hAnsi="Times New Roman" w:cs="Times New Roman" w:eastAsia="Times New Roman" w:hint="default"/>
        </w:rPr>
        <w:t>1970</w:t>
      </w:r>
      <w:r>
        <w:rPr/>
        <w:t>年出生，中国国籍，无境外永久居留权。毕业于福建化工学校。曾任厦门市第二化工厂技术员，厦 门金日制药有限公司区域经理，发行人计划总监、销售总监。现任本公司物流部总监、监事会主席。</w:t>
      </w:r>
    </w:p>
    <w:p>
      <w:pPr>
        <w:pStyle w:val="BodyText"/>
        <w:spacing w:line="300" w:lineRule="auto" w:before="31"/>
        <w:ind w:right="191"/>
        <w:jc w:val="both"/>
      </w:pPr>
      <w:r>
        <w:rPr/>
        <w:t>（</w:t>
      </w:r>
      <w:r>
        <w:rPr>
          <w:rFonts w:ascii="Times New Roman" w:hAnsi="Times New Roman" w:cs="Times New Roman" w:eastAsia="Times New Roman" w:hint="default"/>
        </w:rPr>
        <w:t>2</w:t>
      </w:r>
      <w:r>
        <w:rPr/>
        <w:t>）郑恒毅：男，</w:t>
      </w:r>
      <w:r>
        <w:rPr>
          <w:rFonts w:ascii="Times New Roman" w:hAnsi="Times New Roman" w:cs="Times New Roman" w:eastAsia="Times New Roman" w:hint="default"/>
        </w:rPr>
        <w:t>1974</w:t>
      </w:r>
      <w:r>
        <w:rPr/>
        <w:t>年出生，中国国籍，无境外永久居留权。毕业于中国地质大学（武汉），中华人民共和国珠宝玉石 </w:t>
      </w:r>
      <w:r>
        <w:rPr>
          <w:spacing w:val="-1"/>
        </w:rPr>
        <w:t>质量检验师（高级）、</w:t>
      </w:r>
      <w:r>
        <w:rPr>
          <w:rFonts w:ascii="Times New Roman" w:hAnsi="Times New Roman" w:cs="Times New Roman" w:eastAsia="Times New Roman" w:hint="default"/>
          <w:spacing w:val="-1"/>
        </w:rPr>
        <w:t>FGA-</w:t>
      </w:r>
      <w:r>
        <w:rPr>
          <w:spacing w:val="-1"/>
        </w:rPr>
        <w:t>英国宝玉石协会珠宝鉴定师、</w:t>
      </w:r>
      <w:r>
        <w:rPr>
          <w:rFonts w:ascii="Times New Roman" w:hAnsi="Times New Roman" w:cs="Times New Roman" w:eastAsia="Times New Roman" w:hint="default"/>
          <w:spacing w:val="-1"/>
        </w:rPr>
        <w:t>DGA-</w:t>
      </w:r>
      <w:r>
        <w:rPr>
          <w:spacing w:val="-1"/>
        </w:rPr>
        <w:t>英国宝玉石协会钻石鉴定师、中国地质大学珠宝鉴定师。曾</w:t>
      </w:r>
      <w:r>
        <w:rPr>
          <w:w w:val="99"/>
        </w:rPr>
        <w:t> </w:t>
      </w:r>
      <w:r>
        <w:rPr/>
        <w:t>从事宝玉石鉴定和检验工作。现任本公司品质管理部总监、监事。</w:t>
      </w:r>
    </w:p>
    <w:p>
      <w:pPr>
        <w:pStyle w:val="BodyText"/>
        <w:spacing w:line="300" w:lineRule="auto" w:before="31"/>
        <w:ind w:right="199"/>
        <w:jc w:val="both"/>
      </w:pPr>
      <w:r>
        <w:rPr/>
        <w:t>（</w:t>
      </w:r>
      <w:r>
        <w:rPr>
          <w:rFonts w:ascii="Times New Roman" w:hAnsi="Times New Roman" w:cs="Times New Roman" w:eastAsia="Times New Roman" w:hint="default"/>
        </w:rPr>
        <w:t>3</w:t>
      </w:r>
      <w:r>
        <w:rPr/>
        <w:t>）刘雪：女，</w:t>
      </w:r>
      <w:r>
        <w:rPr>
          <w:rFonts w:ascii="Times New Roman" w:hAnsi="Times New Roman" w:cs="Times New Roman" w:eastAsia="Times New Roman" w:hint="default"/>
        </w:rPr>
        <w:t>1981</w:t>
      </w:r>
      <w:r>
        <w:rPr/>
        <w:t>年出生，中国国籍，无境外永久居留权。毕业于东北师范大学吉林国际语言文化学院，大专学历。曾 任职于中国移动吉林分公司信息资讯部，现任本公司公司人力资源部总监、职工监事。</w:t>
      </w:r>
    </w:p>
    <w:p>
      <w:pPr>
        <w:pStyle w:val="BodyText"/>
        <w:spacing w:line="240" w:lineRule="auto" w:before="31"/>
        <w:ind w:right="0"/>
        <w:jc w:val="both"/>
      </w:pPr>
      <w:r>
        <w:rPr>
          <w:rFonts w:ascii="Times New Roman" w:hAnsi="Times New Roman" w:cs="Times New Roman" w:eastAsia="Times New Roman" w:hint="default"/>
        </w:rPr>
        <w:t>3</w:t>
      </w:r>
      <w:r>
        <w:rPr/>
        <w:t>、高级管理人员主要工作经历</w:t>
      </w:r>
    </w:p>
    <w:p>
      <w:pPr>
        <w:pStyle w:val="BodyText"/>
        <w:spacing w:line="240" w:lineRule="auto" w:before="63"/>
        <w:ind w:right="0"/>
        <w:jc w:val="both"/>
      </w:pPr>
      <w:r>
        <w:rPr/>
        <w:t>（</w:t>
      </w:r>
      <w:r>
        <w:rPr>
          <w:rFonts w:ascii="Times New Roman" w:hAnsi="Times New Roman" w:cs="Times New Roman" w:eastAsia="Times New Roman" w:hint="default"/>
        </w:rPr>
        <w:t>1</w:t>
      </w:r>
      <w:r>
        <w:rPr/>
        <w:t>）苗志国：总经理。（主要工作经历见前述董事介绍）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2</w:t>
      </w:r>
      <w:r>
        <w:rPr/>
        <w:t>）苏永明：副总经理。（主要工作经历见前述董事介绍）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3</w:t>
      </w:r>
      <w:r>
        <w:rPr/>
        <w:t>）苏啟皓：副总经理。（主要工作经历见前述董事介绍）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4</w:t>
      </w:r>
      <w:r>
        <w:rPr/>
        <w:t>）李城峰：男，</w:t>
      </w:r>
      <w:r>
        <w:rPr>
          <w:rFonts w:ascii="Times New Roman" w:hAnsi="Times New Roman" w:cs="Times New Roman" w:eastAsia="Times New Roman" w:hint="default"/>
        </w:rPr>
        <w:t>1977</w:t>
      </w:r>
      <w:r>
        <w:rPr/>
        <w:t>年出生，中国国籍，无境外永久居留权，毕业于厦门大学财税专业。曾任福建永定县自来水公司会</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ind w:right="0"/>
        <w:jc w:val="both"/>
      </w:pPr>
      <w:r>
        <w:rPr/>
        <w:t>计，曾任本公司会计、财务经理。现任本公司财务总监。</w:t>
      </w:r>
    </w:p>
    <w:p>
      <w:pPr>
        <w:pStyle w:val="BodyText"/>
        <w:spacing w:line="240" w:lineRule="auto" w:before="76"/>
        <w:ind w:right="0"/>
        <w:jc w:val="both"/>
      </w:pPr>
      <w:r>
        <w:rPr/>
        <w:t>（</w:t>
      </w:r>
      <w:r>
        <w:rPr>
          <w:rFonts w:ascii="Times New Roman" w:hAnsi="Times New Roman" w:cs="Times New Roman" w:eastAsia="Times New Roman" w:hint="default"/>
        </w:rPr>
        <w:t>5</w:t>
      </w:r>
      <w:r>
        <w:rPr/>
        <w:t>）朱新武：董事会秘书。（主要工作经历见前述董事介绍）</w:t>
      </w:r>
    </w:p>
    <w:p>
      <w:pPr>
        <w:pStyle w:val="BodyText"/>
        <w:spacing w:line="300" w:lineRule="auto" w:before="63"/>
        <w:ind w:right="144"/>
        <w:jc w:val="left"/>
      </w:pPr>
      <w:r>
        <w:rPr/>
        <w:t>（</w:t>
      </w:r>
      <w:r>
        <w:rPr>
          <w:rFonts w:ascii="Times New Roman" w:hAnsi="Times New Roman" w:cs="Times New Roman" w:eastAsia="Times New Roman" w:hint="default"/>
        </w:rPr>
        <w:t>6</w:t>
      </w:r>
      <w:r>
        <w:rPr/>
        <w:t>）刘丽：女，</w:t>
      </w:r>
      <w:r>
        <w:rPr>
          <w:rFonts w:ascii="Times New Roman" w:hAnsi="Times New Roman" w:cs="Times New Roman" w:eastAsia="Times New Roman" w:hint="default"/>
        </w:rPr>
        <w:t>1979</w:t>
      </w:r>
      <w:r>
        <w:rPr/>
        <w:t>年生，中国国籍，无境外永久居留权。毕业于中国人民解放军国防科技大学。曾任本公司人力资源经 理、行政经理、职工代表监事。现任本公司副总经理。</w:t>
      </w:r>
    </w:p>
    <w:p>
      <w:pPr>
        <w:pStyle w:val="BodyText"/>
        <w:spacing w:line="309" w:lineRule="auto" w:before="31"/>
        <w:ind w:right="151"/>
        <w:jc w:val="both"/>
      </w:pPr>
      <w:r>
        <w:rPr/>
        <w:t>（</w:t>
      </w:r>
      <w:r>
        <w:rPr>
          <w:rFonts w:ascii="Times New Roman" w:hAnsi="Times New Roman" w:cs="Times New Roman" w:eastAsia="Times New Roman" w:hint="default"/>
        </w:rPr>
        <w:t>7</w:t>
      </w:r>
      <w:r>
        <w:rPr/>
        <w:t>）狄爱玲：女，</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10</w:t>
      </w:r>
      <w:r>
        <w:rPr/>
        <w:t>月出生，中国国籍，无境外永久居留权，毕业于南京大学地球科学系宝玉石工艺与检测专业。 </w:t>
      </w:r>
      <w:r>
        <w:rPr>
          <w:spacing w:val="-2"/>
        </w:rPr>
        <w:t>曾任职于江苏省无锡市新宝首饰有限公司，深圳市产品质量监督检验所（现名为深圳市计量质量检测研究院），曾任本公司</w:t>
      </w:r>
      <w:r>
        <w:rPr>
          <w:spacing w:val="-64"/>
        </w:rPr>
        <w:t> </w:t>
      </w:r>
      <w:r>
        <w:rPr>
          <w:spacing w:val="-64"/>
        </w:rPr>
      </w:r>
      <w:r>
        <w:rPr/>
        <w:t>采购总监，现任本公司副总经理。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before="0"/>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深圳市创新投资集团投资有限公司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投资发展总 部总经理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郑恒毅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深圳市爱航投资有限公司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上述股东单位中，深圳市创新投资集团、深圳市爱航投资有限公司系本公司参股股东单位。</w:t>
            </w:r>
          </w:p>
        </w:tc>
      </w:tr>
    </w:tbl>
    <w:p>
      <w:pPr>
        <w:pStyle w:val="BodyText"/>
        <w:spacing w:line="240" w:lineRule="auto" w:before="49"/>
        <w:ind w:right="153"/>
        <w:jc w:val="left"/>
      </w:pPr>
      <w:r>
        <w:rPr/>
        <w:t>在其他单位任职情况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深圳市创新投资集团投资有限公司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投资发展总 部总经理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深圳市递四方速递有限公司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樊行健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广东贤耀律师事务所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郑恒毅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爱航投资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广东丰乐集团有限公司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副总裁、战略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管理委员会 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广州市丰乐工商管理研究院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深圳市太平洋经济合作研究会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left="0" w:right="160"/>
        <w:jc w:val="right"/>
      </w:pPr>
      <w:r>
        <w:rPr/>
        <w:pict>
          <v:shape style="position:absolute;margin-left:56.400002pt;margin-top:-293.01828pt;width:479.15pt;height:326.3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中国市场经济研究会第三产业研究会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北京爱投融科技有限公司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北京爱投融科技有限公司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上述单位中，除深圳市创新投资集团、深圳市爱航投资有限公司系本公司参股股东单位，惠州爱迪尔、龙 </w:t>
                        </w:r>
                        <w:r>
                          <w:rPr>
                            <w:rFonts w:ascii="宋体" w:hAnsi="宋体" w:cs="宋体" w:eastAsia="宋体" w:hint="default"/>
                            <w:spacing w:val="-3"/>
                            <w:sz w:val="18"/>
                            <w:szCs w:val="18"/>
                          </w:rPr>
                          <w:t>岩爱迪尔、成都爱迪尔、济南爱迪尔、武汉灵感、重庆灵感、北京爱迪尔和沈阳爱航系本公司控股子公司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北京爱投融系本公司参股子公司，其他单位与公司均无任何关系。</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153"/>
        <w:jc w:val="left"/>
      </w:pPr>
      <w:r>
        <w:rPr/>
        <w:t>公司现任及报告期内离任董事、监事和高级管理人员近三年证券监管机构处罚的情况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t>董事、监事、高级管理人员报酬的决策程序、确定依据、实际支付情况</w:t>
      </w:r>
    </w:p>
    <w:p>
      <w:pPr>
        <w:pStyle w:val="Heading7"/>
        <w:spacing w:line="273" w:lineRule="auto" w:before="96"/>
        <w:ind w:left="152" w:right="153"/>
        <w:jc w:val="left"/>
      </w:pPr>
      <w:r>
        <w:rPr>
          <w:spacing w:val="-2"/>
        </w:rPr>
        <w:t>在公司任职的董事、监事、高级管理人员按其职务根据公司现行的薪酬制度、参考经营业绩和个人绩效领</w:t>
      </w:r>
      <w:r>
        <w:rPr>
          <w:spacing w:val="-44"/>
        </w:rPr>
        <w:t> </w:t>
      </w:r>
      <w:r>
        <w:rPr>
          <w:spacing w:val="-44"/>
        </w:rPr>
      </w:r>
      <w:r>
        <w:rPr/>
        <w:t>取报酬，按月发放基本工资，年末发放绩效工资。</w:t>
      </w:r>
    </w:p>
    <w:p>
      <w:pPr>
        <w:pStyle w:val="BodyText"/>
        <w:spacing w:line="240" w:lineRule="auto" w:before="69"/>
        <w:ind w:right="153"/>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副董事长、董事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郑恒毅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樊行健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毕立君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z w:val="18"/>
              </w:rPr>
              <w:t>277.4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公司董事、监事、高级管理人员报告期内被授予的股权激励情况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五、公司员工情况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53"/>
        <w:jc w:val="left"/>
      </w:pPr>
      <w:r>
        <w:rPr/>
        <w:t>（一）员工基本情况</w:t>
      </w:r>
    </w:p>
    <w:p>
      <w:pPr>
        <w:spacing w:line="240" w:lineRule="auto" w:before="12"/>
        <w:rPr>
          <w:rFonts w:ascii="宋体" w:hAnsi="宋体" w:cs="宋体" w:eastAsia="宋体" w:hint="default"/>
          <w:sz w:val="20"/>
          <w:szCs w:val="20"/>
        </w:rPr>
      </w:pPr>
    </w:p>
    <w:p>
      <w:pPr>
        <w:pStyle w:val="BodyText"/>
        <w:spacing w:line="302" w:lineRule="auto" w:before="0"/>
        <w:ind w:right="144"/>
        <w:jc w:val="left"/>
      </w:pPr>
      <w:r>
        <w:rPr/>
        <w:t>截止报告期末，公司在职员工的人数为</w:t>
      </w:r>
      <w:r>
        <w:rPr>
          <w:rFonts w:ascii="Times New Roman" w:hAnsi="Times New Roman" w:cs="Times New Roman" w:eastAsia="Times New Roman" w:hint="default"/>
        </w:rPr>
        <w:t>638</w:t>
      </w:r>
      <w:r>
        <w:rPr/>
        <w:t>人。公司依据《中华人民共和国劳动法》、《中华人民共和国劳动合同法》和其 他有关法律、法规的要求，与员工签订劳动合同，缴纳社会保险，维护员工的合法权益。</w:t>
      </w:r>
    </w:p>
    <w:p>
      <w:pPr>
        <w:spacing w:line="240" w:lineRule="auto" w:before="9"/>
        <w:rPr>
          <w:rFonts w:ascii="宋体" w:hAnsi="宋体" w:cs="宋体" w:eastAsia="宋体" w:hint="default"/>
          <w:sz w:val="17"/>
          <w:szCs w:val="17"/>
        </w:rPr>
      </w:pPr>
    </w:p>
    <w:p>
      <w:pPr>
        <w:pStyle w:val="BodyText"/>
        <w:spacing w:line="240" w:lineRule="auto" w:before="0"/>
        <w:ind w:right="153"/>
        <w:jc w:val="left"/>
      </w:pPr>
      <w:r>
        <w:rPr/>
        <w:t>（二）员工专业结构</w:t>
      </w:r>
    </w:p>
    <w:p>
      <w:pPr>
        <w:spacing w:line="240" w:lineRule="auto" w:before="3"/>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2977"/>
        <w:gridCol w:w="3262"/>
        <w:gridCol w:w="3262"/>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员工类别</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4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占职工总人数比例（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7" w:right="0"/>
              <w:jc w:val="left"/>
              <w:rPr>
                <w:rFonts w:ascii="Times New Roman" w:hAnsi="Times New Roman" w:cs="Times New Roman" w:eastAsia="Times New Roman" w:hint="default"/>
                <w:sz w:val="18"/>
                <w:szCs w:val="18"/>
              </w:rPr>
            </w:pPr>
            <w:r>
              <w:rPr>
                <w:rFonts w:ascii="Times New Roman"/>
                <w:sz w:val="18"/>
              </w:rPr>
              <w:t>336</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52.66%</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87" w:right="0"/>
              <w:jc w:val="left"/>
              <w:rPr>
                <w:rFonts w:ascii="Times New Roman" w:hAnsi="Times New Roman" w:cs="Times New Roman" w:eastAsia="Times New Roman" w:hint="default"/>
                <w:sz w:val="18"/>
                <w:szCs w:val="18"/>
              </w:rPr>
            </w:pPr>
            <w:r>
              <w:rPr>
                <w:rFonts w:ascii="Times New Roman"/>
                <w:sz w:val="18"/>
              </w:rPr>
              <w:t>145</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22.72%</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设计人员</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33" w:right="0"/>
              <w:jc w:val="left"/>
              <w:rPr>
                <w:rFonts w:ascii="Times New Roman" w:hAnsi="Times New Roman" w:cs="Times New Roman" w:eastAsia="Times New Roman" w:hint="default"/>
                <w:sz w:val="18"/>
                <w:szCs w:val="18"/>
              </w:rPr>
            </w:pPr>
            <w:r>
              <w:rPr>
                <w:rFonts w:ascii="Times New Roman"/>
                <w:sz w:val="18"/>
              </w:rPr>
              <w:t>28</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4.39%</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33" w:right="0"/>
              <w:jc w:val="left"/>
              <w:rPr>
                <w:rFonts w:ascii="Times New Roman" w:hAnsi="Times New Roman" w:cs="Times New Roman" w:eastAsia="Times New Roman" w:hint="default"/>
                <w:sz w:val="18"/>
                <w:szCs w:val="18"/>
              </w:rPr>
            </w:pPr>
            <w:r>
              <w:rPr>
                <w:rFonts w:ascii="Times New Roman"/>
                <w:sz w:val="18"/>
              </w:rPr>
              <w:t>35</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5.49%</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33" w:right="0"/>
              <w:jc w:val="left"/>
              <w:rPr>
                <w:rFonts w:ascii="Times New Roman" w:hAnsi="Times New Roman" w:cs="Times New Roman" w:eastAsia="Times New Roman" w:hint="default"/>
                <w:sz w:val="18"/>
                <w:szCs w:val="18"/>
              </w:rPr>
            </w:pPr>
            <w:r>
              <w:rPr>
                <w:rFonts w:ascii="Times New Roman"/>
                <w:sz w:val="18"/>
              </w:rPr>
              <w:t>94</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14.73%</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7" w:right="0"/>
              <w:jc w:val="left"/>
              <w:rPr>
                <w:rFonts w:ascii="Times New Roman" w:hAnsi="Times New Roman" w:cs="Times New Roman" w:eastAsia="Times New Roman" w:hint="default"/>
                <w:sz w:val="18"/>
                <w:szCs w:val="18"/>
              </w:rPr>
            </w:pPr>
            <w:r>
              <w:rPr>
                <w:rFonts w:ascii="Times New Roman"/>
                <w:sz w:val="18"/>
              </w:rPr>
              <w:t>638</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9"/>
          <w:szCs w:val="29"/>
        </w:rPr>
      </w:pPr>
    </w:p>
    <w:p>
      <w:pPr>
        <w:spacing w:line="4339" w:lineRule="exact"/>
        <w:ind w:left="136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4911" cy="27553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584911"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right="153"/>
        <w:jc w:val="left"/>
      </w:pPr>
      <w:r>
        <w:rPr/>
        <w:t>（三）员工受教育程度</w:t>
      </w:r>
    </w:p>
    <w:p>
      <w:pPr>
        <w:spacing w:line="240" w:lineRule="auto" w:before="3"/>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2977"/>
        <w:gridCol w:w="3262"/>
        <w:gridCol w:w="3262"/>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学历程度</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4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占职工总人数比例（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33" w:right="0"/>
              <w:jc w:val="left"/>
              <w:rPr>
                <w:rFonts w:ascii="Times New Roman" w:hAnsi="Times New Roman" w:cs="Times New Roman" w:eastAsia="Times New Roman" w:hint="default"/>
                <w:sz w:val="18"/>
                <w:szCs w:val="18"/>
              </w:rPr>
            </w:pPr>
            <w:r>
              <w:rPr>
                <w:rFonts w:ascii="Times New Roman"/>
                <w:sz w:val="18"/>
              </w:rPr>
              <w:t>75</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11.76</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大专及中专</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87" w:right="0"/>
              <w:jc w:val="left"/>
              <w:rPr>
                <w:rFonts w:ascii="Times New Roman" w:hAnsi="Times New Roman" w:cs="Times New Roman" w:eastAsia="Times New Roman" w:hint="default"/>
                <w:sz w:val="18"/>
                <w:szCs w:val="18"/>
              </w:rPr>
            </w:pPr>
            <w:r>
              <w:rPr>
                <w:rFonts w:ascii="Times New Roman"/>
                <w:sz w:val="18"/>
              </w:rPr>
              <w:t>316</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49.53%</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7" w:right="0"/>
              <w:jc w:val="left"/>
              <w:rPr>
                <w:rFonts w:ascii="Times New Roman" w:hAnsi="Times New Roman" w:cs="Times New Roman" w:eastAsia="Times New Roman" w:hint="default"/>
                <w:sz w:val="18"/>
                <w:szCs w:val="18"/>
              </w:rPr>
            </w:pPr>
            <w:r>
              <w:rPr>
                <w:rFonts w:ascii="Times New Roman"/>
                <w:sz w:val="18"/>
              </w:rPr>
              <w:t>247</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38.71%</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87" w:right="0"/>
              <w:jc w:val="left"/>
              <w:rPr>
                <w:rFonts w:ascii="Times New Roman" w:hAnsi="Times New Roman" w:cs="Times New Roman" w:eastAsia="Times New Roman" w:hint="default"/>
                <w:sz w:val="18"/>
                <w:szCs w:val="18"/>
              </w:rPr>
            </w:pPr>
            <w:r>
              <w:rPr>
                <w:rFonts w:ascii="Times New Roman"/>
                <w:sz w:val="18"/>
              </w:rPr>
              <w:t>638</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4339" w:lineRule="exact"/>
        <w:ind w:left="136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3854" cy="27553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583854"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2"/>
        <w:rPr>
          <w:rFonts w:ascii="宋体" w:hAnsi="宋体" w:cs="宋体" w:eastAsia="宋体" w:hint="default"/>
          <w:sz w:val="14"/>
          <w:szCs w:val="14"/>
        </w:rPr>
      </w:pPr>
    </w:p>
    <w:p>
      <w:pPr>
        <w:pStyle w:val="BodyText"/>
        <w:spacing w:line="240" w:lineRule="auto"/>
        <w:ind w:right="153"/>
        <w:jc w:val="left"/>
      </w:pPr>
      <w:r>
        <w:rPr/>
        <w:t>（四）员工年龄分布</w:t>
      </w:r>
    </w:p>
    <w:p>
      <w:pPr>
        <w:spacing w:line="240" w:lineRule="auto" w:before="6"/>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3121"/>
        <w:gridCol w:w="3401"/>
        <w:gridCol w:w="3118"/>
      </w:tblGrid>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占职工总人数比例（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1.89%</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58</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9.1%</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23.98%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21"/>
        <w:gridCol w:w="3401"/>
        <w:gridCol w:w="3118"/>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64.89%</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638</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4339" w:lineRule="exact"/>
        <w:ind w:left="136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3854" cy="27553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4583854"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9"/>
        <w:rPr>
          <w:rFonts w:ascii="宋体" w:hAnsi="宋体" w:cs="宋体" w:eastAsia="宋体" w:hint="default"/>
          <w:sz w:val="13"/>
          <w:szCs w:val="13"/>
        </w:rPr>
      </w:pPr>
    </w:p>
    <w:p>
      <w:pPr>
        <w:pStyle w:val="BodyText"/>
        <w:spacing w:line="240" w:lineRule="auto"/>
        <w:ind w:right="153"/>
        <w:jc w:val="left"/>
      </w:pPr>
      <w:r>
        <w:rPr/>
        <w:t>（五）员工薪酬政策</w:t>
      </w:r>
    </w:p>
    <w:p>
      <w:pPr>
        <w:spacing w:line="240" w:lineRule="auto" w:before="12"/>
        <w:rPr>
          <w:rFonts w:ascii="宋体" w:hAnsi="宋体" w:cs="宋体" w:eastAsia="宋体" w:hint="default"/>
          <w:sz w:val="20"/>
          <w:szCs w:val="20"/>
        </w:rPr>
      </w:pPr>
    </w:p>
    <w:p>
      <w:pPr>
        <w:pStyle w:val="BodyText"/>
        <w:spacing w:line="319" w:lineRule="auto" w:before="0"/>
        <w:ind w:right="153" w:firstLine="360"/>
        <w:jc w:val="left"/>
      </w:pPr>
      <w:r>
        <w:rPr>
          <w:spacing w:val="-2"/>
        </w:rPr>
        <w:t>公司薪酬政策坚持战略导向原则，以岗位价值、员工能力、员工业绩为分配依据，效率为先，兼顾公平，重点向核心骨</w:t>
      </w:r>
      <w:r>
        <w:rPr/>
        <w:t> 干员工倾斜。根据岗位工作性质不同，采取不同的薪酬分配模式，中高级管理人员实行年薪制； 销售人员实行低保障高激励的业绩提成制；其他人员实行岗位绩效制。</w:t>
      </w:r>
    </w:p>
    <w:p>
      <w:pPr>
        <w:pStyle w:val="BodyText"/>
        <w:spacing w:line="523" w:lineRule="auto" w:before="19"/>
        <w:ind w:left="273" w:right="4733" w:hanging="121"/>
        <w:jc w:val="left"/>
      </w:pPr>
      <w:r>
        <w:rPr/>
        <w:t>（六）培训计划 公司</w:t>
      </w:r>
      <w:r>
        <w:rPr>
          <w:rFonts w:ascii="Times New Roman" w:hAnsi="Times New Roman" w:cs="Times New Roman" w:eastAsia="Times New Roman" w:hint="default"/>
        </w:rPr>
        <w:t>2015</w:t>
      </w:r>
      <w:r>
        <w:rPr/>
        <w:t>年度培训计划得到有效实施，全员培训率达到</w:t>
      </w:r>
      <w:r>
        <w:rPr>
          <w:rFonts w:ascii="Times New Roman" w:hAnsi="Times New Roman" w:cs="Times New Roman" w:eastAsia="Times New Roman" w:hint="default"/>
        </w:rPr>
        <w:t>100%</w:t>
      </w:r>
      <w:r>
        <w:rPr/>
        <w:t>。</w:t>
      </w:r>
    </w:p>
    <w:p>
      <w:pPr>
        <w:pStyle w:val="BodyText"/>
        <w:spacing w:line="292" w:lineRule="exact" w:before="0"/>
        <w:ind w:right="153"/>
        <w:jc w:val="left"/>
        <w:rPr>
          <w:sz w:val="24"/>
          <w:szCs w:val="24"/>
        </w:rPr>
      </w:pPr>
      <w:r>
        <w:rPr/>
        <w:t>（七）公司员工均已参加社会统筹养老保险，目前公司没有需要承担费用的离退休员工</w:t>
      </w:r>
      <w:r>
        <w:rPr>
          <w:sz w:val="24"/>
          <w:szCs w:val="24"/>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240" w:lineRule="auto" w:before="0"/>
        <w:ind w:right="153"/>
        <w:jc w:val="left"/>
      </w:pPr>
      <w:r>
        <w:rPr/>
        <w:t>企业薪酬成本情况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5856"/>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4,335.12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firstLine="216"/>
        <w:jc w:val="left"/>
      </w:pPr>
      <w:r>
        <w:rPr/>
        <w:t>根据《公司法》、《证券法》以及《上市公司治理准则》等法律法规及规范性文件要求，公司已经制定了《股东大会议 </w:t>
      </w:r>
      <w:r>
        <w:rPr>
          <w:spacing w:val="-4"/>
        </w:rPr>
        <w:t>事规则》、《董事会议事规则》、《监事会议事规则》等三会制度，以及《信息披露管理制度》、《投资者关系管理制度》、</w:t>
      </w:r>
    </w:p>
    <w:p>
      <w:pPr>
        <w:pStyle w:val="BodyText"/>
        <w:spacing w:line="316" w:lineRule="auto" w:before="19"/>
        <w:ind w:right="191"/>
        <w:jc w:val="left"/>
      </w:pPr>
      <w:r>
        <w:rPr>
          <w:spacing w:val="-2"/>
        </w:rPr>
        <w:t>《重大信息内部报告制度》、《内幕信息知情人登记制度》等信息管理及投资者关系管理制度。报告期内，根据监管部门的</w:t>
      </w:r>
      <w:r>
        <w:rPr>
          <w:spacing w:val="-65"/>
        </w:rPr>
        <w:t> </w:t>
      </w:r>
      <w:r>
        <w:rPr>
          <w:spacing w:val="-65"/>
        </w:rPr>
      </w:r>
      <w:r>
        <w:rPr/>
        <w:t>最新要求和公司实际情况的变化，公司修订了公司《章程》、《未来三年回报规划（</w:t>
      </w:r>
      <w:r>
        <w:rPr>
          <w:rFonts w:ascii="Times New Roman" w:hAnsi="Times New Roman" w:cs="Times New Roman" w:eastAsia="Times New Roman" w:hint="default"/>
        </w:rPr>
        <w:t>2015-2017</w:t>
      </w:r>
      <w:r>
        <w:rPr/>
        <w:t>年度》等制度和文件。</w:t>
      </w:r>
    </w:p>
    <w:p>
      <w:pPr>
        <w:pStyle w:val="BodyText"/>
        <w:spacing w:line="319" w:lineRule="auto" w:before="0"/>
        <w:ind w:left="369" w:right="94" w:hanging="217"/>
        <w:jc w:val="left"/>
      </w:pPr>
      <w:r>
        <w:rPr/>
        <w:t>（一）股东与股东大会 </w:t>
      </w:r>
      <w:r>
        <w:rPr>
          <w:spacing w:val="-1"/>
        </w:rPr>
        <w:t>公司制定了《股东大会议事规则》并切实执行。报告期内公司召开股东大会</w:t>
      </w:r>
      <w:r>
        <w:rPr>
          <w:rFonts w:ascii="Times New Roman" w:hAnsi="Times New Roman" w:cs="Times New Roman" w:eastAsia="Times New Roman" w:hint="default"/>
          <w:spacing w:val="-1"/>
        </w:rPr>
        <w:t>2</w:t>
      </w:r>
      <w:r>
        <w:rPr>
          <w:spacing w:val="-1"/>
        </w:rPr>
        <w:t>次，股东大会的召集、召开程序，股东大会</w:t>
      </w:r>
    </w:p>
    <w:p>
      <w:pPr>
        <w:pStyle w:val="BodyText"/>
        <w:spacing w:line="316" w:lineRule="auto" w:before="0"/>
        <w:ind w:right="94"/>
        <w:jc w:val="left"/>
      </w:pPr>
      <w:r>
        <w:rPr>
          <w:spacing w:val="-2"/>
        </w:rPr>
        <w:t>的会议通知、授权委托、提案、审议和公告均符合相关法律的规定。股东大会的会议记录完整，保存安全，股东大会决议均</w:t>
      </w:r>
      <w:r>
        <w:rPr>
          <w:spacing w:val="-66"/>
        </w:rPr>
        <w:t> </w:t>
      </w:r>
      <w:r>
        <w:rPr>
          <w:spacing w:val="-66"/>
        </w:rPr>
      </w:r>
      <w:r>
        <w:rPr/>
        <w:t>得到及时、充分的披露。</w:t>
      </w:r>
    </w:p>
    <w:p>
      <w:pPr>
        <w:pStyle w:val="BodyText"/>
        <w:spacing w:line="316" w:lineRule="auto" w:before="19"/>
        <w:ind w:left="369" w:right="237" w:hanging="217"/>
        <w:jc w:val="left"/>
      </w:pPr>
      <w:r>
        <w:rPr/>
        <w:t>（二）董事会 董事会是公司的决策机构。目前，公司董事会由</w:t>
      </w:r>
      <w:r>
        <w:rPr>
          <w:rFonts w:ascii="Times New Roman" w:hAnsi="Times New Roman" w:cs="Times New Roman" w:eastAsia="Times New Roman" w:hint="default"/>
        </w:rPr>
        <w:t>9</w:t>
      </w:r>
      <w:r>
        <w:rPr/>
        <w:t>名董事组成，其中</w:t>
      </w:r>
      <w:r>
        <w:rPr>
          <w:rFonts w:ascii="Times New Roman" w:hAnsi="Times New Roman" w:cs="Times New Roman" w:eastAsia="Times New Roman" w:hint="default"/>
        </w:rPr>
        <w:t>3</w:t>
      </w:r>
      <w:r>
        <w:rPr/>
        <w:t>名为独立董事。公司董事会成员结构合理，董事任</w:t>
      </w:r>
    </w:p>
    <w:p>
      <w:pPr>
        <w:pStyle w:val="BodyText"/>
        <w:spacing w:line="316" w:lineRule="auto" w:before="0"/>
        <w:ind w:right="190"/>
        <w:jc w:val="both"/>
      </w:pPr>
      <w:r>
        <w:rPr>
          <w:spacing w:val="-2"/>
        </w:rPr>
        <w:t>职资格、选聘程序、构成均符合有关法律法规的要求。全体董事能够按照《董事会议事规则》、《独立董事制度》等规定开</w:t>
      </w:r>
      <w:r>
        <w:rPr>
          <w:spacing w:val="-65"/>
        </w:rPr>
        <w:t> </w:t>
      </w:r>
      <w:r>
        <w:rPr>
          <w:spacing w:val="-65"/>
        </w:rPr>
      </w:r>
      <w:r>
        <w:rPr>
          <w:spacing w:val="-2"/>
        </w:rPr>
        <w:t>展工作，按时参加董事会会议，积极参与公司重大事项的决策和重要信息披露的审核；报告期内，公司董事参加了监管部门</w:t>
      </w:r>
      <w:r>
        <w:rPr>
          <w:spacing w:val="-65"/>
        </w:rPr>
        <w:t> </w:t>
      </w:r>
      <w:r>
        <w:rPr>
          <w:spacing w:val="-65"/>
        </w:rPr>
      </w:r>
      <w:r>
        <w:rPr>
          <w:spacing w:val="-2"/>
        </w:rPr>
        <w:t>举办的相关培训活动，通过进一步学习、熟悉有关法律法规，切实提高履行董事职责的能力。公司各位董事均未出现受监管</w:t>
      </w:r>
      <w:r>
        <w:rPr>
          <w:spacing w:val="-63"/>
        </w:rPr>
        <w:t> </w:t>
      </w:r>
      <w:r>
        <w:rPr>
          <w:spacing w:val="-63"/>
        </w:rPr>
      </w:r>
      <w:r>
        <w:rPr/>
        <w:t>部门稽查、出发、通报批评、公开谴责等情况。</w:t>
      </w:r>
    </w:p>
    <w:p>
      <w:pPr>
        <w:pStyle w:val="BodyText"/>
        <w:spacing w:line="319" w:lineRule="auto" w:before="19"/>
        <w:ind w:left="369" w:right="237" w:hanging="217"/>
        <w:jc w:val="left"/>
      </w:pPr>
      <w:r>
        <w:rPr/>
        <w:t>（三）监事会 公司监事会有</w:t>
      </w:r>
      <w:r>
        <w:rPr>
          <w:rFonts w:ascii="Times New Roman" w:hAnsi="Times New Roman" w:cs="Times New Roman" w:eastAsia="Times New Roman" w:hint="default"/>
        </w:rPr>
        <w:t>3</w:t>
      </w:r>
      <w:r>
        <w:rPr/>
        <w:t>人组成，其中股东代表监事</w:t>
      </w:r>
      <w:r>
        <w:rPr>
          <w:rFonts w:ascii="Times New Roman" w:hAnsi="Times New Roman" w:cs="Times New Roman" w:eastAsia="Times New Roman" w:hint="default"/>
        </w:rPr>
        <w:t>2</w:t>
      </w:r>
      <w:r>
        <w:rPr/>
        <w:t>名，一名职工代表监事。职工代表监事由公司员工通过民主推选而选出。公</w:t>
      </w:r>
    </w:p>
    <w:p>
      <w:pPr>
        <w:pStyle w:val="BodyText"/>
        <w:spacing w:line="316" w:lineRule="auto" w:before="0"/>
        <w:ind w:right="94"/>
        <w:jc w:val="left"/>
      </w:pPr>
      <w:r>
        <w:rPr/>
        <w:t>司监事会成员结构合理，监事任职资格、选聘程序、构成均符合有关法律、法规的要求。在日常工作中，监事会勤勉尽责， </w:t>
      </w:r>
      <w:r>
        <w:rPr>
          <w:spacing w:val="-2"/>
        </w:rPr>
        <w:t>通过列席董事会、股东大会，召开监事会会议，对公司董事、董事会秘书及其他高级管理人员的行为进行监督，对公司重大</w:t>
      </w:r>
      <w:r>
        <w:rPr>
          <w:spacing w:val="-67"/>
        </w:rPr>
        <w:t> </w:t>
      </w:r>
      <w:r>
        <w:rPr>
          <w:spacing w:val="-67"/>
        </w:rPr>
      </w:r>
      <w:r>
        <w:rPr/>
        <w:t>投资、重大财务决策事项进行监督，对公司关联交易、重大投资、重大财务决策事项进行监督。</w:t>
      </w:r>
    </w:p>
    <w:p>
      <w:pPr>
        <w:pStyle w:val="BodyText"/>
        <w:spacing w:line="316" w:lineRule="auto" w:before="19"/>
        <w:ind w:left="441" w:right="94" w:hanging="289"/>
        <w:jc w:val="left"/>
      </w:pPr>
      <w:r>
        <w:rPr/>
        <w:t>（四）经理层 </w:t>
      </w:r>
      <w:r>
        <w:rPr>
          <w:spacing w:val="-1"/>
        </w:rPr>
        <w:t>公司总经理的聘任由公司第三届董事会第一次会议审议通过，副总经理由总经理提名，报董事会审议通过后聘任。公司</w:t>
      </w:r>
    </w:p>
    <w:p>
      <w:pPr>
        <w:pStyle w:val="BodyText"/>
        <w:spacing w:line="316" w:lineRule="auto" w:before="19"/>
        <w:ind w:right="94"/>
        <w:jc w:val="left"/>
      </w:pPr>
      <w:r>
        <w:rPr>
          <w:spacing w:val="-2"/>
        </w:rPr>
        <w:t>董事会下设的提名委员会，对公司高级管理人员的产生、招聘已形成合理的选聘机制。目前公司经理层的构成没有公司控股</w:t>
      </w:r>
      <w:r>
        <w:rPr>
          <w:spacing w:val="-63"/>
        </w:rPr>
        <w:t> </w:t>
      </w:r>
      <w:r>
        <w:rPr>
          <w:spacing w:val="-63"/>
        </w:rPr>
      </w:r>
      <w:r>
        <w:rPr>
          <w:spacing w:val="-2"/>
        </w:rPr>
        <w:t>股东的家族成员。公司在公司《章程》和《总经理工作细则》等规定中，明确了总经理的职权，能够对公司的日常经营实施</w:t>
      </w:r>
      <w:r>
        <w:rPr>
          <w:spacing w:val="-73"/>
        </w:rPr>
        <w:t> </w:t>
      </w:r>
      <w:r>
        <w:rPr>
          <w:spacing w:val="-73"/>
        </w:rPr>
      </w:r>
      <w:r>
        <w:rPr>
          <w:spacing w:val="-4"/>
        </w:rPr>
        <w:t>有效的控制。报告期内，公司总经理和副总经理参加了监管部门举办的相关培训活动，通过进一步学习、熟悉有关法律法规，</w:t>
      </w:r>
      <w:r>
        <w:rPr>
          <w:spacing w:val="-46"/>
        </w:rPr>
        <w:t> </w:t>
      </w:r>
      <w:r>
        <w:rPr>
          <w:spacing w:val="-46"/>
        </w:rPr>
      </w:r>
      <w:r>
        <w:rPr/>
        <w:t>切实提高履行职责的认识。</w:t>
      </w:r>
    </w:p>
    <w:p>
      <w:pPr>
        <w:pStyle w:val="BodyText"/>
        <w:spacing w:line="300" w:lineRule="auto" w:before="19"/>
        <w:ind w:right="96" w:firstLine="288"/>
        <w:jc w:val="left"/>
      </w:pPr>
      <w:r>
        <w:rPr>
          <w:rFonts w:ascii="Times New Roman" w:hAnsi="Times New Roman" w:cs="Times New Roman" w:eastAsia="Times New Roman" w:hint="default"/>
          <w:spacing w:val="-2"/>
        </w:rPr>
        <w:t>2016</w:t>
      </w:r>
      <w:r>
        <w:rPr>
          <w:spacing w:val="-2"/>
        </w:rPr>
        <w:t>年公司将严格按照《公司法》、《证券法》和中国证监会、深圳证券交易所等法律法规以及公司《章程》规范运作，</w:t>
      </w:r>
      <w:r>
        <w:rPr/>
        <w:t> 落实各项内控制度的实施，以进一步规范公司运作，提高公司治理水平。</w:t>
      </w:r>
    </w:p>
    <w:p>
      <w:pPr>
        <w:spacing w:line="240" w:lineRule="auto" w:before="0"/>
        <w:rPr>
          <w:rFonts w:ascii="宋体" w:hAnsi="宋体" w:cs="宋体" w:eastAsia="宋体" w:hint="default"/>
          <w:sz w:val="18"/>
          <w:szCs w:val="18"/>
        </w:rPr>
      </w:pPr>
    </w:p>
    <w:p>
      <w:pPr>
        <w:pStyle w:val="BodyText"/>
        <w:spacing w:line="240" w:lineRule="auto" w:before="148"/>
        <w:ind w:right="94"/>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4"/>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93" w:firstLine="72"/>
        <w:jc w:val="both"/>
      </w:pPr>
      <w:r>
        <w:rPr/>
        <w:t>公司建立了健全的公司法人治理结构。公司与控股股东在业务、人员、资产、机构、财务等方面完全分开，具有独立完整 </w:t>
      </w:r>
      <w:r>
        <w:rPr>
          <w:spacing w:val="-2"/>
        </w:rPr>
        <w:t>的业务及自主经营能力。公司所有的生产经营或重大事项均根据公司《章程》及相关制度的规定按授权权限提交经理层、董</w:t>
      </w:r>
      <w:r>
        <w:rPr>
          <w:spacing w:val="-66"/>
        </w:rPr>
        <w:t> </w:t>
      </w:r>
      <w:r>
        <w:rPr>
          <w:spacing w:val="-66"/>
        </w:rPr>
      </w:r>
      <w:r>
        <w:rPr/>
        <w:t>事会和股东大会讨论确定。具体情况如下：</w:t>
      </w:r>
    </w:p>
    <w:p>
      <w:pPr>
        <w:spacing w:before="5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、资产独立情况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b/>
          <w:bCs/>
          <w:sz w:val="25"/>
          <w:szCs w:val="25"/>
        </w:rPr>
      </w:pPr>
    </w:p>
    <w:p>
      <w:pPr>
        <w:pStyle w:val="BodyText"/>
        <w:spacing w:line="316" w:lineRule="auto"/>
        <w:ind w:right="190"/>
        <w:jc w:val="both"/>
      </w:pPr>
      <w:r>
        <w:rPr>
          <w:spacing w:val="-2"/>
        </w:rPr>
        <w:t>公司系由爱迪尔有限整体变更而来，原爱迪尔有限的资产和人员全部进入公司。整体变更后，公司依法办理了相关资产和产</w:t>
      </w:r>
      <w:r>
        <w:rPr>
          <w:spacing w:val="-63"/>
        </w:rPr>
        <w:t> </w:t>
      </w:r>
      <w:r>
        <w:rPr>
          <w:spacing w:val="-63"/>
        </w:rPr>
      </w:r>
      <w:r>
        <w:rPr>
          <w:spacing w:val="-2"/>
        </w:rPr>
        <w:t>权的变更登记。公司拥有与生产经营相关的经营系统和配套设备，合法拥有与经营有关的生产设备、商标、专利的所有权或</w:t>
      </w:r>
      <w:r>
        <w:rPr>
          <w:spacing w:val="-64"/>
        </w:rPr>
        <w:t> </w:t>
      </w:r>
      <w:r>
        <w:rPr>
          <w:spacing w:val="-64"/>
        </w:rPr>
      </w:r>
      <w:r>
        <w:rPr/>
        <w:t>使用权。</w:t>
      </w:r>
    </w:p>
    <w:p>
      <w:pPr>
        <w:pStyle w:val="BodyText"/>
        <w:spacing w:line="316" w:lineRule="auto" w:before="59"/>
        <w:ind w:right="94"/>
        <w:jc w:val="left"/>
      </w:pPr>
      <w:r>
        <w:rPr>
          <w:spacing w:val="-2"/>
        </w:rPr>
        <w:t>公司与股东之间的资产产权界定清晰，不存在以资产、权益或信誉为股东的债务提供担保的情形，控股股东及关联方不存在</w:t>
      </w:r>
      <w:r>
        <w:rPr>
          <w:spacing w:val="-66"/>
        </w:rPr>
        <w:t> </w:t>
      </w:r>
      <w:r>
        <w:rPr>
          <w:spacing w:val="-66"/>
        </w:rPr>
      </w:r>
      <w:r>
        <w:rPr/>
        <w:t>违规占用上市公司资金、资产及其他资源的情形。</w:t>
      </w:r>
    </w:p>
    <w:p>
      <w:pPr>
        <w:pStyle w:val="BodyText"/>
        <w:spacing w:line="321" w:lineRule="auto" w:before="57"/>
        <w:ind w:right="94"/>
        <w:jc w:val="left"/>
      </w:pPr>
      <w:r>
        <w:rPr>
          <w:rFonts w:ascii="Times New Roman" w:hAnsi="Times New Roman" w:cs="Times New Roman" w:eastAsia="Times New Roman" w:hint="default"/>
          <w:b/>
          <w:bCs/>
        </w:rPr>
        <w:t>2</w:t>
      </w:r>
      <w:r>
        <w:rPr>
          <w:rFonts w:ascii="宋体" w:hAnsi="宋体" w:cs="宋体" w:eastAsia="宋体" w:hint="default"/>
          <w:b/>
          <w:bCs/>
        </w:rPr>
        <w:t>、人员独立情况</w:t>
      </w:r>
      <w:r>
        <w:rPr>
          <w:rFonts w:ascii="宋体" w:hAnsi="宋体" w:cs="宋体" w:eastAsia="宋体" w:hint="default"/>
          <w:b/>
          <w:bCs/>
          <w:w w:val="99"/>
        </w:rPr>
        <w:t> </w:t>
      </w:r>
      <w:r>
        <w:rPr>
          <w:spacing w:val="-2"/>
        </w:rPr>
        <w:t>公司董事、监事及高级管理人员严格按照《公司法》、《证券法》等法律法规和《公司章程》的有关规定选举产生，不存在</w:t>
      </w:r>
      <w:r>
        <w:rPr>
          <w:spacing w:val="-70"/>
        </w:rPr>
        <w:t> </w:t>
      </w:r>
      <w:r>
        <w:rPr>
          <w:spacing w:val="-70"/>
        </w:rPr>
      </w:r>
      <w:r>
        <w:rPr>
          <w:spacing w:val="-2"/>
        </w:rPr>
        <w:t>大股东和实际控制人超越董事会和股东大会作出人事任免决定的情况。公司拥有独立运行的人力资源部，对公司员工按照有</w:t>
      </w:r>
      <w:r>
        <w:rPr>
          <w:spacing w:val="-64"/>
        </w:rPr>
        <w:t> </w:t>
      </w:r>
      <w:r>
        <w:rPr>
          <w:spacing w:val="-64"/>
        </w:rPr>
      </w:r>
      <w:r>
        <w:rPr>
          <w:spacing w:val="-2"/>
        </w:rPr>
        <w:t>关规定和制度实施管理，公司的人事和工资管理与股东单位严格分开，无高级管理人员在控股股东或实际控制人处担任任何</w:t>
      </w:r>
      <w:r>
        <w:rPr>
          <w:spacing w:val="-64"/>
        </w:rPr>
        <w:t> </w:t>
      </w:r>
      <w:r>
        <w:rPr>
          <w:spacing w:val="-64"/>
        </w:rPr>
      </w:r>
      <w:r>
        <w:rPr>
          <w:spacing w:val="-2"/>
        </w:rPr>
        <w:t>行政职务情况；不存在高级管理人员在控股股东、实际控制人及其控制的其他企业领薪的情形；不存在发行人的财务人员在</w:t>
      </w:r>
      <w:r>
        <w:rPr>
          <w:spacing w:val="-63"/>
        </w:rPr>
        <w:t> </w:t>
      </w:r>
      <w:r>
        <w:rPr>
          <w:spacing w:val="-63"/>
        </w:rPr>
      </w:r>
      <w:r>
        <w:rPr/>
        <w:t>控股股东、实际控制人及其控制的其他企业中兼职的情形。</w:t>
      </w:r>
    </w:p>
    <w:p>
      <w:pPr>
        <w:pStyle w:val="BodyText"/>
        <w:spacing w:line="328" w:lineRule="auto" w:before="56"/>
        <w:ind w:right="94"/>
        <w:jc w:val="left"/>
      </w:pPr>
      <w:r>
        <w:rPr>
          <w:rFonts w:ascii="Times New Roman" w:hAnsi="Times New Roman" w:cs="Times New Roman" w:eastAsia="Times New Roman" w:hint="default"/>
          <w:b/>
          <w:bCs/>
        </w:rPr>
        <w:t>3</w:t>
      </w:r>
      <w:r>
        <w:rPr>
          <w:rFonts w:ascii="宋体" w:hAnsi="宋体" w:cs="宋体" w:eastAsia="宋体" w:hint="default"/>
          <w:b/>
          <w:bCs/>
        </w:rPr>
        <w:t>、财务独立情况</w:t>
      </w:r>
      <w:r>
        <w:rPr>
          <w:rFonts w:ascii="宋体" w:hAnsi="宋体" w:cs="宋体" w:eastAsia="宋体" w:hint="default"/>
          <w:b/>
          <w:bCs/>
          <w:w w:val="99"/>
        </w:rPr>
        <w:t> </w:t>
      </w:r>
      <w:r>
        <w:rPr>
          <w:spacing w:val="-2"/>
        </w:rPr>
        <w:t>公司设置了独立的财务部门，并根据现行的会计准则及相关法规，结合公司实际情况制定了财务管理制度，建立了独立、完</w:t>
      </w:r>
      <w:r>
        <w:rPr>
          <w:spacing w:val="-64"/>
        </w:rPr>
        <w:t> </w:t>
      </w:r>
      <w:r>
        <w:rPr>
          <w:spacing w:val="-64"/>
        </w:rPr>
      </w:r>
      <w:r>
        <w:rPr/>
        <w:t>整的财务核算体系，能够独立做出财务决策，具有规范的财务会计制度。</w:t>
      </w:r>
    </w:p>
    <w:p>
      <w:pPr>
        <w:pStyle w:val="BodyText"/>
        <w:spacing w:line="338" w:lineRule="auto" w:before="50"/>
        <w:ind w:right="94"/>
        <w:jc w:val="left"/>
      </w:pPr>
      <w:r>
        <w:rPr>
          <w:spacing w:val="-2"/>
        </w:rPr>
        <w:t>公司及其控股子公司均独立建账，并按公司制定的内部会计管理制度对其发生的各类经济业务进行独立核算。公司在银行独</w:t>
      </w:r>
      <w:r>
        <w:rPr>
          <w:spacing w:val="-64"/>
        </w:rPr>
        <w:t> </w:t>
      </w:r>
      <w:r>
        <w:rPr>
          <w:spacing w:val="-64"/>
        </w:rPr>
      </w:r>
      <w:r>
        <w:rPr/>
        <w:t>立开设账户，对所发生的经济业务进行独立结算。公司成立后及时办理了税务登记证并依法独立进行纳税申报和税收缴纳。 </w:t>
      </w:r>
      <w:r>
        <w:rPr>
          <w:spacing w:val="-2"/>
        </w:rPr>
        <w:t>公司财务独立，不存在与控股股东、实际控制人及其控制的其他企业共用银行账户的情形，没有为控股股东、实际控制人及</w:t>
      </w:r>
    </w:p>
    <w:p>
      <w:pPr>
        <w:pStyle w:val="BodyText"/>
        <w:spacing w:line="338" w:lineRule="auto" w:before="2"/>
        <w:ind w:right="94"/>
        <w:jc w:val="left"/>
      </w:pPr>
      <w:r>
        <w:rPr/>
        <w:t>其控制的其他企业提供任何形式的担保，或将以公司名义借入款项转借给控股股东、实际控制人及其控制的其他企业。 </w:t>
      </w:r>
      <w:r>
        <w:rPr>
          <w:rFonts w:ascii="Times New Roman" w:hAnsi="Times New Roman" w:cs="Times New Roman" w:eastAsia="Times New Roman" w:hint="default"/>
          <w:b/>
          <w:bCs/>
        </w:rPr>
        <w:t>4</w:t>
      </w:r>
      <w:r>
        <w:rPr>
          <w:rFonts w:ascii="宋体" w:hAnsi="宋体" w:cs="宋体" w:eastAsia="宋体" w:hint="default"/>
          <w:b/>
          <w:bCs/>
        </w:rPr>
        <w:t>、业务独立情况</w:t>
      </w:r>
      <w:r>
        <w:rPr>
          <w:rFonts w:ascii="宋体" w:hAnsi="宋体" w:cs="宋体" w:eastAsia="宋体" w:hint="default"/>
          <w:b/>
          <w:bCs/>
          <w:w w:val="99"/>
        </w:rPr>
        <w:t> </w:t>
      </w:r>
      <w:r>
        <w:rPr>
          <w:spacing w:val="-2"/>
        </w:rPr>
        <w:t>公司为主要从事钻石镶嵌珠宝首饰产品的设计、生产和销售的珠宝企业，拥有独立完整的设计、生产、采购和销售体系，拥</w:t>
      </w:r>
      <w:r>
        <w:rPr>
          <w:spacing w:val="-67"/>
        </w:rPr>
        <w:t> </w:t>
      </w:r>
      <w:r>
        <w:rPr>
          <w:spacing w:val="-67"/>
        </w:rPr>
      </w:r>
      <w:r>
        <w:rPr>
          <w:spacing w:val="-2"/>
        </w:rPr>
        <w:t>有独立的经营决策、执行机构以及业务运行系统。公司直接面向市场独立经营，独立对外签署合同，不存在依赖股东单位及</w:t>
      </w:r>
    </w:p>
    <w:p>
      <w:pPr>
        <w:pStyle w:val="BodyText"/>
        <w:spacing w:line="309" w:lineRule="auto" w:before="3"/>
        <w:ind w:right="191"/>
        <w:jc w:val="both"/>
      </w:pPr>
      <w:r>
        <w:rPr>
          <w:spacing w:val="-2"/>
        </w:rPr>
        <w:t>其他关联方进行设计、生产、产品销售或原材料采购、以及依赖股东及其他关联方进行生产经营活动的其他情况，业务完全</w:t>
      </w:r>
      <w:r>
        <w:rPr>
          <w:spacing w:val="-64"/>
        </w:rPr>
        <w:t> </w:t>
      </w:r>
      <w:r>
        <w:rPr>
          <w:spacing w:val="-64"/>
        </w:rPr>
      </w:r>
      <w:r>
        <w:rPr/>
        <w:t>独立于股东及其他关联方。公司控股股东（实际控制人）、持股</w:t>
      </w:r>
      <w:r>
        <w:rPr>
          <w:rFonts w:ascii="Times New Roman" w:hAnsi="Times New Roman" w:cs="Times New Roman" w:eastAsia="Times New Roman" w:hint="default"/>
        </w:rPr>
        <w:t>5%</w:t>
      </w:r>
      <w:r>
        <w:rPr/>
        <w:t>以上其他股东均出具了避免同业竞争的承诺，承诺不直 接或间接地从事任何与公司构成同业竞争的业务。</w:t>
      </w:r>
    </w:p>
    <w:p>
      <w:pPr>
        <w:pStyle w:val="BodyText"/>
        <w:spacing w:line="321" w:lineRule="auto" w:before="65"/>
        <w:ind w:right="94"/>
        <w:jc w:val="left"/>
      </w:pPr>
      <w:r>
        <w:rPr>
          <w:rFonts w:ascii="Times New Roman" w:hAnsi="Times New Roman" w:cs="Times New Roman" w:eastAsia="Times New Roman" w:hint="default"/>
          <w:b/>
          <w:bCs/>
        </w:rPr>
        <w:t>5</w:t>
      </w:r>
      <w:r>
        <w:rPr>
          <w:rFonts w:ascii="宋体" w:hAnsi="宋体" w:cs="宋体" w:eastAsia="宋体" w:hint="default"/>
          <w:b/>
          <w:bCs/>
        </w:rPr>
        <w:t>、机构独立情况</w:t>
      </w:r>
      <w:r>
        <w:rPr>
          <w:rFonts w:ascii="宋体" w:hAnsi="宋体" w:cs="宋体" w:eastAsia="宋体" w:hint="default"/>
          <w:b/>
          <w:bCs/>
          <w:w w:val="99"/>
        </w:rPr>
        <w:t> </w:t>
      </w:r>
      <w:r>
        <w:rPr>
          <w:spacing w:val="-2"/>
        </w:rPr>
        <w:t>公司依照《公司法》和《公司章程》设置了股东大会、董事会、监事会及总经理负责的管理层，建立了完整、独立的法人治</w:t>
      </w:r>
      <w:r>
        <w:rPr>
          <w:spacing w:val="-65"/>
        </w:rPr>
        <w:t> </w:t>
      </w:r>
      <w:r>
        <w:rPr>
          <w:spacing w:val="-65"/>
        </w:rPr>
      </w:r>
      <w:r>
        <w:rPr>
          <w:spacing w:val="-2"/>
        </w:rPr>
        <w:t>理结构并规范运作。公司建立了符合自身业务和经营特点、独立完整的组织机构，各机构按照《公司章程》及各项规章制度</w:t>
      </w:r>
      <w:r>
        <w:rPr>
          <w:spacing w:val="-67"/>
        </w:rPr>
        <w:t> </w:t>
      </w:r>
      <w:r>
        <w:rPr>
          <w:spacing w:val="-67"/>
        </w:rPr>
      </w:r>
      <w:r>
        <w:rPr>
          <w:spacing w:val="-2"/>
        </w:rPr>
        <w:t>独立行使职权。公司的生产经营和职能部门的办公场所与控股股东、实际控制人控制的其他企业的机构分开，不存在与控股</w:t>
      </w:r>
      <w:r>
        <w:rPr>
          <w:spacing w:val="-63"/>
        </w:rPr>
        <w:t> </w:t>
      </w:r>
      <w:r>
        <w:rPr>
          <w:spacing w:val="-63"/>
        </w:rPr>
      </w:r>
      <w:r>
        <w:rPr/>
        <w:t>股东、实际控制人及其控制的其他企业混合经营、合署办公的情形。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94"/>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9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9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left="0" w:right="160"/>
        <w:jc w:val="right"/>
      </w:pPr>
      <w:r>
        <w:rPr/>
        <w:pict>
          <v:shape style="position:absolute;margin-left:56.400002pt;margin-top:-31.948271pt;width:479.15pt;height:290.3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1"/>
                            <w:sz w:val="18"/>
                            <w:szCs w:val="18"/>
                          </w:rPr>
                          <w:t> </w:t>
                        </w:r>
                        <w:r>
                          <w:rPr>
                            <w:rFonts w:ascii="宋体" w:hAnsi="宋体" w:cs="宋体" w:eastAsia="宋体" w:hint="default"/>
                            <w:sz w:val="18"/>
                            <w:szCs w:val="18"/>
                          </w:rPr>
                          <w:t>刊登于《中国</w:t>
                        </w:r>
                        <w:r>
                          <w:rPr>
                            <w:rFonts w:ascii="宋体" w:hAnsi="宋体" w:cs="宋体" w:eastAsia="宋体" w:hint="default"/>
                            <w:sz w:val="18"/>
                            <w:szCs w:val="18"/>
                          </w:rPr>
                          <w:t> </w:t>
                        </w:r>
                        <w:r>
                          <w:rPr>
                            <w:rFonts w:ascii="宋体" w:hAnsi="宋体" w:cs="宋体" w:eastAsia="宋体" w:hint="default"/>
                            <w:spacing w:val="-21"/>
                            <w:sz w:val="18"/>
                            <w:szCs w:val="18"/>
                          </w:rPr>
                          <w:t>证券报》、《证券时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pacing w:val="-1"/>
                            <w:sz w:val="18"/>
                            <w:szCs w:val="18"/>
                          </w:rPr>
                          <w:t>2015-046</w:t>
                        </w:r>
                        <w:r>
                          <w:rPr>
                            <w:rFonts w:ascii="Times New Roman" w:hAnsi="Times New Roman" w:cs="Times New Roman" w:eastAsia="Times New Roman" w:hint="default"/>
                            <w:spacing w:val="7"/>
                            <w:sz w:val="18"/>
                            <w:szCs w:val="18"/>
                          </w:rPr>
                          <w:t> </w:t>
                        </w:r>
                        <w:r>
                          <w:rPr>
                            <w:rFonts w:ascii="宋体" w:hAnsi="宋体" w:cs="宋体" w:eastAsia="宋体" w:hint="default"/>
                            <w:spacing w:val="-31"/>
                            <w:sz w:val="18"/>
                            <w:szCs w:val="18"/>
                          </w:rPr>
                          <w:t>号）。</w:t>
                        </w:r>
                      </w:p>
                    </w:tc>
                  </w:tr>
                  <w:tr>
                    <w:trPr>
                      <w:trHeight w:val="29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1"/>
                            <w:sz w:val="18"/>
                            <w:szCs w:val="18"/>
                          </w:rPr>
                          <w:t> </w:t>
                        </w:r>
                        <w:r>
                          <w:rPr>
                            <w:rFonts w:ascii="宋体" w:hAnsi="宋体" w:cs="宋体" w:eastAsia="宋体" w:hint="default"/>
                            <w:sz w:val="18"/>
                            <w:szCs w:val="18"/>
                          </w:rPr>
                          <w:t>刊登于《中国</w:t>
                        </w:r>
                        <w:r>
                          <w:rPr>
                            <w:rFonts w:ascii="宋体" w:hAnsi="宋体" w:cs="宋体" w:eastAsia="宋体" w:hint="default"/>
                            <w:sz w:val="18"/>
                            <w:szCs w:val="18"/>
                          </w:rPr>
                          <w:t> </w:t>
                        </w:r>
                        <w:r>
                          <w:rPr>
                            <w:rFonts w:ascii="宋体" w:hAnsi="宋体" w:cs="宋体" w:eastAsia="宋体" w:hint="default"/>
                            <w:spacing w:val="-21"/>
                            <w:sz w:val="18"/>
                            <w:szCs w:val="18"/>
                          </w:rPr>
                          <w:t>证券报》、《证券时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2015-083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0"/>
        <w:ind w:right="153"/>
        <w:jc w:val="left"/>
      </w:pPr>
      <w:r>
        <w:rPr/>
        <w:t>机构投资者情况</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其他资产管理机构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樊行健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49"/>
        <w:ind w:right="7074"/>
        <w:jc w:val="left"/>
      </w:pPr>
      <w:r>
        <w:rPr/>
        <w:t>连续两次未亲自出席董事会的说明 不适用</w:t>
      </w:r>
    </w:p>
    <w:p>
      <w:pPr>
        <w:spacing w:after="0" w:line="36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独立董事对公司有关事项是否提出异议</w:t>
      </w:r>
    </w:p>
    <w:p>
      <w:pPr>
        <w:pStyle w:val="BodyText"/>
        <w:spacing w:line="340" w:lineRule="auto" w:before="115"/>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6"/>
        <w:spacing w:line="240" w:lineRule="auto"/>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独立董事对公司有关建议是否被采纳</w:t>
      </w:r>
    </w:p>
    <w:p>
      <w:pPr>
        <w:pStyle w:val="BodyText"/>
        <w:spacing w:line="340"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0"/>
        <w:ind w:right="150" w:firstLine="91"/>
        <w:jc w:val="both"/>
      </w:pPr>
      <w:r>
        <w:rPr>
          <w:spacing w:val="-7"/>
        </w:rPr>
        <w:t>公司独立董事根据《公司法》、《公司章程》、《独立董事工作细则》等法律法规、规范性文件的要求，认真、勤勉、尽职地</w:t>
      </w:r>
      <w:r>
        <w:rPr/>
        <w:t> </w:t>
      </w:r>
      <w:r>
        <w:rPr>
          <w:spacing w:val="-2"/>
        </w:rPr>
        <w:t>履行法律法规、规范性文件及公司赋予的职责，全面关注公司的发展和经营情况，积极出席股东大会和董事会，对公司的重</w:t>
      </w:r>
      <w:r>
        <w:rPr>
          <w:spacing w:val="-65"/>
        </w:rPr>
        <w:t> </w:t>
      </w:r>
      <w:r>
        <w:rPr>
          <w:spacing w:val="-65"/>
        </w:rPr>
      </w:r>
      <w:r>
        <w:rPr>
          <w:spacing w:val="-2"/>
        </w:rPr>
        <w:t>大事项发表了独立意见，充分发挥了独立董事的作用，有效的维护公司及全体股东的利益。公司积极听取独立董事在重大事</w:t>
      </w:r>
      <w:r>
        <w:rPr>
          <w:spacing w:val="-63"/>
        </w:rPr>
        <w:t> </w:t>
      </w:r>
      <w:r>
        <w:rPr>
          <w:spacing w:val="-63"/>
        </w:rPr>
      </w:r>
      <w:r>
        <w:rPr/>
        <w:t>项的相关建议，并予以采纳。</w:t>
      </w:r>
    </w:p>
    <w:p>
      <w:pPr>
        <w:spacing w:line="240" w:lineRule="auto" w:before="11"/>
        <w:rPr>
          <w:rFonts w:ascii="宋体" w:hAnsi="宋体" w:cs="宋体" w:eastAsia="宋体" w:hint="default"/>
          <w:sz w:val="20"/>
          <w:szCs w:val="20"/>
        </w:rPr>
      </w:pPr>
    </w:p>
    <w:p>
      <w:pPr>
        <w:pStyle w:val="Heading4"/>
        <w:spacing w:line="240" w:lineRule="auto"/>
        <w:ind w:right="15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335" w:right="149" w:hanging="18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审计委员会 </w:t>
      </w:r>
      <w:r>
        <w:rPr>
          <w:spacing w:val="-2"/>
        </w:rPr>
        <w:t>报告期内，审计委员会召开了多次会议，审议公司定期报告，内审部门日常工作汇报等事项。审计委员会详细了解公司财</w:t>
      </w:r>
    </w:p>
    <w:p>
      <w:pPr>
        <w:pStyle w:val="BodyText"/>
        <w:spacing w:line="300" w:lineRule="auto" w:before="31"/>
        <w:ind w:right="148"/>
        <w:jc w:val="both"/>
      </w:pPr>
      <w:r>
        <w:rPr>
          <w:spacing w:val="-2"/>
        </w:rPr>
        <w:t>务状况和经营情况，严格审查公司内控制度的建立及执行情况，并认真听取了公司内审部门</w:t>
      </w:r>
      <w:r>
        <w:rPr>
          <w:rFonts w:ascii="Times New Roman" w:hAnsi="Times New Roman" w:cs="Times New Roman" w:eastAsia="Times New Roman" w:hint="default"/>
          <w:spacing w:val="-2"/>
        </w:rPr>
        <w:t>2016</w:t>
      </w:r>
      <w:r>
        <w:rPr>
          <w:spacing w:val="-2"/>
        </w:rPr>
        <w:t>年内审工作计划，对公司财</w:t>
      </w:r>
      <w:r>
        <w:rPr>
          <w:spacing w:val="-59"/>
        </w:rPr>
        <w:t> </w:t>
      </w:r>
      <w:r>
        <w:rPr>
          <w:spacing w:val="-59"/>
        </w:rPr>
      </w:r>
      <w:r>
        <w:rPr>
          <w:spacing w:val="-2"/>
        </w:rPr>
        <w:t>务状况和经营情况提供了有效的监督和指导。在</w:t>
      </w:r>
      <w:r>
        <w:rPr>
          <w:rFonts w:ascii="Times New Roman" w:hAnsi="Times New Roman" w:cs="Times New Roman" w:eastAsia="Times New Roman" w:hint="default"/>
          <w:spacing w:val="-2"/>
        </w:rPr>
        <w:t>2015</w:t>
      </w:r>
      <w:r>
        <w:rPr>
          <w:spacing w:val="-2"/>
        </w:rPr>
        <w:t>年度审计工作中，审计委员会会同公司审计机构、公司内审部和财务部</w:t>
      </w:r>
      <w:r>
        <w:rPr>
          <w:spacing w:val="-60"/>
        </w:rPr>
        <w:t> </w:t>
      </w:r>
      <w:r>
        <w:rPr>
          <w:spacing w:val="-60"/>
        </w:rPr>
      </w:r>
      <w:r>
        <w:rPr/>
        <w:t>共同协商确定年度财务报告审计工作的时间安排和重点审计范围，确保审计的独立性和审计工作按时保质完成。</w:t>
      </w:r>
    </w:p>
    <w:p>
      <w:pPr>
        <w:pStyle w:val="BodyText"/>
        <w:spacing w:line="300" w:lineRule="auto" w:before="31"/>
        <w:ind w:left="426" w:right="140" w:hanging="27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薪酬与考核委员会 薪酬与考核委员会结合公司实际情况，以及公司董事、监事、高级管理人员的工作能力、履职情况、责任目标完成情况</w:t>
      </w:r>
    </w:p>
    <w:p>
      <w:pPr>
        <w:pStyle w:val="BodyText"/>
        <w:spacing w:line="316" w:lineRule="auto" w:before="31"/>
        <w:ind w:right="153"/>
        <w:jc w:val="left"/>
      </w:pPr>
      <w:r>
        <w:rPr>
          <w:spacing w:val="-2"/>
        </w:rPr>
        <w:t>进行考评进行了考核。薪酬与考核委员会认为，报告期内，公司董事、监事和高级管理人员薪酬发放合理，符合公司考核指</w:t>
      </w:r>
      <w:r>
        <w:rPr>
          <w:spacing w:val="-67"/>
        </w:rPr>
        <w:t> </w:t>
      </w:r>
      <w:r>
        <w:rPr>
          <w:spacing w:val="-67"/>
        </w:rPr>
      </w:r>
      <w:r>
        <w:rPr/>
        <w:t>标和制度规定。</w:t>
      </w:r>
    </w:p>
    <w:p>
      <w:pPr>
        <w:pStyle w:val="BodyText"/>
        <w:spacing w:line="300" w:lineRule="auto" w:before="19"/>
        <w:ind w:left="426" w:right="153" w:hanging="27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提名委员会 </w:t>
      </w:r>
      <w:r>
        <w:rPr>
          <w:spacing w:val="-4"/>
        </w:rPr>
        <w:t>报告期内，提名委员会根据《公司法》，公司《章程》和《董事会提名委员会工作细则》，积极履行职责，对公司选举董</w:t>
      </w:r>
    </w:p>
    <w:p>
      <w:pPr>
        <w:pStyle w:val="BodyText"/>
        <w:spacing w:line="240" w:lineRule="auto" w:before="31"/>
        <w:ind w:right="153"/>
        <w:jc w:val="left"/>
      </w:pPr>
      <w:r>
        <w:rPr/>
        <w:t>事、进行提名，并对人员任职资格进行审查，发表审查意见和建议，并提交公司董事会审议。</w:t>
      </w:r>
    </w:p>
    <w:p>
      <w:pPr>
        <w:pStyle w:val="BodyText"/>
        <w:spacing w:line="300" w:lineRule="auto" w:before="76"/>
        <w:ind w:left="426" w:right="140" w:hanging="27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战略委员会 报告期内，战略决策委员会召开了相关会议，根据公司发展战略的部署，对公司所处行业的发展趋势、等方面进行深入</w:t>
      </w:r>
    </w:p>
    <w:p>
      <w:pPr>
        <w:pStyle w:val="BodyText"/>
        <w:spacing w:line="240" w:lineRule="auto" w:before="32"/>
        <w:ind w:right="153"/>
        <w:jc w:val="left"/>
      </w:pPr>
      <w:r>
        <w:rPr/>
        <w:t>的探讨和研究，对公司新产品研发投资项目、非公开发行股票事项等多项重大决策等提出了合理建议。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4"/>
        <w:spacing w:line="240" w:lineRule="auto"/>
        <w:ind w:right="15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监事会在报告期内的监督活动中发现公司是否存在风险</w:t>
      </w:r>
    </w:p>
    <w:p>
      <w:pPr>
        <w:pStyle w:val="BodyText"/>
        <w:spacing w:line="340" w:lineRule="auto" w:before="117"/>
        <w:ind w:right="6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4"/>
        <w:spacing w:line="240" w:lineRule="auto"/>
        <w:ind w:right="15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公司董事会设立了薪酬与考核委员会，公司高级管理人员直接对董事会负责，接受董事会的考核，实行责权利统一的激励机</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r>
        <w:rPr/>
        <w:pict>
          <v:group style="position:absolute;margin-left:384.070007pt;margin-top:408.765991pt;width:154.2pt;height:17.55pt;mso-position-horizontal-relative:page;mso-position-vertical-relative:page;z-index:-822856" coordorigin="7681,8175" coordsize="3084,351">
            <v:group style="position:absolute;left:7681;top:8175;width:2994;height:351" coordorigin="7681,8175" coordsize="2994,351">
              <v:shape style="position:absolute;left:7681;top:8175;width:2994;height:351" coordorigin="7681,8175" coordsize="2994,351" path="m7681,8526l10675,8526,10675,8175,7681,8175,7681,8526xe" filled="true" fillcolor="#ffffff" stroked="false">
                <v:path arrowok="t"/>
                <v:fill type="solid"/>
              </v:shape>
              <v:shape style="position:absolute;left:10585;top:828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4.070007pt;margin-top:671.73999pt;width:149.7pt;height:31.2pt;mso-position-horizontal-relative:page;mso-position-vertical-relative:page;z-index:-822832" coordorigin="7681,13435" coordsize="2994,624">
            <v:group style="position:absolute;left:7681;top:13435;width:2994;height:312" coordorigin="7681,13435" coordsize="2994,312">
              <v:shape style="position:absolute;left:7681;top:13435;width:2994;height:312" coordorigin="7681,13435" coordsize="2994,312" path="m7681,13747l10675,13747,10675,13435,7681,13435,7681,13747xe" filled="true" fillcolor="#ffffff" stroked="false">
                <v:path arrowok="t"/>
                <v:fill type="solid"/>
              </v:shape>
            </v:group>
            <v:group style="position:absolute;left:7681;top:13747;width:2994;height:312" coordorigin="7681,13747" coordsize="2994,312">
              <v:shape style="position:absolute;left:7681;top:13747;width:2994;height:312" coordorigin="7681,13747" coordsize="2994,312" path="m7681,14059l10675,14059,10675,13747,7681,13747,7681,14059xe" filled="true" fillcolor="#ffffff" stroked="false">
                <v:path arrowok="t"/>
                <v:fill type="solid"/>
              </v:shape>
            </v:group>
            <w10:wrap type="none"/>
          </v:group>
        </w:pict>
      </w:r>
    </w:p>
    <w:p>
      <w:pPr>
        <w:pStyle w:val="BodyText"/>
        <w:spacing w:line="240" w:lineRule="auto"/>
        <w:ind w:right="153"/>
        <w:jc w:val="left"/>
      </w:pPr>
      <w:r>
        <w:rPr/>
        <w:t>制。公司的激励机制符合公司现状及相关法律、法规及《公司章程》等规定。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4"/>
        <w:spacing w:line="240" w:lineRule="auto"/>
        <w:ind w:right="15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35"/>
        <w:gridCol w:w="304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84"/>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年度内部控制自我评价报告》详见巨潮 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316" w:lineRule="auto" w:before="49"/>
              <w:ind w:left="18" w:right="-37"/>
              <w:jc w:val="left"/>
              <w:rPr>
                <w:rFonts w:ascii="宋体" w:hAnsi="宋体" w:cs="宋体" w:eastAsia="宋体" w:hint="default"/>
                <w:sz w:val="18"/>
                <w:szCs w:val="18"/>
              </w:rPr>
            </w:pPr>
            <w:r>
              <w:rPr>
                <w:rFonts w:ascii="宋体" w:hAnsi="宋体" w:cs="宋体" w:eastAsia="宋体" w:hint="default"/>
                <w:spacing w:val="-6"/>
                <w:sz w:val="18"/>
                <w:szCs w:val="18"/>
              </w:rPr>
              <w:t>一、重大缺陷：控制环境无效；公司董事、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监事和高层管理人员舞弊并给企业造成重</w:t>
            </w:r>
            <w:r>
              <w:rPr>
                <w:rFonts w:ascii="宋体" w:hAnsi="宋体" w:cs="宋体" w:eastAsia="宋体" w:hint="default"/>
                <w:sz w:val="18"/>
                <w:szCs w:val="18"/>
              </w:rPr>
              <w:t> 要损失和不利影响；外部审计发现当期财 务报告存在重大错报，而内部控制运行未 能发现该错报；董事会或其授权机构及内 审部门对公司的内部控制监督无效。二、 重要缺陷：未依照公认会计准则选择和应 用会计政策；未建立反舞弊程序和控制措 施；</w:t>
            </w:r>
            <w:r>
              <w:rPr>
                <w:rFonts w:ascii="Times New Roman" w:hAnsi="Times New Roman" w:cs="Times New Roman" w:eastAsia="Times New Roman" w:hint="default"/>
                <w:sz w:val="18"/>
                <w:szCs w:val="18"/>
              </w:rPr>
              <w:t>.</w:t>
            </w:r>
            <w:r>
              <w:rPr>
                <w:rFonts w:ascii="宋体" w:hAnsi="宋体" w:cs="宋体" w:eastAsia="宋体" w:hint="default"/>
                <w:sz w:val="18"/>
                <w:szCs w:val="18"/>
              </w:rPr>
              <w:t>对于非常规或特殊交易的账务处理没 有建立相应的控制机制或没有实施且没有 相应的补偿性控制；对于期末财务报告过 程的控制存在一项或多项缺陷且不能合理 保证编制的财务报表达到真实、准确的目 标。三、一般缺陷：除上述重大缺陷、重 要缺陷之外的其他财务报告控制缺陷。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left="-1" w:right="-43"/>
              <w:jc w:val="left"/>
              <w:rPr>
                <w:rFonts w:ascii="宋体" w:hAnsi="宋体" w:cs="宋体" w:eastAsia="宋体" w:hint="default"/>
                <w:sz w:val="18"/>
                <w:szCs w:val="18"/>
              </w:rPr>
            </w:pPr>
            <w:r>
              <w:rPr>
                <w:rFonts w:ascii="宋体" w:hAnsi="宋体" w:cs="宋体" w:eastAsia="宋体" w:hint="default"/>
                <w:spacing w:val="-10"/>
                <w:sz w:val="18"/>
                <w:szCs w:val="18"/>
              </w:rPr>
              <w:t>一、重大缺陷：决策程序导致重大失误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且缺乏有效的补偿性控制；中高级管理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人员和高级技术人员流失严重；内部控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制评价的结果特别是重大缺陷未得到 </w:t>
            </w:r>
            <w:r>
              <w:rPr>
                <w:rFonts w:ascii="宋体" w:hAnsi="宋体" w:cs="宋体" w:eastAsia="宋体" w:hint="default"/>
                <w:spacing w:val="-4"/>
                <w:sz w:val="18"/>
                <w:szCs w:val="18"/>
              </w:rPr>
              <w:t>整改；其他对公司产生重大负面影响的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情形。二、重要缺陷：决策程序导致出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现一般性失误；重要业务制度或系统存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在缺陷；关键岗位业务人员流失严重； 内部控制评价的结果特别是重要缺陷 </w:t>
            </w:r>
            <w:r>
              <w:rPr>
                <w:rFonts w:ascii="宋体" w:hAnsi="宋体" w:cs="宋体" w:eastAsia="宋体" w:hint="default"/>
                <w:spacing w:val="-4"/>
                <w:sz w:val="18"/>
                <w:szCs w:val="18"/>
              </w:rPr>
              <w:t>未得到整改；其他对公司产生较大负面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影响的情形。三、一般缺陷：决策程序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效率不高；一般业务制度或系统存在缺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陷；一般岗位业务人员流失严重；一般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缺陷未得到整改。</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218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922"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309" w:lineRule="auto" w:before="49"/>
              <w:ind w:left="18" w:right="46"/>
              <w:jc w:val="left"/>
              <w:rPr>
                <w:rFonts w:ascii="宋体" w:hAnsi="宋体" w:cs="宋体" w:eastAsia="宋体" w:hint="default"/>
                <w:sz w:val="18"/>
                <w:szCs w:val="18"/>
              </w:rPr>
            </w:pPr>
            <w:r>
              <w:rPr>
                <w:rFonts w:ascii="宋体" w:hAnsi="宋体" w:cs="宋体" w:eastAsia="宋体" w:hint="default"/>
                <w:sz w:val="18"/>
                <w:szCs w:val="18"/>
              </w:rPr>
              <w:t>一、重大缺陷：由该缺陷或缺陷组合可能 导致的财务报告潜在错报金额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或对应重要性水平的。二、重要缺陷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由该缺陷或缺陷组合可能导致的财务报告 潜在错报金额占利润总额的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p>
          <w:p>
            <w:pPr>
              <w:pStyle w:val="TableParagraph"/>
              <w:spacing w:line="240" w:lineRule="auto" w:before="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w:t>
            </w:r>
            <w:r>
              <w:rPr>
                <w:rFonts w:ascii="宋体" w:hAnsi="宋体" w:cs="宋体" w:eastAsia="宋体" w:hint="default"/>
                <w:sz w:val="18"/>
                <w:szCs w:val="18"/>
              </w:rPr>
              <w:t>或对应整体重要性水平的</w:t>
            </w:r>
          </w:p>
          <w:p>
            <w:pPr>
              <w:pStyle w:val="TableParagraph"/>
              <w:spacing w:line="240" w:lineRule="auto" w:before="63"/>
              <w:ind w:left="1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20%-100%</w:t>
            </w:r>
            <w:r>
              <w:rPr>
                <w:rFonts w:ascii="宋体" w:hAnsi="宋体" w:cs="宋体" w:eastAsia="宋体" w:hint="default"/>
                <w:spacing w:val="-4"/>
                <w:sz w:val="18"/>
                <w:szCs w:val="18"/>
              </w:rPr>
              <w:t>的。三、一般缺陷：由该缺陷或</w:t>
            </w:r>
          </w:p>
        </w:tc>
        <w:tc>
          <w:tcPr>
            <w:tcW w:w="3040" w:type="dxa"/>
            <w:vMerge w:val="restart"/>
            <w:tcBorders>
              <w:top w:val="single" w:sz="4" w:space="0" w:color="000000"/>
              <w:left w:val="single" w:sz="14" w:space="0" w:color="FFFFFF"/>
              <w:right w:val="single" w:sz="4" w:space="0" w:color="000000"/>
            </w:tcBorders>
          </w:tcPr>
          <w:p>
            <w:pPr>
              <w:pStyle w:val="TableParagraph"/>
              <w:spacing w:line="310" w:lineRule="atLeast" w:before="111"/>
              <w:ind w:left="-1" w:right="20"/>
              <w:jc w:val="both"/>
              <w:rPr>
                <w:rFonts w:ascii="宋体" w:hAnsi="宋体" w:cs="宋体" w:eastAsia="宋体" w:hint="default"/>
                <w:sz w:val="18"/>
                <w:szCs w:val="18"/>
              </w:rPr>
            </w:pPr>
            <w:r>
              <w:rPr>
                <w:rFonts w:ascii="宋体" w:hAnsi="宋体" w:cs="宋体" w:eastAsia="宋体" w:hint="default"/>
                <w:spacing w:val="-4"/>
                <w:sz w:val="18"/>
                <w:szCs w:val="18"/>
              </w:rPr>
              <w:t>一、重大缺陷：重大缺陷非财务报告控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制缺陷造成公司直接财产损失金额在</w:t>
            </w:r>
          </w:p>
          <w:p>
            <w:pPr>
              <w:pStyle w:val="TableParagraph"/>
              <w:spacing w:line="12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万元（含）以上的。二、重要缺</w:t>
            </w:r>
          </w:p>
          <w:p>
            <w:pPr>
              <w:pStyle w:val="TableParagraph"/>
              <w:spacing w:line="309" w:lineRule="auto" w:before="63"/>
              <w:ind w:left="-1" w:right="18"/>
              <w:jc w:val="both"/>
              <w:rPr>
                <w:rFonts w:ascii="宋体" w:hAnsi="宋体" w:cs="宋体" w:eastAsia="宋体" w:hint="default"/>
                <w:sz w:val="18"/>
                <w:szCs w:val="18"/>
              </w:rPr>
            </w:pP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上述直接财产损失</w:t>
            </w:r>
            <w:r>
              <w:rPr>
                <w:rFonts w:ascii="Times New Roman" w:hAnsi="Times New Roman" w:cs="Times New Roman" w:eastAsia="Times New Roman" w:hint="default"/>
                <w:sz w:val="18"/>
                <w:szCs w:val="18"/>
              </w:rPr>
              <w:t>&lt;1000 </w:t>
            </w:r>
            <w:r>
              <w:rPr>
                <w:rFonts w:ascii="宋体" w:hAnsi="宋体" w:cs="宋体" w:eastAsia="宋体" w:hint="default"/>
                <w:spacing w:val="-4"/>
                <w:sz w:val="18"/>
                <w:szCs w:val="18"/>
              </w:rPr>
              <w:t>万元的。三、一般缺陷：上述直接财产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w:t>
            </w:r>
            <w:r>
              <w:rPr>
                <w:rFonts w:ascii="Times New Roman" w:hAnsi="Times New Roman" w:cs="Times New Roman" w:eastAsia="Times New Roman" w:hint="default"/>
                <w:sz w:val="18"/>
                <w:szCs w:val="18"/>
              </w:rPr>
              <w:t>&lt;500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922"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缺陷组合可能导致的财务报告潜在错报金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或对应整体重要 性水平的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15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5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我们认为，深圳市爱迪尔珠宝股份有限公司已按照财政部等五部委颁发的《企业内部控制基本规范》及相关规定于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《深圳市爱迪尔珠宝股份有限公司内部控制鉴证报告》全文详见巨潮资讯网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47"/>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210143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李素英、徐士宝</w:t>
            </w:r>
          </w:p>
        </w:tc>
      </w:tr>
    </w:tbl>
    <w:p>
      <w:pPr>
        <w:pStyle w:val="BodyText"/>
        <w:spacing w:line="240" w:lineRule="auto" w:before="49"/>
        <w:ind w:left="3749" w:right="3847"/>
        <w:jc w:val="center"/>
      </w:pPr>
      <w:r>
        <w:rPr/>
        <w:t>审计报告正文</w:t>
      </w:r>
    </w:p>
    <w:p>
      <w:pPr>
        <w:spacing w:before="128"/>
        <w:ind w:left="3749" w:right="3847"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7"/>
        <w:spacing w:line="240" w:lineRule="auto" w:before="36"/>
        <w:ind w:left="0" w:right="248"/>
        <w:jc w:val="right"/>
      </w:pPr>
      <w:r>
        <w:rPr/>
        <w:t>信会师报字</w:t>
      </w:r>
      <w:r>
        <w:rPr>
          <w:rFonts w:ascii="Times New Roman" w:hAnsi="Times New Roman" w:cs="Times New Roman" w:eastAsia="Times New Roman" w:hint="default"/>
        </w:rPr>
        <w:t>[2016]</w:t>
      </w:r>
      <w:r>
        <w:rPr/>
        <w:t>第 </w:t>
      </w:r>
      <w:r>
        <w:rPr>
          <w:rFonts w:ascii="Times New Roman" w:hAnsi="Times New Roman" w:cs="Times New Roman" w:eastAsia="Times New Roman" w:hint="default"/>
        </w:rPr>
        <w:t>210143</w:t>
      </w:r>
      <w:r>
        <w:rPr>
          <w:rFonts w:ascii="Times New Roman" w:hAnsi="Times New Roman" w:cs="Times New Roman" w:eastAsia="Times New Roman" w:hint="default"/>
          <w:spacing w:val="7"/>
        </w:rPr>
        <w:t> </w:t>
      </w:r>
      <w:r>
        <w:rPr/>
        <w:t>号</w:t>
      </w:r>
    </w:p>
    <w:p>
      <w:pPr>
        <w:spacing w:line="240" w:lineRule="auto" w:before="0"/>
        <w:rPr>
          <w:rFonts w:ascii="宋体" w:hAnsi="宋体" w:cs="宋体" w:eastAsia="宋体" w:hint="default"/>
          <w:sz w:val="20"/>
          <w:szCs w:val="20"/>
        </w:rPr>
      </w:pPr>
    </w:p>
    <w:p>
      <w:pPr>
        <w:pStyle w:val="Heading2"/>
        <w:spacing w:line="240" w:lineRule="auto" w:before="170"/>
        <w:ind w:right="0"/>
        <w:jc w:val="left"/>
        <w:rPr>
          <w:b w:val="0"/>
          <w:bCs w:val="0"/>
        </w:rPr>
      </w:pPr>
      <w:r>
        <w:rPr/>
        <w:t>深圳市爱迪尔珠宝股份有限公司全体股东：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3" w:lineRule="auto"/>
        <w:ind w:right="247"/>
        <w:jc w:val="both"/>
      </w:pPr>
      <w:r>
        <w:rPr>
          <w:spacing w:val="2"/>
        </w:rPr>
        <w:t>我们审计了后附的深圳市爱迪尔珠宝股份有限公司（以下简称贵公司）财</w:t>
      </w:r>
      <w:r>
        <w:rPr>
          <w:w w:val="100"/>
        </w:rPr>
        <w:t> </w:t>
      </w:r>
      <w:r>
        <w:rPr/>
        <w:t>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2015</w:t>
      </w:r>
      <w:r>
        <w:rPr/>
        <w:t>年度的合并及公</w:t>
      </w:r>
      <w:r>
        <w:rPr>
          <w:spacing w:val="-36"/>
        </w:rPr>
        <w:t> </w:t>
      </w:r>
      <w:r>
        <w:rPr>
          <w:spacing w:val="-36"/>
        </w:rPr>
      </w:r>
      <w:r>
        <w:rPr/>
        <w:t>司利润表、</w:t>
      </w:r>
      <w:r>
        <w:rPr>
          <w:rFonts w:ascii="Times New Roman" w:hAnsi="Times New Roman" w:cs="Times New Roman" w:eastAsia="Times New Roman" w:hint="default"/>
        </w:rPr>
        <w:t>2015</w:t>
      </w:r>
      <w:r>
        <w:rPr/>
        <w:t>年度的合并及公司现金流量表、</w:t>
      </w:r>
      <w:r>
        <w:rPr>
          <w:rFonts w:ascii="Times New Roman" w:hAnsi="Times New Roman" w:cs="Times New Roman" w:eastAsia="Times New Roman" w:hint="default"/>
        </w:rPr>
        <w:t>2015</w:t>
      </w:r>
      <w:r>
        <w:rPr/>
        <w:t>年度的合并及公司所有者</w:t>
      </w:r>
      <w:r>
        <w:rPr>
          <w:spacing w:val="-33"/>
        </w:rPr>
        <w:t> </w:t>
      </w:r>
      <w:r>
        <w:rPr>
          <w:spacing w:val="-33"/>
        </w:rPr>
      </w:r>
      <w:r>
        <w:rPr/>
        <w:t>权益变动表以及财务报表附注。</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5"/>
          <w:szCs w:val="25"/>
        </w:rPr>
      </w:pPr>
    </w:p>
    <w:p>
      <w:pPr>
        <w:pStyle w:val="Heading2"/>
        <w:spacing w:line="240" w:lineRule="auto"/>
        <w:ind w:left="873"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86" w:lineRule="auto"/>
        <w:ind w:right="115"/>
        <w:jc w:val="both"/>
      </w:pPr>
      <w:r>
        <w:rPr/>
        <w:t>编制和公允列报财务报表是贵公司管理层的责任。这种责任包括：（</w:t>
      </w:r>
      <w:r>
        <w:rPr>
          <w:rFonts w:ascii="Times New Roman" w:hAnsi="Times New Roman" w:cs="Times New Roman" w:eastAsia="Times New Roman" w:hint="default"/>
        </w:rPr>
        <w:t>1</w:t>
      </w:r>
      <w:r>
        <w:rPr/>
        <w:t>）按</w:t>
      </w:r>
      <w:r>
        <w:rPr>
          <w:spacing w:val="-5"/>
          <w:w w:val="100"/>
        </w:rPr>
        <w:t> </w:t>
      </w:r>
      <w:r>
        <w:rPr/>
        <w:t>照企业会计准则的规定编制财务报表，并使其实现公允反映；（</w:t>
      </w:r>
      <w:r>
        <w:rPr>
          <w:rFonts w:ascii="Times New Roman" w:hAnsi="Times New Roman" w:cs="Times New Roman" w:eastAsia="Times New Roman" w:hint="default"/>
        </w:rPr>
        <w:t>2</w:t>
      </w:r>
      <w:r>
        <w:rPr/>
        <w:t>）设计、执行</w:t>
      </w:r>
      <w:r>
        <w:rPr>
          <w:w w:val="100"/>
        </w:rPr>
        <w:t> </w:t>
      </w:r>
      <w:r>
        <w:rPr>
          <w:spacing w:val="-2"/>
        </w:rPr>
        <w:t>和维护必要的内部控制，以使财务报表不存在由于舞弊或错误导致的重大错报。</w:t>
      </w:r>
    </w:p>
    <w:p>
      <w:pPr>
        <w:spacing w:after="0" w:line="386" w:lineRule="auto"/>
        <w:jc w:val="both"/>
        <w:sectPr>
          <w:pgSz w:w="11910" w:h="16840"/>
          <w:pgMar w:header="745" w:footer="979" w:top="1060" w:bottom="1160" w:left="9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14"/>
        <w:ind w:left="873"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253"/>
        <w:jc w:val="both"/>
      </w:pPr>
      <w:r>
        <w:rPr>
          <w:spacing w:val="2"/>
        </w:rPr>
        <w:t>我们的责任是在执行审计工作的基础上对财务报表发表审计意见。我们按</w:t>
      </w:r>
      <w:r>
        <w:rPr>
          <w:w w:val="100"/>
        </w:rPr>
        <w:t> </w:t>
      </w:r>
      <w:r>
        <w:rPr>
          <w:spacing w:val="2"/>
        </w:rPr>
        <w:t>照中国注册会计师审计准则的规定执行了审计工作。中国注册会计师审计准则</w:t>
      </w:r>
      <w:r>
        <w:rPr>
          <w:spacing w:val="-106"/>
        </w:rPr>
        <w:t> </w:t>
      </w:r>
      <w:r>
        <w:rPr>
          <w:spacing w:val="-106"/>
        </w:rPr>
      </w:r>
      <w:r>
        <w:rPr>
          <w:spacing w:val="2"/>
        </w:rPr>
        <w:t>要求我们遵守中国注册会计师职业道德守则，计划和执行审计工作以对财务报</w:t>
      </w:r>
      <w:r>
        <w:rPr>
          <w:spacing w:val="-106"/>
        </w:rPr>
        <w:t> </w:t>
      </w:r>
      <w:r>
        <w:rPr>
          <w:spacing w:val="-106"/>
        </w:rPr>
      </w: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0"/>
        <w:jc w:val="left"/>
      </w:pPr>
      <w:r>
        <w:rPr>
          <w:spacing w:val="-2"/>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106"/>
        </w:rPr>
        <w:t> </w:t>
      </w:r>
      <w:r>
        <w:rPr>
          <w:spacing w:val="-106"/>
        </w:rPr>
      </w:r>
      <w:r>
        <w:rPr>
          <w:spacing w:val="2"/>
        </w:rPr>
        <w:t>报表重大错报风险的评估。在进行风险评估时，注册会计师考虑与财务报表编</w:t>
      </w:r>
      <w:r>
        <w:rPr>
          <w:spacing w:val="-106"/>
        </w:rPr>
        <w:t> </w:t>
      </w:r>
      <w:r>
        <w:rPr>
          <w:spacing w:val="-106"/>
        </w:rPr>
      </w:r>
      <w:r>
        <w:rPr>
          <w:spacing w:val="2"/>
        </w:rPr>
        <w:t>制和公允列报相关的内部控制，以设计恰当的审计程序。审计工作还包括评价</w:t>
      </w:r>
      <w:r>
        <w:rPr>
          <w:spacing w:val="-106"/>
        </w:rPr>
        <w:t> </w:t>
      </w:r>
      <w:r>
        <w:rPr>
          <w:spacing w:val="-106"/>
        </w:rPr>
      </w:r>
      <w:r>
        <w:rPr>
          <w:spacing w:val="2"/>
        </w:rPr>
        <w:t>管理层选用会计政策的恰当性和作出会计估计的合理性，以及评价财务报表的</w:t>
      </w:r>
      <w:r>
        <w:rPr>
          <w:spacing w:val="-106"/>
        </w:rPr>
        <w:t> </w:t>
      </w:r>
      <w:r>
        <w:rPr>
          <w:spacing w:val="-106"/>
        </w:rPr>
      </w:r>
      <w:r>
        <w:rPr/>
        <w:t>总体列报</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0"/>
        <w:jc w:val="left"/>
      </w:pPr>
      <w:r>
        <w:rPr>
          <w:spacing w:val="2"/>
        </w:rPr>
        <w:t>我们相信，我们获取的审计证据是充分、适当的，为发表审计意见提供了</w:t>
      </w:r>
      <w:r>
        <w:rPr>
          <w:w w:val="100"/>
        </w:rPr>
        <w:t> </w:t>
      </w:r>
      <w:r>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873" w:right="0"/>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0"/>
        <w:jc w:val="left"/>
      </w:pPr>
      <w:r>
        <w:rPr>
          <w:spacing w:val="-2"/>
        </w:rPr>
        <w:t>我们认为，贵公司财务报表在所有重大方面按照企业会计准则的规定编制，</w:t>
      </w:r>
      <w:r>
        <w:rPr>
          <w:w w:val="100"/>
        </w:rPr>
        <w:t> </w:t>
      </w:r>
      <w:r>
        <w:rPr/>
        <w:t>公允反映了贵公司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w:t>
      </w:r>
    </w:p>
    <w:p>
      <w:pPr>
        <w:spacing w:after="0" w:line="408" w:lineRule="auto"/>
        <w:jc w:val="left"/>
        <w:sectPr>
          <w:pgSz w:w="11910" w:h="16840"/>
          <w:pgMar w:header="745" w:footer="979" w:top="1060" w:bottom="1160" w:left="9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14"/>
        <w:ind w:right="153" w:firstLine="0"/>
        <w:jc w:val="left"/>
      </w:pPr>
      <w:r>
        <w:rPr/>
        <w:t>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2"/>
          <w:szCs w:val="22"/>
        </w:rPr>
      </w:pPr>
    </w:p>
    <w:p>
      <w:pPr>
        <w:pStyle w:val="Heading2"/>
        <w:spacing w:line="240" w:lineRule="auto"/>
        <w:ind w:right="153"/>
        <w:jc w:val="left"/>
        <w:rPr>
          <w:b w:val="0"/>
          <w:bCs w:val="0"/>
        </w:rPr>
      </w:pPr>
      <w:r>
        <w:rPr/>
        <w:t>立信会计师事务所（特殊普通合伙）中国注册会计师：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5246" w:val="left" w:leader="none"/>
        </w:tabs>
        <w:spacing w:line="240" w:lineRule="auto"/>
        <w:ind w:left="1398" w:right="153"/>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中国注册会计师：</w:t>
      </w:r>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6"/>
        <w:rPr>
          <w:rFonts w:ascii="宋体" w:hAnsi="宋体" w:cs="宋体" w:eastAsia="宋体" w:hint="default"/>
          <w:b/>
          <w:bCs/>
          <w:sz w:val="23"/>
          <w:szCs w:val="23"/>
        </w:rPr>
      </w:pPr>
    </w:p>
    <w:p>
      <w:pPr>
        <w:pStyle w:val="Heading2"/>
        <w:spacing w:line="240" w:lineRule="auto"/>
        <w:ind w:left="7325" w:right="0"/>
        <w:jc w:val="left"/>
        <w:rPr>
          <w:b w:val="0"/>
          <w:bCs w:val="0"/>
        </w:rPr>
      </w:pPr>
      <w:r>
        <w:rPr/>
        <w:t>二</w:t>
      </w:r>
      <w:r>
        <w:rPr>
          <w:rFonts w:ascii="Times New Roman" w:hAnsi="Times New Roman" w:cs="Times New Roman" w:eastAsia="Times New Roman" w:hint="default"/>
        </w:rPr>
        <w:t>O</w:t>
      </w:r>
      <w:r>
        <w:rPr/>
        <w:t>一六年三月四日</w:t>
      </w:r>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pStyle w:val="Heading4"/>
        <w:spacing w:line="240" w:lineRule="auto" w:before="252"/>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53"/>
        <w:jc w:val="left"/>
      </w:pPr>
      <w:r>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ind w:right="-20"/>
        <w:jc w:val="left"/>
      </w:pPr>
      <w:r>
        <w:rPr/>
        <w:t>编制单位：深圳市爱迪尔珠宝股份有限公司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before="0"/>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7" w:right="0"/>
              <w:jc w:val="left"/>
              <w:rPr>
                <w:rFonts w:ascii="Times New Roman" w:hAnsi="Times New Roman" w:cs="Times New Roman" w:eastAsia="Times New Roman" w:hint="default"/>
                <w:sz w:val="18"/>
                <w:szCs w:val="18"/>
              </w:rPr>
            </w:pPr>
            <w:r>
              <w:rPr>
                <w:rFonts w:ascii="Times New Roman"/>
                <w:sz w:val="18"/>
              </w:rPr>
              <w:t>319,424,838.83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268,813,378.55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345,275,033.83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180,273,042.13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7,242,563.87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9,535,231.56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4,462,546.44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2,039,295.10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354,370,475.00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336,197,070.95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85,435,217.25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8,390,875.52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1,116,210,675.22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805,248,893.81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466,815.22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40,338,359.27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30,292,634.38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2,555,680.82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3,490,114.05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7,789,004.67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601,161.17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3,668,691.59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2,184,035.84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7,151,726.00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63,170,277.57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37,767,945.44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1,179,380,952.79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843,016,839.25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51,439,732.65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73,287,499.02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22,193,866.24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9,425,737.62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3,619,270.08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2,107,362.43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27,168,486.98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19,545,034.71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11,709,432.75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10,629,137.55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229,130,788.70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304,994,771.33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230,171,288.70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306,162,271.33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422,235,848.23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87,259,539.26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45,971,339.01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38,452,912.52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381,002,476.85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336,142,116.14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949,209,664.09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536,854,567.92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949,209,664.09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536,854,567.92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1,179,380,952.79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843,016,839.25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9" w:val="left" w:leader="none"/>
        </w:tabs>
        <w:spacing w:line="240" w:lineRule="auto"/>
        <w:ind w:left="0" w:right="242"/>
        <w:jc w:val="right"/>
      </w:pPr>
      <w:r>
        <w:rPr/>
        <w:t>法定代表人：苏日明</w:t>
        <w:tab/>
      </w:r>
      <w:r>
        <w:rPr>
          <w:spacing w:val="-1"/>
        </w:rPr>
        <w:t>主管会计工作负责人：李城峰</w:t>
        <w:tab/>
      </w:r>
      <w:r>
        <w:rPr/>
        <w:t>会计机构负责人：鲍俊芳</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7" w:right="0"/>
              <w:jc w:val="left"/>
              <w:rPr>
                <w:rFonts w:ascii="Times New Roman" w:hAnsi="Times New Roman" w:cs="Times New Roman" w:eastAsia="Times New Roman" w:hint="default"/>
                <w:sz w:val="18"/>
                <w:szCs w:val="18"/>
              </w:rPr>
            </w:pPr>
            <w:r>
              <w:rPr>
                <w:rFonts w:ascii="Times New Roman"/>
                <w:sz w:val="18"/>
              </w:rPr>
              <w:t>201,088,791.86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268,150,528.96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335,813,894.38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179,152,367.77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5,523,812.72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9,461,621.56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55,441,086.34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41,977,186.92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343,883,616.64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329,449,412.31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3,992,496.01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8,390,875.52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945,743,697.95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836,581,993.04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284,963,015.22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6,894,379.02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5,997,258.56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688,240.53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1,618,841.94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3,306,604.02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1,981,595.59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297,052,238.79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12,297,696.09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1,242,795,936.74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848,879,689.13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50,176,741.01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73,660,225.88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74,981,512.24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9,749,568.94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1,823,811.19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1,453,736.02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26,994,627.50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18,987,750.62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11,157,705.08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10,208,769.00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278,134,397.02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304,060,050.46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279,174,897.02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305,227,550.46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422,235,848.23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87,259,539.26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45,952,171.73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38,452,912.52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395,433,019.76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342,939,686.89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963,621,039.72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543,652,138.67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1,242,795,936.74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848,879,689.13</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839,515,616.15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884,901,700.31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839,515,616.15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884,901,700.31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749,768,166.69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768,678,570.24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662,125,694.83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685,957,632.42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3,355,117.95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3,610,031.64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50,432,348.75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43,077,481.76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22,435,734.00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18,742,350.21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5,473,838.08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13,476,813.55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5,945,433.08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3,814,260.66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822808"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228.319977pt;width:158.9pt;height:20.65pt;mso-position-horizontal-relative:page;mso-position-vertical-relative:page;z-index:-822784" coordorigin="4220,4566" coordsize="3178,413">
            <v:group style="position:absolute;left:4231;top:4577;width:2;height:392" coordorigin="4231,4577" coordsize="2,392">
              <v:shape style="position:absolute;left:4231;top:4577;width:2;height:392" coordorigin="4231,4577" coordsize="0,392" path="m4231,4577l4231,4968e" filled="false" stroked="true" strokeweight="1.08pt" strokecolor="#ffffff">
                <v:path arrowok="t"/>
              </v:shape>
            </v:group>
            <v:group style="position:absolute;left:4242;top:4577;width:3157;height:392" coordorigin="4242,4577" coordsize="3157,392">
              <v:shape style="position:absolute;left:4242;top:4577;width:3157;height:392" coordorigin="4242,4577" coordsize="3157,392" path="m4242,4968l7398,4968,7398,4577,4242,4577,4242,49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89,464,264.68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116,223,130.07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3,762,009.50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2,561,361.10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358,442.50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209,162.64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92,867,831.68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118,575,328.53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25,489,044.48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31,201,633.76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67,378,787.20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67,378,787.20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53"/>
              <w:jc w:val="right"/>
              <w:rPr>
                <w:rFonts w:ascii="宋体" w:hAnsi="宋体" w:cs="宋体" w:eastAsia="宋体" w:hint="default"/>
                <w:sz w:val="18"/>
                <w:szCs w:val="18"/>
              </w:rPr>
            </w:pPr>
            <w:r>
              <w:rPr>
                <w:rFonts w:ascii="宋体" w:hAnsi="宋体" w:cs="宋体" w:eastAsia="宋体" w:hint="default"/>
                <w:sz w:val="18"/>
                <w:szCs w:val="18"/>
              </w:rPr>
              <w:t>归属于少数股东的其他综合收益的</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67,378,787.20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67,378,787.20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r>
    </w:tbl>
    <w:p>
      <w:pPr>
        <w:pStyle w:val="BodyText"/>
        <w:spacing w:line="240" w:lineRule="auto" w:before="49"/>
        <w:ind w:right="153"/>
        <w:jc w:val="left"/>
      </w:pPr>
      <w:r>
        <w:rPr/>
        <w:t>本期发生同一控制下企业合并的，被合并方在合并前实现的净利润为：</w:t>
      </w:r>
      <w:r>
        <w:rPr>
          <w:rFonts w:ascii="Times New Roman" w:hAnsi="Times New Roman" w:cs="Times New Roman" w:eastAsia="Times New Roman" w:hint="default"/>
        </w:rPr>
        <w:t>-7,613,804.88</w:t>
      </w:r>
      <w:r>
        <w:rPr>
          <w:rFonts w:ascii="Times New Roman" w:hAnsi="Times New Roman" w:cs="Times New Roman" w:eastAsia="Times New Roman" w:hint="default"/>
          <w:spacing w:val="-2"/>
        </w:rPr>
        <w:t> </w:t>
      </w:r>
      <w:r>
        <w:rPr/>
        <w:t>元，上期被合并方实现的净利润为：</w:t>
      </w:r>
    </w:p>
    <w:p>
      <w:pPr>
        <w:pStyle w:val="BodyText"/>
        <w:spacing w:line="240" w:lineRule="auto" w:before="63"/>
        <w:ind w:right="153"/>
        <w:jc w:val="left"/>
      </w:pPr>
      <w:r>
        <w:rPr>
          <w:rFonts w:ascii="Times New Roman" w:hAnsi="Times New Roman" w:cs="Times New Roman" w:eastAsia="Times New Roman" w:hint="default"/>
        </w:rPr>
        <w:t>-3,295,121.33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5"/>
        <w:ind w:right="153"/>
        <w:jc w:val="left"/>
      </w:pPr>
      <w:r>
        <w:rPr/>
        <w:t>法定代表人：苏日明</w:t>
        <w:tab/>
      </w:r>
      <w:r>
        <w:rPr>
          <w:spacing w:val="-1"/>
        </w:rPr>
        <w:t>主管会计工作负责人：李城峰</w:t>
        <w:tab/>
      </w:r>
      <w:r>
        <w:rPr/>
        <w:t>会计机构负责人：鲍俊芳</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838,332,761.35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879,964,587.30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656,973,574.66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682,724,840.97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2,819,879.55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2,689,589.38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48,649,508.62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41,272,857.28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19,888,579.72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16,923,038.39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7,323,491.34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13,414,694.78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5,300,033.74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3,709,608.22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-283,184.78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97,094,508.94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119,229,958.28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3,762,009.50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2,561,361.10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358,442.50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100,498,075.94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121,591,319.38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25,505,483.86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30,922,503.28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74,992,592.08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90,668,816.10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74,992,592.08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90,668,816.10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830,049,749.22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944,532,614.90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10,381,387.86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7,046,493.52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840,431,137.08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951,579,108.42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797,529,510.78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854,887,044.17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45,368,543.51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37,088,652.93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48,750,885.79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60,053,811.62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51,419,694.76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39,886,990.75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943,068,634.84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991,916,499.47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-102,637,497.76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-40,337,391.05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30,916,791.34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2,113,971.28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111,666,791.34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3,313,971.28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-111,666,791.34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-3,313,971.28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24,476,850.62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13,785,416.69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254,084,250.62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267,085,416.69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275,215,749.38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22,914,583.31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60,911,460.28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-20,736,779.02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258,513,378.55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279,250,157.57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319,424,838.83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258,513,378.55</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891,667,343.77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939,833,445.61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8,312,813.24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7,003,498.41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899,980,157.01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946,836,944.02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815,817,579.46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869,656,383.60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28,430,516.68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24,814,355.07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45,626,676.06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55,707,598.79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55,857,585.27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37,120,542.45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945,732,357.47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987,298,879.91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-45,752,200.46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-40,461,935.89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2,479,086.02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2,038,523.15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283,746,200.00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286,225,286.02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3,238,523.15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-286,225,286.02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-3,238,523.15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24,476,850.62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13,785,416.69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254,084,250.62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267,085,416.69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275,215,749.38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22,914,583.31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-56,761,737.10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-20,785,875.73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257,850,528.96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278,636,404.69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201,088,791.86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257,850,528.96</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53"/>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539.26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38,452,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912.52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336,142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,116.14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536,854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,567.92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912.52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336,142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,116.14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536,854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,567.92</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334,976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,308.97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7,518,4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26.49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44,860,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360.71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412,355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,096.17</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67,378,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67,378,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787.20</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334,976</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,308.97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359,976</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,308.97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334,976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359,976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,308.97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7,518,4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-22,518,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426.49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7,518,4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-7,518,4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422,235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381,002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949,209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,664.09</w:t>
            </w:r>
          </w:p>
        </w:tc>
      </w:tr>
    </w:tbl>
    <w:p>
      <w:pPr>
        <w:pStyle w:val="BodyText"/>
        <w:spacing w:line="240" w:lineRule="auto" w:before="49"/>
        <w:ind w:right="153"/>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22"/>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2"/>
        <w:gridCol w:w="665"/>
        <w:gridCol w:w="667"/>
        <w:gridCol w:w="665"/>
        <w:gridCol w:w="662"/>
        <w:gridCol w:w="665"/>
        <w:gridCol w:w="679"/>
        <w:gridCol w:w="653"/>
        <w:gridCol w:w="658"/>
      </w:tblGrid>
      <w:tr>
        <w:trPr>
          <w:trHeight w:val="25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92"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539.26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29,386,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030.91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257,835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,302.98</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449,480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,873.15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030.91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257,835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,302.98</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449,480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,873.15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81.61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78,306,</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813.16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87,373,</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694.77</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87,373,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694.77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87,373,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694.77</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81.61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81.61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81.61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81.61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539.26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38,452,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336,142</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,116.14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536,854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,567.92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800"/>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3"/>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87,259,53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38,452,91</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2.52</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342,939</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,686.89</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543,652,1</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38.67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87,259,53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38,452,91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342,939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,686.89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543,652,1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38.67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12" w:right="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334,976,3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7,499,259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52,493,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419,968,9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74,992,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74,992,59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334,976,3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359,976,3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08.97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334,976,3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359,976,3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08.97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7,499,259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-22,499,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259.21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7,499,259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-7,499,2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59.21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422,235,8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45,952,17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395,433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963,621,0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39.72</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31"/>
        <w:gridCol w:w="689"/>
        <w:gridCol w:w="665"/>
        <w:gridCol w:w="667"/>
        <w:gridCol w:w="665"/>
        <w:gridCol w:w="797"/>
        <w:gridCol w:w="797"/>
        <w:gridCol w:w="797"/>
        <w:gridCol w:w="800"/>
        <w:gridCol w:w="797"/>
        <w:gridCol w:w="677"/>
        <w:gridCol w:w="780"/>
      </w:tblGrid>
      <w:tr>
        <w:trPr>
          <w:trHeight w:val="206" w:hRule="exact"/>
        </w:trPr>
        <w:tc>
          <w:tcPr>
            <w:tcW w:w="1431" w:type="dxa"/>
            <w:vMerge w:val="restart"/>
            <w:tcBorders>
              <w:top w:val="single" w:sz="4" w:space="0" w:color="000000"/>
              <w:left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31" w:type="dxa"/>
            <w:vMerge/>
            <w:tcBorders>
              <w:left w:val="single" w:sz="4" w:space="0" w:color="000000"/>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31" w:type="dxa"/>
            <w:vMerge/>
            <w:tcBorders>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87,259,53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29,386,03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261,337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,752.40</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452,983,3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22.57</w:t>
            </w: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87,259,53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29,386,03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261,337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,752.40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452,983,3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22.57</w:t>
            </w:r>
          </w:p>
        </w:tc>
      </w:tr>
      <w:tr>
        <w:trPr>
          <w:trHeight w:val="392"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9,066,881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81,601,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934.49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90,668,81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6.10</w:t>
            </w: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816.10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90,668,81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6.10</w:t>
            </w: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9,066,881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81.61</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4"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9,066,881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4"/>
              <w:ind w:left="19" w:right="0"/>
              <w:jc w:val="center"/>
              <w:rPr>
                <w:rFonts w:ascii="Times New Roman" w:hAnsi="Times New Roman" w:cs="Times New Roman" w:eastAsia="Times New Roman" w:hint="default"/>
                <w:sz w:val="18"/>
                <w:szCs w:val="18"/>
              </w:rPr>
            </w:pPr>
            <w:r>
              <w:rPr>
                <w:rFonts w:ascii="Times New Roman"/>
                <w:sz w:val="18"/>
              </w:rPr>
              <w:t>-9,066,8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81.61</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87,259,53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38,452,91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342,939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543,652,1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38.67</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7"/>
        <w:spacing w:line="261" w:lineRule="auto"/>
        <w:ind w:left="870" w:right="0"/>
        <w:jc w:val="left"/>
      </w:pPr>
      <w:r>
        <w:rPr>
          <w:spacing w:val="-3"/>
        </w:rPr>
        <w:t>深圳市爱迪尔珠宝股份有限公司（以下简称</w:t>
      </w:r>
      <w:r>
        <w:rPr>
          <w:rFonts w:ascii="Times New Roman" w:hAnsi="Times New Roman" w:cs="Times New Roman" w:eastAsia="Times New Roman" w:hint="default"/>
          <w:spacing w:val="-3"/>
        </w:rPr>
        <w:t>“</w:t>
      </w:r>
      <w:r>
        <w:rPr>
          <w:spacing w:val="-3"/>
        </w:rPr>
        <w:t>爱迪尔</w:t>
      </w:r>
      <w:r>
        <w:rPr>
          <w:rFonts w:ascii="Times New Roman" w:hAnsi="Times New Roman" w:cs="Times New Roman" w:eastAsia="Times New Roman" w:hint="default"/>
          <w:spacing w:val="-3"/>
        </w:rPr>
        <w:t>”</w:t>
      </w:r>
      <w:r>
        <w:rPr>
          <w:spacing w:val="-3"/>
        </w:rPr>
        <w:t>或者</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）系深圳市爱迪尔珠宝首饰有限公</w:t>
      </w:r>
      <w:r>
        <w:rPr>
          <w:spacing w:val="-43"/>
        </w:rPr>
        <w:t> </w:t>
      </w:r>
      <w:r>
        <w:rPr>
          <w:spacing w:val="-43"/>
        </w:rPr>
      </w:r>
      <w:r>
        <w:rPr>
          <w:spacing w:val="-3"/>
        </w:rPr>
        <w:t>司整体变更设立，取得</w:t>
      </w:r>
      <w:r>
        <w:rPr>
          <w:rFonts w:ascii="Times New Roman" w:hAnsi="Times New Roman" w:cs="Times New Roman" w:eastAsia="Times New Roman" w:hint="default"/>
          <w:spacing w:val="-3"/>
        </w:rPr>
        <w:t>440301102776065</w:t>
      </w:r>
      <w:r>
        <w:rPr>
          <w:spacing w:val="-3"/>
        </w:rPr>
        <w:t>号企业法人营业执照；注册资本</w:t>
      </w:r>
      <w:r>
        <w:rPr>
          <w:rFonts w:ascii="Times New Roman" w:hAnsi="Times New Roman" w:cs="Times New Roman" w:eastAsia="Times New Roman" w:hint="default"/>
          <w:spacing w:val="-3"/>
        </w:rPr>
        <w:t>10,000</w:t>
      </w:r>
      <w:r>
        <w:rPr>
          <w:spacing w:val="-3"/>
        </w:rPr>
        <w:t>万元；法定代表人：</w:t>
      </w:r>
      <w:r>
        <w:rPr>
          <w:spacing w:val="-9"/>
        </w:rPr>
        <w:t> </w:t>
      </w:r>
      <w:r>
        <w:rPr>
          <w:spacing w:val="-9"/>
        </w:rPr>
      </w:r>
      <w:r>
        <w:rPr/>
        <w:t>苏日明。</w:t>
      </w:r>
      <w:r>
        <w:rPr>
          <w:w w:val="100"/>
        </w:rPr>
        <w:t> </w:t>
      </w:r>
      <w:r>
        <w:rPr/>
        <w:t>公司前身系深圳市爱迪尔珠宝首饰有限公司，于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日经深圳市工商行政管理局核准，领</w:t>
      </w:r>
      <w:r>
        <w:rPr>
          <w:w w:val="100"/>
        </w:rPr>
        <w:t> </w:t>
      </w:r>
      <w:r>
        <w:rPr/>
        <w:t>取深罗司字</w:t>
      </w:r>
      <w:r>
        <w:rPr>
          <w:rFonts w:ascii="Times New Roman" w:hAnsi="Times New Roman" w:cs="Times New Roman" w:eastAsia="Times New Roman" w:hint="default"/>
        </w:rPr>
        <w:t>S02215</w:t>
      </w:r>
      <w:r>
        <w:rPr/>
        <w:t>号企业法人营业执照；由苏永明、狄爱玲共同出资组建，注册资本为</w:t>
      </w:r>
      <w:r>
        <w:rPr>
          <w:rFonts w:ascii="Times New Roman" w:hAnsi="Times New Roman" w:cs="Times New Roman" w:eastAsia="Times New Roman" w:hint="default"/>
        </w:rPr>
        <w:t>300</w:t>
      </w:r>
      <w:r>
        <w:rPr/>
        <w:t>万元。</w:t>
      </w:r>
      <w:r>
        <w:rPr>
          <w:w w:val="100"/>
        </w:rPr>
        <w:t> </w:t>
      </w:r>
      <w:r>
        <w:rPr/>
        <w:t>公司设立时，投资各方的出资额及出资比例如下：</w:t>
      </w:r>
    </w:p>
    <w:p>
      <w:pPr>
        <w:spacing w:line="240" w:lineRule="auto" w:before="5"/>
        <w:rPr>
          <w:rFonts w:ascii="宋体" w:hAnsi="宋体" w:cs="宋体" w:eastAsia="宋体" w:hint="default"/>
          <w:sz w:val="2"/>
          <w:szCs w:val="2"/>
        </w:rPr>
      </w:pPr>
    </w:p>
    <w:tbl>
      <w:tblPr>
        <w:tblW w:w="0" w:type="auto"/>
        <w:jc w:val="left"/>
        <w:tblInd w:w="854" w:type="dxa"/>
        <w:tblLayout w:type="fixed"/>
        <w:tblCellMar>
          <w:top w:w="0" w:type="dxa"/>
          <w:left w:w="0" w:type="dxa"/>
          <w:bottom w:w="0" w:type="dxa"/>
          <w:right w:w="0" w:type="dxa"/>
        </w:tblCellMar>
        <w:tblLook w:val="01E0"/>
      </w:tblPr>
      <w:tblGrid>
        <w:gridCol w:w="2552"/>
        <w:gridCol w:w="2412"/>
        <w:gridCol w:w="2669"/>
      </w:tblGrid>
      <w:tr>
        <w:trPr>
          <w:trHeight w:val="356" w:hRule="exact"/>
        </w:trPr>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85"/>
              <w:jc w:val="right"/>
              <w:rPr>
                <w:rFonts w:ascii="宋体" w:hAnsi="宋体" w:cs="宋体" w:eastAsia="宋体" w:hint="default"/>
                <w:sz w:val="18"/>
                <w:szCs w:val="18"/>
              </w:rPr>
            </w:pPr>
            <w:r>
              <w:rPr>
                <w:rFonts w:ascii="宋体" w:hAnsi="宋体" w:cs="宋体" w:eastAsia="宋体" w:hint="default"/>
                <w:sz w:val="18"/>
                <w:szCs w:val="18"/>
              </w:rPr>
              <w:t>股东</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认缴注册资本（万元）</w:t>
            </w:r>
          </w:p>
        </w:tc>
        <w:tc>
          <w:tcPr>
            <w:tcW w:w="26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50"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150</w:t>
            </w:r>
          </w:p>
        </w:tc>
        <w:tc>
          <w:tcPr>
            <w:tcW w:w="26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150</w:t>
            </w:r>
          </w:p>
        </w:tc>
        <w:tc>
          <w:tcPr>
            <w:tcW w:w="26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85"/>
              <w:jc w:val="right"/>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300</w:t>
            </w:r>
          </w:p>
        </w:tc>
        <w:tc>
          <w:tcPr>
            <w:tcW w:w="26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7"/>
        <w:spacing w:line="261" w:lineRule="auto"/>
        <w:ind w:left="870" w:right="0"/>
        <w:jc w:val="left"/>
        <w:rPr>
          <w:rFonts w:ascii="Times New Roman" w:hAnsi="Times New Roman" w:cs="Times New Roman" w:eastAsia="Times New Roman" w:hint="default"/>
        </w:rPr>
      </w:pPr>
      <w:r>
        <w:rPr/>
        <w:t>上述实收资本业经深圳皇嘉会计师事务所审验，于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日出具皇嘉验资报字【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117</w:t>
      </w:r>
      <w:r>
        <w:rPr>
          <w:rFonts w:ascii="Times New Roman" w:hAnsi="Times New Roman" w:cs="Times New Roman" w:eastAsia="Times New Roman" w:hint="default"/>
          <w:w w:val="100"/>
        </w:rPr>
        <w:t> </w:t>
      </w:r>
      <w:r>
        <w:rPr/>
        <w:t>号。</w:t>
      </w:r>
      <w:r>
        <w:rPr>
          <w:spacing w:val="-103"/>
        </w:rPr>
        <w:t> </w:t>
      </w:r>
      <w:r>
        <w:rPr/>
        <w:t>根据</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日股东会决议，公司增加注册资本</w:t>
      </w:r>
      <w:r>
        <w:rPr>
          <w:rFonts w:ascii="Times New Roman" w:hAnsi="Times New Roman" w:cs="Times New Roman" w:eastAsia="Times New Roman" w:hint="default"/>
        </w:rPr>
        <w:t>700</w:t>
      </w:r>
      <w:r>
        <w:rPr/>
        <w:t>万元，注册资本由</w:t>
      </w:r>
      <w:r>
        <w:rPr>
          <w:rFonts w:ascii="Times New Roman" w:hAnsi="Times New Roman" w:cs="Times New Roman" w:eastAsia="Times New Roman" w:hint="default"/>
        </w:rPr>
        <w:t>300</w:t>
      </w:r>
      <w:r>
        <w:rPr/>
        <w:t>万元增至</w:t>
      </w:r>
      <w:r>
        <w:rPr>
          <w:rFonts w:ascii="Times New Roman" w:hAnsi="Times New Roman" w:cs="Times New Roman" w:eastAsia="Times New Roman" w:hint="default"/>
        </w:rPr>
        <w:t>1000</w:t>
      </w:r>
      <w:r>
        <w:rPr/>
        <w:t>万元。</w:t>
      </w:r>
      <w:r>
        <w:rPr>
          <w:w w:val="100"/>
        </w:rPr>
        <w:t> </w:t>
      </w:r>
      <w:r>
        <w:rPr/>
        <w:t>上述实收资本业经深圳衡大会计师事务所审验，并出具深衡（内）验字【</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014</w:t>
      </w:r>
      <w:r>
        <w:rPr/>
        <w:t>号验资报告验</w:t>
      </w:r>
      <w:r>
        <w:rPr>
          <w:w w:val="100"/>
        </w:rPr>
        <w:t> </w:t>
      </w:r>
      <w:r>
        <w:rPr/>
        <w:t>证。</w:t>
      </w:r>
      <w:r>
        <w:rPr>
          <w:w w:val="100"/>
        </w:rPr>
        <w:t> </w:t>
      </w:r>
      <w:r>
        <w:rPr>
          <w:spacing w:val="-2"/>
        </w:rPr>
        <w:t>根据</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日股东会决议，公司增加注册资本</w:t>
      </w:r>
      <w:r>
        <w:rPr>
          <w:rFonts w:ascii="Times New Roman" w:hAnsi="Times New Roman" w:cs="Times New Roman" w:eastAsia="Times New Roman" w:hint="default"/>
          <w:spacing w:val="-2"/>
        </w:rPr>
        <w:t>2000</w:t>
      </w:r>
      <w:r>
        <w:rPr>
          <w:spacing w:val="-2"/>
        </w:rPr>
        <w:t>万，注册资本由</w:t>
      </w:r>
      <w:r>
        <w:rPr>
          <w:rFonts w:ascii="Times New Roman" w:hAnsi="Times New Roman" w:cs="Times New Roman" w:eastAsia="Times New Roman" w:hint="default"/>
          <w:spacing w:val="-2"/>
        </w:rPr>
        <w:t>1000</w:t>
      </w:r>
      <w:r>
        <w:rPr>
          <w:spacing w:val="-2"/>
        </w:rPr>
        <w:t>万元增至</w:t>
      </w:r>
      <w:r>
        <w:rPr>
          <w:rFonts w:ascii="Times New Roman" w:hAnsi="Times New Roman" w:cs="Times New Roman" w:eastAsia="Times New Roman" w:hint="default"/>
          <w:spacing w:val="-2"/>
        </w:rPr>
        <w:t>3000</w:t>
      </w:r>
      <w:r>
        <w:rPr>
          <w:spacing w:val="-2"/>
        </w:rPr>
        <w:t>万元。</w:t>
      </w:r>
      <w:r>
        <w:rPr>
          <w:spacing w:val="-14"/>
        </w:rPr>
        <w:t> </w:t>
      </w:r>
      <w:r>
        <w:rPr/>
        <w:t>上述实收资本业经深圳市鹏城会计师事务所有限公司审验，并出具深鹏所验字【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161</w:t>
      </w:r>
      <w:r>
        <w:rPr/>
        <w:t>号验资</w:t>
      </w:r>
      <w:r>
        <w:rPr>
          <w:w w:val="100"/>
        </w:rPr>
        <w:t> </w:t>
      </w:r>
      <w:r>
        <w:rPr/>
        <w:t>报告验证。</w:t>
      </w:r>
      <w:r>
        <w:rPr>
          <w:spacing w:val="-102"/>
        </w:rPr>
        <w:t> </w:t>
      </w:r>
      <w:r>
        <w:rPr>
          <w:spacing w:val="-102"/>
        </w:rPr>
      </w:r>
      <w:r>
        <w:rPr>
          <w:spacing w:val="-2"/>
        </w:rPr>
        <w:t>根据</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日股东会决议，公司增加注册资本</w:t>
      </w:r>
      <w:r>
        <w:rPr>
          <w:rFonts w:ascii="Times New Roman" w:hAnsi="Times New Roman" w:cs="Times New Roman" w:eastAsia="Times New Roman" w:hint="default"/>
          <w:spacing w:val="-2"/>
        </w:rPr>
        <w:t>2000</w:t>
      </w:r>
      <w:r>
        <w:rPr>
          <w:spacing w:val="-2"/>
        </w:rPr>
        <w:t>万，注册资本由</w:t>
      </w:r>
      <w:r>
        <w:rPr>
          <w:rFonts w:ascii="Times New Roman" w:hAnsi="Times New Roman" w:cs="Times New Roman" w:eastAsia="Times New Roman" w:hint="default"/>
          <w:spacing w:val="-2"/>
        </w:rPr>
        <w:t>3000</w:t>
      </w:r>
      <w:r>
        <w:rPr>
          <w:spacing w:val="-2"/>
        </w:rPr>
        <w:t>万元增至</w:t>
      </w:r>
      <w:r>
        <w:rPr>
          <w:rFonts w:ascii="Times New Roman" w:hAnsi="Times New Roman" w:cs="Times New Roman" w:eastAsia="Times New Roman" w:hint="default"/>
          <w:spacing w:val="-2"/>
        </w:rPr>
        <w:t>5000</w:t>
      </w:r>
      <w:r>
        <w:rPr>
          <w:spacing w:val="-2"/>
        </w:rPr>
        <w:t>万元。</w:t>
      </w:r>
      <w:r>
        <w:rPr>
          <w:spacing w:val="-14"/>
        </w:rPr>
        <w:t> </w:t>
      </w:r>
      <w:r>
        <w:rPr/>
        <w:t>上述实收资本业经深圳方圆达会计师事务所有限公司审验，并出具深方圆达验字【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339</w:t>
      </w:r>
      <w:r>
        <w:rPr/>
        <w:t>号验</w:t>
      </w:r>
      <w:r>
        <w:rPr>
          <w:w w:val="100"/>
        </w:rPr>
        <w:t> </w:t>
      </w:r>
      <w:r>
        <w:rPr/>
        <w:t>资报告验证。</w:t>
      </w:r>
      <w:r>
        <w:rPr>
          <w:w w:val="100"/>
        </w:rPr>
        <w:t> </w:t>
      </w:r>
      <w:r>
        <w:rPr/>
        <w:t>根据公司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日股东会决议及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日各股东签署的《发起人协议书》，深圳市爱迪</w:t>
      </w:r>
      <w:r>
        <w:rPr>
          <w:spacing w:val="-5"/>
        </w:rPr>
        <w:t> </w:t>
      </w:r>
      <w:r>
        <w:rPr>
          <w:spacing w:val="-5"/>
        </w:rPr>
      </w:r>
      <w:r>
        <w:rPr/>
        <w:t>尔珠宝首饰有限公司整体变更为股份有限公司，以深圳市爱迪尔珠宝首饰有限公司截止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w w:val="100"/>
        </w:rPr>
        <w:t> </w:t>
      </w:r>
      <w:r>
        <w:rPr>
          <w:rFonts w:ascii="Times New Roman" w:hAnsi="Times New Roman" w:cs="Times New Roman" w:eastAsia="Times New Roman" w:hint="default"/>
        </w:rPr>
        <w:t>31</w:t>
      </w:r>
      <w:r>
        <w:rPr/>
        <w:t>日经审计后的净资产折股</w:t>
      </w:r>
      <w:r>
        <w:rPr>
          <w:rFonts w:ascii="Times New Roman" w:hAnsi="Times New Roman" w:cs="Times New Roman" w:eastAsia="Times New Roman" w:hint="default"/>
        </w:rPr>
        <w:t>5000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日在深圳市工商局办理了工</w:t>
      </w:r>
      <w:r>
        <w:rPr>
          <w:w w:val="100"/>
        </w:rPr>
        <w:t> </w:t>
      </w:r>
      <w:r>
        <w:rPr/>
        <w:t>商变更登记，并取得营业执照。本次整体变更设立股份公司，其股权结构与上次未发生变化。</w:t>
      </w:r>
      <w:r>
        <w:rPr>
          <w:w w:val="100"/>
        </w:rPr>
        <w:t> </w:t>
      </w:r>
      <w:r>
        <w:rPr/>
        <w:t>上述实收资本业经深圳市鹏城会计师事务所有限公司审验，并出具深鹏所验字【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128</w:t>
      </w:r>
      <w:r>
        <w:rPr/>
        <w:t>号验资</w:t>
      </w:r>
      <w:r>
        <w:rPr>
          <w:w w:val="100"/>
        </w:rPr>
        <w:t> </w:t>
      </w:r>
      <w:r>
        <w:rPr/>
        <w:t>报告验证。</w:t>
      </w:r>
      <w:r>
        <w:rPr>
          <w:spacing w:val="-102"/>
        </w:rPr>
        <w:t> </w:t>
      </w:r>
      <w:r>
        <w:rPr>
          <w:spacing w:val="-102"/>
        </w:rPr>
      </w:r>
      <w:r>
        <w:rPr/>
        <w:t>根据公司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日股东会决议及公司增资协议，公司增发</w:t>
      </w:r>
      <w:r>
        <w:rPr>
          <w:rFonts w:ascii="Times New Roman" w:hAnsi="Times New Roman" w:cs="Times New Roman" w:eastAsia="Times New Roman" w:hint="default"/>
        </w:rPr>
        <w:t>800</w:t>
      </w:r>
      <w:r>
        <w:rPr/>
        <w:t>万股新股，增资后股本为</w:t>
      </w:r>
      <w:r>
        <w:rPr>
          <w:rFonts w:ascii="Times New Roman" w:hAnsi="Times New Roman" w:cs="Times New Roman" w:eastAsia="Times New Roman" w:hint="default"/>
        </w:rPr>
        <w:t>5800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万股。上述实收资本业经深圳市鹏城会计师事务所有限公司审验，并出具深鹏所验字【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158</w:t>
      </w:r>
    </w:p>
    <w:p>
      <w:pPr>
        <w:spacing w:after="0" w:line="261" w:lineRule="auto"/>
        <w:jc w:val="left"/>
        <w:rPr>
          <w:rFonts w:ascii="Times New Roman" w:hAnsi="Times New Roman" w:cs="Times New Roman" w:eastAsia="Times New Roman" w:hint="default"/>
        </w:rPr>
        <w:sectPr>
          <w:pgSz w:w="11910" w:h="16840"/>
          <w:pgMar w:header="745" w:footer="979" w:top="1060" w:bottom="1160" w:left="980" w:right="920"/>
        </w:sectPr>
      </w:pPr>
    </w:p>
    <w:p>
      <w:pPr>
        <w:spacing w:line="240" w:lineRule="auto" w:before="3"/>
        <w:rPr>
          <w:rFonts w:ascii="Times New Roman" w:hAnsi="Times New Roman" w:cs="Times New Roman" w:eastAsia="Times New Roman" w:hint="default"/>
          <w:sz w:val="28"/>
          <w:szCs w:val="28"/>
        </w:rPr>
      </w:pPr>
    </w:p>
    <w:p>
      <w:pPr>
        <w:pStyle w:val="Heading7"/>
        <w:spacing w:line="259" w:lineRule="auto" w:before="36"/>
        <w:ind w:left="870" w:right="0"/>
        <w:jc w:val="left"/>
      </w:pPr>
      <w:r>
        <w:rPr/>
        <w:t>号验资报告验证。</w:t>
      </w:r>
      <w:r>
        <w:rPr>
          <w:w w:val="100"/>
        </w:rPr>
        <w:t> </w:t>
      </w:r>
      <w:r>
        <w:rPr>
          <w:spacing w:val="-2"/>
        </w:rPr>
        <w:t>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日，公司原股东丁龙桃将其所持有的公司股份</w:t>
      </w:r>
      <w:r>
        <w:rPr>
          <w:rFonts w:ascii="Times New Roman" w:hAnsi="Times New Roman" w:cs="Times New Roman" w:eastAsia="Times New Roman" w:hint="default"/>
          <w:spacing w:val="-2"/>
        </w:rPr>
        <w:t>62.5</w:t>
      </w:r>
      <w:r>
        <w:rPr>
          <w:spacing w:val="-2"/>
        </w:rPr>
        <w:t>万股全部转让给股东狄爱玲。</w:t>
      </w:r>
      <w:r>
        <w:rPr>
          <w:spacing w:val="-19"/>
        </w:rPr>
        <w:t> </w:t>
      </w:r>
      <w:r>
        <w:rPr>
          <w:spacing w:val="-19"/>
        </w:rPr>
      </w:r>
      <w:r>
        <w:rPr>
          <w:spacing w:val="-2"/>
        </w:rPr>
        <w:t>根据公司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日股东会决议，公司申请增加注册资本</w:t>
      </w:r>
      <w:r>
        <w:rPr>
          <w:rFonts w:ascii="Times New Roman" w:hAnsi="Times New Roman" w:cs="Times New Roman" w:eastAsia="Times New Roman" w:hint="default"/>
          <w:spacing w:val="-2"/>
        </w:rPr>
        <w:t>380</w:t>
      </w:r>
      <w:r>
        <w:rPr>
          <w:spacing w:val="-2"/>
        </w:rPr>
        <w:t>万元，新增后的注册资本为</w:t>
      </w:r>
      <w:r>
        <w:rPr>
          <w:rFonts w:ascii="Times New Roman" w:hAnsi="Times New Roman" w:cs="Times New Roman" w:eastAsia="Times New Roman" w:hint="default"/>
          <w:spacing w:val="-2"/>
        </w:rPr>
        <w:t>6180</w:t>
      </w:r>
      <w:r>
        <w:rPr>
          <w:rFonts w:ascii="Times New Roman" w:hAnsi="Times New Roman" w:cs="Times New Roman" w:eastAsia="Times New Roman" w:hint="default"/>
          <w:spacing w:val="34"/>
        </w:rPr>
        <w:t> </w:t>
      </w:r>
      <w:r>
        <w:rPr/>
        <w:t>万元。上述实收资本业经天健正信会计师事务所审验，并出具天健正信深圳分所验【</w:t>
      </w:r>
      <w:r>
        <w:rPr>
          <w:rFonts w:ascii="Times New Roman" w:hAnsi="Times New Roman" w:cs="Times New Roman" w:eastAsia="Times New Roman" w:hint="default"/>
        </w:rPr>
        <w:t>2010</w:t>
      </w:r>
      <w:r>
        <w:rPr/>
        <w:t>】综字</w:t>
      </w:r>
      <w:r>
        <w:rPr>
          <w:spacing w:val="-5"/>
        </w:rPr>
        <w:t> </w:t>
      </w:r>
      <w:r>
        <w:rPr>
          <w:spacing w:val="-5"/>
        </w:rPr>
      </w:r>
      <w:r>
        <w:rPr/>
        <w:t>第</w:t>
      </w:r>
      <w:r>
        <w:rPr>
          <w:rFonts w:ascii="Times New Roman" w:hAnsi="Times New Roman" w:cs="Times New Roman" w:eastAsia="Times New Roman" w:hint="default"/>
        </w:rPr>
        <w:t>150001</w:t>
      </w:r>
      <w:r>
        <w:rPr/>
        <w:t>号验资报告验证。</w:t>
      </w:r>
      <w:r>
        <w:rPr>
          <w:w w:val="100"/>
        </w:rPr>
        <w:t>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日，公司原股东苏荣享将其持有的全部股份转让给股东苏啟皓；徐红东将其持有的全</w:t>
      </w:r>
      <w:r>
        <w:rPr>
          <w:spacing w:val="-25"/>
        </w:rPr>
        <w:t> </w:t>
      </w:r>
      <w:r>
        <w:rPr>
          <w:spacing w:val="-25"/>
        </w:rPr>
      </w:r>
      <w:r>
        <w:rPr/>
        <w:t>部股份全部转让给股东苏啟皓；卢国华将其持有的全部股份转让给苏永明。根据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spacing w:val="-7"/>
        </w:rPr>
        <w:t> </w:t>
      </w:r>
      <w:r>
        <w:rPr/>
        <w:t>的股东大会决议，公司申请增加注册资本</w:t>
      </w:r>
      <w:r>
        <w:rPr>
          <w:rFonts w:ascii="Times New Roman" w:hAnsi="Times New Roman" w:cs="Times New Roman" w:eastAsia="Times New Roman" w:hint="default"/>
        </w:rPr>
        <w:t>1,320.00</w:t>
      </w:r>
      <w:r>
        <w:rPr/>
        <w:t>万元，变更后的注册资本为</w:t>
      </w:r>
      <w:r>
        <w:rPr>
          <w:rFonts w:ascii="Times New Roman" w:hAnsi="Times New Roman" w:cs="Times New Roman" w:eastAsia="Times New Roman" w:hint="default"/>
        </w:rPr>
        <w:t>7,500.00</w:t>
      </w:r>
      <w:r>
        <w:rPr/>
        <w:t>万元；变更</w:t>
      </w:r>
      <w:r>
        <w:rPr>
          <w:spacing w:val="-8"/>
        </w:rPr>
        <w:t> </w:t>
      </w:r>
      <w:r>
        <w:rPr>
          <w:spacing w:val="-8"/>
        </w:rPr>
      </w:r>
      <w:r>
        <w:rPr/>
        <w:t>后的股权结构如下：</w:t>
      </w:r>
    </w:p>
    <w:p>
      <w:pPr>
        <w:spacing w:line="240" w:lineRule="auto" w:before="7"/>
        <w:rPr>
          <w:rFonts w:ascii="宋体" w:hAnsi="宋体" w:cs="宋体" w:eastAsia="宋体" w:hint="default"/>
          <w:sz w:val="2"/>
          <w:szCs w:val="2"/>
        </w:rPr>
      </w:pPr>
    </w:p>
    <w:tbl>
      <w:tblPr>
        <w:tblW w:w="0" w:type="auto"/>
        <w:jc w:val="left"/>
        <w:tblInd w:w="854" w:type="dxa"/>
        <w:tblLayout w:type="fixed"/>
        <w:tblCellMar>
          <w:top w:w="0" w:type="dxa"/>
          <w:left w:w="0" w:type="dxa"/>
          <w:bottom w:w="0" w:type="dxa"/>
          <w:right w:w="0" w:type="dxa"/>
        </w:tblCellMar>
        <w:tblLook w:val="01E0"/>
      </w:tblPr>
      <w:tblGrid>
        <w:gridCol w:w="3370"/>
        <w:gridCol w:w="2019"/>
        <w:gridCol w:w="2127"/>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认缴注册资本（万元）</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51"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2,598.50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34.6467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1,125.06</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15.0009</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8.9333</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6.8000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6.6667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354.50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4.7267</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深圳市爱航投资有限公司</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334.94</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4.4658</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孙林</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3.4600</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深圳市星河投资有限公司</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123.50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1.6467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张建芳</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0.8667</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张艳杰</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0.8000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苏锦柱</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41.50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0.5533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苏秀清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0.5467</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邬谷香</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0.4667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0.4200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0.4133</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黄自杰</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0.4000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吴亚峰</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0.4000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苏翠清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0.3400</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张万军</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0.2667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邹庆超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0.2667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夏有胜</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0.2667</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包图穆勒</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0.2667</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苏智明</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13.50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0.1800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苏彩清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刘书梅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李瑶</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陈晓梅</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854" w:type="dxa"/>
        <w:tblLayout w:type="fixed"/>
        <w:tblCellMar>
          <w:top w:w="0" w:type="dxa"/>
          <w:left w:w="0" w:type="dxa"/>
          <w:bottom w:w="0" w:type="dxa"/>
          <w:right w:w="0" w:type="dxa"/>
        </w:tblCellMar>
        <w:tblLook w:val="01E0"/>
      </w:tblPr>
      <w:tblGrid>
        <w:gridCol w:w="3370"/>
        <w:gridCol w:w="2019"/>
        <w:gridCol w:w="2127"/>
      </w:tblGrid>
      <w:tr>
        <w:trPr>
          <w:trHeight w:val="356"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赵苓</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周焕军</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曹新成</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陆明辉</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王冰</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0.1333</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95"/>
                <w:sz w:val="18"/>
              </w:rPr>
              <w:t>7,500.00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Heading7"/>
        <w:spacing w:line="264" w:lineRule="auto"/>
        <w:ind w:left="870" w:right="0"/>
        <w:jc w:val="left"/>
      </w:pPr>
      <w:r>
        <w:rPr>
          <w:spacing w:val="-4"/>
        </w:rPr>
        <w:t>上述实收资本业经天健正信会计师事务所审验，并出具天健正信深圳分所验【</w:t>
      </w:r>
      <w:r>
        <w:rPr>
          <w:rFonts w:ascii="Times New Roman" w:hAnsi="Times New Roman" w:cs="Times New Roman" w:eastAsia="Times New Roman" w:hint="default"/>
          <w:spacing w:val="-4"/>
        </w:rPr>
        <w:t>2010</w:t>
      </w:r>
      <w:r>
        <w:rPr>
          <w:spacing w:val="-4"/>
        </w:rPr>
        <w:t>】综字第</w:t>
      </w:r>
      <w:r>
        <w:rPr>
          <w:rFonts w:ascii="Times New Roman" w:hAnsi="Times New Roman" w:cs="Times New Roman" w:eastAsia="Times New Roman" w:hint="default"/>
          <w:spacing w:val="-4"/>
        </w:rPr>
        <w:t>150016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号验资报告验证。</w:t>
      </w:r>
      <w:r>
        <w:rPr>
          <w:w w:val="100"/>
        </w:rPr>
        <w:t> </w:t>
      </w:r>
      <w:r>
        <w:rPr>
          <w:spacing w:val="-2"/>
        </w:rPr>
        <w:t>经中国证券监督管理委员会《关于核准深圳市爱迪尔珠宝股份有限公司首次公开发行股票的批复》</w:t>
      </w:r>
      <w:r>
        <w:rPr>
          <w:spacing w:val="-33"/>
        </w:rPr>
        <w:t> </w:t>
      </w:r>
      <w:r>
        <w:rPr>
          <w:spacing w:val="-33"/>
        </w:rPr>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[2015]28</w:t>
      </w:r>
      <w:r>
        <w:rPr/>
        <w:t>号</w:t>
      </w:r>
      <w:r>
        <w:rPr>
          <w:rFonts w:ascii="Times New Roman" w:hAnsi="Times New Roman" w:cs="Times New Roman" w:eastAsia="Times New Roman" w:hint="default"/>
        </w:rPr>
        <w:t>)</w:t>
      </w:r>
      <w:r>
        <w:rPr/>
        <w:t>核准</w:t>
      </w:r>
      <w:r>
        <w:rPr>
          <w:rFonts w:ascii="Times New Roman" w:hAnsi="Times New Roman" w:cs="Times New Roman" w:eastAsia="Times New Roman" w:hint="default"/>
        </w:rPr>
        <w:t>, </w:t>
      </w:r>
      <w:r>
        <w:rPr>
          <w:spacing w:val="-3"/>
        </w:rPr>
        <w:t>公司向社会首次公开发行人民币普通股（</w:t>
      </w:r>
      <w:r>
        <w:rPr>
          <w:rFonts w:ascii="Times New Roman" w:hAnsi="Times New Roman" w:cs="Times New Roman" w:eastAsia="Times New Roman" w:hint="default"/>
          <w:spacing w:val="-3"/>
        </w:rPr>
        <w:t>A </w:t>
      </w:r>
      <w:r>
        <w:rPr>
          <w:spacing w:val="-4"/>
        </w:rPr>
        <w:t>股）</w:t>
      </w:r>
      <w:r>
        <w:rPr>
          <w:rFonts w:ascii="Times New Roman" w:hAnsi="Times New Roman" w:cs="Times New Roman" w:eastAsia="Times New Roman" w:hint="default"/>
          <w:spacing w:val="-4"/>
        </w:rPr>
        <w:t>25,000,000.00</w:t>
      </w:r>
      <w:r>
        <w:rPr>
          <w:spacing w:val="-4"/>
        </w:rPr>
        <w:t>股（每股</w:t>
      </w:r>
      <w:r>
        <w:rPr>
          <w:spacing w:val="-96"/>
        </w:rPr>
        <w:t> </w:t>
      </w:r>
      <w:r>
        <w:rPr>
          <w:spacing w:val="-96"/>
        </w:rPr>
      </w:r>
      <w:r>
        <w:rPr/>
        <w:t>面值</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元），发行价格为每股</w:t>
      </w:r>
      <w:r>
        <w:rPr>
          <w:rFonts w:ascii="Times New Roman" w:hAnsi="Times New Roman" w:cs="Times New Roman" w:eastAsia="Times New Roman" w:hint="default"/>
        </w:rPr>
        <w:t>16.48</w:t>
      </w:r>
      <w:r>
        <w:rPr/>
        <w:t>元，募集资金总额为</w:t>
      </w:r>
      <w:r>
        <w:rPr>
          <w:rFonts w:ascii="Times New Roman" w:hAnsi="Times New Roman" w:cs="Times New Roman" w:eastAsia="Times New Roman" w:hint="default"/>
        </w:rPr>
        <w:t>412,000,000.00</w:t>
      </w:r>
      <w:r>
        <w:rPr/>
        <w:t>元，扣除承销费等发行费用</w:t>
      </w:r>
      <w:r>
        <w:rPr>
          <w:spacing w:val="-100"/>
        </w:rPr>
        <w:t> </w:t>
      </w:r>
      <w:r>
        <w:rPr>
          <w:spacing w:val="-100"/>
        </w:rPr>
      </w:r>
      <w:r>
        <w:rPr>
          <w:rFonts w:ascii="Times New Roman" w:hAnsi="Times New Roman" w:cs="Times New Roman" w:eastAsia="Times New Roman" w:hint="default"/>
          <w:spacing w:val="-2"/>
        </w:rPr>
        <w:t>52,023,691.03</w:t>
      </w:r>
      <w:r>
        <w:rPr>
          <w:spacing w:val="-2"/>
        </w:rPr>
        <w:t>元，实际募集资金净额</w:t>
      </w:r>
      <w:r>
        <w:rPr>
          <w:rFonts w:ascii="Times New Roman" w:hAnsi="Times New Roman" w:cs="Times New Roman" w:eastAsia="Times New Roman" w:hint="default"/>
          <w:spacing w:val="-2"/>
        </w:rPr>
        <w:t>359,976,308.97</w:t>
      </w:r>
      <w:r>
        <w:rPr>
          <w:spacing w:val="-2"/>
        </w:rPr>
        <w:t>元，其中新增注册资本（股本）为</w:t>
      </w:r>
      <w:r>
        <w:rPr>
          <w:rFonts w:ascii="Times New Roman" w:hAnsi="Times New Roman" w:cs="Times New Roman" w:eastAsia="Times New Roman" w:hint="default"/>
          <w:spacing w:val="-2"/>
        </w:rPr>
        <w:t>25,000,000.00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元，资本公积为</w:t>
      </w:r>
      <w:r>
        <w:rPr>
          <w:rFonts w:ascii="Times New Roman" w:hAnsi="Times New Roman" w:cs="Times New Roman" w:eastAsia="Times New Roman" w:hint="default"/>
        </w:rPr>
        <w:t>334,976,308.97</w:t>
      </w:r>
      <w:r>
        <w:rPr/>
        <w:t>元，以上募集资金的到位情况已由立信会计师事务所（特殊普通合</w:t>
      </w:r>
      <w:r>
        <w:rPr>
          <w:spacing w:val="-58"/>
        </w:rPr>
        <w:t> </w:t>
      </w:r>
      <w:r>
        <w:rPr>
          <w:spacing w:val="-58"/>
        </w:rPr>
      </w:r>
      <w:r>
        <w:rPr/>
        <w:t>伙）审验并于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日出具报告号为信会师报字（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210031</w:t>
      </w:r>
      <w:r>
        <w:rPr/>
        <w:t>号的《验资报告》。</w:t>
      </w:r>
      <w:r>
        <w:rPr>
          <w:w w:val="100"/>
        </w:rPr>
        <w:t> </w:t>
      </w:r>
      <w:r>
        <w:rPr/>
        <w:t>所处行业：珠宝。</w:t>
      </w:r>
      <w:r>
        <w:rPr>
          <w:w w:val="100"/>
        </w:rPr>
        <w:t> </w:t>
      </w:r>
      <w:r>
        <w:rPr>
          <w:spacing w:val="-3"/>
        </w:rPr>
        <w:t>经营范围：珠宝、铂金首饰、黄金饰品、</w:t>
      </w:r>
      <w:r>
        <w:rPr>
          <w:rFonts w:ascii="Times New Roman" w:hAnsi="Times New Roman" w:cs="Times New Roman" w:eastAsia="Times New Roman" w:hint="default"/>
          <w:spacing w:val="-3"/>
        </w:rPr>
        <w:t>K</w:t>
      </w:r>
      <w:r>
        <w:rPr>
          <w:spacing w:val="-3"/>
        </w:rPr>
        <w:t>金饰品、钯金首饰、银饰品、翡翠首饰、钻石、红蓝宝</w:t>
      </w:r>
      <w:r>
        <w:rPr>
          <w:spacing w:val="-37"/>
        </w:rPr>
        <w:t> </w:t>
      </w:r>
      <w:r>
        <w:rPr>
          <w:spacing w:val="-37"/>
        </w:rPr>
      </w:r>
      <w:r>
        <w:rPr>
          <w:spacing w:val="-3"/>
        </w:rPr>
        <w:t>石、镶嵌饰品，工艺品的购销；网上销售钻石及钻石饰品、镶嵌首饰、黄金饰品、</w:t>
      </w:r>
      <w:r>
        <w:rPr>
          <w:rFonts w:ascii="Times New Roman" w:hAnsi="Times New Roman" w:cs="Times New Roman" w:eastAsia="Times New Roman" w:hint="default"/>
          <w:spacing w:val="-3"/>
        </w:rPr>
        <w:t>K</w:t>
      </w:r>
      <w:r>
        <w:rPr>
          <w:spacing w:val="-3"/>
        </w:rPr>
        <w:t>金饰品、钯金</w:t>
      </w:r>
      <w:r>
        <w:rPr>
          <w:spacing w:val="-38"/>
        </w:rPr>
        <w:t> </w:t>
      </w:r>
      <w:r>
        <w:rPr>
          <w:spacing w:val="-38"/>
        </w:rPr>
      </w:r>
      <w:r>
        <w:rPr>
          <w:spacing w:val="-2"/>
        </w:rPr>
        <w:t>首饰、银饰品、翡翠首饰、钻石、红蓝宝石、工艺品；国内贸易（不含专营、专控、专卖商品）；</w:t>
      </w:r>
      <w:r>
        <w:rPr>
          <w:spacing w:val="-34"/>
        </w:rPr>
        <w:t> </w:t>
      </w:r>
      <w:r>
        <w:rPr>
          <w:spacing w:val="-34"/>
        </w:rPr>
      </w:r>
      <w:r>
        <w:rPr/>
        <w:t>经济信息咨询（不含法律、行政法规、国务院决定禁止及规定需审批的项目）；兴办实业（具体</w:t>
      </w:r>
      <w:r>
        <w:rPr>
          <w:spacing w:val="-9"/>
        </w:rPr>
        <w:t> </w:t>
      </w:r>
      <w:r>
        <w:rPr>
          <w:spacing w:val="-9"/>
        </w:rPr>
      </w:r>
      <w:r>
        <w:rPr/>
        <w:t>项目另行审批）；经营进出口业务（法律、行政法律、国务院决定禁止的项目除外，限制的项目</w:t>
      </w:r>
      <w:r>
        <w:rPr>
          <w:spacing w:val="-9"/>
        </w:rPr>
        <w:t> </w:t>
      </w:r>
      <w:r>
        <w:rPr>
          <w:spacing w:val="-9"/>
        </w:rPr>
      </w:r>
      <w:r>
        <w:rPr/>
        <w:t>须取得许可方后经营）。</w:t>
      </w:r>
    </w:p>
    <w:p>
      <w:pPr>
        <w:pStyle w:val="Heading7"/>
        <w:spacing w:line="516" w:lineRule="auto" w:before="16"/>
        <w:ind w:left="870" w:right="0" w:hanging="130"/>
        <w:jc w:val="left"/>
      </w:pPr>
      <w:r>
        <w:rPr/>
        <w:pict>
          <v:shape style="position:absolute;margin-left:87.503998pt;margin-top:48.223675pt;width:388.55pt;height:159.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70"/>
                  </w:tblGrid>
                  <w:tr>
                    <w:trPr>
                      <w:trHeight w:val="355"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p>
                    </w:tc>
                  </w:tr>
                </w:tbl>
                <w:p>
                  <w:pPr/>
                </w:p>
              </w:txbxContent>
            </v:textbox>
            <w10:wrap type="none"/>
          </v:shape>
        </w:pict>
      </w: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日批准报出。</w:t>
      </w:r>
      <w:r>
        <w:rPr>
          <w:w w:val="100"/>
        </w:rPr>
        <w:t>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4"/>
        <w:spacing w:line="240" w:lineRule="auto" w:before="26"/>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Heading7"/>
        <w:spacing w:line="256" w:lineRule="auto"/>
        <w:ind w:left="152" w:right="184"/>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spacing w:val="-12"/>
        </w:rPr>
        <w:t> </w:t>
      </w:r>
      <w:r>
        <w:rPr>
          <w:spacing w:val="-12"/>
        </w:rPr>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财务报告的</w:t>
      </w:r>
    </w:p>
    <w:p>
      <w:pPr>
        <w:spacing w:after="0" w:line="256"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7"/>
        <w:spacing w:line="240" w:lineRule="auto" w:before="36"/>
        <w:ind w:left="152" w:right="0"/>
        <w:jc w:val="left"/>
      </w:pPr>
      <w:r>
        <w:rPr/>
        <w:t>一般规定》的披露规定编制财务报表。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7"/>
        <w:spacing w:line="506" w:lineRule="auto"/>
        <w:ind w:left="152" w:right="1229"/>
        <w:jc w:val="left"/>
      </w:pP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spacing w:val="-104"/>
        </w:rPr>
        <w:t> </w:t>
      </w:r>
      <w:r>
        <w:rPr>
          <w:spacing w:val="-2"/>
        </w:rPr>
        <w:t>公司自本报告期末起</w:t>
      </w:r>
      <w:r>
        <w:rPr>
          <w:rFonts w:ascii="Times New Roman" w:hAnsi="Times New Roman" w:cs="Times New Roman" w:eastAsia="Times New Roman" w:hint="default"/>
          <w:spacing w:val="-2"/>
        </w:rPr>
        <w:t>12</w:t>
      </w:r>
      <w:r>
        <w:rPr>
          <w:spacing w:val="-2"/>
        </w:rPr>
        <w:t>个月具备持续经营能力，无影响持续经营能力的重大事项。</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具体会计政策和会计估计提示：</w:t>
      </w:r>
    </w:p>
    <w:p>
      <w:pPr>
        <w:pStyle w:val="BodyText"/>
        <w:spacing w:line="300" w:lineRule="auto" w:before="118"/>
        <w:ind w:right="211"/>
        <w:jc w:val="left"/>
      </w:pPr>
      <w:r>
        <w:rPr>
          <w:rFonts w:ascii="Times New Roman" w:hAnsi="Times New Roman" w:cs="Times New Roman" w:eastAsia="Times New Roman" w:hint="default"/>
        </w:rPr>
        <w:t>2014</w:t>
      </w:r>
      <w:r>
        <w:rPr/>
        <w:t>年，财政部修订了《企业会计准则第</w:t>
      </w:r>
      <w:r>
        <w:rPr>
          <w:spacing w:val="-18"/>
        </w:rPr>
        <w:t> </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财务报表列报》、《企业会计准则第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合并财务报表》，以及颁布了《企业会计准则第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w:t>
      </w:r>
      <w:r>
        <w:rPr>
          <w:spacing w:val="-61"/>
        </w:rPr>
        <w:t> </w:t>
      </w:r>
      <w:r>
        <w:rPr>
          <w:spacing w:val="-61"/>
        </w:rPr>
      </w:r>
      <w:r>
        <w:rPr/>
        <w:t>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在其他主体中权益的披露》等具体准则，公司于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日 起执行。《企业会计准则第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BodyText"/>
        <w:spacing w:line="240" w:lineRule="auto" w:before="13"/>
        <w:ind w:right="0"/>
        <w:jc w:val="left"/>
      </w:pPr>
      <w:r>
        <w:rPr/>
        <w:t>从</w:t>
      </w:r>
      <w:r>
        <w:rPr>
          <w:rFonts w:ascii="Times New Roman" w:hAnsi="Times New Roman" w:cs="Times New Roman" w:eastAsia="Times New Roman" w:hint="default"/>
        </w:rPr>
        <w:t>2014</w:t>
      </w:r>
      <w:r>
        <w:rPr/>
        <w:t>年年度报告开始执行。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52" w:right="0"/>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Heading7"/>
        <w:spacing w:line="256" w:lineRule="auto"/>
        <w:ind w:left="870" w:right="1229"/>
        <w:jc w:val="left"/>
      </w:pPr>
      <w:r>
        <w:rPr>
          <w:spacing w:val="-1"/>
        </w:rPr>
        <w:t>自公历</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日止为一个会计年度。</w:t>
      </w:r>
      <w:r>
        <w:rPr>
          <w:spacing w:val="-81"/>
        </w:rPr>
        <w:t> </w:t>
      </w:r>
      <w:r>
        <w:rPr>
          <w:spacing w:val="-81"/>
        </w:rPr>
      </w:r>
      <w:r>
        <w:rPr>
          <w:spacing w:val="-1"/>
        </w:rPr>
        <w:t>本报告期为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870"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870" w:right="0"/>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870" w:right="0"/>
        <w:jc w:val="left"/>
      </w:pPr>
      <w:r>
        <w:rPr/>
        <w:t>同一控制下企业合并：本公司在企业合并中取得的资产和负债，按照合并日在被合并方资产、负</w:t>
      </w:r>
      <w:r>
        <w:rPr>
          <w:spacing w:val="-9"/>
        </w:rPr>
        <w:t> </w:t>
      </w:r>
      <w:r>
        <w:rPr>
          <w:spacing w:val="-9"/>
        </w:rPr>
      </w:r>
      <w:r>
        <w:rPr>
          <w:spacing w:val="-2"/>
        </w:rPr>
        <w:t>债（包括最终控制方收购被合并方而形成的商誉）在最终控制方合并财务报表中的账面价值计量。</w:t>
      </w:r>
      <w:r>
        <w:rPr>
          <w:spacing w:val="-30"/>
        </w:rPr>
        <w:t> </w:t>
      </w:r>
      <w:r>
        <w:rPr>
          <w:spacing w:val="-30"/>
        </w:rPr>
      </w:r>
      <w:r>
        <w:rPr/>
        <w:t>在合并中取得的净资产账面价值与支付的合并对价账面价值（或发行股份面值总额）的差额，调</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7"/>
        <w:spacing w:line="273" w:lineRule="auto" w:before="36"/>
        <w:ind w:left="870" w:right="153"/>
        <w:jc w:val="left"/>
      </w:pPr>
      <w:r>
        <w:rPr/>
        <w:t>整资本公积中的股本溢价，资本公积中的股本溢价不足冲减的，调整留存收益。</w:t>
      </w:r>
      <w:r>
        <w:rPr>
          <w:w w:val="100"/>
        </w:rPr>
        <w:t> </w:t>
      </w:r>
      <w:r>
        <w:rPr/>
        <w:t>非同一控制下企业合并：本公司在购买日对作为企业合并对价付出的资产、发生或承担的负债按</w:t>
      </w:r>
      <w:r>
        <w:rPr>
          <w:spacing w:val="-9"/>
        </w:rPr>
        <w:t> </w:t>
      </w:r>
      <w:r>
        <w:rPr>
          <w:spacing w:val="-9"/>
        </w:rPr>
      </w:r>
      <w:r>
        <w:rPr/>
        <w:t>照公允价值计量，公允价值与其账面价值的差额，计入当期损益。本公司对合并成本大于合并中</w:t>
      </w:r>
      <w:r>
        <w:rPr>
          <w:spacing w:val="-9"/>
        </w:rPr>
        <w:t> </w:t>
      </w:r>
      <w:r>
        <w:rPr>
          <w:spacing w:val="-9"/>
        </w:rPr>
      </w:r>
      <w:r>
        <w:rPr/>
        <w:t>取得的被购买方可辨认净资产公允价值份额的差额，确认为商誉；合并成本小于合并中取得的被</w:t>
      </w:r>
      <w:r>
        <w:rPr>
          <w:spacing w:val="-9"/>
        </w:rPr>
        <w:t> </w:t>
      </w:r>
      <w:r>
        <w:rPr>
          <w:spacing w:val="-9"/>
        </w:rPr>
      </w:r>
      <w:r>
        <w:rPr/>
        <w:t>购买方可辨认净资产公允价值份额的差额，经复核后，计入当期损益。</w:t>
      </w:r>
      <w:r>
        <w:rPr>
          <w:w w:val="100"/>
        </w:rPr>
        <w:t> </w:t>
      </w:r>
      <w:r>
        <w:rPr/>
        <w:t>为企业合并发生的审计、法律服务、评估咨询等中介费用以及其他直接相关费用，于发生时计入</w:t>
      </w:r>
      <w:r>
        <w:rPr>
          <w:spacing w:val="-9"/>
        </w:rPr>
        <w:t> </w:t>
      </w:r>
      <w:r>
        <w:rPr>
          <w:spacing w:val="-9"/>
        </w:rPr>
      </w:r>
      <w:r>
        <w:rPr/>
        <w:t>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15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7"/>
        <w:spacing w:line="264" w:lineRule="auto"/>
        <w:ind w:right="153" w:hanging="5"/>
        <w:jc w:val="left"/>
      </w:pPr>
      <w:r>
        <w:rPr>
          <w:rFonts w:ascii="Times New Roman" w:hAnsi="Times New Roman" w:cs="Times New Roman" w:eastAsia="Times New Roman" w:hint="default"/>
          <w:b/>
          <w:bCs/>
        </w:rPr>
        <w:t>1</w:t>
      </w:r>
      <w:r>
        <w:rPr>
          <w:rFonts w:ascii="宋体" w:hAnsi="宋体" w:cs="宋体" w:eastAsia="宋体" w:hint="default"/>
          <w:b/>
          <w:bCs/>
        </w:rPr>
        <w:t>、 合并范围</w:t>
      </w:r>
      <w:r>
        <w:rPr>
          <w:rFonts w:ascii="宋体" w:hAnsi="宋体" w:cs="宋体" w:eastAsia="宋体" w:hint="default"/>
          <w:b/>
          <w:bCs/>
          <w:spacing w:val="-102"/>
        </w:rPr>
        <w:t> </w:t>
      </w:r>
      <w:r>
        <w:rPr>
          <w:rFonts w:ascii="宋体" w:hAnsi="宋体" w:cs="宋体" w:eastAsia="宋体" w:hint="default"/>
          <w:b/>
          <w:bCs/>
          <w:spacing w:val="-102"/>
        </w:rPr>
      </w:r>
      <w:r>
        <w:rPr>
          <w:spacing w:val="-2"/>
        </w:rPr>
        <w:t>本公司合并财务报表的合并范围以控制为基础确定，所有子公司（包括本公司所控制的被投</w:t>
      </w:r>
      <w:r>
        <w:rPr>
          <w:spacing w:val="-59"/>
        </w:rPr>
        <w:t> </w:t>
      </w:r>
      <w:r>
        <w:rPr>
          <w:spacing w:val="-59"/>
        </w:rPr>
      </w:r>
      <w:r>
        <w:rPr/>
        <w:t>资方可分割的部分）均纳入合并财务报表。</w:t>
      </w:r>
    </w:p>
    <w:p>
      <w:pPr>
        <w:spacing w:line="240" w:lineRule="auto" w:before="1"/>
        <w:rPr>
          <w:rFonts w:ascii="宋体" w:hAnsi="宋体" w:cs="宋体" w:eastAsia="宋体" w:hint="default"/>
          <w:sz w:val="25"/>
          <w:szCs w:val="25"/>
        </w:rPr>
      </w:pPr>
    </w:p>
    <w:p>
      <w:pPr>
        <w:pStyle w:val="Heading7"/>
        <w:spacing w:line="271" w:lineRule="auto"/>
        <w:ind w:right="153" w:hanging="5"/>
        <w:jc w:val="left"/>
      </w:pPr>
      <w:r>
        <w:rPr>
          <w:rFonts w:ascii="Times New Roman" w:hAnsi="Times New Roman" w:cs="Times New Roman" w:eastAsia="Times New Roman" w:hint="default"/>
          <w:b/>
          <w:bCs/>
        </w:rPr>
        <w:t>2</w:t>
      </w:r>
      <w:r>
        <w:rPr>
          <w:rFonts w:ascii="宋体" w:hAnsi="宋体" w:cs="宋体" w:eastAsia="宋体" w:hint="default"/>
          <w:b/>
          <w:bCs/>
        </w:rPr>
        <w:t>、 合并程序</w:t>
      </w:r>
      <w:r>
        <w:rPr>
          <w:rFonts w:ascii="宋体" w:hAnsi="宋体" w:cs="宋体" w:eastAsia="宋体" w:hint="default"/>
          <w:b/>
          <w:bCs/>
          <w:spacing w:val="-102"/>
        </w:rPr>
        <w:t> </w:t>
      </w:r>
      <w:r>
        <w:rPr>
          <w:rFonts w:ascii="宋体" w:hAnsi="宋体" w:cs="宋体" w:eastAsia="宋体" w:hint="default"/>
          <w:b/>
          <w:bCs/>
          <w:spacing w:val="-102"/>
        </w:rPr>
      </w:r>
      <w:r>
        <w:rPr>
          <w:spacing w:val="-2"/>
        </w:rPr>
        <w:t>本公司以自身和各子公司的财务报表为基础，根据其他有关资料，编制合并财务报表。本公</w:t>
      </w:r>
      <w:r>
        <w:rPr>
          <w:spacing w:val="-58"/>
        </w:rPr>
        <w:t> </w:t>
      </w:r>
      <w:r>
        <w:rPr>
          <w:spacing w:val="-58"/>
        </w:rPr>
      </w:r>
      <w:r>
        <w:rPr>
          <w:spacing w:val="-2"/>
        </w:rPr>
        <w:t>司编制合并财务报表，将整个企业集团视为一个会计主体，依据相关企业会计准则的确认、</w:t>
      </w:r>
      <w:r>
        <w:rPr>
          <w:spacing w:val="-36"/>
        </w:rPr>
        <w:t> </w:t>
      </w:r>
      <w:r>
        <w:rPr>
          <w:spacing w:val="-36"/>
        </w:rPr>
      </w:r>
      <w:r>
        <w:rPr>
          <w:spacing w:val="-2"/>
        </w:rPr>
        <w:t>计量和列报要求，按照统一的会计政策，反映本企业集团整体财务状况、经营成果和现金流</w:t>
      </w:r>
      <w:r>
        <w:rPr>
          <w:spacing w:val="-60"/>
        </w:rPr>
        <w:t> </w:t>
      </w:r>
      <w:r>
        <w:rPr>
          <w:spacing w:val="-60"/>
        </w:rPr>
      </w:r>
      <w:r>
        <w:rPr/>
        <w:t>量。</w:t>
      </w:r>
      <w:r>
        <w:rPr>
          <w:w w:val="100"/>
        </w:rPr>
        <w:t> </w:t>
      </w:r>
      <w:r>
        <w:rPr>
          <w:spacing w:val="-2"/>
        </w:rPr>
        <w:t>所有纳入合并财务报表合并范围的子公司所采用的会计政策、会计期间与本公司一致，如子</w:t>
      </w:r>
      <w:r>
        <w:rPr>
          <w:spacing w:val="-57"/>
        </w:rPr>
        <w:t> </w:t>
      </w:r>
      <w:r>
        <w:rPr>
          <w:spacing w:val="-57"/>
        </w:rPr>
      </w:r>
      <w:r>
        <w:rPr>
          <w:spacing w:val="-2"/>
        </w:rPr>
        <w:t>公司采用的会计政策、会计期间与本公司不一致的，在编制合并财务报表时，按本公司的会</w:t>
      </w:r>
      <w:r>
        <w:rPr>
          <w:spacing w:val="-60"/>
        </w:rPr>
        <w:t> </w:t>
      </w:r>
      <w:r>
        <w:rPr>
          <w:spacing w:val="-60"/>
        </w:rPr>
      </w:r>
      <w:r>
        <w:rPr>
          <w:spacing w:val="-2"/>
        </w:rPr>
        <w:t>计政策、会计期间进行必要的调整。对于非同一控制下企业合并取得的子公司，以购买日可</w:t>
      </w:r>
      <w:r>
        <w:rPr>
          <w:spacing w:val="-58"/>
        </w:rPr>
        <w:t> </w:t>
      </w:r>
      <w:r>
        <w:rPr>
          <w:spacing w:val="-58"/>
        </w:rPr>
      </w:r>
      <w:r>
        <w:rPr>
          <w:spacing w:val="2"/>
        </w:rPr>
        <w:t>辨认净资产公允价值为基础对其财务报表进行调整。对于同一控制下企业合并取得的子公</w:t>
      </w:r>
      <w:r>
        <w:rPr>
          <w:spacing w:val="-16"/>
        </w:rPr>
        <w:t> </w:t>
      </w:r>
      <w:r>
        <w:rPr>
          <w:spacing w:val="-16"/>
        </w:rPr>
      </w:r>
      <w:r>
        <w:rPr>
          <w:spacing w:val="-2"/>
        </w:rPr>
        <w:t>司，以其资产、负债（包括最终控制方收购该子公司而形成的商誉）在最终控制方财务报表</w:t>
      </w:r>
      <w:r>
        <w:rPr>
          <w:spacing w:val="-59"/>
        </w:rPr>
        <w:t> </w:t>
      </w:r>
      <w:r>
        <w:rPr>
          <w:spacing w:val="-59"/>
        </w:rPr>
      </w:r>
      <w:r>
        <w:rPr/>
        <w:t>中的账面价值为基础对其财务报表进行调整。</w:t>
      </w:r>
      <w:r>
        <w:rPr>
          <w:w w:val="100"/>
        </w:rPr>
        <w:t> </w:t>
      </w:r>
      <w:r>
        <w:rPr>
          <w:spacing w:val="-2"/>
        </w:rPr>
        <w:t>子公司所有者权益、当期净损益和当期综合收益中属于少数股东的份额分别在合并资产负债</w:t>
      </w:r>
      <w:r>
        <w:rPr>
          <w:spacing w:val="-58"/>
        </w:rPr>
        <w:t> </w:t>
      </w:r>
      <w:r>
        <w:rPr>
          <w:spacing w:val="-58"/>
        </w:rPr>
      </w:r>
      <w:r>
        <w:rPr>
          <w:spacing w:val="-2"/>
        </w:rPr>
        <w:t>表中所有者权益项目下、合并利润表中净利润项目下和综合收益总额项目下单独列示。子公</w:t>
      </w:r>
      <w:r>
        <w:rPr>
          <w:spacing w:val="-57"/>
        </w:rPr>
        <w:t> </w:t>
      </w:r>
      <w:r>
        <w:rPr>
          <w:spacing w:val="-57"/>
        </w:rPr>
      </w:r>
      <w:r>
        <w:rPr>
          <w:spacing w:val="2"/>
        </w:rPr>
        <w:t>司少数股东分担的当期亏损超过了少数股东在该子公司期初所有者权益中所享有份额而形</w:t>
      </w:r>
      <w:r>
        <w:rPr>
          <w:spacing w:val="-24"/>
        </w:rPr>
        <w:t> </w:t>
      </w:r>
      <w:r>
        <w:rPr>
          <w:spacing w:val="-24"/>
        </w:rPr>
      </w:r>
      <w:r>
        <w:rPr/>
        <w:t>成的余额，冲减少数股东权益。</w:t>
      </w:r>
    </w:p>
    <w:p>
      <w:pPr>
        <w:pStyle w:val="Heading7"/>
        <w:spacing w:line="271" w:lineRule="auto" w:before="10"/>
        <w:ind w:right="153"/>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w:t>
      </w:r>
      <w:r>
        <w:rPr>
          <w:spacing w:val="-53"/>
        </w:rPr>
        <w:t> </w:t>
      </w:r>
      <w:r>
        <w:rPr>
          <w:spacing w:val="-53"/>
        </w:rPr>
      </w:r>
      <w:r>
        <w:rPr>
          <w:spacing w:val="-2"/>
        </w:rPr>
        <w:t>数；将子公司或业务合并当期期初至报告期末的收入、费用、利润纳入合并利润表；将子公</w:t>
      </w:r>
      <w:r>
        <w:rPr>
          <w:spacing w:val="-57"/>
        </w:rPr>
        <w:t> </w:t>
      </w:r>
      <w:r>
        <w:rPr>
          <w:spacing w:val="-57"/>
        </w:rPr>
      </w:r>
      <w:r>
        <w:rPr>
          <w:spacing w:val="-2"/>
        </w:rPr>
        <w:t>司或业务合并当期期初至报告期末的现金流量纳入合并现金流量表，同时对比较报表的相关</w:t>
      </w:r>
      <w:r>
        <w:rPr>
          <w:spacing w:val="-53"/>
        </w:rPr>
        <w:t> </w:t>
      </w:r>
      <w:r>
        <w:rPr>
          <w:spacing w:val="-53"/>
        </w:rPr>
      </w:r>
      <w:r>
        <w:rPr/>
        <w:t>项目进行调整，视同合并后的报告主体自最终控制方开始控制时点起一直存在。</w:t>
      </w:r>
      <w:r>
        <w:rPr>
          <w:w w:val="100"/>
        </w:rPr>
        <w:t> </w:t>
      </w:r>
      <w:r>
        <w:rPr>
          <w:spacing w:val="-2"/>
        </w:rPr>
        <w:t>因追加投资等原因能够对同一控制下的被投资方实施控制的，视同参与合并的各方在最终控</w:t>
      </w:r>
      <w:r>
        <w:rPr>
          <w:spacing w:val="-53"/>
        </w:rPr>
        <w:t> </w:t>
      </w:r>
      <w:r>
        <w:rPr>
          <w:spacing w:val="-53"/>
        </w:rPr>
      </w:r>
      <w:r>
        <w:rPr>
          <w:spacing w:val="2"/>
        </w:rPr>
        <w:t>制方开始控制时即以目前的状态存在进行调整。在取得被合并方控制权之前持有的股权投</w:t>
      </w:r>
      <w:r>
        <w:rPr>
          <w:spacing w:val="-19"/>
        </w:rPr>
        <w:t> </w:t>
      </w:r>
      <w:r>
        <w:rPr>
          <w:spacing w:val="-19"/>
        </w:rPr>
      </w:r>
      <w:r>
        <w:rPr>
          <w:spacing w:val="-2"/>
        </w:rPr>
        <w:t>资，在取得原股权之日与合并方和被合并方同处于同一控制之日孰晚日起至合并日之间已确</w:t>
      </w:r>
      <w:r>
        <w:rPr>
          <w:spacing w:val="-53"/>
        </w:rPr>
        <w:t> </w:t>
      </w:r>
      <w:r>
        <w:rPr>
          <w:spacing w:val="-53"/>
        </w:rPr>
      </w:r>
      <w:r>
        <w:rPr>
          <w:spacing w:val="-2"/>
        </w:rPr>
        <w:t>认有关损益、其他综合收益以及其他净资产变动，分别冲减比较报表期间的期初留存收益或</w:t>
      </w:r>
      <w:r>
        <w:rPr>
          <w:spacing w:val="-53"/>
        </w:rPr>
        <w:t> </w:t>
      </w:r>
      <w:r>
        <w:rPr>
          <w:spacing w:val="-53"/>
        </w:rPr>
      </w:r>
      <w:r>
        <w:rPr/>
        <w:t>当期损益。</w:t>
      </w:r>
      <w:r>
        <w:rPr>
          <w:spacing w:val="-102"/>
        </w:rPr>
        <w:t> </w:t>
      </w:r>
      <w:r>
        <w:rPr>
          <w:spacing w:val="-102"/>
        </w:rPr>
      </w:r>
      <w:r>
        <w:rPr>
          <w:spacing w:val="-2"/>
        </w:rPr>
        <w:t>在报告期内，若因非同一控制下企业合并增加子公司或业务的，则不调整合并资产负债表期</w:t>
      </w:r>
      <w:r>
        <w:rPr>
          <w:spacing w:val="-54"/>
        </w:rPr>
        <w:t> </w:t>
      </w:r>
      <w:r>
        <w:rPr>
          <w:spacing w:val="-54"/>
        </w:rPr>
      </w:r>
      <w:r>
        <w:rPr>
          <w:spacing w:val="-2"/>
        </w:rPr>
        <w:t>初数；将该子公司或业务自购买日至报告期末的收入、费用、利润纳入合并利润表；该子公</w:t>
      </w:r>
      <w:r>
        <w:rPr>
          <w:spacing w:val="-57"/>
        </w:rPr>
        <w:t> </w:t>
      </w:r>
      <w:r>
        <w:rPr>
          <w:spacing w:val="-57"/>
        </w:rPr>
      </w:r>
      <w:r>
        <w:rPr/>
        <w:t>司或业务自购买日至报告期末的现金流量纳入合并现金流量表。</w:t>
      </w:r>
      <w:r>
        <w:rPr>
          <w:w w:val="100"/>
        </w:rPr>
        <w:t> </w:t>
      </w:r>
      <w:r>
        <w:rPr>
          <w:spacing w:val="-2"/>
        </w:rPr>
        <w:t>因追加投资等原因能够对非同一控制下的被投资方实施控制的，对于购买日之前持有的被购</w:t>
      </w:r>
    </w:p>
    <w:p>
      <w:pPr>
        <w:spacing w:after="0" w:line="27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73" w:lineRule="auto" w:before="36"/>
        <w:ind w:right="146"/>
        <w:jc w:val="both"/>
      </w:pPr>
      <w:r>
        <w:rPr>
          <w:spacing w:val="-2"/>
        </w:rPr>
        <w:t>买方的股权，本公司按照该股权在购买日的公允价值进行重新计量，公允价值与其账面价值</w:t>
      </w:r>
      <w:r>
        <w:rPr>
          <w:spacing w:val="-54"/>
        </w:rPr>
        <w:t> </w:t>
      </w:r>
      <w:r>
        <w:rPr>
          <w:spacing w:val="-54"/>
        </w:rPr>
      </w:r>
      <w:r>
        <w:rPr>
          <w:spacing w:val="-2"/>
        </w:rPr>
        <w:t>的差额计入当期投资收益。购买日之前持有的被购买方的股权涉及权益法核算下的其他综合</w:t>
      </w:r>
      <w:r>
        <w:rPr>
          <w:spacing w:val="-53"/>
        </w:rPr>
        <w:t> </w:t>
      </w:r>
      <w:r>
        <w:rPr>
          <w:spacing w:val="-53"/>
        </w:rPr>
      </w:r>
      <w:r>
        <w:rPr>
          <w:spacing w:val="-2"/>
        </w:rPr>
        <w:t>收益以及除净损益、其他综合收益和利润分配之外的其他所有者权益变动的，与其相关的其</w:t>
      </w:r>
      <w:r>
        <w:rPr>
          <w:spacing w:val="-53"/>
        </w:rPr>
        <w:t> </w:t>
      </w:r>
      <w:r>
        <w:rPr>
          <w:spacing w:val="-53"/>
        </w:rPr>
      </w:r>
      <w:r>
        <w:rPr>
          <w:spacing w:val="-2"/>
        </w:rPr>
        <w:t>他综合收益、其他所有者权益变动转为购买日所属当期投资收益，由于被投资方重新计量设</w:t>
      </w:r>
      <w:r>
        <w:rPr>
          <w:spacing w:val="-53"/>
        </w:rPr>
        <w:t> </w:t>
      </w:r>
      <w:r>
        <w:rPr>
          <w:spacing w:val="-53"/>
        </w:rPr>
      </w:r>
      <w:r>
        <w:rPr/>
        <w:t>定受益计划净负债或净资产变动而产生的其他综合收益除外。</w:t>
      </w:r>
    </w:p>
    <w:p>
      <w:pPr>
        <w:pStyle w:val="Heading7"/>
        <w:spacing w:line="240" w:lineRule="auto" w:before="7"/>
        <w:ind w:right="153"/>
        <w:jc w:val="left"/>
      </w:pPr>
      <w:r>
        <w:rPr/>
        <w:t>（</w:t>
      </w:r>
      <w:r>
        <w:rPr>
          <w:rFonts w:ascii="Times New Roman" w:hAnsi="Times New Roman" w:cs="Times New Roman" w:eastAsia="Times New Roman" w:hint="default"/>
        </w:rPr>
        <w:t>2</w:t>
      </w:r>
      <w:r>
        <w:rPr/>
        <w:t>）处置子公司或业务</w:t>
      </w:r>
    </w:p>
    <w:p>
      <w:pPr>
        <w:pStyle w:val="Heading7"/>
        <w:spacing w:line="273" w:lineRule="auto" w:before="21"/>
        <w:ind w:right="153"/>
        <w:jc w:val="left"/>
      </w:pPr>
      <w:r>
        <w:rPr/>
        <w:t>①一般处理方法</w:t>
      </w:r>
      <w:r>
        <w:rPr>
          <w:spacing w:val="-103"/>
        </w:rPr>
        <w:t> </w:t>
      </w:r>
      <w:r>
        <w:rPr>
          <w:spacing w:val="-103"/>
        </w:rPr>
      </w:r>
      <w:r>
        <w:rPr>
          <w:spacing w:val="-2"/>
        </w:rPr>
        <w:t>在报告期内，本公司处置子公司或业务，则该子公司或业务期初至处置日的收入、费用、利</w:t>
      </w:r>
      <w:r>
        <w:rPr>
          <w:spacing w:val="-57"/>
        </w:rPr>
        <w:t> </w:t>
      </w:r>
      <w:r>
        <w:rPr>
          <w:spacing w:val="-57"/>
        </w:rPr>
      </w:r>
      <w:r>
        <w:rPr/>
        <w:t>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r>
        <w:rPr>
          <w:spacing w:val="-31"/>
        </w:rPr>
        <w:t> </w:t>
      </w:r>
      <w:r>
        <w:rPr>
          <w:spacing w:val="-31"/>
        </w:rPr>
      </w:r>
      <w:r>
        <w:rPr>
          <w:spacing w:val="-2"/>
        </w:rPr>
        <w:t>本公司按照其在丧失控制权日的公允价值进行重新计量。处置股权取得的对价与剩余股权公</w:t>
      </w:r>
      <w:r>
        <w:rPr>
          <w:spacing w:val="-53"/>
        </w:rPr>
        <w:t> </w:t>
      </w:r>
      <w:r>
        <w:rPr>
          <w:spacing w:val="-53"/>
        </w:rPr>
      </w:r>
      <w:r>
        <w:rPr>
          <w:spacing w:val="-2"/>
        </w:rPr>
        <w:t>允价值之和，减去按原持股比例计算应享有原有子公司自购买日或合并日开始持续计算的净</w:t>
      </w:r>
      <w:r>
        <w:rPr>
          <w:spacing w:val="-53"/>
        </w:rPr>
        <w:t> </w:t>
      </w:r>
      <w:r>
        <w:rPr>
          <w:spacing w:val="-53"/>
        </w:rPr>
      </w:r>
      <w:r>
        <w:rPr>
          <w:spacing w:val="-2"/>
        </w:rPr>
        <w:t>资产的份额与商誉之和的差额，计入丧失控制权当期的投资收益。与原有子公司股权投资相</w:t>
      </w:r>
      <w:r>
        <w:rPr>
          <w:spacing w:val="-52"/>
        </w:rPr>
        <w:t> </w:t>
      </w:r>
      <w:r>
        <w:rPr>
          <w:spacing w:val="-52"/>
        </w:rPr>
      </w:r>
      <w:r>
        <w:rPr>
          <w:spacing w:val="-2"/>
        </w:rPr>
        <w:t>关的其他综合收益或除净损益、其他综合收益及利润分配之外的其他所有者权益变动，在丧</w:t>
      </w:r>
      <w:r>
        <w:rPr>
          <w:spacing w:val="-52"/>
        </w:rPr>
        <w:t> </w:t>
      </w:r>
      <w:r>
        <w:rPr>
          <w:spacing w:val="-52"/>
        </w:rPr>
      </w:r>
      <w:r>
        <w:rPr>
          <w:spacing w:val="-2"/>
        </w:rPr>
        <w:t>失控制权时转为当期投资收益，由于被投资方重新计量设定受益计划净负债或净资产变动而</w:t>
      </w:r>
      <w:r>
        <w:rPr>
          <w:spacing w:val="-53"/>
        </w:rPr>
        <w:t> </w:t>
      </w:r>
      <w:r>
        <w:rPr>
          <w:spacing w:val="-53"/>
        </w:rPr>
      </w:r>
      <w:r>
        <w:rPr/>
        <w:t>产生的其他综合收益除外。</w:t>
      </w:r>
    </w:p>
    <w:p>
      <w:pPr>
        <w:pStyle w:val="Heading7"/>
        <w:spacing w:line="273" w:lineRule="auto" w:before="7"/>
        <w:ind w:right="153"/>
        <w:jc w:val="left"/>
      </w:pPr>
      <w:r>
        <w:rPr/>
        <w:t>②分步处置子公司</w:t>
      </w:r>
      <w:r>
        <w:rPr>
          <w:w w:val="100"/>
        </w:rPr>
        <w:t> </w:t>
      </w:r>
      <w:r>
        <w:rPr>
          <w:spacing w:val="-2"/>
        </w:rPr>
        <w:t>通过多次交易分步处置对子公司股权投资直至丧失控制权的，处置对子公司股权投资的各项</w:t>
      </w:r>
      <w:r>
        <w:rPr>
          <w:spacing w:val="-53"/>
        </w:rPr>
        <w:t> </w:t>
      </w:r>
      <w:r>
        <w:rPr>
          <w:spacing w:val="-53"/>
        </w:rPr>
      </w:r>
      <w:r>
        <w:rPr>
          <w:spacing w:val="-2"/>
        </w:rPr>
        <w:t>交易的条款、条件以及经济影响符合以下一种或多种情况，通常表明应将多次交易事项作为</w:t>
      </w:r>
      <w:r>
        <w:rPr>
          <w:spacing w:val="-53"/>
        </w:rPr>
        <w:t> </w:t>
      </w:r>
      <w:r>
        <w:rPr>
          <w:spacing w:val="-53"/>
        </w:rPr>
      </w:r>
      <w:r>
        <w:rPr/>
        <w:t>一揽子交易进行会计处理：</w:t>
      </w:r>
    </w:p>
    <w:p>
      <w:pPr>
        <w:pStyle w:val="Heading7"/>
        <w:spacing w:line="273" w:lineRule="auto" w:before="7"/>
        <w:ind w:right="153"/>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w:t>
      </w:r>
      <w:r>
        <w:rPr>
          <w:spacing w:val="-53"/>
        </w:rPr>
        <w:t> </w:t>
      </w:r>
      <w:r>
        <w:rPr>
          <w:spacing w:val="-53"/>
        </w:rPr>
      </w:r>
      <w:r>
        <w:rPr>
          <w:spacing w:val="-2"/>
        </w:rPr>
        <w:t>为一项处置子公司并丧失控制权的交易进行会计处理；但是，在丧失控制权之前每一次处置</w:t>
      </w:r>
      <w:r>
        <w:rPr>
          <w:spacing w:val="-54"/>
        </w:rPr>
        <w:t> </w:t>
      </w:r>
      <w:r>
        <w:rPr>
          <w:spacing w:val="-54"/>
        </w:rPr>
      </w:r>
      <w:r>
        <w:rPr>
          <w:spacing w:val="-2"/>
        </w:rPr>
        <w:t>价款与处置投资对应的享有该子公司净资产份额的差额，在合并财务报表中确认为其他综合</w:t>
      </w:r>
      <w:r>
        <w:rPr>
          <w:spacing w:val="-53"/>
        </w:rPr>
        <w:t> </w:t>
      </w:r>
      <w:r>
        <w:rPr>
          <w:spacing w:val="-53"/>
        </w:rPr>
      </w:r>
      <w:r>
        <w:rPr/>
        <w:t>收益，在丧失控制权时一并转入丧失控制权当期的损益。</w:t>
      </w:r>
      <w:r>
        <w:rPr>
          <w:w w:val="100"/>
        </w:rPr>
        <w:t> </w:t>
      </w:r>
      <w:r>
        <w:rPr>
          <w:spacing w:val="2"/>
        </w:rPr>
        <w:t>处置对子公司股权投资直至丧失控制权的各项交易不属于一揽子交易的，在丧失控制权之</w:t>
      </w:r>
      <w:r>
        <w:rPr>
          <w:spacing w:val="-19"/>
        </w:rPr>
        <w:t> </w:t>
      </w:r>
      <w:r>
        <w:rPr>
          <w:spacing w:val="-19"/>
        </w:rPr>
      </w:r>
      <w:r>
        <w:rPr>
          <w:spacing w:val="-2"/>
        </w:rPr>
        <w:t>前，按不丧失控制权的情况下部分处置对子公司的股权投资的相关政策进行会计处理；在丧</w:t>
      </w:r>
      <w:r>
        <w:rPr>
          <w:spacing w:val="-53"/>
        </w:rPr>
        <w:t> </w:t>
      </w:r>
      <w:r>
        <w:rPr>
          <w:spacing w:val="-53"/>
        </w:rPr>
      </w:r>
      <w:r>
        <w:rPr/>
        <w:t>失控制权时，按处置子公司一般处理方法进行会计处理。</w:t>
      </w:r>
    </w:p>
    <w:p>
      <w:pPr>
        <w:pStyle w:val="Heading7"/>
        <w:spacing w:line="268" w:lineRule="auto" w:before="7"/>
        <w:ind w:right="153"/>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w:t>
      </w:r>
      <w:r>
        <w:rPr>
          <w:spacing w:val="-19"/>
        </w:rPr>
        <w:t> </w:t>
      </w:r>
      <w:r>
        <w:rPr>
          <w:spacing w:val="-19"/>
        </w:rPr>
      </w:r>
      <w:r>
        <w:rPr>
          <w:spacing w:val="-2"/>
        </w:rPr>
        <w:t>买日（或合并日）开始持续计算的净资产份额之间的差额，调整合并资产负债表中的资本公</w:t>
      </w:r>
      <w:r>
        <w:rPr>
          <w:spacing w:val="-52"/>
        </w:rPr>
        <w:t> </w:t>
      </w:r>
      <w:r>
        <w:rPr>
          <w:spacing w:val="-52"/>
        </w:rPr>
      </w:r>
      <w:r>
        <w:rPr/>
        <w:t>积中的股本溢价，资本公积中的股本溢价不足冲减的，调整留存收益。</w:t>
      </w:r>
    </w:p>
    <w:p>
      <w:pPr>
        <w:pStyle w:val="Heading7"/>
        <w:spacing w:line="268" w:lineRule="auto" w:before="12"/>
        <w:ind w:right="153"/>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w:t>
      </w:r>
      <w:r>
        <w:rPr>
          <w:spacing w:val="-19"/>
        </w:rPr>
        <w:t> </w:t>
      </w:r>
      <w:r>
        <w:rPr>
          <w:spacing w:val="-19"/>
        </w:rPr>
      </w:r>
      <w:r>
        <w:rPr>
          <w:spacing w:val="-2"/>
        </w:rPr>
        <w:t>期股权投资相对应享有子公司自购买日或合并日开始持续计算的净资产份额之间的差额，调</w:t>
      </w:r>
      <w:r>
        <w:rPr>
          <w:spacing w:val="-53"/>
        </w:rPr>
        <w:t> </w:t>
      </w:r>
      <w:r>
        <w:rPr>
          <w:spacing w:val="-53"/>
        </w:rPr>
      </w:r>
      <w:r>
        <w:rPr>
          <w:spacing w:val="-2"/>
        </w:rPr>
        <w:t>整合并资产负债表中的资本公积中的股本溢价，资本公积中的股本溢价不足冲减的，调整留</w:t>
      </w:r>
      <w:r>
        <w:rPr>
          <w:spacing w:val="-54"/>
        </w:rPr>
        <w:t> </w:t>
      </w:r>
      <w:r>
        <w:rPr>
          <w:spacing w:val="-54"/>
        </w:rPr>
      </w:r>
      <w:r>
        <w:rPr/>
        <w:t>存收益。</w:t>
      </w:r>
    </w:p>
    <w:p>
      <w:pPr>
        <w:spacing w:after="0" w:line="26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870" w:right="153"/>
        <w:jc w:val="both"/>
      </w:pPr>
      <w:r>
        <w:rPr/>
        <w:t>在编制现金流量表时，将本公司库存现金以及可以随时用于支付的存款确认为现金。将同时具备</w:t>
      </w:r>
      <w:r>
        <w:rPr>
          <w:spacing w:val="-9"/>
        </w:rPr>
        <w:t> </w:t>
      </w:r>
      <w:r>
        <w:rPr>
          <w:spacing w:val="-9"/>
        </w:rPr>
      </w:r>
      <w:r>
        <w:rPr/>
        <w:t>期限短（从购买日起三个月内到期）、流动性强、易于转换为已知现金、价值变动风险很小四个</w:t>
      </w:r>
      <w:r>
        <w:rPr>
          <w:spacing w:val="-8"/>
        </w:rPr>
        <w:t> </w:t>
      </w:r>
      <w:r>
        <w:rPr>
          <w:spacing w:val="-8"/>
        </w:rPr>
      </w:r>
      <w:r>
        <w:rPr/>
        <w:t>条件的投资，确定为现金等价物。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15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7"/>
        <w:spacing w:line="268" w:lineRule="auto"/>
        <w:ind w:right="153" w:hanging="5"/>
        <w:jc w:val="left"/>
      </w:pPr>
      <w:r>
        <w:rPr>
          <w:rFonts w:ascii="Times New Roman" w:hAnsi="Times New Roman" w:cs="Times New Roman" w:eastAsia="Times New Roman" w:hint="default"/>
          <w:b/>
          <w:bCs/>
        </w:rPr>
        <w:t>1</w:t>
      </w:r>
      <w:r>
        <w:rPr>
          <w:rFonts w:ascii="宋体" w:hAnsi="宋体" w:cs="宋体" w:eastAsia="宋体" w:hint="default"/>
          <w:b/>
          <w:bCs/>
        </w:rPr>
        <w:t>、 外币业务</w:t>
      </w:r>
      <w:r>
        <w:rPr>
          <w:rFonts w:ascii="宋体" w:hAnsi="宋体" w:cs="宋体" w:eastAsia="宋体" w:hint="default"/>
          <w:b/>
          <w:bCs/>
          <w:spacing w:val="-102"/>
        </w:rPr>
        <w:t> </w:t>
      </w:r>
      <w:r>
        <w:rPr>
          <w:rFonts w:ascii="宋体" w:hAnsi="宋体" w:cs="宋体" w:eastAsia="宋体" w:hint="default"/>
          <w:b/>
          <w:bCs/>
          <w:spacing w:val="-102"/>
        </w:rPr>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w:t>
      </w:r>
      <w:r>
        <w:rPr>
          <w:spacing w:val="-58"/>
        </w:rPr>
        <w:t> </w:t>
      </w:r>
      <w:r>
        <w:rPr>
          <w:spacing w:val="-58"/>
        </w:rPr>
      </w:r>
      <w:r>
        <w:rPr>
          <w:spacing w:val="2"/>
        </w:rPr>
        <w:t>属于与购建符合资本化条件的资产相关的外币专门借款产生的汇兑差额按照借款费用资本</w:t>
      </w:r>
      <w:r>
        <w:rPr>
          <w:spacing w:val="-24"/>
        </w:rPr>
        <w:t> </w:t>
      </w:r>
      <w:r>
        <w:rPr>
          <w:spacing w:val="-24"/>
        </w:rPr>
      </w:r>
      <w:r>
        <w:rPr/>
        <w:t>化的原则处理外，均计入当期损益。</w:t>
      </w:r>
    </w:p>
    <w:p>
      <w:pPr>
        <w:spacing w:line="240" w:lineRule="auto" w:before="10"/>
        <w:rPr>
          <w:rFonts w:ascii="宋体" w:hAnsi="宋体" w:cs="宋体" w:eastAsia="宋体" w:hint="default"/>
          <w:sz w:val="24"/>
          <w:szCs w:val="24"/>
        </w:rPr>
      </w:pPr>
    </w:p>
    <w:p>
      <w:pPr>
        <w:pStyle w:val="Heading7"/>
        <w:spacing w:line="264" w:lineRule="auto"/>
        <w:ind w:right="153" w:hanging="5"/>
        <w:jc w:val="left"/>
      </w:pPr>
      <w:r>
        <w:rPr>
          <w:rFonts w:ascii="Times New Roman" w:hAnsi="Times New Roman" w:cs="Times New Roman" w:eastAsia="Times New Roman" w:hint="default"/>
          <w:b/>
          <w:bCs/>
        </w:rPr>
        <w:t>2</w:t>
      </w:r>
      <w:r>
        <w:rPr>
          <w:rFonts w:ascii="宋体" w:hAnsi="宋体" w:cs="宋体" w:eastAsia="宋体" w:hint="default"/>
          <w:b/>
          <w:bCs/>
        </w:rPr>
        <w:t>、 外币财务报表的折算</w:t>
      </w:r>
      <w:r>
        <w:rPr>
          <w:rFonts w:ascii="宋体" w:hAnsi="宋体" w:cs="宋体" w:eastAsia="宋体" w:hint="default"/>
          <w:b/>
          <w:bCs/>
          <w:spacing w:val="-100"/>
        </w:rPr>
        <w:t> </w:t>
      </w:r>
      <w:r>
        <w:rPr>
          <w:rFonts w:ascii="宋体" w:hAnsi="宋体" w:cs="宋体" w:eastAsia="宋体" w:hint="default"/>
          <w:b/>
          <w:bCs/>
          <w:spacing w:val="-100"/>
        </w:rPr>
      </w:r>
      <w:r>
        <w:rPr>
          <w:spacing w:val="-5"/>
        </w:rPr>
        <w:t>资产负债表中的资产和负债项目，采用资产负债表日的即期汇率折算；所有者权益项目除</w:t>
      </w:r>
      <w:r>
        <w:rPr>
          <w:rFonts w:ascii="Times New Roman" w:hAnsi="Times New Roman" w:cs="Times New Roman" w:eastAsia="Times New Roman" w:hint="default"/>
          <w:spacing w:val="-5"/>
        </w:rPr>
        <w:t>“</w:t>
      </w:r>
      <w:r>
        <w:rPr>
          <w:spacing w:val="-5"/>
        </w:rPr>
        <w:t>未</w:t>
      </w:r>
      <w:r>
        <w:rPr>
          <w:spacing w:val="-26"/>
        </w:rPr>
        <w:t> </w:t>
      </w:r>
      <w:r>
        <w:rPr/>
        <w:t>分配利润</w:t>
      </w:r>
      <w:r>
        <w:rPr>
          <w:rFonts w:ascii="Times New Roman" w:hAnsi="Times New Roman" w:cs="Times New Roman" w:eastAsia="Times New Roman" w:hint="default"/>
        </w:rPr>
        <w:t>”</w:t>
      </w:r>
      <w:r>
        <w:rPr/>
        <w:t>项目外，其他项目采用发生时的即期汇率折算。利润表中的收入和费用项目，采</w:t>
      </w:r>
      <w:r>
        <w:rPr>
          <w:spacing w:val="-20"/>
        </w:rPr>
        <w:t> </w:t>
      </w:r>
      <w:r>
        <w:rPr>
          <w:spacing w:val="-20"/>
        </w:rPr>
      </w:r>
      <w:r>
        <w:rPr/>
        <w:t>用交易发生日的即期汇率折算。</w:t>
      </w:r>
      <w:r>
        <w:rPr>
          <w:w w:val="100"/>
        </w:rPr>
        <w:t> </w:t>
      </w:r>
      <w:r>
        <w:rPr>
          <w:spacing w:val="-2"/>
        </w:rPr>
        <w:t>处置境外经营时，将与该境外经营相关的外币财务报表折算差额，自所有者权益项目转入处</w:t>
      </w:r>
      <w:r>
        <w:rPr>
          <w:spacing w:val="-58"/>
        </w:rPr>
        <w:t> </w:t>
      </w:r>
      <w:r>
        <w:rPr>
          <w:spacing w:val="-58"/>
        </w:rPr>
      </w:r>
      <w:r>
        <w:rPr/>
        <w:t>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6"/>
        <w:spacing w:line="240" w:lineRule="auto"/>
        <w:ind w:right="15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870" w:right="0"/>
        <w:jc w:val="both"/>
      </w:pPr>
      <w:r>
        <w:rPr/>
        <w:t>金融工具包括金融资产、金融负债和权益工具。</w:t>
      </w:r>
    </w:p>
    <w:p>
      <w:pPr>
        <w:pStyle w:val="Heading7"/>
        <w:spacing w:line="268" w:lineRule="auto" w:before="37"/>
        <w:ind w:right="153" w:hanging="5"/>
        <w:jc w:val="left"/>
      </w:pPr>
      <w:r>
        <w:rPr>
          <w:rFonts w:ascii="Times New Roman" w:hAnsi="Times New Roman" w:cs="Times New Roman" w:eastAsia="Times New Roman" w:hint="default"/>
          <w:b/>
          <w:bCs/>
        </w:rPr>
        <w:t>1</w:t>
      </w:r>
      <w:r>
        <w:rPr>
          <w:rFonts w:ascii="宋体" w:hAnsi="宋体" w:cs="宋体" w:eastAsia="宋体" w:hint="default"/>
          <w:b/>
          <w:bCs/>
        </w:rPr>
        <w:t>、 金融工具的分类</w:t>
      </w:r>
      <w:r>
        <w:rPr>
          <w:rFonts w:ascii="宋体" w:hAnsi="宋体" w:cs="宋体" w:eastAsia="宋体" w:hint="default"/>
          <w:b/>
          <w:bCs/>
          <w:spacing w:val="-101"/>
        </w:rPr>
        <w:t> </w:t>
      </w:r>
      <w:r>
        <w:rPr>
          <w:rFonts w:ascii="宋体" w:hAnsi="宋体" w:cs="宋体" w:eastAsia="宋体" w:hint="default"/>
          <w:b/>
          <w:bCs/>
          <w:spacing w:val="-101"/>
        </w:rPr>
      </w:r>
      <w:r>
        <w:rPr>
          <w:spacing w:val="-2"/>
        </w:rPr>
        <w:t>金融资产和金融负债于初始确认时分类为：以公允价值计量且其变动计入当期损益的金融资</w:t>
      </w:r>
      <w:r>
        <w:rPr>
          <w:spacing w:val="-58"/>
        </w:rPr>
        <w:t> </w:t>
      </w:r>
      <w:r>
        <w:rPr>
          <w:spacing w:val="-58"/>
        </w:rPr>
      </w:r>
      <w:r>
        <w:rPr>
          <w:spacing w:val="-2"/>
        </w:rPr>
        <w:t>产或金融负债，包括交易性金融资产或金融负债和直接指定为以公允价值计量且其变动计入</w:t>
      </w:r>
      <w:r>
        <w:rPr>
          <w:spacing w:val="-58"/>
        </w:rPr>
        <w:t> </w:t>
      </w:r>
      <w:r>
        <w:rPr>
          <w:spacing w:val="-58"/>
        </w:rPr>
      </w:r>
      <w:r>
        <w:rPr>
          <w:spacing w:val="-2"/>
        </w:rPr>
        <w:t>当期损益的金融资产或金融负债；持有至到期投资；应收款项；可供出售金融资产；其他金</w:t>
      </w:r>
      <w:r>
        <w:rPr>
          <w:spacing w:val="-62"/>
        </w:rPr>
        <w:t> </w:t>
      </w:r>
      <w:r>
        <w:rPr>
          <w:spacing w:val="-62"/>
        </w:rPr>
      </w:r>
      <w:r>
        <w:rPr/>
        <w:t>融负债等。</w:t>
      </w:r>
    </w:p>
    <w:p>
      <w:pPr>
        <w:spacing w:line="240" w:lineRule="auto" w:before="11"/>
        <w:rPr>
          <w:rFonts w:ascii="宋体" w:hAnsi="宋体" w:cs="宋体" w:eastAsia="宋体" w:hint="default"/>
          <w:sz w:val="24"/>
          <w:szCs w:val="24"/>
        </w:rPr>
      </w:pPr>
    </w:p>
    <w:p>
      <w:pPr>
        <w:pStyle w:val="Heading6"/>
        <w:spacing w:line="240" w:lineRule="auto"/>
        <w:ind w:left="1408" w:right="153"/>
        <w:jc w:val="left"/>
        <w:rPr>
          <w:b w:val="0"/>
          <w:bCs w:val="0"/>
        </w:rPr>
      </w:pPr>
      <w:r>
        <w:rPr>
          <w:rFonts w:ascii="Times New Roman" w:hAnsi="Times New Roman" w:cs="Times New Roman" w:eastAsia="Times New Roman" w:hint="default"/>
        </w:rPr>
        <w:t>2</w:t>
      </w:r>
      <w:r>
        <w:rPr/>
        <w:t>、</w:t>
      </w:r>
      <w:r>
        <w:rPr>
          <w:spacing w:val="2"/>
        </w:rPr>
        <w:t> </w:t>
      </w:r>
      <w:r>
        <w:rPr/>
        <w:t>金融工具的确认依据和计量方法</w:t>
      </w:r>
      <w:r>
        <w:rPr>
          <w:b w:val="0"/>
          <w:bCs w:val="0"/>
        </w:rPr>
      </w:r>
    </w:p>
    <w:p>
      <w:pPr>
        <w:pStyle w:val="Heading7"/>
        <w:spacing w:line="268" w:lineRule="auto" w:before="21"/>
        <w:ind w:right="153"/>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w:t>
      </w:r>
      <w:r>
        <w:rPr>
          <w:spacing w:val="-19"/>
        </w:rPr>
        <w:t> </w:t>
      </w:r>
      <w:r>
        <w:rPr>
          <w:spacing w:val="-19"/>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w:t>
      </w:r>
      <w:r>
        <w:rPr>
          <w:spacing w:val="-53"/>
        </w:rPr>
        <w:t> </w:t>
      </w:r>
      <w:r>
        <w:rPr>
          <w:spacing w:val="-53"/>
        </w:rPr>
      </w:r>
      <w:r>
        <w:rPr/>
        <w:t>益。</w:t>
      </w:r>
    </w:p>
    <w:p>
      <w:pPr>
        <w:pStyle w:val="Heading7"/>
        <w:spacing w:line="268" w:lineRule="auto" w:before="12"/>
        <w:ind w:right="153"/>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w:t>
      </w:r>
      <w:r>
        <w:rPr>
          <w:spacing w:val="-53"/>
        </w:rPr>
        <w:t> </w:t>
      </w:r>
      <w:r>
        <w:rPr>
          <w:spacing w:val="-53"/>
        </w:rPr>
      </w:r>
      <w:r>
        <w:rPr/>
        <w:t>确认金额。</w:t>
      </w:r>
      <w:r>
        <w:rPr>
          <w:spacing w:val="-102"/>
        </w:rPr>
        <w:t> </w:t>
      </w:r>
      <w:r>
        <w:rPr>
          <w:spacing w:val="-102"/>
        </w:rPr>
      </w:r>
      <w:r>
        <w:rPr>
          <w:spacing w:val="-2"/>
        </w:rPr>
        <w:t>持有期间按照摊余成本和实际利率计算确认利息收入，计入投资收益。实际利率在取得时确</w:t>
      </w:r>
    </w:p>
    <w:p>
      <w:pPr>
        <w:spacing w:after="0" w:line="26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73" w:lineRule="auto" w:before="36"/>
        <w:ind w:right="153"/>
        <w:jc w:val="left"/>
      </w:pPr>
      <w:r>
        <w:rPr/>
        <w:t>定，在该预期存续期间或适用的更短期间内保持不变。</w:t>
      </w:r>
      <w:r>
        <w:rPr>
          <w:w w:val="100"/>
        </w:rPr>
        <w:t> </w:t>
      </w:r>
      <w:r>
        <w:rPr>
          <w:spacing w:val="-2"/>
        </w:rPr>
        <w:t>处置时，将所取得价款与该投资账面价值之间的差额计入投资收益。</w:t>
      </w:r>
    </w:p>
    <w:p>
      <w:pPr>
        <w:pStyle w:val="Heading7"/>
        <w:spacing w:line="268" w:lineRule="auto" w:before="7"/>
        <w:ind w:right="153"/>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w:t>
      </w:r>
      <w:r>
        <w:rPr>
          <w:spacing w:val="-53"/>
        </w:rPr>
        <w:t> </w:t>
      </w:r>
      <w:r>
        <w:rPr>
          <w:spacing w:val="-53"/>
        </w:rPr>
      </w:r>
      <w:r>
        <w:rPr>
          <w:spacing w:val="-2"/>
        </w:rPr>
        <w:t>场上有报价的债务工具的债权，包括应收账款、其他应收款等，以向购货方应收的合同或协</w:t>
      </w:r>
      <w:r>
        <w:rPr>
          <w:spacing w:val="-53"/>
        </w:rPr>
        <w:t> </w:t>
      </w:r>
      <w:r>
        <w:rPr>
          <w:spacing w:val="-53"/>
        </w:rPr>
      </w:r>
      <w:r>
        <w:rPr/>
        <w:t>议价款作为初始确认金额；具有融资性质的，按其现值进行初始确认。</w:t>
      </w:r>
      <w:r>
        <w:rPr>
          <w:w w:val="100"/>
        </w:rPr>
        <w:t> </w:t>
      </w:r>
      <w:r>
        <w:rPr/>
        <w:t>收回或处置时，将取得的价款与该应收款项账面价值之间的差额计入当期损益。</w:t>
      </w:r>
    </w:p>
    <w:p>
      <w:pPr>
        <w:pStyle w:val="Heading7"/>
        <w:spacing w:line="271" w:lineRule="auto" w:before="12"/>
        <w:ind w:right="153"/>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w:t>
      </w:r>
      <w:r>
        <w:rPr>
          <w:spacing w:val="-19"/>
        </w:rPr>
        <w:t> </w:t>
      </w:r>
      <w:r>
        <w:rPr>
          <w:spacing w:val="-19"/>
        </w:rPr>
      </w:r>
      <w:r>
        <w:rPr/>
        <w:t>息）和相关交易费用之和作为初始确认金额。</w:t>
      </w:r>
      <w:r>
        <w:rPr>
          <w:w w:val="100"/>
        </w:rPr>
        <w:t> </w:t>
      </w:r>
      <w:r>
        <w:rPr>
          <w:spacing w:val="-2"/>
        </w:rPr>
        <w:t>持有期间将取得的利息或现金股利确认为投资收益。期末以公允价值计量且将公允价值变动</w:t>
      </w:r>
      <w:r>
        <w:rPr>
          <w:spacing w:val="-53"/>
        </w:rPr>
        <w:t> </w:t>
      </w:r>
      <w:r>
        <w:rPr>
          <w:spacing w:val="-53"/>
        </w:rPr>
      </w:r>
      <w:r>
        <w:rPr>
          <w:spacing w:val="-2"/>
        </w:rPr>
        <w:t>计入其他综合收益。但是，在活跃市场中没有报价且其公允价值不能可靠计量的权益工具投</w:t>
      </w:r>
      <w:r>
        <w:rPr>
          <w:spacing w:val="-53"/>
        </w:rPr>
        <w:t> </w:t>
      </w:r>
      <w:r>
        <w:rPr>
          <w:spacing w:val="-53"/>
        </w:rPr>
      </w:r>
      <w:r>
        <w:rPr>
          <w:spacing w:val="-2"/>
        </w:rPr>
        <w:t>资，以及与该权益工具挂钩并须通过交付该权益工具结算的衍生金融资产，按照成本计量。</w:t>
      </w:r>
      <w:r>
        <w:rPr>
          <w:spacing w:val="-34"/>
        </w:rPr>
        <w:t> </w:t>
      </w:r>
      <w:r>
        <w:rPr>
          <w:spacing w:val="-34"/>
        </w:rPr>
      </w:r>
      <w:r>
        <w:rPr>
          <w:spacing w:val="-2"/>
        </w:rPr>
        <w:t>处置时，将取得的价款与该金融资产账面价值之间的差额，计入投资损益；同时，将原直接</w:t>
      </w:r>
      <w:r>
        <w:rPr>
          <w:spacing w:val="-57"/>
        </w:rPr>
        <w:t> </w:t>
      </w:r>
      <w:r>
        <w:rPr>
          <w:spacing w:val="-57"/>
        </w:rPr>
      </w:r>
      <w:r>
        <w:rPr/>
        <w:t>计入其他综合收益的公允价值变动累计额对应处置部分的金额转出，计入当期损益。</w:t>
      </w:r>
    </w:p>
    <w:p>
      <w:pPr>
        <w:pStyle w:val="Heading7"/>
        <w:spacing w:line="256" w:lineRule="auto" w:before="10"/>
        <w:ind w:left="1408" w:right="153" w:firstLine="4"/>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7"/>
        <w:spacing w:line="271" w:lineRule="auto"/>
        <w:ind w:right="153" w:hanging="5"/>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w:t>
      </w:r>
      <w:r>
        <w:rPr>
          <w:spacing w:val="-36"/>
        </w:rPr>
        <w:t> </w:t>
      </w:r>
      <w:r>
        <w:rPr>
          <w:spacing w:val="-36"/>
        </w:rPr>
      </w:r>
      <w:r>
        <w:rPr>
          <w:spacing w:val="-2"/>
        </w:rPr>
        <w:t>则终止确认该金融资产；如保留了金融资产所有权上几乎所有的风险和报酬的，则不终止确</w:t>
      </w:r>
      <w:r>
        <w:rPr>
          <w:spacing w:val="-58"/>
        </w:rPr>
        <w:t> </w:t>
      </w:r>
      <w:r>
        <w:rPr>
          <w:spacing w:val="-58"/>
        </w:rPr>
      </w:r>
      <w:r>
        <w:rPr/>
        <w:t>认该金融资产。</w:t>
      </w:r>
      <w:r>
        <w:rPr>
          <w:w w:val="100"/>
        </w:rPr>
        <w:t> </w:t>
      </w:r>
      <w:r>
        <w:rPr>
          <w:spacing w:val="-2"/>
        </w:rPr>
        <w:t>在判断金融资产转移是否满足上述金融资产终止确认条件时，采用实质重于形式的原则。公</w:t>
      </w:r>
      <w:r>
        <w:rPr>
          <w:spacing w:val="-58"/>
        </w:rPr>
        <w:t> </w:t>
      </w:r>
      <w:r>
        <w:rPr>
          <w:spacing w:val="-58"/>
        </w:rPr>
      </w:r>
      <w:r>
        <w:rPr>
          <w:spacing w:val="-2"/>
        </w:rPr>
        <w:t>司将金融资产转移区分为金融资产整体转移和部分转移。金融资产整体转移满足终止确认条</w:t>
      </w:r>
      <w:r>
        <w:rPr>
          <w:spacing w:val="-58"/>
        </w:rPr>
        <w:t> </w:t>
      </w:r>
      <w:r>
        <w:rPr>
          <w:spacing w:val="-58"/>
        </w:rPr>
      </w:r>
      <w:r>
        <w:rPr/>
        <w:t>件的，将下列两项金额的差额计入当期损益：</w:t>
      </w:r>
    </w:p>
    <w:p>
      <w:pPr>
        <w:pStyle w:val="Heading7"/>
        <w:spacing w:line="240" w:lineRule="auto" w:before="10"/>
        <w:ind w:right="153"/>
        <w:jc w:val="left"/>
      </w:pPr>
      <w:r>
        <w:rPr/>
        <w:t>（</w:t>
      </w:r>
      <w:r>
        <w:rPr>
          <w:rFonts w:ascii="Times New Roman" w:hAnsi="Times New Roman" w:cs="Times New Roman" w:eastAsia="Times New Roman" w:hint="default"/>
        </w:rPr>
        <w:t>1</w:t>
      </w:r>
      <w:r>
        <w:rPr/>
        <w:t>）所转移金融资产的账面价值；</w:t>
      </w:r>
    </w:p>
    <w:p>
      <w:pPr>
        <w:pStyle w:val="Heading7"/>
        <w:spacing w:line="256" w:lineRule="auto" w:before="21"/>
        <w:ind w:right="15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28"/>
        </w:rPr>
        <w:t> </w:t>
      </w:r>
      <w:r>
        <w:rPr>
          <w:spacing w:val="-28"/>
        </w:rPr>
      </w:r>
      <w:r>
        <w:rPr/>
        <w:t>金融资产为可供出售金融资产的情形）之和。</w:t>
      </w:r>
    </w:p>
    <w:p>
      <w:pPr>
        <w:spacing w:line="240" w:lineRule="auto" w:before="7"/>
        <w:rPr>
          <w:rFonts w:ascii="宋体" w:hAnsi="宋体" w:cs="宋体" w:eastAsia="宋体" w:hint="default"/>
          <w:sz w:val="25"/>
          <w:szCs w:val="25"/>
        </w:rPr>
      </w:pPr>
    </w:p>
    <w:p>
      <w:pPr>
        <w:pStyle w:val="Heading7"/>
        <w:spacing w:line="273" w:lineRule="auto"/>
        <w:ind w:right="146"/>
        <w:jc w:val="both"/>
      </w:pPr>
      <w:r>
        <w:rPr>
          <w:spacing w:val="-2"/>
        </w:rPr>
        <w:t>金融资产部分转移满足终止确认条件的，将所转移金融资产整体的账面价值，在终止确认部</w:t>
      </w:r>
      <w:r>
        <w:rPr>
          <w:spacing w:val="-53"/>
        </w:rPr>
        <w:t> </w:t>
      </w:r>
      <w:r>
        <w:rPr>
          <w:spacing w:val="-53"/>
        </w:rPr>
      </w:r>
      <w:r>
        <w:rPr>
          <w:spacing w:val="-2"/>
        </w:rPr>
        <w:t>分和未终止确认部分之间，按照各自的相对公允价值进行分摊，并将下列两项金额的差额计</w:t>
      </w:r>
      <w:r>
        <w:rPr>
          <w:spacing w:val="-54"/>
        </w:rPr>
        <w:t> </w:t>
      </w:r>
      <w:r>
        <w:rPr>
          <w:spacing w:val="-54"/>
        </w:rPr>
      </w:r>
      <w:r>
        <w:rPr/>
        <w:t>入当期损益：</w:t>
      </w:r>
    </w:p>
    <w:p>
      <w:pPr>
        <w:pStyle w:val="Heading7"/>
        <w:spacing w:line="240" w:lineRule="auto" w:before="8"/>
        <w:ind w:right="153"/>
        <w:jc w:val="left"/>
      </w:pPr>
      <w:r>
        <w:rPr/>
        <w:t>（</w:t>
      </w:r>
      <w:r>
        <w:rPr>
          <w:rFonts w:ascii="Times New Roman" w:hAnsi="Times New Roman" w:cs="Times New Roman" w:eastAsia="Times New Roman" w:hint="default"/>
        </w:rPr>
        <w:t>1</w:t>
      </w:r>
      <w:r>
        <w:rPr/>
        <w:t>）终止确认部分的账面价值；</w:t>
      </w:r>
    </w:p>
    <w:p>
      <w:pPr>
        <w:pStyle w:val="Heading7"/>
        <w:spacing w:line="266" w:lineRule="auto" w:before="21"/>
        <w:ind w:right="15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28"/>
        </w:rPr>
        <w:t> </w:t>
      </w:r>
      <w:r>
        <w:rPr>
          <w:spacing w:val="-28"/>
        </w:rPr>
      </w:r>
      <w:r>
        <w:rPr/>
        <w:t>认部分的金额（涉及转移的金融资产为可供出售金融资产的情形）之和。</w:t>
      </w:r>
      <w:r>
        <w:rPr>
          <w:w w:val="100"/>
        </w:rPr>
        <w:t> </w:t>
      </w:r>
      <w:r>
        <w:rPr>
          <w:spacing w:val="-2"/>
        </w:rPr>
        <w:t>金融资产转移不满足终止确认条件的，继续确认该金融资产，所收到的对价确认为一项金融</w:t>
      </w:r>
      <w:r>
        <w:rPr>
          <w:spacing w:val="-53"/>
        </w:rPr>
        <w:t> </w:t>
      </w:r>
      <w:r>
        <w:rPr>
          <w:spacing w:val="-53"/>
        </w:rPr>
      </w:r>
      <w:r>
        <w:rPr/>
        <w:t>负债。</w:t>
      </w:r>
    </w:p>
    <w:p>
      <w:pPr>
        <w:spacing w:line="240" w:lineRule="auto" w:before="12"/>
        <w:rPr>
          <w:rFonts w:ascii="宋体" w:hAnsi="宋体" w:cs="宋体" w:eastAsia="宋体" w:hint="default"/>
          <w:sz w:val="24"/>
          <w:szCs w:val="24"/>
        </w:rPr>
      </w:pPr>
    </w:p>
    <w:p>
      <w:pPr>
        <w:pStyle w:val="Heading7"/>
        <w:spacing w:line="268" w:lineRule="auto"/>
        <w:ind w:right="153" w:hanging="5"/>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w:t>
      </w:r>
      <w:r>
        <w:rPr>
          <w:spacing w:val="-57"/>
        </w:rPr>
        <w:t> </w:t>
      </w:r>
      <w:r>
        <w:rPr>
          <w:spacing w:val="-57"/>
        </w:rPr>
      </w:r>
      <w:r>
        <w:rPr>
          <w:spacing w:val="-2"/>
        </w:rPr>
        <w:t>与债权人签定协议，以承担新金融负债方式替换现存金融负债，且新金融负债与现存金融负</w:t>
      </w:r>
      <w:r>
        <w:rPr>
          <w:spacing w:val="-58"/>
        </w:rPr>
        <w:t> </w:t>
      </w:r>
      <w:r>
        <w:rPr>
          <w:spacing w:val="-58"/>
        </w:rPr>
      </w:r>
      <w:r>
        <w:rPr/>
        <w:t>债的合同条款实质上不同的，则终止确认现存金融负债，并同时确认新金融负债。</w:t>
      </w:r>
      <w:r>
        <w:rPr>
          <w:w w:val="100"/>
        </w:rPr>
        <w:t> </w:t>
      </w:r>
      <w:r>
        <w:rPr>
          <w:spacing w:val="-2"/>
        </w:rPr>
        <w:t>对现存金融负债全部或部分合同条款作出实质性修改的，则终止确认现存金融负债或其一部</w:t>
      </w:r>
      <w:r>
        <w:rPr>
          <w:spacing w:val="-58"/>
        </w:rPr>
        <w:t> </w:t>
      </w:r>
      <w:r>
        <w:rPr>
          <w:spacing w:val="-58"/>
        </w:rPr>
      </w:r>
      <w:r>
        <w:rPr/>
        <w:t>分，同时将修改条款后的金融负债确认为一项新金融负债。</w:t>
      </w:r>
    </w:p>
    <w:p>
      <w:pPr>
        <w:spacing w:after="0" w:line="26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73" w:lineRule="auto" w:before="36"/>
        <w:ind w:right="153"/>
        <w:jc w:val="left"/>
      </w:pPr>
      <w:r>
        <w:rPr>
          <w:spacing w:val="-2"/>
        </w:rPr>
        <w:t>金融负债全部或部分终止确认时，终止确认的金融负债账面价值与支付对价（包括转出的非</w:t>
      </w:r>
      <w:r>
        <w:rPr>
          <w:spacing w:val="-53"/>
        </w:rPr>
        <w:t> </w:t>
      </w:r>
      <w:r>
        <w:rPr>
          <w:spacing w:val="-53"/>
        </w:rPr>
      </w:r>
      <w:r>
        <w:rPr/>
        <w:t>现金资产或承担的新金融负债）之间的差额，计入当期损益。</w:t>
      </w:r>
      <w:r>
        <w:rPr>
          <w:w w:val="100"/>
        </w:rPr>
        <w:t> </w:t>
      </w:r>
      <w:r>
        <w:rPr>
          <w:spacing w:val="2"/>
        </w:rPr>
        <w:t>本公司若回购部分金融负债的，在回购日按照继续确认部分与终止确认部分的相对公允价</w:t>
      </w:r>
      <w:r>
        <w:rPr>
          <w:spacing w:val="-19"/>
        </w:rPr>
        <w:t> </w:t>
      </w:r>
      <w:r>
        <w:rPr>
          <w:spacing w:val="-19"/>
        </w:rPr>
      </w:r>
      <w:r>
        <w:rPr>
          <w:spacing w:val="-2"/>
        </w:rPr>
        <w:t>值，将该金融负债整体的账面价值进行分配。分配给终止确认部分的账面价值与支付的对价</w:t>
      </w:r>
    </w:p>
    <w:p>
      <w:pPr>
        <w:pStyle w:val="Heading7"/>
        <w:spacing w:line="240" w:lineRule="auto" w:before="7"/>
        <w:ind w:right="153"/>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Heading7"/>
        <w:spacing w:line="268" w:lineRule="auto"/>
        <w:ind w:right="153" w:hanging="5"/>
        <w:jc w:val="left"/>
      </w:pPr>
      <w:r>
        <w:rPr>
          <w:rFonts w:ascii="Times New Roman" w:hAnsi="Times New Roman" w:cs="Times New Roman" w:eastAsia="Times New Roman" w:hint="default"/>
          <w:b/>
          <w:bCs/>
        </w:rPr>
        <w:t>5</w:t>
      </w:r>
      <w:r>
        <w:rPr>
          <w:rFonts w:ascii="宋体" w:hAnsi="宋体" w:cs="宋体" w:eastAsia="宋体" w:hint="default"/>
          <w:b/>
          <w:bCs/>
        </w:rPr>
        <w:t>、 金融资产和金融负债的公允价值的确定方法</w:t>
      </w:r>
      <w:r>
        <w:rPr>
          <w:rFonts w:ascii="宋体" w:hAnsi="宋体" w:cs="宋体" w:eastAsia="宋体" w:hint="default"/>
          <w:b/>
          <w:bCs/>
          <w:spacing w:val="-102"/>
        </w:rPr>
        <w:t> </w:t>
      </w:r>
      <w:r>
        <w:rPr>
          <w:rFonts w:ascii="宋体" w:hAnsi="宋体" w:cs="宋体" w:eastAsia="宋体" w:hint="default"/>
          <w:b/>
          <w:bCs/>
          <w:spacing w:val="-102"/>
        </w:rPr>
      </w:r>
      <w:r>
        <w:rPr>
          <w:spacing w:val="-2"/>
        </w:rPr>
        <w:t>存在活跃市场的金融工具，以活跃市场中的报价确定其公允价值。不存在活跃市场的金融工</w:t>
      </w:r>
      <w:r>
        <w:rPr>
          <w:spacing w:val="-58"/>
        </w:rPr>
        <w:t> </w:t>
      </w:r>
      <w:r>
        <w:rPr>
          <w:spacing w:val="-58"/>
        </w:rPr>
      </w:r>
      <w:r>
        <w:rPr>
          <w:spacing w:val="-2"/>
        </w:rPr>
        <w:t>具，采用估值技术确定其公允价值。在估值时，本公司采用在当前情况下适用并且有足够可</w:t>
      </w:r>
      <w:r>
        <w:rPr>
          <w:spacing w:val="-58"/>
        </w:rPr>
        <w:t> </w:t>
      </w:r>
      <w:r>
        <w:rPr>
          <w:spacing w:val="-58"/>
        </w:rPr>
      </w:r>
      <w:r>
        <w:rPr>
          <w:spacing w:val="-2"/>
        </w:rPr>
        <w:t>利用数据和其他信息支持的估值技术，选择与市场参与者在相关资产或负债的交易中所考虑</w:t>
      </w:r>
      <w:r>
        <w:rPr>
          <w:spacing w:val="-58"/>
        </w:rPr>
        <w:t> </w:t>
      </w:r>
      <w:r>
        <w:rPr>
          <w:spacing w:val="-58"/>
        </w:rPr>
      </w:r>
      <w:r>
        <w:rPr>
          <w:spacing w:val="-2"/>
        </w:rPr>
        <w:t>的资产或负债特征相一致的输入值，并优先使用相关可观察输入值。只有在相关可观察输入</w:t>
      </w:r>
      <w:r>
        <w:rPr>
          <w:spacing w:val="-58"/>
        </w:rPr>
        <w:t> </w:t>
      </w:r>
      <w:r>
        <w:rPr>
          <w:spacing w:val="-58"/>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spacing w:line="264" w:lineRule="auto" w:before="0"/>
        <w:ind w:left="1413" w:right="153"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的账面价值进行检查，如果有客观证据表明某项金融资产发生减值的，计提减值准备。</w:t>
      </w:r>
    </w:p>
    <w:p>
      <w:pPr>
        <w:pStyle w:val="Heading7"/>
        <w:spacing w:line="271" w:lineRule="auto" w:before="16"/>
        <w:ind w:right="153"/>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w:t>
      </w:r>
      <w:r>
        <w:rPr>
          <w:spacing w:val="-53"/>
        </w:rPr>
        <w:t> </w:t>
      </w:r>
      <w:r>
        <w:rPr>
          <w:spacing w:val="-53"/>
        </w:rPr>
      </w:r>
      <w:r>
        <w:rPr>
          <w:spacing w:val="-2"/>
        </w:rPr>
        <w:t>这种下降趋势属于非暂时性的，就认定其已发生减值，将原直接计入所有者权益的公允价值</w:t>
      </w:r>
      <w:r>
        <w:rPr>
          <w:spacing w:val="-53"/>
        </w:rPr>
        <w:t> </w:t>
      </w:r>
      <w:r>
        <w:rPr>
          <w:spacing w:val="-53"/>
        </w:rPr>
      </w:r>
      <w:r>
        <w:rPr/>
        <w:t>下降形成的累计损失一并转出，确认减值损失。</w:t>
      </w:r>
      <w:r>
        <w:rPr>
          <w:w w:val="100"/>
        </w:rPr>
        <w:t> </w:t>
      </w:r>
      <w:r>
        <w:rPr>
          <w:spacing w:val="-2"/>
        </w:rPr>
        <w:t>对于已确认减值损失的可供出售债务工具，在随后的会计期间公允价值已上升且客观上与确</w:t>
      </w:r>
      <w:r>
        <w:rPr>
          <w:spacing w:val="-53"/>
        </w:rPr>
        <w:t> </w:t>
      </w:r>
      <w:r>
        <w:rPr>
          <w:spacing w:val="-53"/>
        </w:rPr>
      </w:r>
      <w:r>
        <w:rPr/>
        <w:t>认原减值损失确认后发生的事项有关的，原确认的减值损失予以转回，计入当期损益。</w:t>
      </w:r>
      <w:r>
        <w:rPr>
          <w:w w:val="100"/>
        </w:rPr>
        <w:t> </w:t>
      </w:r>
      <w:r>
        <w:rPr/>
        <w:t>可供出售权益工具投资发生的减值损失，不通过损益转回。</w:t>
      </w:r>
    </w:p>
    <w:p>
      <w:pPr>
        <w:pStyle w:val="Heading7"/>
        <w:spacing w:line="256" w:lineRule="auto" w:before="10"/>
        <w:ind w:right="153"/>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40" w:lineRule="auto"/>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9"/>
        <w:jc w:val="right"/>
      </w:pPr>
      <w:r>
        <w:rPr/>
        <w:pict>
          <v:shape style="position:absolute;margin-left:56.459999pt;margin-top:-.728271pt;width:479.2pt;height:149.9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本公司将单项金额大于等于</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万元的应收账款其他应收款 确定为单项金额重大的应收款项。</w:t>
                        </w:r>
                      </w:p>
                    </w:tc>
                  </w:tr>
                  <w:tr>
                    <w:trPr>
                      <w:trHeight w:val="227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合并范围以外款项组合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合并范围内款项组合</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组合中，采用账龄分析法计提坏账准备的：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53"/>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0"/>
        <w:rPr>
          <w:rFonts w:ascii="宋体" w:hAnsi="宋体" w:cs="宋体" w:eastAsia="宋体" w:hint="default"/>
          <w:b/>
          <w:bCs/>
          <w:sz w:val="24"/>
          <w:szCs w:val="24"/>
        </w:rPr>
      </w:pPr>
    </w:p>
    <w:p>
      <w:pPr>
        <w:pStyle w:val="Heading7"/>
        <w:spacing w:line="256" w:lineRule="auto"/>
        <w:ind w:left="1408" w:right="153"/>
        <w:jc w:val="left"/>
      </w:pPr>
      <w:r>
        <w:rPr>
          <w:rFonts w:ascii="Times New Roman" w:hAnsi="Times New Roman" w:cs="Times New Roman" w:eastAsia="Times New Roman" w:hint="default"/>
          <w:b/>
          <w:bCs/>
        </w:rPr>
        <w:t>1</w:t>
      </w:r>
      <w:r>
        <w:rPr>
          <w:rFonts w:ascii="宋体" w:hAnsi="宋体" w:cs="宋体" w:eastAsia="宋体" w:hint="default"/>
          <w:b/>
          <w:bCs/>
        </w:rPr>
        <w:t>、 存货的分类</w:t>
      </w:r>
      <w:r>
        <w:rPr>
          <w:rFonts w:ascii="宋体" w:hAnsi="宋体" w:cs="宋体" w:eastAsia="宋体" w:hint="default"/>
          <w:b/>
          <w:bCs/>
          <w:spacing w:val="-101"/>
        </w:rPr>
        <w:t> </w:t>
      </w:r>
      <w:r>
        <w:rPr>
          <w:rFonts w:ascii="宋体" w:hAnsi="宋体" w:cs="宋体" w:eastAsia="宋体" w:hint="default"/>
          <w:b/>
          <w:bCs/>
          <w:spacing w:val="-101"/>
        </w:rPr>
      </w:r>
      <w:r>
        <w:rPr>
          <w:spacing w:val="-2"/>
        </w:rPr>
        <w:t>存货分类为：原材料、周转材料（低值易耗品）、库存商品、在产品、委托加工物资等。</w:t>
      </w:r>
    </w:p>
    <w:p>
      <w:pPr>
        <w:spacing w:line="240" w:lineRule="auto" w:before="7"/>
        <w:rPr>
          <w:rFonts w:ascii="宋体" w:hAnsi="宋体" w:cs="宋体" w:eastAsia="宋体" w:hint="default"/>
          <w:sz w:val="25"/>
          <w:szCs w:val="25"/>
        </w:rPr>
      </w:pPr>
    </w:p>
    <w:p>
      <w:pPr>
        <w:pStyle w:val="Heading7"/>
        <w:spacing w:line="264" w:lineRule="auto"/>
        <w:ind w:left="1408" w:right="153"/>
        <w:jc w:val="left"/>
      </w:pPr>
      <w:r>
        <w:rPr>
          <w:rFonts w:ascii="Times New Roman" w:hAnsi="Times New Roman" w:cs="Times New Roman" w:eastAsia="Times New Roman" w:hint="default"/>
          <w:b/>
          <w:bCs/>
        </w:rPr>
        <w:t>2</w:t>
      </w:r>
      <w:r>
        <w:rPr>
          <w:rFonts w:ascii="宋体" w:hAnsi="宋体" w:cs="宋体" w:eastAsia="宋体" w:hint="default"/>
          <w:b/>
          <w:bCs/>
        </w:rPr>
        <w:t>、 发出存货的计价方法</w:t>
      </w:r>
      <w:r>
        <w:rPr>
          <w:rFonts w:ascii="宋体" w:hAnsi="宋体" w:cs="宋体" w:eastAsia="宋体" w:hint="default"/>
          <w:b/>
          <w:bCs/>
          <w:spacing w:val="-100"/>
        </w:rPr>
        <w:t> </w:t>
      </w:r>
      <w:r>
        <w:rPr>
          <w:rFonts w:ascii="宋体" w:hAnsi="宋体" w:cs="宋体" w:eastAsia="宋体" w:hint="default"/>
          <w:b/>
          <w:bCs/>
          <w:spacing w:val="-100"/>
        </w:rPr>
      </w:r>
      <w:r>
        <w:rPr>
          <w:spacing w:val="-2"/>
        </w:rPr>
        <w:t>公司存货采用实际成本法核算。公司库存商品销售采用个别计价法。原材料（除克拉钻和带</w:t>
      </w:r>
      <w:r>
        <w:rPr>
          <w:spacing w:val="-54"/>
        </w:rPr>
        <w:t> </w:t>
      </w:r>
      <w:r>
        <w:rPr>
          <w:spacing w:val="-54"/>
        </w:rPr>
      </w:r>
      <w:r>
        <w:rPr/>
        <w:t>证书的钻石外）领用发出采用加权平均法进行核算；克拉钻和带证书的采用个别计价法。</w:t>
      </w:r>
    </w:p>
    <w:p>
      <w:pPr>
        <w:spacing w:line="240" w:lineRule="auto" w:before="2"/>
        <w:rPr>
          <w:rFonts w:ascii="宋体" w:hAnsi="宋体" w:cs="宋体" w:eastAsia="宋体" w:hint="default"/>
          <w:sz w:val="25"/>
          <w:szCs w:val="25"/>
        </w:rPr>
      </w:pPr>
    </w:p>
    <w:p>
      <w:pPr>
        <w:pStyle w:val="Heading7"/>
        <w:spacing w:line="271" w:lineRule="auto"/>
        <w:ind w:right="153" w:hanging="5"/>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不同类别存货可变现净值的确定依据</w:t>
      </w:r>
      <w:r>
        <w:rPr>
          <w:rFonts w:ascii="宋体" w:hAnsi="宋体" w:cs="宋体" w:eastAsia="宋体" w:hint="default"/>
          <w:b/>
          <w:bCs/>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w:t>
      </w:r>
      <w:r>
        <w:rPr>
          <w:spacing w:val="-36"/>
        </w:rPr>
        <w:t> </w:t>
      </w:r>
      <w:r>
        <w:rPr>
          <w:spacing w:val="-36"/>
        </w:rPr>
      </w:r>
      <w:r>
        <w:rPr>
          <w:spacing w:val="-2"/>
        </w:rPr>
        <w:t>以该存货的估计售价减去估计的销售费用和相关税费后的金额，确定其可变现净值；需要经</w:t>
      </w:r>
      <w:r>
        <w:rPr>
          <w:spacing w:val="-59"/>
        </w:rPr>
        <w:t> </w:t>
      </w:r>
      <w:r>
        <w:rPr>
          <w:spacing w:val="-59"/>
        </w:rPr>
      </w:r>
      <w:r>
        <w:rPr>
          <w:spacing w:val="-2"/>
        </w:rPr>
        <w:t>过加工的材料存货，在正常生产经营过程中，以所生产的产成品的估计售价减去至完工时估</w:t>
      </w:r>
      <w:r>
        <w:rPr>
          <w:spacing w:val="-57"/>
        </w:rPr>
        <w:t> </w:t>
      </w:r>
      <w:r>
        <w:rPr>
          <w:spacing w:val="-57"/>
        </w:rPr>
      </w:r>
      <w:r>
        <w:rPr>
          <w:spacing w:val="-2"/>
        </w:rPr>
        <w:t>计将要发生的成本、估计的销售费用和相关税费后的金额，确定其可变现净值；为执行销售</w:t>
      </w:r>
      <w:r>
        <w:rPr>
          <w:spacing w:val="-57"/>
        </w:rPr>
        <w:t> </w:t>
      </w:r>
      <w:r>
        <w:rPr>
          <w:spacing w:val="-57"/>
        </w:rPr>
      </w:r>
      <w:r>
        <w:rPr>
          <w:spacing w:val="-2"/>
        </w:rPr>
        <w:t>合同或者劳务合同而持有的存货，其可变现净值以合同价格为基础计算，若持有存货的数量</w:t>
      </w:r>
      <w:r>
        <w:rPr>
          <w:spacing w:val="-59"/>
        </w:rPr>
        <w:t> </w:t>
      </w:r>
      <w:r>
        <w:rPr>
          <w:spacing w:val="-59"/>
        </w:rPr>
      </w:r>
      <w:r>
        <w:rPr/>
        <w:t>多于销售合同订购数量的，超出部分的存货的可变现净值以一般销售价格为基础计算。</w:t>
      </w:r>
      <w:r>
        <w:rPr>
          <w:w w:val="100"/>
        </w:rPr>
        <w:t> </w:t>
      </w:r>
      <w:r>
        <w:rPr>
          <w:spacing w:val="-2"/>
        </w:rPr>
        <w:t>期末按照单个存货项目计提存货跌价准备；但对于数量繁多、单价较低的存货，按照存货类</w:t>
      </w:r>
      <w:r>
        <w:rPr>
          <w:spacing w:val="-59"/>
        </w:rPr>
        <w:t> </w:t>
      </w:r>
      <w:r>
        <w:rPr>
          <w:spacing w:val="-59"/>
        </w:rPr>
      </w:r>
      <w:r>
        <w:rPr>
          <w:spacing w:val="-2"/>
        </w:rPr>
        <w:t>别计提存货跌价准备；与在同一地区生产和销售的产品系列相关、具有相同或类似最终用途</w:t>
      </w:r>
      <w:r>
        <w:rPr>
          <w:spacing w:val="-58"/>
        </w:rPr>
        <w:t> </w:t>
      </w:r>
      <w:r>
        <w:rPr>
          <w:spacing w:val="-58"/>
        </w:rPr>
      </w:r>
      <w:r>
        <w:rPr/>
        <w:t>或目的，且难以与其他项目分开计量的存货，则合并计提存货跌价准备。</w:t>
      </w:r>
    </w:p>
    <w:p>
      <w:pPr>
        <w:spacing w:after="0" w:line="27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73" w:lineRule="auto" w:before="36"/>
        <w:ind w:right="153"/>
        <w:jc w:val="left"/>
      </w:pPr>
      <w:r>
        <w:rPr>
          <w:spacing w:val="-2"/>
        </w:rPr>
        <w:t>以前减记存货价值的影响因素已经消失的，减记的金额予以恢复，并在原已计提的存货跌价</w:t>
      </w:r>
      <w:r>
        <w:rPr>
          <w:spacing w:val="-53"/>
        </w:rPr>
        <w:t> </w:t>
      </w:r>
      <w:r>
        <w:rPr>
          <w:spacing w:val="-53"/>
        </w:rPr>
      </w:r>
      <w:r>
        <w:rPr/>
        <w:t>准备金额内转回，转回的金额计入当期损益。</w:t>
      </w:r>
      <w:r>
        <w:rPr>
          <w:w w:val="100"/>
        </w:rPr>
        <w:t> </w:t>
      </w:r>
      <w:r>
        <w:rPr>
          <w:spacing w:val="-2"/>
        </w:rPr>
        <w:t>除有明确证据表明资产负债表日市场价格异常外，存货项目的可变现净值以资产负债表日市</w:t>
      </w:r>
      <w:r>
        <w:rPr>
          <w:spacing w:val="-53"/>
        </w:rPr>
        <w:t> </w:t>
      </w:r>
      <w:r>
        <w:rPr>
          <w:spacing w:val="-53"/>
        </w:rPr>
      </w:r>
      <w:r>
        <w:rPr/>
        <w:t>场价格为基础确定。</w:t>
      </w:r>
    </w:p>
    <w:p>
      <w:pPr>
        <w:spacing w:line="240" w:lineRule="auto" w:before="6"/>
        <w:rPr>
          <w:rFonts w:ascii="宋体" w:hAnsi="宋体" w:cs="宋体" w:eastAsia="宋体" w:hint="default"/>
          <w:sz w:val="24"/>
          <w:szCs w:val="24"/>
        </w:rPr>
      </w:pPr>
    </w:p>
    <w:p>
      <w:pPr>
        <w:spacing w:line="256" w:lineRule="auto" w:before="0"/>
        <w:ind w:left="1408" w:right="4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 存货的盘存制度</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采用永续盘存制，定期进行盘点。</w:t>
      </w:r>
    </w:p>
    <w:p>
      <w:pPr>
        <w:spacing w:line="240" w:lineRule="auto" w:before="7"/>
        <w:rPr>
          <w:rFonts w:ascii="宋体" w:hAnsi="宋体" w:cs="宋体" w:eastAsia="宋体" w:hint="default"/>
          <w:sz w:val="25"/>
          <w:szCs w:val="25"/>
        </w:rPr>
      </w:pPr>
    </w:p>
    <w:p>
      <w:pPr>
        <w:spacing w:line="256" w:lineRule="auto" w:before="0"/>
        <w:ind w:left="152" w:right="5144" w:firstLine="125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z w:val="21"/>
          <w:szCs w:val="21"/>
        </w:rPr>
        <w:t>周转材料（低值易耗品）采用一次转销法。</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40" w:lineRule="auto"/>
        <w:ind w:right="153"/>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7"/>
        <w:spacing w:line="271" w:lineRule="auto"/>
        <w:ind w:right="153" w:hanging="5"/>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w:t>
      </w:r>
      <w:r>
        <w:rPr>
          <w:spacing w:val="-57"/>
        </w:rPr>
        <w:t> </w:t>
      </w:r>
      <w:r>
        <w:rPr>
          <w:spacing w:val="-57"/>
        </w:rPr>
      </w:r>
      <w:r>
        <w:rPr>
          <w:spacing w:val="-2"/>
        </w:rPr>
        <w:t>享控制权的参与方一致同意后才能决策。本公司与其他合营方一同对被投资单位实施共同控</w:t>
      </w:r>
      <w:r>
        <w:rPr>
          <w:spacing w:val="-58"/>
        </w:rPr>
        <w:t> </w:t>
      </w:r>
      <w:r>
        <w:rPr>
          <w:spacing w:val="-58"/>
        </w:rPr>
      </w:r>
      <w:r>
        <w:rPr/>
        <w:t>制且对被投资单位净资产享有权利的，被投资单位为本公司的合营企业。</w:t>
      </w:r>
      <w:r>
        <w:rPr>
          <w:w w:val="100"/>
        </w:rPr>
        <w:t> </w:t>
      </w:r>
      <w:r>
        <w:rPr>
          <w:spacing w:val="-2"/>
        </w:rPr>
        <w:t>重大影响，是指对一个企业的财务和经营决策有参与决策的权力，但并不能够控制或者与其</w:t>
      </w:r>
      <w:r>
        <w:rPr>
          <w:spacing w:val="-57"/>
        </w:rPr>
        <w:t> </w:t>
      </w:r>
      <w:r>
        <w:rPr>
          <w:spacing w:val="-57"/>
        </w:rPr>
      </w:r>
      <w:r>
        <w:rPr>
          <w:spacing w:val="-2"/>
        </w:rPr>
        <w:t>他方一起共同控制这些政策的制定。本公司能够对被投资单位施加重大影响的，被投资单位</w:t>
      </w:r>
      <w:r>
        <w:rPr>
          <w:spacing w:val="-58"/>
        </w:rPr>
        <w:t> </w:t>
      </w:r>
      <w:r>
        <w:rPr>
          <w:spacing w:val="-58"/>
        </w:rPr>
      </w:r>
      <w:r>
        <w:rPr/>
        <w:t>为本公司联营企业。</w:t>
      </w:r>
    </w:p>
    <w:p>
      <w:pPr>
        <w:spacing w:line="240" w:lineRule="auto" w:before="8"/>
        <w:rPr>
          <w:rFonts w:ascii="宋体" w:hAnsi="宋体" w:cs="宋体" w:eastAsia="宋体" w:hint="default"/>
          <w:sz w:val="24"/>
          <w:szCs w:val="24"/>
        </w:rPr>
      </w:pPr>
    </w:p>
    <w:p>
      <w:pPr>
        <w:pStyle w:val="Heading6"/>
        <w:spacing w:line="240" w:lineRule="auto"/>
        <w:ind w:left="1408" w:right="153"/>
        <w:jc w:val="left"/>
        <w:rPr>
          <w:b w:val="0"/>
          <w:bCs w:val="0"/>
        </w:rPr>
      </w:pPr>
      <w:r>
        <w:rPr>
          <w:rFonts w:ascii="Times New Roman" w:hAnsi="Times New Roman" w:cs="Times New Roman" w:eastAsia="Times New Roman" w:hint="default"/>
        </w:rPr>
        <w:t>2</w:t>
      </w:r>
      <w:r>
        <w:rPr/>
        <w:t>、</w:t>
      </w:r>
      <w:r>
        <w:rPr>
          <w:spacing w:val="6"/>
        </w:rPr>
        <w:t> </w:t>
      </w:r>
      <w:r>
        <w:rPr/>
        <w:t>初始投资成本的确定</w:t>
      </w:r>
      <w:r>
        <w:rPr>
          <w:b w:val="0"/>
          <w:bCs w:val="0"/>
        </w:rPr>
      </w:r>
    </w:p>
    <w:p>
      <w:pPr>
        <w:pStyle w:val="Heading7"/>
        <w:spacing w:line="271" w:lineRule="auto" w:before="21"/>
        <w:ind w:right="153"/>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w:t>
      </w:r>
      <w:r>
        <w:rPr>
          <w:spacing w:val="-53"/>
        </w:rPr>
        <w:t> </w:t>
      </w:r>
      <w:r>
        <w:rPr>
          <w:spacing w:val="-53"/>
        </w:rPr>
      </w:r>
      <w:r>
        <w:rPr>
          <w:spacing w:val="-2"/>
        </w:rPr>
        <w:t>性证券作为合并对价的，在合并日按照取得被合并方所有者权益在最终控制方合并财务报表</w:t>
      </w:r>
      <w:r>
        <w:rPr>
          <w:spacing w:val="-53"/>
        </w:rPr>
        <w:t> </w:t>
      </w:r>
      <w:r>
        <w:rPr>
          <w:spacing w:val="-53"/>
        </w:rPr>
      </w:r>
      <w:r>
        <w:rPr>
          <w:spacing w:val="-2"/>
        </w:rPr>
        <w:t>中的账面价值的份额作为长期股权投资的初始投资成本。因追加投资等原因能够对同一控制</w:t>
      </w:r>
      <w:r>
        <w:rPr>
          <w:spacing w:val="-53"/>
        </w:rPr>
        <w:t> </w:t>
      </w:r>
      <w:r>
        <w:rPr>
          <w:spacing w:val="-53"/>
        </w:rPr>
      </w:r>
      <w:r>
        <w:rPr>
          <w:spacing w:val="-2"/>
        </w:rPr>
        <w:t>下的被投资单位实施控制的，在合并日根据合并后应享有被合并方净资产在最终控制方合并</w:t>
      </w:r>
      <w:r>
        <w:rPr>
          <w:spacing w:val="-54"/>
        </w:rPr>
        <w:t> </w:t>
      </w:r>
      <w:r>
        <w:rPr>
          <w:spacing w:val="-54"/>
        </w:rPr>
      </w:r>
      <w:r>
        <w:rPr>
          <w:spacing w:val="-2"/>
        </w:rPr>
        <w:t>财务报表中的账面价值的份额，确定长期股权投资的初始投资成本。合并日长期股权投资的</w:t>
      </w:r>
      <w:r>
        <w:rPr>
          <w:spacing w:val="-53"/>
        </w:rPr>
        <w:t> </w:t>
      </w:r>
      <w:r>
        <w:rPr>
          <w:spacing w:val="-53"/>
        </w:rPr>
      </w:r>
      <w:r>
        <w:rPr>
          <w:spacing w:val="-2"/>
        </w:rPr>
        <w:t>初始投资成本，与达到合并前的长期股权投资账面价值加上合并日进一步取得股份新支付对</w:t>
      </w:r>
      <w:r>
        <w:rPr>
          <w:spacing w:val="-53"/>
        </w:rPr>
        <w:t> </w:t>
      </w:r>
      <w:r>
        <w:rPr>
          <w:spacing w:val="-53"/>
        </w:rPr>
      </w:r>
      <w:r>
        <w:rPr/>
        <w:t>价的账面价值之和的差额，调整股本溢价，股本溢价不足冲减的，冲减留存收益。</w:t>
      </w:r>
      <w:r>
        <w:rPr>
          <w:w w:val="100"/>
        </w:rPr>
        <w:t> </w:t>
      </w:r>
      <w:r>
        <w:rPr>
          <w:spacing w:val="-2"/>
        </w:rPr>
        <w:t>非同一控制下的企业合并：公司按照购买日确定的合并成本作为长期股权投资的初始投资成</w:t>
      </w:r>
      <w:r>
        <w:rPr>
          <w:spacing w:val="-53"/>
        </w:rPr>
        <w:t> </w:t>
      </w:r>
      <w:r>
        <w:rPr>
          <w:spacing w:val="-53"/>
        </w:rPr>
      </w:r>
      <w:r>
        <w:rPr>
          <w:spacing w:val="-2"/>
        </w:rPr>
        <w:t>本。因追加投资等原因能够对非同一控制下的被投资单位实施控制的，按照原持有的股权投</w:t>
      </w:r>
      <w:r>
        <w:rPr>
          <w:spacing w:val="-53"/>
        </w:rPr>
        <w:t> </w:t>
      </w:r>
      <w:r>
        <w:rPr>
          <w:spacing w:val="-53"/>
        </w:rPr>
      </w:r>
      <w:r>
        <w:rPr/>
        <w:t>资账面价值加上新增投资成本之和，作为改按成本法核算的初始投资成本。</w:t>
      </w:r>
    </w:p>
    <w:p>
      <w:pPr>
        <w:pStyle w:val="Heading7"/>
        <w:spacing w:line="271" w:lineRule="auto" w:before="10"/>
        <w:ind w:right="153"/>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2"/>
        </w:rPr>
        <w:t>以发行权益性证券取得的长期股权投资，按照发行权益性证券的公允价值作为初始投资成</w:t>
      </w:r>
      <w:r>
        <w:rPr>
          <w:spacing w:val="-19"/>
        </w:rPr>
        <w:t> </w:t>
      </w:r>
      <w:r>
        <w:rPr>
          <w:spacing w:val="-19"/>
        </w:rPr>
      </w:r>
      <w:r>
        <w:rPr/>
        <w:t>本。</w:t>
      </w:r>
      <w:r>
        <w:rPr>
          <w:spacing w:val="-103"/>
        </w:rPr>
        <w:t> </w:t>
      </w:r>
      <w:r>
        <w:rPr>
          <w:spacing w:val="2"/>
        </w:rPr>
        <w:t>在非货币性资产交换具备商业实质和换入资产或换出资产的公允价值能够可靠计量的前提</w:t>
      </w:r>
      <w:r>
        <w:rPr>
          <w:spacing w:val="-19"/>
        </w:rPr>
        <w:t> </w:t>
      </w:r>
      <w:r>
        <w:rPr>
          <w:spacing w:val="-19"/>
        </w:rPr>
      </w:r>
      <w:r>
        <w:rPr>
          <w:spacing w:val="-2"/>
        </w:rPr>
        <w:t>下，非货币性资产交换换入的长期股权投资以换出资产的公允价值和应支付的相关税费确定</w:t>
      </w:r>
      <w:r>
        <w:rPr>
          <w:spacing w:val="-53"/>
        </w:rPr>
        <w:t> </w:t>
      </w:r>
      <w:r>
        <w:rPr>
          <w:spacing w:val="-53"/>
        </w:rPr>
      </w:r>
      <w:r>
        <w:rPr>
          <w:spacing w:val="-2"/>
        </w:rPr>
        <w:t>其初始投资成本，除非有确凿证据表明换入资产的公允价值更加可靠；不满足上述前提的非</w:t>
      </w:r>
      <w:r>
        <w:rPr>
          <w:spacing w:val="-53"/>
        </w:rPr>
        <w:t> </w:t>
      </w:r>
      <w:r>
        <w:rPr>
          <w:spacing w:val="-53"/>
        </w:rPr>
      </w:r>
      <w:r>
        <w:rPr>
          <w:spacing w:val="-2"/>
        </w:rPr>
        <w:t>货币性资产交换，以换出资产的账面价值和应支付的相关税费作为换入长期股权投资的初始</w:t>
      </w:r>
    </w:p>
    <w:p>
      <w:pPr>
        <w:spacing w:after="0" w:line="27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73" w:lineRule="auto" w:before="36"/>
        <w:ind w:left="1408" w:right="1229" w:firstLine="4"/>
        <w:jc w:val="left"/>
      </w:pPr>
      <w:r>
        <w:rPr/>
        <w:t>投资成本。</w:t>
      </w:r>
      <w:r>
        <w:rPr>
          <w:w w:val="100"/>
        </w:rPr>
        <w:t> </w:t>
      </w:r>
      <w:r>
        <w:rPr>
          <w:spacing w:val="-2"/>
        </w:rPr>
        <w:t>通过债务重组取得的长期股权投资，其初始投资成本按照公允价值为基础确定。</w:t>
      </w:r>
    </w:p>
    <w:p>
      <w:pPr>
        <w:spacing w:line="240" w:lineRule="auto" w:before="6"/>
        <w:rPr>
          <w:rFonts w:ascii="宋体" w:hAnsi="宋体" w:cs="宋体" w:eastAsia="宋体" w:hint="default"/>
          <w:sz w:val="24"/>
          <w:szCs w:val="24"/>
        </w:rPr>
      </w:pPr>
    </w:p>
    <w:p>
      <w:pPr>
        <w:pStyle w:val="Heading6"/>
        <w:spacing w:line="240" w:lineRule="auto"/>
        <w:ind w:left="1408" w:right="0"/>
        <w:jc w:val="left"/>
        <w:rPr>
          <w:b w:val="0"/>
          <w:bCs w:val="0"/>
        </w:rPr>
      </w:pPr>
      <w:r>
        <w:rPr>
          <w:rFonts w:ascii="Times New Roman" w:hAnsi="Times New Roman" w:cs="Times New Roman" w:eastAsia="Times New Roman" w:hint="default"/>
        </w:rPr>
        <w:t>3</w:t>
      </w:r>
      <w:r>
        <w:rPr/>
        <w:t>、</w:t>
      </w:r>
      <w:r>
        <w:rPr>
          <w:spacing w:val="4"/>
        </w:rPr>
        <w:t> </w:t>
      </w:r>
      <w:r>
        <w:rPr/>
        <w:t>后续计量及损益确认方法</w:t>
      </w:r>
      <w:r>
        <w:rPr>
          <w:b w:val="0"/>
          <w:bCs w:val="0"/>
        </w:rPr>
      </w:r>
    </w:p>
    <w:p>
      <w:pPr>
        <w:pStyle w:val="Heading7"/>
        <w:spacing w:line="266" w:lineRule="auto" w:before="21"/>
        <w:ind w:right="0"/>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w:t>
      </w:r>
      <w:r>
        <w:rPr>
          <w:spacing w:val="-52"/>
        </w:rPr>
        <w:t> </w:t>
      </w:r>
      <w:r>
        <w:rPr>
          <w:spacing w:val="-52"/>
        </w:rPr>
      </w:r>
      <w:r>
        <w:rPr>
          <w:spacing w:val="-2"/>
        </w:rPr>
        <w:t>含的已宣告但尚未发放的现金股利或利润外，公司按照享有被投资单位宣告发放的现金股利</w:t>
      </w:r>
      <w:r>
        <w:rPr>
          <w:spacing w:val="-53"/>
        </w:rPr>
        <w:t> </w:t>
      </w:r>
      <w:r>
        <w:rPr>
          <w:spacing w:val="-53"/>
        </w:rPr>
      </w:r>
      <w:r>
        <w:rPr/>
        <w:t>或利润确认当期投资收益。</w:t>
      </w:r>
    </w:p>
    <w:p>
      <w:pPr>
        <w:pStyle w:val="Heading7"/>
        <w:spacing w:line="271" w:lineRule="auto" w:before="14"/>
        <w:ind w:right="0"/>
        <w:jc w:val="left"/>
      </w:pPr>
      <w:r>
        <w:rPr/>
        <w:t>（</w:t>
      </w:r>
      <w:r>
        <w:rPr>
          <w:rFonts w:ascii="Times New Roman" w:hAnsi="Times New Roman" w:cs="Times New Roman" w:eastAsia="Times New Roman" w:hint="default"/>
        </w:rPr>
        <w:t>2</w:t>
      </w:r>
      <w:r>
        <w:rPr/>
        <w:t>）权益法核算的长期股权投资</w:t>
      </w:r>
      <w:r>
        <w:rPr>
          <w:w w:val="100"/>
        </w:rPr>
        <w:t> </w:t>
      </w:r>
      <w:r>
        <w:rPr/>
        <w:t>对联营企业和合营企业的长期股权投资，采用权益法核算。初始投资成本大于投资时应享有</w:t>
      </w:r>
      <w:r>
        <w:rPr>
          <w:w w:val="100"/>
        </w:rPr>
        <w:t> </w:t>
      </w:r>
      <w:r>
        <w:rPr/>
        <w:t>被投资单位可辨认净资产公允价值份额的差额，不调整长期股权投资的初始投资成本；初始</w:t>
      </w:r>
      <w:r>
        <w:rPr>
          <w:w w:val="100"/>
        </w:rPr>
        <w:t> </w:t>
      </w:r>
      <w:r>
        <w:rPr/>
        <w:t>投资成本小于投资时应享有被投资单位可辨认净资产公允价值份额的差额，计入当期损益。</w:t>
      </w:r>
      <w:r>
        <w:rPr>
          <w:w w:val="100"/>
        </w:rPr>
        <w:t> </w:t>
      </w:r>
      <w:r>
        <w:rPr/>
        <w:t>公司按照应享有或应分担的被投资单位实现的净损益和其他综合收益的份额，分别确认投资</w:t>
      </w:r>
      <w:r>
        <w:rPr>
          <w:w w:val="100"/>
        </w:rPr>
        <w:t> </w:t>
      </w:r>
      <w:r>
        <w:rPr/>
        <w:t>收益和其他综合收益，同时调整长期股权投资的账面价值；按照被投资单位宣告分派的利润</w:t>
      </w:r>
      <w:r>
        <w:rPr>
          <w:w w:val="100"/>
        </w:rPr>
        <w:t> </w:t>
      </w:r>
      <w:r>
        <w:rPr/>
        <w:t>或现金股利计算应享有的部分，相应减少长期股权投资的账面价值；对于被投资单位除净损</w:t>
      </w:r>
      <w:r>
        <w:rPr>
          <w:w w:val="100"/>
        </w:rPr>
        <w:t> </w:t>
      </w:r>
      <w:r>
        <w:rPr/>
        <w:t>益、其他综合收益和利润分配以外所有者权益的其他变动，调整长期股权投资的账面价值并</w:t>
      </w:r>
      <w:r>
        <w:rPr>
          <w:w w:val="100"/>
        </w:rPr>
        <w:t> </w:t>
      </w:r>
      <w:r>
        <w:rPr/>
        <w:t>计入所有者权益。</w:t>
      </w:r>
      <w:r>
        <w:rPr>
          <w:w w:val="100"/>
        </w:rPr>
        <w:t> </w:t>
      </w:r>
      <w:r>
        <w:rPr/>
        <w:t>在确认应享有被投资单位净损益的份额时，以取得投资时被投资单位可辨认净资产的公允价</w:t>
      </w:r>
      <w:r>
        <w:rPr>
          <w:w w:val="100"/>
        </w:rPr>
        <w:t> </w:t>
      </w:r>
      <w:r>
        <w:rPr/>
        <w:t>值为基础，并按照公司的会计政策及会计期间，对被投资单位的净利润进行调整后确认。在</w:t>
      </w:r>
      <w:r>
        <w:rPr>
          <w:w w:val="100"/>
        </w:rPr>
        <w:t> </w:t>
      </w:r>
      <w:r>
        <w:rPr/>
        <w:t>持有投资期间，被投资单位编制合并财务报表的，以合并财务报表中的净利润、其他综合收</w:t>
      </w:r>
      <w:r>
        <w:rPr>
          <w:w w:val="100"/>
        </w:rPr>
        <w:t> </w:t>
      </w:r>
      <w:r>
        <w:rPr/>
        <w:t>益和其他所有者权益变动中归属于被投资单位的金额为基础进行核算。</w:t>
      </w:r>
      <w:r>
        <w:rPr>
          <w:w w:val="100"/>
        </w:rPr>
        <w:t> </w:t>
      </w:r>
      <w:r>
        <w:rPr/>
        <w:t>公司与联营企业、合营企业之间发生的未实现内部交易损益按照应享有的比例计算归属于公</w:t>
      </w:r>
      <w:r>
        <w:rPr>
          <w:w w:val="100"/>
        </w:rPr>
        <w:t> </w:t>
      </w:r>
      <w:r>
        <w:rPr>
          <w:spacing w:val="-5"/>
        </w:rPr>
        <w:t>司的部分，予以抵销，在此基础上确认投资收益。与被投资单位发生的未实现内部交易损失，</w:t>
      </w:r>
      <w:r>
        <w:rPr>
          <w:spacing w:val="-32"/>
        </w:rPr>
        <w:t> </w:t>
      </w:r>
      <w:r>
        <w:rPr>
          <w:spacing w:val="-32"/>
        </w:rPr>
      </w:r>
      <w:r>
        <w:rPr/>
        <w:t>属于资产减值损失的，全额确认。公司与联营企业、合营企业之间发生投出或出售资产的交</w:t>
      </w:r>
      <w:r>
        <w:rPr>
          <w:w w:val="100"/>
        </w:rPr>
        <w:t> </w:t>
      </w:r>
      <w:r>
        <w:rPr/>
        <w:t>易，该资产构成业务的，按照本附注四（五）、（六）披露的相关政策进行会计处理。</w:t>
      </w:r>
      <w:r>
        <w:rPr>
          <w:w w:val="100"/>
        </w:rPr>
        <w:t> </w:t>
      </w:r>
      <w:r>
        <w:rPr/>
        <w:t>在公司确认应分担被投资单位发生的亏损时，按照以下顺序进行处理：首先，冲减长期股权</w:t>
      </w:r>
      <w:r>
        <w:rPr>
          <w:w w:val="100"/>
        </w:rPr>
        <w:t> </w:t>
      </w:r>
      <w:r>
        <w:rPr/>
        <w:t>投资的账面价值。其次，长期股权投资的账面价值不足以冲减的，以其他实质上构成对被投</w:t>
      </w:r>
      <w:r>
        <w:rPr>
          <w:w w:val="100"/>
        </w:rPr>
        <w:t> </w:t>
      </w:r>
      <w:r>
        <w:rPr>
          <w:spacing w:val="2"/>
        </w:rPr>
        <w:t>资单位净投资的长期权益账面价值为限继续确认投资损失，冲减长期应收项目等的账面价</w:t>
      </w:r>
      <w:r>
        <w:rPr>
          <w:spacing w:val="-19"/>
        </w:rPr>
        <w:t> </w:t>
      </w:r>
      <w:r>
        <w:rPr>
          <w:spacing w:val="-19"/>
        </w:rPr>
      </w:r>
      <w:r>
        <w:rPr/>
        <w:t>值。最后，经过上述处理，按照投资合同或协议约定企业仍承担额外义务的，按预计承担的</w:t>
      </w:r>
      <w:r>
        <w:rPr>
          <w:w w:val="100"/>
        </w:rPr>
        <w:t> </w:t>
      </w:r>
      <w:r>
        <w:rPr/>
        <w:t>义务确认预计负债，计入当期投资损失。</w:t>
      </w:r>
    </w:p>
    <w:p>
      <w:pPr>
        <w:pStyle w:val="Heading7"/>
        <w:spacing w:line="271" w:lineRule="auto" w:before="10"/>
        <w:ind w:right="0"/>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w:t>
      </w:r>
      <w:r>
        <w:rPr>
          <w:spacing w:val="-55"/>
        </w:rPr>
        <w:t> </w:t>
      </w:r>
      <w:r>
        <w:rPr>
          <w:spacing w:val="-55"/>
        </w:rPr>
      </w:r>
      <w:r>
        <w:rPr>
          <w:spacing w:val="-2"/>
        </w:rPr>
        <w:t>或负债相同的基础，按相应比例对原计入其他综合收益的部分进行会计处理。因被投资单位</w:t>
      </w:r>
      <w:r>
        <w:rPr>
          <w:spacing w:val="-53"/>
        </w:rPr>
        <w:t> </w:t>
      </w:r>
      <w:r>
        <w:rPr>
          <w:spacing w:val="-53"/>
        </w:rPr>
      </w:r>
      <w:r>
        <w:rPr>
          <w:spacing w:val="-2"/>
        </w:rPr>
        <w:t>除净损益、其他综合收益和利润分配以外的其他所有者权益变动而确认的所有者权益，按比</w:t>
      </w:r>
      <w:r>
        <w:rPr>
          <w:spacing w:val="-52"/>
        </w:rPr>
        <w:t> </w:t>
      </w:r>
      <w:r>
        <w:rPr>
          <w:spacing w:val="-52"/>
        </w:rPr>
      </w:r>
      <w:r>
        <w:rPr>
          <w:spacing w:val="-2"/>
        </w:rPr>
        <w:t>例结转入当期损益，由于被投资方重新计量设定受益计划净负债或净资产变动而产生的其他</w:t>
      </w:r>
      <w:r>
        <w:rPr>
          <w:spacing w:val="-53"/>
        </w:rPr>
        <w:t> </w:t>
      </w:r>
      <w:r>
        <w:rPr>
          <w:spacing w:val="-53"/>
        </w:rPr>
      </w:r>
      <w:r>
        <w:rPr/>
        <w:t>综合收益除外。</w:t>
      </w:r>
      <w:r>
        <w:rPr>
          <w:spacing w:val="-103"/>
        </w:rPr>
        <w:t> </w:t>
      </w:r>
      <w:r>
        <w:rPr>
          <w:spacing w:val="-103"/>
        </w:rPr>
      </w:r>
      <w:r>
        <w:rPr>
          <w:spacing w:val="-2"/>
        </w:rPr>
        <w:t>因处置部分股权投资等原因丧失了对被投资单位的共同控制或重大影响的，处置后的剩余股</w:t>
      </w:r>
      <w:r>
        <w:rPr>
          <w:spacing w:val="-53"/>
        </w:rPr>
        <w:t> </w:t>
      </w:r>
      <w:r>
        <w:rPr>
          <w:spacing w:val="-53"/>
        </w:rPr>
      </w:r>
      <w:r>
        <w:rPr>
          <w:spacing w:val="-2"/>
        </w:rPr>
        <w:t>权改按金融工具确认和计量准则核算，其在丧失共同控制或重大影响之日的公允价值与账面</w:t>
      </w:r>
      <w:r>
        <w:rPr>
          <w:spacing w:val="-53"/>
        </w:rPr>
        <w:t> </w:t>
      </w:r>
      <w:r>
        <w:rPr>
          <w:spacing w:val="-53"/>
        </w:rPr>
      </w:r>
      <w:r>
        <w:rPr>
          <w:spacing w:val="-2"/>
        </w:rPr>
        <w:t>价值之间的差额计入当期损益。原股权投资因采用权益法核算而确认的其他综合收益，在终</w:t>
      </w:r>
      <w:r>
        <w:rPr>
          <w:spacing w:val="-52"/>
        </w:rPr>
        <w:t> </w:t>
      </w:r>
      <w:r>
        <w:rPr>
          <w:spacing w:val="-52"/>
        </w:rPr>
      </w:r>
      <w:r>
        <w:rPr>
          <w:spacing w:val="-2"/>
        </w:rPr>
        <w:t>止采用权益法核算时采用与被投资单位直接处置相关资产或负债相同的基础进行会计处理。</w:t>
      </w:r>
      <w:r>
        <w:rPr>
          <w:spacing w:val="-31"/>
        </w:rPr>
        <w:t> </w:t>
      </w:r>
      <w:r>
        <w:rPr>
          <w:spacing w:val="-31"/>
        </w:rPr>
      </w:r>
      <w:r>
        <w:rPr>
          <w:spacing w:val="-2"/>
        </w:rPr>
        <w:t>因被投资方除净损益、其他综合收益和利润分配以外的其他所有者权益变动而确认的所有者</w:t>
      </w:r>
      <w:r>
        <w:rPr>
          <w:spacing w:val="-53"/>
        </w:rPr>
        <w:t> </w:t>
      </w:r>
      <w:r>
        <w:rPr>
          <w:spacing w:val="-53"/>
        </w:rPr>
      </w:r>
      <w:r>
        <w:rPr/>
        <w:t>权益，在终止采用权益法核算时全部转入当期损益。</w:t>
      </w:r>
      <w:r>
        <w:rPr>
          <w:w w:val="100"/>
        </w:rPr>
        <w:t> </w:t>
      </w:r>
      <w:r>
        <w:rPr>
          <w:spacing w:val="-2"/>
        </w:rPr>
        <w:t>因处置部分股权投资等原因丧失了对被投资单位控制权的，在编制个别财务报表时，处置后</w:t>
      </w:r>
    </w:p>
    <w:p>
      <w:pPr>
        <w:spacing w:after="0" w:line="271"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7"/>
        <w:spacing w:line="273" w:lineRule="auto" w:before="36"/>
        <w:ind w:right="94"/>
        <w:jc w:val="left"/>
      </w:pPr>
      <w:r>
        <w:rPr>
          <w:spacing w:val="-2"/>
        </w:rPr>
        <w:t>的剩余股权能够对被投资单位实施共同控制或重大影响的，改按权益法核算，并对该剩余股</w:t>
      </w:r>
      <w:r>
        <w:rPr>
          <w:spacing w:val="-54"/>
        </w:rPr>
        <w:t> </w:t>
      </w:r>
      <w:r>
        <w:rPr>
          <w:spacing w:val="-54"/>
        </w:rPr>
      </w:r>
      <w:r>
        <w:rPr>
          <w:spacing w:val="-2"/>
        </w:rPr>
        <w:t>权视同自取得时即采用权益法核算进行调整；处置后的剩余股权不能对被投资单位实施共同</w:t>
      </w:r>
      <w:r>
        <w:rPr>
          <w:spacing w:val="-53"/>
        </w:rPr>
        <w:t> </w:t>
      </w:r>
      <w:r>
        <w:rPr>
          <w:spacing w:val="-53"/>
        </w:rPr>
      </w:r>
      <w:r>
        <w:rPr>
          <w:spacing w:val="-2"/>
        </w:rPr>
        <w:t>控制或施加重大影响的，改按金融工具确认和计量准则的有关规定进行会计处理，其在丧失</w:t>
      </w:r>
      <w:r>
        <w:rPr>
          <w:spacing w:val="-53"/>
        </w:rPr>
        <w:t> </w:t>
      </w:r>
      <w:r>
        <w:rPr>
          <w:spacing w:val="-53"/>
        </w:rPr>
      </w:r>
      <w:r>
        <w:rPr/>
        <w:t>控制之日的公允价值与账面价值间的差额计入当期损益。</w:t>
      </w:r>
      <w:r>
        <w:rPr>
          <w:w w:val="100"/>
        </w:rPr>
        <w:t> </w:t>
      </w:r>
      <w:r>
        <w:rPr>
          <w:spacing w:val="-2"/>
        </w:rPr>
        <w:t>处置的股权是因追加投资等原因通过企业合并取得的，在编制个别财务报表时，处置后的剩</w:t>
      </w:r>
      <w:r>
        <w:rPr>
          <w:spacing w:val="-54"/>
        </w:rPr>
        <w:t> </w:t>
      </w:r>
      <w:r>
        <w:rPr>
          <w:spacing w:val="-54"/>
        </w:rPr>
      </w:r>
      <w:r>
        <w:rPr>
          <w:spacing w:val="-2"/>
        </w:rPr>
        <w:t>余股权采用成本法或权益法核算的，购买日之前持有的股权投资因采用权益法核算而确认的</w:t>
      </w:r>
      <w:r>
        <w:rPr>
          <w:spacing w:val="-53"/>
        </w:rPr>
        <w:t> </w:t>
      </w:r>
      <w:r>
        <w:rPr>
          <w:spacing w:val="-53"/>
        </w:rPr>
      </w:r>
      <w:r>
        <w:rPr>
          <w:spacing w:val="-2"/>
        </w:rPr>
        <w:t>其他综合收益和其他所有者权益按比例结转；处置后的剩余股权改按金融工具确认和计量准</w:t>
      </w:r>
      <w:r>
        <w:rPr>
          <w:spacing w:val="-53"/>
        </w:rPr>
        <w:t> </w:t>
      </w:r>
      <w:r>
        <w:rPr>
          <w:spacing w:val="-53"/>
        </w:rPr>
      </w:r>
      <w:r>
        <w:rPr/>
        <w:t>则进行会计处理的，其他综合收益和其他所有者权益全部结转。</w:t>
      </w:r>
    </w:p>
    <w:p>
      <w:pPr>
        <w:spacing w:line="240" w:lineRule="auto" w:before="7"/>
        <w:rPr>
          <w:rFonts w:ascii="宋体" w:hAnsi="宋体" w:cs="宋体" w:eastAsia="宋体" w:hint="default"/>
          <w:sz w:val="23"/>
          <w:szCs w:val="23"/>
        </w:rPr>
      </w:pPr>
    </w:p>
    <w:p>
      <w:pPr>
        <w:pStyle w:val="Heading6"/>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6"/>
        <w:spacing w:line="240" w:lineRule="auto"/>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6"/>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2.25%</w:t>
            </w:r>
          </w:p>
        </w:tc>
      </w:tr>
    </w:tbl>
    <w:p>
      <w:pPr>
        <w:spacing w:line="240" w:lineRule="auto" w:before="3"/>
        <w:rPr>
          <w:rFonts w:ascii="宋体" w:hAnsi="宋体" w:cs="宋体" w:eastAsia="宋体" w:hint="default"/>
          <w:b/>
          <w:bCs/>
          <w:sz w:val="19"/>
          <w:szCs w:val="19"/>
        </w:rPr>
      </w:pPr>
    </w:p>
    <w:p>
      <w:pPr>
        <w:pStyle w:val="Heading6"/>
        <w:spacing w:line="240" w:lineRule="auto" w:before="36"/>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right="94"/>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6"/>
        <w:rPr>
          <w:rFonts w:ascii="宋体" w:hAnsi="宋体" w:cs="宋体" w:eastAsia="宋体" w:hint="default"/>
          <w:sz w:val="23"/>
          <w:szCs w:val="23"/>
        </w:rPr>
      </w:pPr>
    </w:p>
    <w:p>
      <w:pPr>
        <w:pStyle w:val="Heading6"/>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7"/>
        <w:spacing w:line="273" w:lineRule="auto"/>
        <w:ind w:left="513" w:right="187"/>
        <w:jc w:val="both"/>
      </w:pPr>
      <w:r>
        <w:rPr>
          <w:spacing w:val="-1"/>
        </w:rPr>
        <w:t>在建工程项目按建造该项资产达到预定可使用状态前所发生的全部支出，作为固定资产的入账价值。</w:t>
      </w:r>
      <w:r>
        <w:rPr>
          <w:spacing w:val="-21"/>
        </w:rPr>
        <w:t> </w:t>
      </w:r>
      <w:r>
        <w:rPr>
          <w:spacing w:val="-21"/>
        </w:rPr>
      </w:r>
      <w:r>
        <w:rPr>
          <w:spacing w:val="-1"/>
        </w:rPr>
        <w:t>所建造的固定资产在建工程已达到预定可使用状态，但尚未办理竣工决算的，自达到预定可使用状态</w:t>
      </w:r>
      <w:r>
        <w:rPr>
          <w:spacing w:val="-21"/>
        </w:rPr>
        <w:t> </w:t>
      </w:r>
      <w:r>
        <w:rPr>
          <w:spacing w:val="-21"/>
        </w:rPr>
      </w:r>
      <w:r>
        <w:rPr>
          <w:spacing w:val="-1"/>
        </w:rPr>
        <w:t>之日起，根据工程预算、造价或者工程实际成本等，按估计的价值转入固定资产，并按本公司固定资</w:t>
      </w:r>
      <w:r>
        <w:rPr>
          <w:spacing w:val="-21"/>
        </w:rPr>
        <w:t> </w:t>
      </w:r>
      <w:r>
        <w:rPr>
          <w:spacing w:val="-21"/>
        </w:rPr>
      </w:r>
      <w:r>
        <w:rPr>
          <w:spacing w:val="-1"/>
        </w:rPr>
        <w:t>产折旧政策计提固定资产的折旧，待办理竣工决算后，再按实际成本调整原来的暂估价值，但不调整</w:t>
      </w:r>
    </w:p>
    <w:p>
      <w:pPr>
        <w:spacing w:after="0" w:line="273"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7"/>
        <w:spacing w:line="240" w:lineRule="auto" w:before="36"/>
        <w:ind w:left="513" w:right="0"/>
        <w:jc w:val="left"/>
      </w:pPr>
      <w:r>
        <w:rPr/>
        <w:t>原已计提的折旧额。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7"/>
        <w:spacing w:line="271" w:lineRule="auto"/>
        <w:ind w:right="0" w:hanging="5"/>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w:t>
      </w:r>
      <w:r>
        <w:rPr>
          <w:w w:val="100"/>
        </w:rPr>
        <w:t> </w:t>
      </w:r>
      <w:r>
        <w:rPr/>
        <w:t>额等。</w:t>
      </w:r>
      <w:r>
        <w:rPr>
          <w:w w:val="100"/>
        </w:rPr>
        <w:t> </w:t>
      </w:r>
      <w:r>
        <w:rPr>
          <w:spacing w:val="-5"/>
        </w:rPr>
        <w:t>公司发生的借款费用，可直接归属于符合资本化条件的资产的购建或者生产的，予以资本化，</w:t>
      </w:r>
      <w:r>
        <w:rPr>
          <w:spacing w:val="-37"/>
        </w:rPr>
        <w:t> </w:t>
      </w:r>
      <w:r>
        <w:rPr>
          <w:spacing w:val="-37"/>
        </w:rPr>
      </w:r>
      <w:r>
        <w:rPr/>
        <w:t>计入相关资产成本；其他借款费用，在发生时根据其发生额确认为费用，计入当期损益。</w:t>
      </w:r>
      <w:r>
        <w:rPr>
          <w:w w:val="100"/>
        </w:rPr>
        <w:t> </w:t>
      </w:r>
      <w:r>
        <w:rPr/>
        <w:t>符合资本化条件的资产，是指需要经过相当长时间的购建或者生产活动才能达到预定可使用</w:t>
      </w:r>
      <w:r>
        <w:rPr>
          <w:w w:val="100"/>
        </w:rPr>
        <w:t> </w:t>
      </w:r>
      <w:r>
        <w:rPr/>
        <w:t>或者可销售状态的固定资产、投资性房地产和存货等资产。</w:t>
      </w:r>
      <w:r>
        <w:rPr>
          <w:w w:val="100"/>
        </w:rPr>
        <w:t> </w:t>
      </w:r>
      <w:r>
        <w:rPr/>
        <w:t>借款费用同时满足下列条件时开始资本化：</w:t>
      </w:r>
    </w:p>
    <w:p>
      <w:pPr>
        <w:pStyle w:val="Heading7"/>
        <w:spacing w:line="256" w:lineRule="auto" w:before="10"/>
        <w:ind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28"/>
        </w:rPr>
        <w:t> </w:t>
      </w:r>
      <w:r>
        <w:rPr>
          <w:spacing w:val="-28"/>
        </w:rPr>
      </w:r>
      <w:r>
        <w:rPr/>
        <w:t>金、转移非现金资产或者承担带息债务形式发生的支出；</w:t>
      </w:r>
    </w:p>
    <w:p>
      <w:pPr>
        <w:pStyle w:val="Heading7"/>
        <w:spacing w:line="240" w:lineRule="auto" w:before="22"/>
        <w:ind w:right="0"/>
        <w:jc w:val="left"/>
      </w:pPr>
      <w:r>
        <w:rPr/>
        <w:t>（</w:t>
      </w:r>
      <w:r>
        <w:rPr>
          <w:rFonts w:ascii="Times New Roman" w:hAnsi="Times New Roman" w:cs="Times New Roman" w:eastAsia="Times New Roman" w:hint="default"/>
        </w:rPr>
        <w:t>2</w:t>
      </w:r>
      <w:r>
        <w:rPr/>
        <w:t>）借款费用已经发生；</w:t>
      </w:r>
    </w:p>
    <w:p>
      <w:pPr>
        <w:pStyle w:val="Heading7"/>
        <w:spacing w:line="240" w:lineRule="auto" w:before="21"/>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7"/>
        <w:spacing w:line="271" w:lineRule="auto"/>
        <w:ind w:right="0" w:hanging="5"/>
        <w:jc w:val="left"/>
      </w:pPr>
      <w:r>
        <w:rPr>
          <w:rFonts w:ascii="Times New Roman" w:hAnsi="Times New Roman" w:cs="Times New Roman" w:eastAsia="Times New Roman" w:hint="default"/>
          <w:b/>
          <w:bCs/>
        </w:rPr>
        <w:t>2</w:t>
      </w:r>
      <w:r>
        <w:rPr>
          <w:rFonts w:ascii="宋体" w:hAnsi="宋体" w:cs="宋体" w:eastAsia="宋体" w:hint="default"/>
          <w:b/>
          <w:bCs/>
        </w:rPr>
        <w:t>、 借款费用资本化期间</w:t>
      </w:r>
      <w:r>
        <w:rPr>
          <w:rFonts w:ascii="宋体" w:hAnsi="宋体" w:cs="宋体" w:eastAsia="宋体" w:hint="default"/>
          <w:b/>
          <w:bCs/>
          <w:spacing w:val="-100"/>
        </w:rPr>
        <w:t> </w:t>
      </w:r>
      <w:r>
        <w:rPr>
          <w:rFonts w:ascii="宋体" w:hAnsi="宋体" w:cs="宋体" w:eastAsia="宋体" w:hint="default"/>
          <w:b/>
          <w:bCs/>
          <w:spacing w:val="-100"/>
        </w:rPr>
      </w:r>
      <w:r>
        <w:rPr>
          <w:spacing w:val="-2"/>
        </w:rPr>
        <w:t>资本化期间，指从借款费用开始资本化时点到停止资本化时点的期间，借款费用暂停资本化</w:t>
      </w:r>
      <w:r>
        <w:rPr>
          <w:spacing w:val="-58"/>
        </w:rPr>
        <w:t> </w:t>
      </w:r>
      <w:r>
        <w:rPr>
          <w:spacing w:val="-58"/>
        </w:rPr>
      </w:r>
      <w:r>
        <w:rPr/>
        <w:t>的期间不包括在内。</w:t>
      </w:r>
      <w:r>
        <w:rPr>
          <w:w w:val="100"/>
        </w:rPr>
        <w:t> </w:t>
      </w:r>
      <w:r>
        <w:rPr>
          <w:spacing w:val="-2"/>
        </w:rPr>
        <w:t>当购建或者生产符合资本化条件的资产达到预定可使用或者可销售状态时，借款费用停止资</w:t>
      </w:r>
      <w:r>
        <w:rPr>
          <w:spacing w:val="-58"/>
        </w:rPr>
        <w:t> </w:t>
      </w:r>
      <w:r>
        <w:rPr>
          <w:spacing w:val="-58"/>
        </w:rPr>
      </w:r>
      <w:r>
        <w:rPr/>
        <w:t>本化。</w:t>
      </w:r>
      <w:r>
        <w:rPr>
          <w:w w:val="100"/>
        </w:rPr>
        <w:t> </w:t>
      </w:r>
      <w:r>
        <w:rPr>
          <w:spacing w:val="-2"/>
        </w:rPr>
        <w:t>当购建或者生产符合资本化条件的资产中部分项目分别完工且可单独使用时，该部分资产借</w:t>
      </w:r>
      <w:r>
        <w:rPr>
          <w:spacing w:val="-58"/>
        </w:rPr>
        <w:t> </w:t>
      </w:r>
      <w:r>
        <w:rPr>
          <w:spacing w:val="-58"/>
        </w:rPr>
      </w:r>
      <w:r>
        <w:rPr/>
        <w:t>款费用停止资本化。</w:t>
      </w:r>
      <w:r>
        <w:rPr>
          <w:w w:val="100"/>
        </w:rPr>
        <w:t> </w:t>
      </w:r>
      <w:r>
        <w:rPr>
          <w:spacing w:val="-2"/>
        </w:rPr>
        <w:t>购建或者生产的资产的各部分分别完工，但必须等到整体完工后才可使用或可对外销售的，</w:t>
      </w:r>
      <w:r>
        <w:rPr>
          <w:spacing w:val="-36"/>
        </w:rPr>
        <w:t> </w:t>
      </w:r>
      <w:r>
        <w:rPr>
          <w:spacing w:val="-36"/>
        </w:rPr>
      </w:r>
      <w:r>
        <w:rPr/>
        <w:t>在该资产整体完工时停止借款费用资本化。</w:t>
      </w:r>
    </w:p>
    <w:p>
      <w:pPr>
        <w:spacing w:line="240" w:lineRule="auto" w:before="8"/>
        <w:rPr>
          <w:rFonts w:ascii="宋体" w:hAnsi="宋体" w:cs="宋体" w:eastAsia="宋体" w:hint="default"/>
          <w:sz w:val="24"/>
          <w:szCs w:val="24"/>
        </w:rPr>
      </w:pPr>
    </w:p>
    <w:p>
      <w:pPr>
        <w:pStyle w:val="Heading7"/>
        <w:spacing w:line="264" w:lineRule="auto"/>
        <w:ind w:right="0" w:hanging="5"/>
        <w:jc w:val="left"/>
      </w:pPr>
      <w:r>
        <w:rPr>
          <w:rFonts w:ascii="Times New Roman" w:hAnsi="Times New Roman" w:cs="Times New Roman" w:eastAsia="Times New Roman" w:hint="default"/>
          <w:b/>
          <w:bCs/>
        </w:rPr>
        <w:t>3</w:t>
      </w:r>
      <w:r>
        <w:rPr>
          <w:rFonts w:ascii="宋体" w:hAnsi="宋体" w:cs="宋体" w:eastAsia="宋体" w:hint="default"/>
          <w:b/>
          <w:bCs/>
        </w:rPr>
        <w:t>、 暂停资本化期间</w:t>
      </w:r>
      <w:r>
        <w:rPr>
          <w:rFonts w:ascii="宋体" w:hAnsi="宋体" w:cs="宋体" w:eastAsia="宋体" w:hint="default"/>
          <w:b/>
          <w:bCs/>
          <w:spacing w:val="-101"/>
        </w:rPr>
        <w:t> </w:t>
      </w:r>
      <w:r>
        <w:rPr>
          <w:rFonts w:ascii="宋体" w:hAnsi="宋体" w:cs="宋体" w:eastAsia="宋体" w:hint="default"/>
          <w:b/>
          <w:bCs/>
          <w:spacing w:val="-101"/>
        </w:rPr>
      </w: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spacing w:val="-28"/>
        </w:rPr>
        <w:t> </w:t>
      </w:r>
      <w:r>
        <w:rPr>
          <w:spacing w:val="-2"/>
        </w:rPr>
        <w:t>的，则借款费用暂停资本化；该项中断如是所购建或生产的符合资本化条件的资产达到预定</w:t>
      </w:r>
      <w:r>
        <w:rPr>
          <w:spacing w:val="-59"/>
        </w:rPr>
        <w:t> </w:t>
      </w:r>
      <w:r>
        <w:rPr>
          <w:spacing w:val="-59"/>
        </w:rPr>
      </w:r>
      <w:r>
        <w:rPr>
          <w:spacing w:val="-2"/>
        </w:rPr>
        <w:t>可使用状态或者可销售状态必要的程序，则借款费用继续资本化。在中断期间发生的借款费</w:t>
      </w:r>
      <w:r>
        <w:rPr>
          <w:spacing w:val="-57"/>
        </w:rPr>
        <w:t> </w:t>
      </w:r>
      <w:r>
        <w:rPr>
          <w:spacing w:val="-57"/>
        </w:rPr>
      </w:r>
      <w:r>
        <w:rPr/>
        <w:t>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Heading7"/>
        <w:spacing w:line="271" w:lineRule="auto"/>
        <w:ind w:right="0" w:hanging="5"/>
        <w:jc w:val="left"/>
      </w:pPr>
      <w:r>
        <w:rPr>
          <w:rFonts w:ascii="Times New Roman" w:hAnsi="Times New Roman" w:cs="Times New Roman" w:eastAsia="Times New Roman" w:hint="default"/>
          <w:b/>
          <w:bCs/>
        </w:rPr>
        <w:t>4</w:t>
      </w:r>
      <w:r>
        <w:rPr>
          <w:rFonts w:ascii="宋体" w:hAnsi="宋体" w:cs="宋体" w:eastAsia="宋体" w:hint="default"/>
          <w:b/>
          <w:bCs/>
        </w:rPr>
        <w:t>、 借款费用资本化率、资本化金额的计算方法</w:t>
      </w:r>
      <w:r>
        <w:rPr>
          <w:rFonts w:ascii="宋体" w:hAnsi="宋体" w:cs="宋体" w:eastAsia="宋体" w:hint="default"/>
          <w:b/>
          <w:bCs/>
          <w:spacing w:val="-102"/>
        </w:rPr>
        <w:t> </w:t>
      </w:r>
      <w:r>
        <w:rPr>
          <w:rFonts w:ascii="宋体" w:hAnsi="宋体" w:cs="宋体" w:eastAsia="宋体" w:hint="default"/>
          <w:b/>
          <w:bCs/>
          <w:spacing w:val="-102"/>
        </w:rPr>
      </w:r>
      <w:r>
        <w:rPr>
          <w:spacing w:val="-2"/>
        </w:rPr>
        <w:t>对于为购建或者生产符合资本化条件的资产而借入的专门借款，以专门借款当期实际发生的</w:t>
      </w:r>
      <w:r>
        <w:rPr>
          <w:spacing w:val="-58"/>
        </w:rPr>
        <w:t> </w:t>
      </w:r>
      <w:r>
        <w:rPr>
          <w:spacing w:val="-58"/>
        </w:rPr>
      </w:r>
      <w:r>
        <w:rPr>
          <w:spacing w:val="-2"/>
        </w:rPr>
        <w:t>借款费用，减去尚未动用的借款资金存入银行取得的利息收入或进行暂时性投资取得的投资</w:t>
      </w:r>
      <w:r>
        <w:rPr>
          <w:spacing w:val="-59"/>
        </w:rPr>
        <w:t> </w:t>
      </w:r>
      <w:r>
        <w:rPr>
          <w:spacing w:val="-59"/>
        </w:rPr>
      </w:r>
      <w:r>
        <w:rPr/>
        <w:t>收益后的金额，来确定借款费用的资本化金额。</w:t>
      </w:r>
      <w:r>
        <w:rPr>
          <w:w w:val="100"/>
        </w:rPr>
        <w:t> </w:t>
      </w:r>
      <w:r>
        <w:rPr>
          <w:spacing w:val="-2"/>
        </w:rPr>
        <w:t>对于为购建或者生产符合资本化条件的资产而占用的一般借款，根据累计资产支出超过专门</w:t>
      </w:r>
      <w:r>
        <w:rPr>
          <w:spacing w:val="-58"/>
        </w:rPr>
        <w:t> </w:t>
      </w:r>
      <w:r>
        <w:rPr>
          <w:spacing w:val="-58"/>
        </w:rPr>
      </w:r>
      <w:r>
        <w:rPr>
          <w:spacing w:val="-2"/>
        </w:rPr>
        <w:t>借款部分的资产支出加权平均数乘以所占用一般借款的资本化率，计算确定一般借款应予资</w:t>
      </w:r>
      <w:r>
        <w:rPr>
          <w:spacing w:val="-58"/>
        </w:rPr>
        <w:t> </w:t>
      </w:r>
      <w:r>
        <w:rPr>
          <w:spacing w:val="-58"/>
        </w:rPr>
      </w:r>
      <w:r>
        <w:rPr/>
        <w:t>本化的借款费用金额。资本化率根据一般借款加权平均利率计算确定。</w:t>
      </w:r>
      <w:r>
        <w:rPr>
          <w:w w:val="100"/>
        </w:rPr>
        <w:t> </w:t>
      </w:r>
      <w:r>
        <w:rPr>
          <w:spacing w:val="-2"/>
        </w:rPr>
        <w:t>借款存在折价或者溢价的，按照实际利率法确定每一会计期间应摊销的折价或者溢价金额，</w:t>
      </w:r>
      <w:r>
        <w:rPr>
          <w:spacing w:val="-36"/>
        </w:rPr>
        <w:t> </w:t>
      </w:r>
      <w:r>
        <w:rPr>
          <w:spacing w:val="-36"/>
        </w:rPr>
      </w:r>
      <w:r>
        <w:rPr/>
        <w:t>调整每期利息金额。</w:t>
      </w:r>
    </w:p>
    <w:p>
      <w:pPr>
        <w:spacing w:after="0" w:line="271"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408" w:right="0"/>
        <w:jc w:val="left"/>
        <w:rPr>
          <w:b w:val="0"/>
          <w:bCs w:val="0"/>
        </w:rPr>
      </w:pPr>
      <w:r>
        <w:rPr>
          <w:rFonts w:ascii="Times New Roman" w:hAnsi="Times New Roman" w:cs="Times New Roman" w:eastAsia="Times New Roman" w:hint="default"/>
        </w:rPr>
        <w:t>1</w:t>
      </w:r>
      <w:r>
        <w:rPr/>
        <w:t>、</w:t>
      </w:r>
      <w:r>
        <w:rPr>
          <w:spacing w:val="6"/>
        </w:rPr>
        <w:t> </w:t>
      </w:r>
      <w:r>
        <w:rPr/>
        <w:t>无形资产的计价方法</w:t>
      </w:r>
      <w:r>
        <w:rPr>
          <w:b w:val="0"/>
          <w:bCs w:val="0"/>
        </w:rPr>
      </w:r>
    </w:p>
    <w:p>
      <w:pPr>
        <w:pStyle w:val="Heading7"/>
        <w:spacing w:line="271" w:lineRule="auto" w:before="21"/>
        <w:ind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t>外购无形资产的成本，包括购买价款、相关税费以及直接归属于使该项资产达到预定用途所</w:t>
      </w:r>
      <w:r>
        <w:rPr>
          <w:w w:val="100"/>
        </w:rPr>
        <w:t> </w:t>
      </w:r>
      <w:r>
        <w:rPr>
          <w:spacing w:val="-5"/>
        </w:rPr>
        <w:t>发生的其他支出。购买无形资产的价款超过正常信用条件延期支付，实质上具有融资性质的，</w:t>
      </w:r>
      <w:r>
        <w:rPr>
          <w:spacing w:val="-35"/>
        </w:rPr>
        <w:t> </w:t>
      </w:r>
      <w:r>
        <w:rPr>
          <w:spacing w:val="-35"/>
        </w:rPr>
      </w:r>
      <w:r>
        <w:rPr/>
        <w:t>无形资产的成本以购买价款的现值为基础确定。</w:t>
      </w:r>
      <w:r>
        <w:rPr>
          <w:w w:val="100"/>
        </w:rPr>
        <w:t> </w:t>
      </w:r>
      <w:r>
        <w:rPr>
          <w:spacing w:val="2"/>
        </w:rPr>
        <w:t>债务重组取得债务人用以抵债的无形资产，以该无形资产的公允价值为基础确定其入账价</w:t>
      </w:r>
      <w:r>
        <w:rPr>
          <w:spacing w:val="-19"/>
        </w:rPr>
        <w:t> </w:t>
      </w:r>
      <w:r>
        <w:rPr>
          <w:spacing w:val="-19"/>
        </w:rPr>
      </w:r>
      <w:r>
        <w:rPr>
          <w:spacing w:val="-5"/>
        </w:rPr>
        <w:t>值，并将重组债务的账面价值与该用以抵债的无形资产公允价值之间的差额，计入当期损益。</w:t>
      </w:r>
      <w:r>
        <w:rPr>
          <w:spacing w:val="-36"/>
        </w:rPr>
        <w:t> </w:t>
      </w:r>
      <w:r>
        <w:rPr>
          <w:spacing w:val="-36"/>
        </w:rPr>
      </w:r>
      <w:r>
        <w:rPr>
          <w:spacing w:val="2"/>
        </w:rPr>
        <w:t>在非货币性资产交换具备商业实质且换入资产或换出资产的公允价值能够可靠计量的前提</w:t>
      </w:r>
      <w:r>
        <w:rPr>
          <w:spacing w:val="-19"/>
        </w:rPr>
        <w:t> </w:t>
      </w:r>
      <w:r>
        <w:rPr>
          <w:spacing w:val="-19"/>
        </w:rPr>
      </w:r>
      <w:r>
        <w:rPr/>
        <w:t>下，非货币性资产交换换入的无形资产以换出资产的公允价值为基础确定其入账价值，除非</w:t>
      </w:r>
      <w:r>
        <w:rPr>
          <w:w w:val="100"/>
        </w:rPr>
        <w:t> </w:t>
      </w:r>
      <w:r>
        <w:rPr/>
        <w:t>有确凿证据表明换入资产的公允价值更加可靠；不满足上述前提的非货币性资产交换，以换</w:t>
      </w:r>
      <w:r>
        <w:rPr>
          <w:w w:val="100"/>
        </w:rPr>
        <w:t> </w:t>
      </w:r>
      <w:r>
        <w:rPr/>
        <w:t>出资产的账面价值和应支付的相关税费作为换入无形资产的成本，不确认损益。</w:t>
      </w:r>
    </w:p>
    <w:p>
      <w:pPr>
        <w:pStyle w:val="Heading7"/>
        <w:spacing w:line="256" w:lineRule="auto" w:before="10"/>
        <w:ind w:right="371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Heading7"/>
        <w:spacing w:line="273" w:lineRule="auto" w:before="22"/>
        <w:ind w:right="0"/>
        <w:jc w:val="left"/>
      </w:pPr>
      <w:r>
        <w:rPr>
          <w:spacing w:val="-2"/>
        </w:rPr>
        <w:t>对于使用寿命有限的无形资产，在为企业带来经济利益的期限内按直线法摊销；无法预见无</w:t>
      </w:r>
      <w:r>
        <w:rPr>
          <w:spacing w:val="-53"/>
        </w:rPr>
        <w:t> </w:t>
      </w:r>
      <w:r>
        <w:rPr>
          <w:spacing w:val="-53"/>
        </w:rPr>
      </w:r>
      <w:r>
        <w:rPr/>
        <w:t>形资产为企业带来经济利益期限的，视为使用寿命不确定的无形资产，不予摊销。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6"/>
        <w:spacing w:line="240" w:lineRule="auto"/>
        <w:ind w:left="1408" w:right="0"/>
        <w:jc w:val="left"/>
        <w:rPr>
          <w:b w:val="0"/>
          <w:bCs w:val="0"/>
        </w:rPr>
      </w:pPr>
      <w:r>
        <w:rPr>
          <w:rFonts w:ascii="Times New Roman" w:hAnsi="Times New Roman" w:cs="Times New Roman" w:eastAsia="Times New Roman" w:hint="default"/>
        </w:rPr>
        <w:t>2</w:t>
      </w:r>
      <w:r>
        <w:rPr/>
        <w:t>、</w:t>
      </w:r>
      <w:r>
        <w:rPr>
          <w:spacing w:val="1"/>
        </w:rPr>
        <w:t> </w:t>
      </w:r>
      <w:r>
        <w:rPr/>
        <w:t>使用寿命有限的无形资产的使用寿命估计情况：</w:t>
      </w:r>
      <w:r>
        <w:rPr>
          <w:b w:val="0"/>
          <w:bCs w:val="0"/>
        </w:rPr>
      </w:r>
    </w:p>
    <w:p>
      <w:pPr>
        <w:spacing w:line="240" w:lineRule="auto" w:before="8"/>
        <w:rPr>
          <w:rFonts w:ascii="宋体" w:hAnsi="宋体" w:cs="宋体" w:eastAsia="宋体" w:hint="default"/>
          <w:b/>
          <w:bCs/>
          <w:sz w:val="2"/>
          <w:szCs w:val="2"/>
        </w:rPr>
      </w:pPr>
    </w:p>
    <w:tbl>
      <w:tblPr>
        <w:tblW w:w="0" w:type="auto"/>
        <w:jc w:val="left"/>
        <w:tblInd w:w="863" w:type="dxa"/>
        <w:tblLayout w:type="fixed"/>
        <w:tblCellMar>
          <w:top w:w="0" w:type="dxa"/>
          <w:left w:w="0" w:type="dxa"/>
          <w:bottom w:w="0" w:type="dxa"/>
          <w:right w:w="0" w:type="dxa"/>
        </w:tblCellMar>
        <w:tblLook w:val="01E0"/>
      </w:tblPr>
      <w:tblGrid>
        <w:gridCol w:w="2993"/>
        <w:gridCol w:w="1875"/>
        <w:gridCol w:w="2787"/>
      </w:tblGrid>
      <w:tr>
        <w:trPr>
          <w:trHeight w:val="355" w:hRule="exact"/>
        </w:trPr>
        <w:tc>
          <w:tcPr>
            <w:tcW w:w="2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7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87"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2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787" w:type="dxa"/>
            <w:tcBorders>
              <w:top w:val="single" w:sz="12" w:space="0" w:color="000000"/>
              <w:left w:val="single" w:sz="6" w:space="0" w:color="000000"/>
              <w:bottom w:val="single" w:sz="12" w:space="0" w:color="000000"/>
              <w:right w:val="nil" w:sz="6" w:space="0" w:color="auto"/>
            </w:tcBorders>
          </w:tcPr>
          <w:p>
            <w:pPr/>
          </w:p>
        </w:tc>
      </w:tr>
    </w:tbl>
    <w:p>
      <w:pPr>
        <w:pStyle w:val="Heading7"/>
        <w:spacing w:line="273" w:lineRule="auto"/>
        <w:ind w:right="0"/>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line="266" w:lineRule="auto" w:before="7"/>
        <w:ind w:left="1413" w:right="1410"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 使用寿命不确定的无形资产的判断依据以及对其使用寿命进行复核的程序</w:t>
      </w:r>
      <w:r>
        <w:rPr>
          <w:rFonts w:ascii="宋体" w:hAnsi="宋体" w:cs="宋体" w:eastAsia="宋体" w:hint="default"/>
          <w:b/>
          <w:bCs/>
          <w:w w:val="100"/>
          <w:sz w:val="21"/>
          <w:szCs w:val="21"/>
        </w:rPr>
        <w:t> </w:t>
      </w:r>
      <w:r>
        <w:rPr>
          <w:rFonts w:ascii="宋体" w:hAnsi="宋体" w:cs="宋体" w:eastAsia="宋体" w:hint="default"/>
          <w:sz w:val="21"/>
          <w:szCs w:val="21"/>
        </w:rPr>
        <w:t>每期末，对使用寿命不确定的无形资产的使用寿命进行复核。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right="0" w:hanging="5"/>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2"/>
        </w:rPr>
        <w:t>研究阶段：为获取并理解新的科学或技术知识等而进行的独创性的有计划调查、研究活动的</w:t>
      </w:r>
      <w:r>
        <w:rPr>
          <w:spacing w:val="-58"/>
        </w:rPr>
        <w:t> </w:t>
      </w:r>
      <w:r>
        <w:rPr>
          <w:spacing w:val="-58"/>
        </w:rPr>
      </w:r>
      <w:r>
        <w:rPr/>
        <w:t>阶段。</w:t>
      </w:r>
      <w:r>
        <w:rPr>
          <w:w w:val="100"/>
        </w:rPr>
        <w:t> </w:t>
      </w:r>
      <w:r>
        <w:rPr>
          <w:spacing w:val="-2"/>
        </w:rPr>
        <w:t>开发阶段：在进行商业性生产或使用前，将研究成果或其他知识应用于某项计划或设计，以</w:t>
      </w:r>
      <w:r>
        <w:rPr>
          <w:spacing w:val="-59"/>
        </w:rPr>
        <w:t> </w:t>
      </w:r>
      <w:r>
        <w:rPr>
          <w:spacing w:val="-59"/>
        </w:rPr>
      </w:r>
      <w:r>
        <w:rPr/>
        <w:t>生产出新的或具有实质性改进的材料、装置、产品等活动的阶段。</w:t>
      </w:r>
    </w:p>
    <w:p>
      <w:pPr>
        <w:spacing w:after="0" w:line="268"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line="256" w:lineRule="auto" w:before="36"/>
        <w:ind w:left="1413" w:right="153"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Heading7"/>
        <w:spacing w:line="240" w:lineRule="auto" w:before="22"/>
        <w:ind w:right="15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7"/>
        <w:spacing w:line="240" w:lineRule="auto" w:before="21"/>
        <w:ind w:right="153"/>
        <w:jc w:val="left"/>
      </w:pPr>
      <w:r>
        <w:rPr/>
        <w:t>（</w:t>
      </w:r>
      <w:r>
        <w:rPr>
          <w:rFonts w:ascii="Times New Roman" w:hAnsi="Times New Roman" w:cs="Times New Roman" w:eastAsia="Times New Roman" w:hint="default"/>
        </w:rPr>
        <w:t>2</w:t>
      </w:r>
      <w:r>
        <w:rPr/>
        <w:t>）具有完成该无形资产并使用或出售的意图；</w:t>
      </w:r>
    </w:p>
    <w:p>
      <w:pPr>
        <w:pStyle w:val="Heading7"/>
        <w:spacing w:line="256" w:lineRule="auto" w:before="21"/>
        <w:ind w:right="15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w:t>
      </w:r>
      <w:r>
        <w:rPr>
          <w:spacing w:val="-28"/>
        </w:rPr>
        <w:t> </w:t>
      </w:r>
      <w:r>
        <w:rPr>
          <w:spacing w:val="-28"/>
        </w:rPr>
      </w:r>
      <w:r>
        <w:rPr/>
        <w:t>无形资产自身存在市场，无形资产将在内部使用的，能够证明其有用性；</w:t>
      </w:r>
    </w:p>
    <w:p>
      <w:pPr>
        <w:pStyle w:val="Heading7"/>
        <w:spacing w:line="256" w:lineRule="auto" w:before="22"/>
        <w:ind w:right="153"/>
        <w:jc w:val="left"/>
      </w:pPr>
      <w:r>
        <w:rPr/>
        <w:t>（</w:t>
      </w:r>
      <w:r>
        <w:rPr>
          <w:rFonts w:ascii="Times New Roman" w:hAnsi="Times New Roman" w:cs="Times New Roman" w:eastAsia="Times New Roman" w:hint="default"/>
        </w:rPr>
        <w:t>4</w:t>
      </w:r>
      <w:r>
        <w:rPr/>
        <w:t>）有足够的技术、财务资源和其他资源支持，以完成该无形资产的开发，并有能力使用</w:t>
      </w:r>
      <w:r>
        <w:rPr>
          <w:spacing w:val="-28"/>
        </w:rPr>
        <w:t> </w:t>
      </w:r>
      <w:r>
        <w:rPr>
          <w:spacing w:val="-28"/>
        </w:rPr>
      </w:r>
      <w:r>
        <w:rPr/>
        <w:t>或出售该无形资产；</w:t>
      </w:r>
    </w:p>
    <w:p>
      <w:pPr>
        <w:pStyle w:val="Heading7"/>
        <w:spacing w:line="264" w:lineRule="auto" w:before="22"/>
        <w:ind w:right="153"/>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w:t>
      </w:r>
      <w:r>
        <w:rPr>
          <w:spacing w:val="-20"/>
        </w:rPr>
        <w:t> </w:t>
      </w:r>
      <w:r>
        <w:rPr>
          <w:spacing w:val="-20"/>
        </w:rPr>
      </w:r>
      <w:r>
        <w:rPr/>
        <w:t>时计入当期损益。</w:t>
      </w:r>
    </w:p>
    <w:p>
      <w:pPr>
        <w:spacing w:line="240" w:lineRule="auto" w:before="5"/>
        <w:rPr>
          <w:rFonts w:ascii="宋体" w:hAnsi="宋体" w:cs="宋体" w:eastAsia="宋体" w:hint="default"/>
          <w:sz w:val="24"/>
          <w:szCs w:val="24"/>
        </w:rPr>
      </w:pPr>
    </w:p>
    <w:p>
      <w:pPr>
        <w:pStyle w:val="Heading7"/>
        <w:spacing w:line="600" w:lineRule="atLeast"/>
        <w:ind w:left="467" w:right="153" w:hanging="315"/>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t>长期股权投资、采用成本模式计量的投资性房地产、固定资产、在建工程、无形资产等长期资产，于</w:t>
      </w:r>
    </w:p>
    <w:p>
      <w:pPr>
        <w:pStyle w:val="Heading7"/>
        <w:spacing w:line="273" w:lineRule="auto" w:before="37"/>
        <w:ind w:left="152" w:right="125"/>
        <w:jc w:val="both"/>
      </w:pPr>
      <w:r>
        <w:rPr>
          <w:spacing w:val="-2"/>
        </w:rPr>
        <w:t>资产负债表日存在减值迹象的，进行减值测试。减值测试结果表明资产的可收回金额低于其账面价值的，</w:t>
      </w:r>
      <w:r>
        <w:rPr>
          <w:spacing w:val="-21"/>
        </w:rPr>
        <w:t> </w:t>
      </w:r>
      <w:r>
        <w:rPr>
          <w:spacing w:val="-21"/>
        </w:rPr>
      </w:r>
      <w:r>
        <w:rPr>
          <w:spacing w:val="-2"/>
        </w:rPr>
        <w:t>按其差额计提减值准备并计入减值损失。可收回金额为资产的公允价值减去处置费用后的净额与资产预计</w:t>
      </w:r>
      <w:r>
        <w:rPr>
          <w:spacing w:val="-42"/>
        </w:rPr>
        <w:t> </w:t>
      </w:r>
      <w:r>
        <w:rPr>
          <w:spacing w:val="-42"/>
        </w:rPr>
      </w:r>
      <w:r>
        <w:rPr>
          <w:spacing w:val="-2"/>
        </w:rPr>
        <w:t>未来现金流量的现值两者之间的较高者。资产减值准备按单项资产为基础计算并确认，如果难以对单项资</w:t>
      </w:r>
      <w:r>
        <w:rPr>
          <w:spacing w:val="-42"/>
        </w:rPr>
        <w:t> </w:t>
      </w:r>
      <w:r>
        <w:rPr>
          <w:spacing w:val="-42"/>
        </w:rPr>
      </w:r>
      <w:r>
        <w:rPr>
          <w:spacing w:val="-2"/>
        </w:rPr>
        <w:t>产的可收回金额进行估计的，以该资产所属的资产组确定资产组的可收回金额。资产组是能够独立产生现</w:t>
      </w:r>
      <w:r>
        <w:rPr>
          <w:spacing w:val="-44"/>
        </w:rPr>
        <w:t> </w:t>
      </w:r>
      <w:r>
        <w:rPr>
          <w:spacing w:val="-44"/>
        </w:rPr>
      </w:r>
      <w:r>
        <w:rPr/>
        <w:t>金流入的最小资产组合。</w:t>
      </w:r>
    </w:p>
    <w:p>
      <w:pPr>
        <w:pStyle w:val="Heading7"/>
        <w:spacing w:line="273" w:lineRule="auto" w:before="7"/>
        <w:ind w:left="573" w:right="153"/>
        <w:jc w:val="left"/>
      </w:pPr>
      <w:r>
        <w:rPr/>
        <w:t>商誉至少在每年年度终了进行减值测试。</w:t>
      </w:r>
      <w:r>
        <w:rPr>
          <w:w w:val="100"/>
        </w:rPr>
        <w:t> </w:t>
      </w:r>
      <w:r>
        <w:rPr>
          <w:spacing w:val="-2"/>
        </w:rPr>
        <w:t>本公司进行商誉减值测试，对于因企业合并形成的商誉的账面价值，自购买日起按照合理的方法分摊</w:t>
      </w:r>
    </w:p>
    <w:p>
      <w:pPr>
        <w:pStyle w:val="Heading7"/>
        <w:spacing w:line="273" w:lineRule="auto" w:before="7"/>
        <w:ind w:left="152" w:right="14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Heading7"/>
        <w:spacing w:line="273" w:lineRule="auto" w:before="7"/>
        <w:ind w:left="152" w:right="125"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2"/>
        </w:rPr>
        <w:t> </w:t>
      </w:r>
      <w:r>
        <w:rPr>
          <w:spacing w:val="-42"/>
        </w:rPr>
      </w:r>
      <w:r>
        <w:rPr>
          <w:spacing w:val="-2"/>
        </w:rPr>
        <w:t>组或者资产组组合的可收回金额低于其账面价值的，确认商誉的减值损失。上述资产减值损失一经确认，</w:t>
      </w:r>
      <w:r>
        <w:rPr>
          <w:spacing w:val="-21"/>
        </w:rPr>
        <w:t> </w:t>
      </w:r>
      <w:r>
        <w:rPr>
          <w:spacing w:val="-21"/>
        </w:rPr>
      </w:r>
      <w:r>
        <w:rPr/>
        <w:t>在以后会计期间不予转回。</w:t>
      </w:r>
    </w:p>
    <w:p>
      <w:pPr>
        <w:spacing w:line="240" w:lineRule="auto" w:before="6"/>
        <w:rPr>
          <w:rFonts w:ascii="宋体" w:hAnsi="宋体" w:cs="宋体" w:eastAsia="宋体" w:hint="default"/>
          <w:sz w:val="24"/>
          <w:szCs w:val="24"/>
        </w:rPr>
      </w:pPr>
    </w:p>
    <w:p>
      <w:pPr>
        <w:spacing w:line="590" w:lineRule="atLeast"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spacing w:line="256" w:lineRule="auto" w:before="37"/>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长期待摊费用在受益期内平均摊销</w:t>
      </w:r>
    </w:p>
    <w:p>
      <w:pPr>
        <w:spacing w:line="240" w:lineRule="auto" w:before="7"/>
        <w:rPr>
          <w:rFonts w:ascii="宋体" w:hAnsi="宋体" w:cs="宋体" w:eastAsia="宋体" w:hint="default"/>
          <w:sz w:val="25"/>
          <w:szCs w:val="25"/>
        </w:rPr>
      </w:pPr>
    </w:p>
    <w:p>
      <w:pPr>
        <w:spacing w:line="256" w:lineRule="auto" w:before="0"/>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摊销年限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公司的长期待摊费用在</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年内摊销。</w:t>
      </w:r>
    </w:p>
    <w:p>
      <w:pPr>
        <w:spacing w:after="0" w:line="25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4"/>
        <w:ind w:left="467" w:right="153" w:hanging="31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本公司在职工为本公司提供服务的会计期间，将实际发生的短期薪酬确认为负债，并计入当期损益或</w:t>
      </w:r>
    </w:p>
    <w:p>
      <w:pPr>
        <w:pStyle w:val="Heading7"/>
        <w:spacing w:line="273" w:lineRule="auto" w:before="37"/>
        <w:ind w:left="467" w:right="153" w:hanging="315"/>
        <w:jc w:val="left"/>
      </w:pPr>
      <w:r>
        <w:rPr/>
        <w:t>相关资产成本。</w:t>
      </w:r>
      <w:r>
        <w:rPr>
          <w:spacing w:val="-103"/>
        </w:rPr>
        <w:t> </w:t>
      </w:r>
      <w:r>
        <w:rPr>
          <w:spacing w:val="-103"/>
        </w:rPr>
      </w:r>
      <w:r>
        <w:rPr/>
        <w:t>本公司为职工缴纳的社会保险费和住房公积金，以及按规定提取的工会经费和职工教育经费，在职工</w:t>
      </w:r>
    </w:p>
    <w:p>
      <w:pPr>
        <w:pStyle w:val="Heading7"/>
        <w:spacing w:line="273" w:lineRule="auto" w:before="7"/>
        <w:ind w:left="152" w:right="153"/>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10"/>
        <w:rPr>
          <w:rFonts w:ascii="宋体" w:hAnsi="宋体" w:cs="宋体" w:eastAsia="宋体" w:hint="default"/>
          <w:sz w:val="23"/>
          <w:szCs w:val="23"/>
        </w:rPr>
      </w:pPr>
    </w:p>
    <w:p>
      <w:pPr>
        <w:spacing w:line="600" w:lineRule="atLeast" w:before="0"/>
        <w:ind w:left="152" w:right="673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设定提存计划</w:t>
      </w:r>
    </w:p>
    <w:p>
      <w:pPr>
        <w:pStyle w:val="Heading7"/>
        <w:spacing w:line="273" w:lineRule="auto" w:before="37"/>
        <w:ind w:left="152" w:right="153" w:firstLine="314"/>
        <w:jc w:val="left"/>
      </w:pPr>
      <w:r>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p>
    <w:p>
      <w:pPr>
        <w:spacing w:line="240" w:lineRule="auto" w:before="6"/>
        <w:rPr>
          <w:rFonts w:ascii="宋体" w:hAnsi="宋体" w:cs="宋体" w:eastAsia="宋体" w:hint="default"/>
          <w:sz w:val="24"/>
          <w:szCs w:val="24"/>
        </w:rPr>
      </w:pPr>
    </w:p>
    <w:p>
      <w:pPr>
        <w:spacing w:line="590" w:lineRule="atLeast" w:before="0"/>
        <w:ind w:left="573" w:right="15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pStyle w:val="Heading7"/>
        <w:spacing w:line="273" w:lineRule="auto" w:before="37"/>
        <w:ind w:left="152" w:right="153"/>
        <w:jc w:val="left"/>
      </w:pPr>
      <w:r>
        <w:rPr>
          <w:spacing w:val="-2"/>
        </w:rPr>
        <w:t>退福利的重组相关的成本或费用时（两者孰早），确认辞退福利产生的职工薪其他酬负债，并计入当期损</w:t>
      </w:r>
      <w:r>
        <w:rPr>
          <w:spacing w:val="-44"/>
        </w:rPr>
        <w:t> </w:t>
      </w:r>
      <w:r>
        <w:rPr>
          <w:spacing w:val="-44"/>
        </w:rPr>
      </w:r>
      <w:r>
        <w:rPr/>
        <w:t>益。</w:t>
      </w:r>
    </w:p>
    <w:p>
      <w:pPr>
        <w:spacing w:line="240" w:lineRule="auto" w:before="7"/>
        <w:rPr>
          <w:rFonts w:ascii="宋体" w:hAnsi="宋体" w:cs="宋体" w:eastAsia="宋体" w:hint="default"/>
          <w:sz w:val="23"/>
          <w:szCs w:val="23"/>
        </w:rPr>
      </w:pPr>
    </w:p>
    <w:p>
      <w:pPr>
        <w:pStyle w:val="Heading6"/>
        <w:spacing w:line="240" w:lineRule="auto"/>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2" w:right="153"/>
        <w:jc w:val="left"/>
      </w:pPr>
      <w:r>
        <w:rPr>
          <w:rFonts w:ascii="Times New Roman" w:hAnsi="Times New Roman" w:cs="Times New Roman" w:eastAsia="Times New Roman" w:hint="default"/>
        </w:rPr>
        <w:t>1</w:t>
      </w:r>
      <w:r>
        <w:rPr/>
        <w:t>、其他长期职工福利产生的职工薪酬成本确认为下列组成部分：</w:t>
      </w:r>
    </w:p>
    <w:p>
      <w:pPr>
        <w:pStyle w:val="Heading7"/>
        <w:spacing w:line="240" w:lineRule="auto" w:before="21"/>
        <w:ind w:left="152" w:right="153"/>
        <w:jc w:val="left"/>
      </w:pPr>
      <w:r>
        <w:rPr/>
        <w:t>（一）服务成本。</w:t>
      </w:r>
    </w:p>
    <w:p>
      <w:pPr>
        <w:pStyle w:val="Heading7"/>
        <w:spacing w:line="240" w:lineRule="auto" w:before="37"/>
        <w:ind w:left="152" w:right="153"/>
        <w:jc w:val="left"/>
      </w:pPr>
      <w:r>
        <w:rPr/>
        <w:t>（二）其他长期职工福利净负债或净资产的利息净额。</w:t>
      </w:r>
    </w:p>
    <w:p>
      <w:pPr>
        <w:pStyle w:val="Heading7"/>
        <w:spacing w:line="268" w:lineRule="auto" w:before="37"/>
        <w:ind w:left="152" w:right="153"/>
        <w:jc w:val="left"/>
      </w:pPr>
      <w:r>
        <w:rPr/>
        <w:t>（三）重新计量其他长期职工福利净负债或净资产所产生的变动。</w:t>
      </w:r>
      <w:r>
        <w:rPr>
          <w:w w:val="100"/>
        </w:rPr>
        <w:t> </w:t>
      </w:r>
      <w:r>
        <w:rPr/>
        <w:t>为简化相关会计处理，上述项目的总净额应计入当期损益或相关资产成本。</w:t>
      </w:r>
      <w:r>
        <w:rPr>
          <w:w w:val="100"/>
        </w:rPr>
        <w:t> </w:t>
      </w:r>
      <w:r>
        <w:rPr>
          <w:rFonts w:ascii="Times New Roman" w:hAnsi="Times New Roman" w:cs="Times New Roman" w:eastAsia="Times New Roman" w:hint="default"/>
        </w:rPr>
        <w:t>2</w:t>
      </w:r>
      <w:r>
        <w:rPr/>
        <w:t>、长期残疾福利水平取决于职工提供服务期间长短的，企业应当在职工提供服务的期间确认应付长期残</w:t>
      </w:r>
      <w:r>
        <w:rPr>
          <w:w w:val="100"/>
        </w:rPr>
        <w:t> </w:t>
      </w:r>
      <w:r>
        <w:rPr>
          <w:spacing w:val="-2"/>
        </w:rPr>
        <w:t>疾福利义务，计量时应当考虑长期残疾福利支付的可能性和预期支付的期限；长期残疾福利与职工提供服</w:t>
      </w:r>
      <w:r>
        <w:rPr>
          <w:spacing w:val="-44"/>
        </w:rPr>
        <w:t> </w:t>
      </w:r>
      <w:r>
        <w:rPr>
          <w:spacing w:val="-44"/>
        </w:rPr>
      </w:r>
      <w:r>
        <w:rPr/>
        <w:t>务期间长短无关的，企业应当在导致职工长期残疾的事件发生的当期确认应付长期残疾福利义务。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6"/>
        <w:spacing w:line="240" w:lineRule="auto"/>
        <w:ind w:right="15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不适用</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不适用</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w:t>
      </w:r>
      <w:r>
        <w:rPr>
          <w:spacing w:val="74"/>
        </w:rPr>
        <w:t> </w:t>
      </w:r>
      <w:r>
        <w:rPr/>
        <w:t>销售商品收入的确认一般原则：</w:t>
      </w:r>
      <w:r>
        <w:rPr>
          <w:b w:val="0"/>
          <w:bCs w:val="0"/>
        </w:rPr>
      </w:r>
    </w:p>
    <w:p>
      <w:pPr>
        <w:pStyle w:val="Heading7"/>
        <w:spacing w:line="240" w:lineRule="auto" w:before="21"/>
        <w:ind w:left="152" w:right="15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Heading7"/>
        <w:spacing w:line="240" w:lineRule="auto" w:before="21"/>
        <w:ind w:left="152" w:right="15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Heading7"/>
        <w:spacing w:line="240" w:lineRule="auto" w:before="21"/>
        <w:ind w:left="152" w:right="153"/>
        <w:jc w:val="left"/>
      </w:pPr>
      <w:r>
        <w:rPr/>
        <w:t>（</w:t>
      </w:r>
      <w:r>
        <w:rPr>
          <w:rFonts w:ascii="Times New Roman" w:hAnsi="Times New Roman" w:cs="Times New Roman" w:eastAsia="Times New Roman" w:hint="default"/>
        </w:rPr>
        <w:t>3</w:t>
      </w:r>
      <w:r>
        <w:rPr/>
        <w:t>）收入的金额能够可靠地计量；</w:t>
      </w:r>
    </w:p>
    <w:p>
      <w:pPr>
        <w:pStyle w:val="Heading7"/>
        <w:spacing w:line="240" w:lineRule="auto" w:before="21"/>
        <w:ind w:left="152" w:right="153"/>
        <w:jc w:val="left"/>
      </w:pPr>
      <w:r>
        <w:rPr/>
        <w:t>（</w:t>
      </w:r>
      <w:r>
        <w:rPr>
          <w:rFonts w:ascii="Times New Roman" w:hAnsi="Times New Roman" w:cs="Times New Roman" w:eastAsia="Times New Roman" w:hint="default"/>
        </w:rPr>
        <w:t>4</w:t>
      </w:r>
      <w:r>
        <w:rPr/>
        <w:t>）相关的经济利益很可能流入本公司；</w:t>
      </w:r>
    </w:p>
    <w:p>
      <w:pPr>
        <w:pStyle w:val="Heading7"/>
        <w:spacing w:line="240" w:lineRule="auto" w:before="22"/>
        <w:ind w:left="152" w:right="153"/>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pStyle w:val="Heading7"/>
        <w:spacing w:line="264" w:lineRule="auto"/>
        <w:ind w:left="364" w:right="1134" w:hanging="21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70"/>
        </w:rPr>
        <w:t> </w:t>
      </w:r>
      <w:r>
        <w:rPr>
          <w:rFonts w:ascii="宋体" w:hAnsi="宋体" w:cs="宋体" w:eastAsia="宋体" w:hint="default"/>
          <w:b/>
          <w:bCs/>
        </w:rPr>
        <w:t>具体原则</w:t>
      </w:r>
      <w:r>
        <w:rPr>
          <w:rFonts w:ascii="宋体" w:hAnsi="宋体" w:cs="宋体" w:eastAsia="宋体" w:hint="default"/>
          <w:b/>
          <w:bCs/>
          <w:spacing w:val="-104"/>
        </w:rPr>
        <w:t> </w:t>
      </w:r>
      <w:r>
        <w:rPr>
          <w:rFonts w:ascii="宋体" w:hAnsi="宋体" w:cs="宋体" w:eastAsia="宋体" w:hint="default"/>
          <w:b/>
          <w:bCs/>
          <w:spacing w:val="-104"/>
        </w:rPr>
      </w:r>
      <w:r>
        <w:rPr>
          <w:spacing w:val="-2"/>
        </w:rPr>
        <w:t>公司的收入主要分为：加盟销售、经销销售、自营、加盟费收入、终端运营培训收入。</w:t>
      </w:r>
      <w:r>
        <w:rPr>
          <w:w w:val="100"/>
        </w:rPr>
        <w:t> </w:t>
      </w:r>
      <w:r>
        <w:rPr/>
        <w:t>加盟销售和经销收入：</w:t>
      </w:r>
    </w:p>
    <w:p>
      <w:pPr>
        <w:pStyle w:val="Heading7"/>
        <w:spacing w:line="273" w:lineRule="auto" w:before="16"/>
        <w:ind w:left="152" w:right="153" w:firstLine="211"/>
        <w:jc w:val="left"/>
      </w:pPr>
      <w:r>
        <w:rPr>
          <w:spacing w:val="-2"/>
        </w:rPr>
        <w:t>客户自提货物时：客户在物流部提货，仔细核对货品成色、重量，在确认无误后与客户办理交接手续，</w:t>
      </w:r>
      <w:r>
        <w:rPr>
          <w:w w:val="100"/>
        </w:rPr>
        <w:t> </w:t>
      </w:r>
      <w:r>
        <w:rPr/>
        <w:t>客户在销售单上签字，客户收到产品并签字确认时点为公司产品销售收入实现的时点；</w:t>
      </w:r>
    </w:p>
    <w:p>
      <w:pPr>
        <w:pStyle w:val="Heading7"/>
        <w:spacing w:line="273" w:lineRule="auto" w:before="7"/>
        <w:ind w:left="152" w:right="153" w:firstLine="211"/>
        <w:jc w:val="left"/>
      </w:pPr>
      <w:r>
        <w:rPr>
          <w:spacing w:val="-2"/>
        </w:rPr>
        <w:t>公司邮寄货物时：业务人员仔细核对货品成色、重量，在确认无误后，将上述货物及销售单交与快递接</w:t>
      </w:r>
      <w:r>
        <w:rPr>
          <w:w w:val="100"/>
        </w:rPr>
        <w:t> </w:t>
      </w:r>
      <w:r>
        <w:rPr>
          <w:spacing w:val="-2"/>
        </w:rPr>
        <w:t>收人员，如果邮寄产品需要进行投保时，公司在取得销售单、邮寄单、保险单时为公司产品销售收入实现</w:t>
      </w:r>
      <w:r>
        <w:rPr>
          <w:spacing w:val="-47"/>
        </w:rPr>
        <w:t> </w:t>
      </w:r>
      <w:r>
        <w:rPr>
          <w:spacing w:val="-47"/>
        </w:rPr>
      </w:r>
      <w:r>
        <w:rPr>
          <w:spacing w:val="-2"/>
        </w:rPr>
        <w:t>时点；如果客户明确要求邮寄产品不进行投保时，公司在取得销售单、邮寄单时为公司产品销售收入确认</w:t>
      </w:r>
      <w:r>
        <w:rPr>
          <w:spacing w:val="-43"/>
        </w:rPr>
        <w:t> </w:t>
      </w:r>
      <w:r>
        <w:rPr>
          <w:spacing w:val="-43"/>
        </w:rPr>
      </w:r>
      <w:r>
        <w:rPr/>
        <w:t>时点</w:t>
      </w:r>
      <w:r>
        <w:rPr>
          <w:spacing w:val="-103"/>
        </w:rPr>
        <w:t> </w:t>
      </w:r>
      <w:r>
        <w:rPr>
          <w:spacing w:val="-2"/>
        </w:rPr>
        <w:t>自营销售：公司自营店的销售收入，在产品已交付予顾客并收取货款或者取得索取货款依据时确认销售收</w:t>
      </w:r>
      <w:r>
        <w:rPr>
          <w:spacing w:val="-42"/>
        </w:rPr>
        <w:t> </w:t>
      </w:r>
      <w:r>
        <w:rPr>
          <w:spacing w:val="-42"/>
        </w:rPr>
      </w:r>
      <w:r>
        <w:rPr/>
        <w:t>入。</w:t>
      </w:r>
    </w:p>
    <w:p>
      <w:pPr>
        <w:pStyle w:val="Heading7"/>
        <w:spacing w:line="240" w:lineRule="auto" w:before="7"/>
        <w:ind w:left="152" w:right="153"/>
        <w:jc w:val="left"/>
      </w:pPr>
      <w:r>
        <w:rPr/>
        <w:t>加盟费收入：公司根据与客户签订的期间，在合同期间内分期确认收入。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153"/>
        <w:jc w:val="left"/>
        <w:rPr>
          <w:b w:val="0"/>
          <w:bCs w:val="0"/>
        </w:rPr>
      </w:pPr>
      <w:r>
        <w:rPr>
          <w:rFonts w:ascii="Times New Roman" w:hAnsi="Times New Roman" w:cs="Times New Roman" w:eastAsia="Times New Roman" w:hint="default"/>
        </w:rPr>
        <w:t>29</w:t>
      </w:r>
      <w:r>
        <w:rPr/>
        <w:t>、政府补助</w:t>
      </w:r>
      <w:r>
        <w:rPr>
          <w:b w:val="0"/>
          <w:bCs w:val="0"/>
        </w:rPr>
      </w:r>
    </w:p>
    <w:p>
      <w:pPr>
        <w:spacing w:line="590" w:lineRule="atLeast" w:before="24"/>
        <w:ind w:left="467" w:right="153" w:hanging="31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与资产相关的政府补助，是指企业取得的、用于购建或以其他方式形成长期资产的政府补助，包括购</w:t>
      </w:r>
    </w:p>
    <w:p>
      <w:pPr>
        <w:spacing w:line="285" w:lineRule="auto" w:before="37"/>
        <w:ind w:left="152" w:right="153" w:firstLine="0"/>
        <w:jc w:val="left"/>
        <w:rPr>
          <w:rFonts w:ascii="宋体" w:hAnsi="宋体" w:cs="宋体" w:eastAsia="宋体" w:hint="default"/>
          <w:sz w:val="21"/>
          <w:szCs w:val="21"/>
        </w:rPr>
      </w:pPr>
      <w:r>
        <w:rPr>
          <w:rFonts w:ascii="宋体" w:hAnsi="宋体" w:cs="宋体" w:eastAsia="宋体" w:hint="default"/>
          <w:sz w:val="21"/>
          <w:szCs w:val="21"/>
        </w:rPr>
        <w:t>买固定资产或无形资产的财政拨款、固定资产专门借款的财政贴息等。</w:t>
      </w:r>
      <w:r>
        <w:rPr>
          <w:rFonts w:ascii="宋体" w:hAnsi="宋体" w:cs="宋体" w:eastAsia="宋体" w:hint="default"/>
          <w:sz w:val="18"/>
          <w:szCs w:val="18"/>
        </w:rPr>
        <w:t>本公司将政府补助划分为与资产相关的</w:t>
      </w:r>
      <w:r>
        <w:rPr>
          <w:rFonts w:ascii="宋体" w:hAnsi="宋体" w:cs="宋体" w:eastAsia="宋体" w:hint="default"/>
          <w:sz w:val="18"/>
          <w:szCs w:val="18"/>
        </w:rPr>
        <w:t> 具体标准为：政府补助文件规定用于购买资产的部分确认为与资产有关的政府补助。 </w:t>
      </w:r>
      <w:r>
        <w:rPr>
          <w:rFonts w:ascii="宋体" w:hAnsi="宋体" w:cs="宋体" w:eastAsia="宋体" w:hint="default"/>
          <w:spacing w:val="-2"/>
          <w:sz w:val="21"/>
          <w:szCs w:val="21"/>
        </w:rPr>
        <w:t>会计处理方法：与资产相关的政府补助，确认为递延收益，按照所建造或购买的资产使用年限分期计入营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业外收入；</w:t>
      </w:r>
    </w:p>
    <w:p>
      <w:pPr>
        <w:spacing w:line="240" w:lineRule="auto" w:before="12"/>
        <w:rPr>
          <w:rFonts w:ascii="宋体" w:hAnsi="宋体" w:cs="宋体" w:eastAsia="宋体" w:hint="default"/>
          <w:sz w:val="22"/>
          <w:szCs w:val="22"/>
        </w:rPr>
      </w:pPr>
    </w:p>
    <w:p>
      <w:pPr>
        <w:spacing w:line="600" w:lineRule="atLeast" w:before="0"/>
        <w:ind w:left="467" w:right="153" w:hanging="31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z w:val="21"/>
          <w:szCs w:val="21"/>
        </w:rPr>
        <w:t>与收益相关的政府补助，是指除与资产相关的政府补助之外的政府补助。本公司将政府补助划分为与</w:t>
      </w:r>
    </w:p>
    <w:p>
      <w:pPr>
        <w:pStyle w:val="Heading7"/>
        <w:spacing w:line="240" w:lineRule="auto" w:before="37"/>
        <w:ind w:left="152" w:right="153"/>
        <w:jc w:val="left"/>
      </w:pPr>
      <w:r>
        <w:rPr/>
        <w:t>收益相关的具体标准为：政府补助文件规定与收益相关的部分确认为与收益相关的政府补助。</w:t>
      </w:r>
    </w:p>
    <w:p>
      <w:pPr>
        <w:spacing w:line="240" w:lineRule="auto" w:before="9"/>
        <w:rPr>
          <w:rFonts w:ascii="宋体" w:hAnsi="宋体" w:cs="宋体" w:eastAsia="宋体" w:hint="default"/>
          <w:sz w:val="26"/>
          <w:szCs w:val="26"/>
        </w:rPr>
      </w:pPr>
    </w:p>
    <w:p>
      <w:pPr>
        <w:pStyle w:val="Heading7"/>
        <w:spacing w:line="273" w:lineRule="auto"/>
        <w:ind w:left="152" w:right="153" w:firstLine="314"/>
        <w:jc w:val="left"/>
      </w:pPr>
      <w:r>
        <w:rPr/>
        <w:t>会计处理方法：与收益相关的政府补助，用于补偿企业以后期间的相关费用或损失的，取得时确认为</w:t>
      </w:r>
      <w:r>
        <w:rPr>
          <w:w w:val="100"/>
        </w:rPr>
        <w:t> </w:t>
      </w:r>
      <w:r>
        <w:rPr>
          <w:spacing w:val="-2"/>
        </w:rPr>
        <w:t>递延收益，在确认相关费用的期间计入当期营业外收入；用于补偿企业已发生的相关费用或损失的，取得</w:t>
      </w:r>
    </w:p>
    <w:p>
      <w:pPr>
        <w:spacing w:after="0" w:line="273"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7"/>
        <w:spacing w:line="240" w:lineRule="auto" w:before="36"/>
        <w:ind w:left="152" w:right="0"/>
        <w:jc w:val="both"/>
      </w:pPr>
      <w:r>
        <w:rPr/>
        <w:t>时直接计入当期营业外收入。</w:t>
      </w:r>
    </w:p>
    <w:p>
      <w:pPr>
        <w:spacing w:line="240" w:lineRule="auto" w:before="13"/>
        <w:rPr>
          <w:rFonts w:ascii="宋体" w:hAnsi="宋体" w:cs="宋体" w:eastAsia="宋体" w:hint="default"/>
          <w:sz w:val="25"/>
          <w:szCs w:val="25"/>
        </w:rPr>
      </w:pPr>
    </w:p>
    <w:p>
      <w:pPr>
        <w:spacing w:line="600" w:lineRule="atLeast" w:before="0"/>
        <w:ind w:left="467" w:right="0"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对于可抵扣暂时性差异确认递延所得税资产，以未来期间很可能取得的用来抵扣可抵扣暂时性差异的</w:t>
      </w:r>
    </w:p>
    <w:p>
      <w:pPr>
        <w:pStyle w:val="Heading7"/>
        <w:spacing w:line="273" w:lineRule="auto" w:before="37"/>
        <w:ind w:left="152" w:right="0"/>
        <w:jc w:val="left"/>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Heading7"/>
        <w:spacing w:line="240" w:lineRule="auto" w:before="7"/>
        <w:ind w:left="467" w:right="0"/>
        <w:jc w:val="left"/>
      </w:pPr>
      <w:r>
        <w:rPr/>
        <w:t>对于应纳税暂时性差异，除特殊情况外，确认递延所得税负债。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Heading7"/>
        <w:spacing w:line="256" w:lineRule="auto"/>
        <w:ind w:left="152"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25"/>
        </w:rPr>
        <w:t> </w:t>
      </w:r>
      <w:r>
        <w:rPr>
          <w:spacing w:val="-25"/>
        </w:rPr>
      </w:r>
      <w:r>
        <w:rPr/>
        <w:t>用。公司支付的与租赁交易相关的初始直接费用，计入当期费用。</w:t>
      </w:r>
    </w:p>
    <w:p>
      <w:pPr>
        <w:pStyle w:val="Heading7"/>
        <w:spacing w:line="273" w:lineRule="auto" w:before="22"/>
        <w:ind w:left="152" w:right="0" w:firstLine="420"/>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Heading7"/>
        <w:spacing w:line="264" w:lineRule="auto" w:before="7"/>
        <w:ind w:left="152" w:right="184"/>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25"/>
        </w:rPr>
        <w:t> </w:t>
      </w:r>
      <w:r>
        <w:rPr>
          <w:spacing w:val="-25"/>
        </w:rPr>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p>
    <w:p>
      <w:pPr>
        <w:pStyle w:val="Heading7"/>
        <w:spacing w:line="273" w:lineRule="auto" w:before="16"/>
        <w:ind w:left="152" w:right="0"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66" w:lineRule="auto"/>
        <w:ind w:left="152" w:right="206"/>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25"/>
        </w:rPr>
        <w:t> </w:t>
      </w:r>
      <w:r>
        <w:rPr>
          <w:spacing w:val="-25"/>
        </w:rPr>
      </w:r>
      <w:r>
        <w:rPr>
          <w:spacing w:val="-2"/>
        </w:rPr>
        <w:t>租入资产的入账价值，将最低租赁付款额作为长期应付款的入账价值，其差额作为未确认的融资费用。公</w:t>
      </w:r>
      <w:r>
        <w:rPr>
          <w:spacing w:val="-43"/>
        </w:rPr>
        <w:t> </w:t>
      </w:r>
      <w:r>
        <w:rPr>
          <w:spacing w:val="-43"/>
        </w:rPr>
      </w:r>
      <w:r>
        <w:rPr>
          <w:spacing w:val="-2"/>
        </w:rPr>
        <w:t>司采用实际利率法对未确认的融资费用，在资产租赁期间内摊销，计入财务费用。公司发生的初始直接费</w:t>
      </w:r>
      <w:r>
        <w:rPr>
          <w:spacing w:val="-44"/>
        </w:rPr>
        <w:t> </w:t>
      </w:r>
      <w:r>
        <w:rPr>
          <w:spacing w:val="-44"/>
        </w:rPr>
      </w:r>
      <w:r>
        <w:rPr/>
        <w:t>用，计入租入资产价值。</w:t>
      </w:r>
    </w:p>
    <w:p>
      <w:pPr>
        <w:pStyle w:val="Heading7"/>
        <w:spacing w:line="266" w:lineRule="auto" w:before="14"/>
        <w:ind w:left="152"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25"/>
        </w:rPr>
        <w:t> </w:t>
      </w:r>
      <w:r>
        <w:rPr>
          <w:spacing w:val="-25"/>
        </w:rPr>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506" w:lineRule="auto"/>
        <w:ind w:right="5889"/>
        <w:jc w:val="left"/>
        <w:rPr>
          <w:rFonts w:ascii="宋体" w:hAnsi="宋体" w:cs="宋体" w:eastAsia="宋体" w:hint="default"/>
          <w:b w:val="0"/>
          <w:bCs w:val="0"/>
        </w:rPr>
      </w:pPr>
      <w:r>
        <w:rPr>
          <w:rFonts w:ascii="Times New Roman" w:hAnsi="Times New Roman" w:cs="Times New Roman" w:eastAsia="Times New Roman" w:hint="default"/>
          <w:spacing w:val="-1"/>
        </w:rPr>
        <w:t>32</w:t>
      </w:r>
      <w:r>
        <w:rPr>
          <w:spacing w:val="-1"/>
        </w:rPr>
        <w:t>、其他重要的会计政策和会计估计</w:t>
      </w:r>
      <w:r>
        <w:rPr>
          <w:spacing w:val="-87"/>
        </w:rPr>
        <w:t> </w:t>
      </w:r>
      <w:r>
        <w:rPr>
          <w:spacing w:val="-87"/>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spacing w:line="487" w:lineRule="auto" w:before="0"/>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 w:right="94"/>
              <w:jc w:val="left"/>
              <w:rPr>
                <w:rFonts w:ascii="宋体" w:hAnsi="宋体" w:cs="宋体" w:eastAsia="宋体" w:hint="default"/>
                <w:sz w:val="18"/>
                <w:szCs w:val="18"/>
              </w:rPr>
            </w:pPr>
            <w:r>
              <w:rPr>
                <w:rFonts w:ascii="宋体" w:hAnsi="宋体" w:cs="宋体" w:eastAsia="宋体" w:hint="default"/>
                <w:sz w:val="18"/>
                <w:szCs w:val="18"/>
              </w:rPr>
              <w:t>产品、商品销售、租金收入、劳务收入 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p>
        </w:tc>
      </w:tr>
    </w:tbl>
    <w:p>
      <w:pPr>
        <w:pStyle w:val="BodyText"/>
        <w:spacing w:line="240" w:lineRule="auto" w:before="49"/>
        <w:ind w:right="15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无</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2"/>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after="0" w:line="240" w:lineRule="auto"/>
        <w:jc w:val="right"/>
        <w:sectPr>
          <w:footerReference w:type="default" r:id="rId17"/>
          <w:pgSz w:w="11910" w:h="16840"/>
          <w:pgMar w:footer="979"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340,313.35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36,867.30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319,084,525.48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258,476,511.25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319,424,838.83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268,813,378.55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53"/>
        <w:jc w:val="left"/>
      </w:pPr>
      <w:r>
        <w:rPr/>
        <w:t>其他说明</w:t>
      </w:r>
    </w:p>
    <w:p>
      <w:pPr>
        <w:spacing w:after="0" w:line="240" w:lineRule="auto"/>
        <w:jc w:val="left"/>
        <w:sectPr>
          <w:footerReference w:type="default" r:id="rId18"/>
          <w:pgSz w:w="11910" w:h="16840"/>
          <w:pgMar w:footer="979"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356,059,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789.05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10,784,7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345,275,0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33.83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186,291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,520.98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6,018,478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180,273,04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2.13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356,059,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789.05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10,784,7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55.22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3.03%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345,275,0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33.83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186,291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,520.98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6,018,478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3.23%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180,273,04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2.13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354,588,910.00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10,637,667.31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1,470,879.09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147,087.91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356,059,789.05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10,784,755.22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13.00%</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ind w:right="-11"/>
        <w:jc w:val="left"/>
      </w:pPr>
      <w:r>
        <w:rPr/>
        <w:t>本期计提坏账准备金额</w:t>
      </w:r>
      <w:r>
        <w:rPr>
          <w:spacing w:val="-46"/>
        </w:rPr>
        <w:t> </w:t>
      </w:r>
      <w:r>
        <w:rPr>
          <w:rFonts w:ascii="Times New Roman" w:hAnsi="Times New Roman" w:cs="Times New Roman" w:eastAsia="Times New Roman" w:hint="default"/>
        </w:rPr>
        <w:t>4,766,276.37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53"/>
        <w:jc w:val="left"/>
      </w:pPr>
      <w:r>
        <w:rPr/>
        <w:t>应收账款核销说明：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48" w:type="dxa"/>
        <w:tblLayout w:type="fixed"/>
        <w:tblCellMar>
          <w:top w:w="0" w:type="dxa"/>
          <w:left w:w="0" w:type="dxa"/>
          <w:bottom w:w="0" w:type="dxa"/>
          <w:right w:w="0" w:type="dxa"/>
        </w:tblCellMar>
        <w:tblLook w:val="01E0"/>
      </w:tblPr>
      <w:tblGrid>
        <w:gridCol w:w="2588"/>
        <w:gridCol w:w="1630"/>
        <w:gridCol w:w="1875"/>
        <w:gridCol w:w="1678"/>
      </w:tblGrid>
      <w:tr>
        <w:trPr>
          <w:trHeight w:val="353"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2588"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5" w:right="27"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37"/>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客户</w:t>
            </w:r>
            <w:r>
              <w:rPr>
                <w:rFonts w:ascii="Times New Roman" w:hAnsi="Times New Roman" w:cs="Times New Roman" w:eastAsia="Times New Roman" w:hint="default"/>
                <w:w w:val="95"/>
                <w:sz w:val="18"/>
                <w:szCs w:val="18"/>
              </w:rPr>
              <w:t>A</w:t>
            </w:r>
            <w:r>
              <w:rPr>
                <w:rFonts w:ascii="Times New Roman" w:hAnsi="Times New Roman" w:cs="Times New Roman" w:eastAsia="Times New Roman" w:hint="default"/>
                <w:sz w:val="18"/>
                <w:szCs w:val="18"/>
              </w:rPr>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7,972,379.32</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2.24</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239,171.38</w:t>
            </w:r>
          </w:p>
        </w:tc>
      </w:tr>
      <w:tr>
        <w:trPr>
          <w:trHeight w:val="350"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42"/>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7,560,074.50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2.12</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226,802.24</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42"/>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7,051,836.43</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1.98</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211,555.09</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37"/>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客户</w:t>
            </w:r>
            <w:r>
              <w:rPr>
                <w:rFonts w:ascii="Times New Roman" w:hAnsi="Times New Roman" w:cs="Times New Roman" w:eastAsia="Times New Roman" w:hint="default"/>
                <w:w w:val="95"/>
                <w:sz w:val="18"/>
                <w:szCs w:val="18"/>
              </w:rPr>
              <w:t>D</w:t>
            </w:r>
            <w:r>
              <w:rPr>
                <w:rFonts w:ascii="Times New Roman" w:hAnsi="Times New Roman" w:cs="Times New Roman" w:eastAsia="Times New Roman" w:hint="default"/>
                <w:sz w:val="18"/>
                <w:szCs w:val="18"/>
              </w:rPr>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6,961,997.78</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1.96</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208,859.93</w:t>
            </w:r>
          </w:p>
        </w:tc>
      </w:tr>
      <w:tr>
        <w:trPr>
          <w:trHeight w:val="351"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47"/>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6,438,279.00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193,148.37</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102"/>
              <w:jc w:val="righ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35,984,567.03</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10.11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1,079,537.01</w:t>
            </w:r>
          </w:p>
        </w:tc>
      </w:tr>
    </w:tbl>
    <w:p>
      <w:pPr>
        <w:spacing w:line="240" w:lineRule="auto" w:before="3"/>
        <w:rPr>
          <w:rFonts w:ascii="宋体" w:hAnsi="宋体" w:cs="宋体" w:eastAsia="宋体" w:hint="default"/>
          <w:b/>
          <w:bCs/>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7,178,011.10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6,154,506.17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64.54%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791,291.47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2,589,433.92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7,242,563.87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9,535,231.56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069"/>
        <w:gridCol w:w="2792"/>
        <w:gridCol w:w="3663"/>
      </w:tblGrid>
      <w:tr>
        <w:trPr>
          <w:trHeight w:val="665" w:hRule="exact"/>
        </w:trPr>
        <w:tc>
          <w:tcPr>
            <w:tcW w:w="2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70"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2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63"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1150" w:right="110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53"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A</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1,154,025.50</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15.93</w:t>
            </w:r>
          </w:p>
        </w:tc>
      </w:tr>
      <w:tr>
        <w:trPr>
          <w:trHeight w:val="350"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B</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768,931.98</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10.62</w:t>
            </w:r>
          </w:p>
        </w:tc>
      </w:tr>
      <w:tr>
        <w:trPr>
          <w:trHeight w:val="353"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C</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384,436.45</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5.31</w:t>
            </w:r>
          </w:p>
        </w:tc>
      </w:tr>
      <w:tr>
        <w:trPr>
          <w:trHeight w:val="353"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D</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301,070.00</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4.16</w:t>
            </w:r>
          </w:p>
        </w:tc>
      </w:tr>
      <w:tr>
        <w:trPr>
          <w:trHeight w:val="350"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E</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274,397.82</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3.79</w:t>
            </w:r>
          </w:p>
        </w:tc>
      </w:tr>
      <w:tr>
        <w:trPr>
          <w:trHeight w:val="355" w:hRule="exact"/>
        </w:trPr>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27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2,882,861.75</w:t>
            </w:r>
          </w:p>
        </w:tc>
        <w:tc>
          <w:tcPr>
            <w:tcW w:w="36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39.81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6,564,54</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5.29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2,101,99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4,047,9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49.62%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2,039,295.1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6,564,54</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5.29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2,101,99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4,047,9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36.58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49.62%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2,039,295.1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3,800,775.38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114,023.27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786,279.03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9,835.80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4,636,233.41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202,486.97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1,870,711.88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1,870,711.88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6,564,545.29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2,101,998.85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本期计提坏账准备金额</w:t>
      </w:r>
      <w:r>
        <w:rPr>
          <w:spacing w:val="-46"/>
        </w:rPr>
        <w:t> </w:t>
      </w:r>
      <w:r>
        <w:rPr>
          <w:rFonts w:ascii="Times New Roman" w:hAnsi="Times New Roman" w:cs="Times New Roman" w:eastAsia="Times New Roman" w:hint="default"/>
        </w:rPr>
        <w:t>93,357.37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其中本期坏账准备转回或收回金额重要的：</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53"/>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53"/>
        <w:jc w:val="left"/>
      </w:pPr>
      <w:r>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1,373,862.15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1,398,512.07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115,006.74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101,775.88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294,648.44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284,575.94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893,831.88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1,013,115.33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3,887,196.08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1,249,957.36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6,564,545.29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4,047,936.58</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748,711.88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10,461.75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8,739.33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2,648,022.81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1,892,840.45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77,811,058.90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77,811,058.90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86,009,966.08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86,009,966.08</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4,005,138.71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4,005,138.71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4,083,530.65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4,083,530.65</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226,565,174.47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1,832,188.91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224,732,985.56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207,217,648.04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746,389.57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206,471,258.47</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1,338,094.10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1,338,094.10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46,483,197.73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46,483,197.73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39,632,315.75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39,632,315.75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356,202,663.91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1,832,188.91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354,370,475.00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336,943,460.52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746,389.57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336,197,070.95</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746,389.57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1,085,799.34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1,832,188.91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746,389.57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1,085,799.34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1,832,188.91</w:t>
            </w:r>
          </w:p>
        </w:tc>
      </w:tr>
    </w:tbl>
    <w:p>
      <w:pPr>
        <w:pStyle w:val="BodyText"/>
        <w:spacing w:line="307" w:lineRule="auto" w:before="8"/>
        <w:ind w:right="151"/>
        <w:jc w:val="both"/>
      </w:pPr>
      <w:r>
        <w:rPr>
          <w:spacing w:val="-2"/>
        </w:rPr>
        <w:t>期末对存货进行全面清查后，按存货的成本与可变现孰低提取或调整存货跌价准备。以报告期截止日前后最近十笔销售平均</w:t>
      </w:r>
      <w:r>
        <w:rPr>
          <w:spacing w:val="-64"/>
        </w:rPr>
        <w:t> </w:t>
      </w:r>
      <w:r>
        <w:rPr>
          <w:spacing w:val="-64"/>
        </w:rPr>
      </w:r>
      <w:r>
        <w:rPr/>
        <w:t>不含税单价为估计单位售价，</w:t>
      </w:r>
      <w:r>
        <w:rPr>
          <w:rFonts w:ascii="Times New Roman" w:hAnsi="Times New Roman" w:cs="Times New Roman" w:eastAsia="Times New Roman" w:hint="default"/>
        </w:rPr>
        <w:t>1</w:t>
      </w:r>
      <w:r>
        <w:rPr/>
        <w:t>、可变现净值</w:t>
      </w:r>
      <w:r>
        <w:rPr>
          <w:rFonts w:ascii="Times New Roman" w:hAnsi="Times New Roman" w:cs="Times New Roman" w:eastAsia="Times New Roman" w:hint="default"/>
        </w:rPr>
        <w:t>=</w:t>
      </w:r>
      <w:r>
        <w:rPr/>
        <w:t>估计售价（不含税）</w:t>
      </w:r>
      <w:r>
        <w:rPr>
          <w:rFonts w:ascii="Times New Roman" w:hAnsi="Times New Roman" w:cs="Times New Roman" w:eastAsia="Times New Roman" w:hint="default"/>
        </w:rPr>
        <w:t>-</w:t>
      </w:r>
      <w:r>
        <w:rPr/>
        <w:t>销售时销售费用</w:t>
      </w:r>
      <w:r>
        <w:rPr>
          <w:rFonts w:ascii="Times New Roman" w:hAnsi="Times New Roman" w:cs="Times New Roman" w:eastAsia="Times New Roman" w:hint="default"/>
        </w:rPr>
        <w:t>-</w:t>
      </w:r>
      <w:r>
        <w:rPr/>
        <w:t>税金（消费税及附加税）；</w:t>
      </w:r>
      <w:r>
        <w:rPr>
          <w:rFonts w:ascii="Times New Roman" w:hAnsi="Times New Roman" w:cs="Times New Roman" w:eastAsia="Times New Roman" w:hint="default"/>
        </w:rPr>
        <w:t>2</w:t>
      </w:r>
      <w:r>
        <w:rPr/>
        <w:t>、估计售 </w:t>
      </w:r>
      <w:r>
        <w:rPr>
          <w:spacing w:val="-2"/>
        </w:rPr>
        <w:t>价</w:t>
      </w:r>
      <w:r>
        <w:rPr>
          <w:rFonts w:ascii="Times New Roman" w:hAnsi="Times New Roman" w:cs="Times New Roman" w:eastAsia="Times New Roman" w:hint="default"/>
          <w:spacing w:val="-2"/>
        </w:rPr>
        <w:t>=</w:t>
      </w:r>
      <w:r>
        <w:rPr>
          <w:spacing w:val="-2"/>
        </w:rPr>
        <w:t>估计单位售价（不含税）</w:t>
      </w:r>
      <w:r>
        <w:rPr>
          <w:rFonts w:ascii="Times New Roman" w:hAnsi="Times New Roman" w:cs="Times New Roman" w:eastAsia="Times New Roman" w:hint="default"/>
          <w:spacing w:val="-2"/>
        </w:rPr>
        <w:t>*</w:t>
      </w:r>
      <w:r>
        <w:rPr>
          <w:spacing w:val="-2"/>
        </w:rPr>
        <w:t>商品重量；销售时估计销售费用</w:t>
      </w:r>
      <w:r>
        <w:rPr>
          <w:rFonts w:ascii="Times New Roman" w:hAnsi="Times New Roman" w:cs="Times New Roman" w:eastAsia="Times New Roman" w:hint="default"/>
          <w:spacing w:val="-2"/>
        </w:rPr>
        <w:t>=</w:t>
      </w:r>
      <w:r>
        <w:rPr>
          <w:spacing w:val="-2"/>
        </w:rPr>
        <w:t>单位收入费用率</w:t>
      </w:r>
      <w:r>
        <w:rPr>
          <w:rFonts w:ascii="Times New Roman" w:hAnsi="Times New Roman" w:cs="Times New Roman" w:eastAsia="Times New Roman" w:hint="default"/>
          <w:spacing w:val="-2"/>
        </w:rPr>
        <w:t>*</w:t>
      </w:r>
      <w:r>
        <w:rPr>
          <w:spacing w:val="-2"/>
        </w:rPr>
        <w:t>估计售价；单位收入费用率</w:t>
      </w:r>
      <w:r>
        <w:rPr>
          <w:rFonts w:ascii="Times New Roman" w:hAnsi="Times New Roman" w:cs="Times New Roman" w:eastAsia="Times New Roman" w:hint="default"/>
          <w:spacing w:val="-2"/>
        </w:rPr>
        <w:t>=</w:t>
      </w:r>
      <w:r>
        <w:rPr>
          <w:spacing w:val="-2"/>
        </w:rPr>
        <w:t>销售费用</w:t>
      </w:r>
      <w:r>
        <w:rPr>
          <w:rFonts w:ascii="Times New Roman" w:hAnsi="Times New Roman" w:cs="Times New Roman" w:eastAsia="Times New Roman" w:hint="default"/>
          <w:spacing w:val="-2"/>
        </w:rPr>
        <w:t>/</w:t>
      </w:r>
      <w:r>
        <w:rPr>
          <w:spacing w:val="-2"/>
        </w:rPr>
        <w:t>主营</w:t>
      </w:r>
      <w:r>
        <w:rPr>
          <w:spacing w:val="-58"/>
        </w:rPr>
        <w:t> </w:t>
      </w:r>
      <w:r>
        <w:rPr/>
        <w:t>业务收入</w:t>
      </w:r>
      <w:r>
        <w:rPr>
          <w:rFonts w:ascii="Times New Roman" w:hAnsi="Times New Roman" w:cs="Times New Roman" w:eastAsia="Times New Roman" w:hint="default"/>
        </w:rPr>
        <w:t>*100%</w:t>
      </w:r>
      <w:r>
        <w:rPr/>
        <w:t>；</w:t>
      </w:r>
    </w:p>
    <w:p>
      <w:pPr>
        <w:spacing w:after="0" w:line="307"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5,435,217.25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8,390,875.52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85,435,217.25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8,390,875.52</w:t>
            </w:r>
          </w:p>
        </w:tc>
      </w:tr>
    </w:tbl>
    <w:p>
      <w:pPr>
        <w:pStyle w:val="BodyText"/>
        <w:spacing w:line="240" w:lineRule="auto" w:before="49"/>
        <w:ind w:right="153"/>
        <w:jc w:val="left"/>
      </w:pPr>
      <w:r>
        <w:rPr/>
        <w:t>其他说明：</w:t>
      </w:r>
    </w:p>
    <w:p>
      <w:pPr>
        <w:pStyle w:val="Heading7"/>
        <w:spacing w:line="240" w:lineRule="auto" w:before="94"/>
        <w:ind w:left="152" w:right="153"/>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月，公司的子公司惠州市爱迪尔珠宝首饰有限公司使用部分闲置募集资金购买了理财产品</w:t>
      </w:r>
      <w:r>
        <w:rPr>
          <w:rFonts w:ascii="Times New Roman" w:hAnsi="Times New Roman" w:cs="Times New Roman" w:eastAsia="Times New Roman" w:hint="default"/>
        </w:rPr>
        <w:t>8,000</w:t>
      </w:r>
    </w:p>
    <w:p>
      <w:pPr>
        <w:pStyle w:val="Heading7"/>
        <w:spacing w:line="240" w:lineRule="auto" w:before="22"/>
        <w:ind w:left="152" w:right="153"/>
        <w:jc w:val="left"/>
      </w:pPr>
      <w:r>
        <w:rPr/>
        <w:t>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153"/>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0"/>
        <w:gridCol w:w="1184"/>
        <w:gridCol w:w="1198"/>
        <w:gridCol w:w="1197"/>
        <w:gridCol w:w="1247"/>
        <w:gridCol w:w="1369"/>
        <w:gridCol w:w="1355"/>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3578" w:type="dxa"/>
            <w:gridSpan w:val="3"/>
            <w:vMerge/>
            <w:tcBorders>
              <w:left w:val="single" w:sz="4" w:space="0" w:color="000000"/>
              <w:bottom w:val="single" w:sz="4" w:space="0" w:color="000000"/>
              <w:right w:val="single" w:sz="4" w:space="0" w:color="000000"/>
            </w:tcBorders>
            <w:shd w:val="clear" w:color="auto" w:fill="D2D2D2"/>
          </w:tcPr>
          <w:p>
            <w:pPr/>
          </w:p>
        </w:tc>
        <w:tc>
          <w:tcPr>
            <w:tcW w:w="397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1,200,000.00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1,200,000.00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1,200,000.00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深圳市宝 易通珠宝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4.55%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1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6"/>
        <w:gridCol w:w="1167"/>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对合营企 业投资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after="0" w:line="240" w:lineRule="auto"/>
        <w:jc w:val="left"/>
        <w:sectPr>
          <w:footerReference w:type="default" r:id="rId19"/>
          <w:pgSz w:w="11910" w:h="16840"/>
          <w:pgMar w:footer="979"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4,066,466.43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4,279,993.05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5,501,467.00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26,228,867.08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40,076,793.56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2,213,997.62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8,550,754.72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1,524,836.93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12,289,589.27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2,213,997.62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8,550,754.72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1,524,836.93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12,289,589.27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6,280,464.05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12,830,747.77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7,026,303.93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26,228,867.08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52,366,382.83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2,116,277.94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1,143,596.40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2,761,893.76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3,762,391.08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9,784,159.18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547,485.04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458,899.66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450,613.52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786,866.16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2,243,864.38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547,485.04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458,899.66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450,613.52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786,866.16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2,243,864.38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2,663,762.98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1,602,496.06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3,212,507.28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4,549,257.24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12,028,023.56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3,616,701.07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11,228,251.71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3,813,796.65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21,679,609.84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40,338,359.27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1,950,188.49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3,136,396.65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2,739,573.24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22,466,476.00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30,292,634.38</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7,327,823.63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9,855,492.63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96,202.21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176,102.21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176,102.21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2,119,669.00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144,360.00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343,540.00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7,424,025.84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10,031,594.84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248,396.89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261,295.51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5,751,926.18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6,365,378.58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16,963.90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1,027,780.10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1,110,535.44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41,438.65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16,963.90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24,352.79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1,027,780.10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1,110,535.44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289,835.54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120,723.90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285,648.30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6,779,706.28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7,475,914.02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1,829,833.46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23,636.10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644,319.56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2,555,680.82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1,871,272.11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7,844.49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1,575,897.45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3,490,114.05</w:t>
            </w:r>
          </w:p>
        </w:tc>
      </w:tr>
    </w:tbl>
    <w:p>
      <w:pPr>
        <w:pStyle w:val="BodyText"/>
        <w:spacing w:line="240" w:lineRule="auto" w:before="49"/>
        <w:ind w:right="15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49"/>
        <w:ind w:right="5094"/>
        <w:jc w:val="left"/>
      </w:pPr>
      <w:r>
        <w:rPr/>
        <w:t>说明商誉减值测试过程、参数及商誉减值损失的确认方法： 其他说明</w:t>
      </w:r>
    </w:p>
    <w:p>
      <w:pPr>
        <w:spacing w:line="240" w:lineRule="auto" w:before="2"/>
        <w:rPr>
          <w:rFonts w:ascii="宋体" w:hAnsi="宋体" w:cs="宋体" w:eastAsia="宋体" w:hint="default"/>
          <w:sz w:val="20"/>
          <w:szCs w:val="20"/>
        </w:rPr>
      </w:pPr>
    </w:p>
    <w:p>
      <w:pPr>
        <w:pStyle w:val="Heading6"/>
        <w:spacing w:line="240" w:lineRule="auto"/>
        <w:ind w:right="153"/>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601,161.17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7,955,126.17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767,282.67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7,789,004.67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601,161.17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7,955,126.17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767,282.67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7,789,004.67</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14,674,766.37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3,668,691.59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8,736,143.34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2,184,035.84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14,674,766.37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3,668,691.59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8,736,143.34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2,184,035.84</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5"/>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4" w:right="0"/>
              <w:jc w:val="left"/>
              <w:rPr>
                <w:rFonts w:ascii="Times New Roman" w:hAnsi="Times New Roman" w:cs="Times New Roman" w:eastAsia="Times New Roman" w:hint="default"/>
                <w:sz w:val="18"/>
                <w:szCs w:val="18"/>
              </w:rPr>
            </w:pPr>
            <w:r>
              <w:rPr>
                <w:rFonts w:ascii="Times New Roman"/>
                <w:sz w:val="18"/>
              </w:rPr>
              <w:t>3,668,691.59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4" w:right="0"/>
              <w:jc w:val="left"/>
              <w:rPr>
                <w:rFonts w:ascii="Times New Roman" w:hAnsi="Times New Roman" w:cs="Times New Roman" w:eastAsia="Times New Roman" w:hint="default"/>
                <w:sz w:val="18"/>
                <w:szCs w:val="18"/>
              </w:rPr>
            </w:pPr>
            <w:r>
              <w:rPr>
                <w:rFonts w:ascii="Times New Roman"/>
                <w:sz w:val="18"/>
              </w:rPr>
              <w:t>2,184,035.84</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7,151,726.00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7,151,726.00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190,000,000.00</w:t>
            </w:r>
          </w:p>
        </w:tc>
      </w:tr>
    </w:tbl>
    <w:p>
      <w:pPr>
        <w:pStyle w:val="BodyText"/>
        <w:spacing w:line="240" w:lineRule="auto" w:before="49"/>
        <w:ind w:right="153"/>
        <w:jc w:val="left"/>
      </w:pPr>
      <w:r>
        <w:rPr/>
        <w:t>短期借款分类的说明：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51,439,732.65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73,287,499.02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51,439,732.65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73,287,499.02</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6,058,667.19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5,560,833.38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14,171,099.05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2,623,104.24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22,193,866.24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9,425,737.62</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2,107,362.43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43,351,231.46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41,839,323.81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3,619,270.08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2,361,291.83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2,361,291.83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2,107,362.43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45,712,523.29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44,200,615.64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3,619,270.08</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1,680,898.40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38,347,962.83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36,847,170.51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3,181,690.72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1,634,171.97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1,634,171.97</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1,565,516.67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1,565,516.67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1,399,569.94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1,399,569.94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82,284.65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82,284.65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83,662.08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83,662.08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1,452,453.74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1,452,453.74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426,464.03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351,126.25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340,010.92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437,579.36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2,107,362.43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43,351,231.46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41,839,323.81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3,619,270.08</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2,196,639.78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2,196,639.78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164,652.05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164,652.05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2,361,291.83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2,361,291.83</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1,456,796.86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2,281,464.90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52,371.72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25,313,307.88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16,823,286.13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93,981.74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164,369.22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117,406.59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30,213.72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12,154.41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27,168,486.98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19,545,034.71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0"/>
          <w:pgSz w:w="11910" w:h="16840"/>
          <w:pgMar w:footer="979" w:header="745" w:top="1060" w:bottom="1160" w:left="980" w:right="980"/>
          <w:pgNumType w:start="12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重要的已逾期未支付的利息情况：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5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0"/>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客人来料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5,207,548.00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5,332,009.59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证书费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1,774,189.00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2,324,192.00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2,411,246.00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1,679,246.00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伙食费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199,018.23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387,246.56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165,227.00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30,275.60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14,150.94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11,190.00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7,413.00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46,046.64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1,444,184.61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420,368.55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11,709,432.75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10,629,137.55</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短期应付债券的增减变动：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7614"/>
        <w:jc w:val="left"/>
      </w:pPr>
      <w:r>
        <w:rPr/>
        <w:t>长期借款分类的说明： 其他说明，包括利率区间：</w:t>
      </w:r>
    </w:p>
    <w:p>
      <w:pPr>
        <w:spacing w:line="240" w:lineRule="auto" w:before="6"/>
        <w:rPr>
          <w:rFonts w:ascii="宋体" w:hAnsi="宋体" w:cs="宋体" w:eastAsia="宋体" w:hint="default"/>
          <w:sz w:val="20"/>
          <w:szCs w:val="20"/>
        </w:rPr>
      </w:pPr>
    </w:p>
    <w:p>
      <w:pPr>
        <w:pStyle w:val="Heading6"/>
        <w:spacing w:line="240" w:lineRule="auto"/>
        <w:ind w:right="15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6"/>
        <w:spacing w:line="240" w:lineRule="auto"/>
        <w:ind w:right="153"/>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设定受益计划义务现值：</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53"/>
        <w:jc w:val="left"/>
      </w:pPr>
      <w:r>
        <w:rPr/>
        <w:t>计划资产：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3"/>
        <w:jc w:val="left"/>
      </w:pPr>
      <w:r>
        <w:rPr/>
        <w:t>设定受益计划净负债（净资产）</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4"/>
        <w:jc w:val="left"/>
      </w:pPr>
      <w:r>
        <w:rPr/>
        <w:t>设定受益计划的内容及与之相关风险、对公司未来现金流量、时间和不确定性的影响说明： 设定受益计划重大精算假设及敏感性分析结果说明：</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5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与资产相关的递延 收益</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产业扶持资金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原创项目研发和 非遗产业化资助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1,040,500.00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Heading7"/>
        <w:spacing w:line="256" w:lineRule="auto" w:before="94"/>
        <w:ind w:left="861" w:right="153"/>
        <w:jc w:val="left"/>
      </w:pPr>
      <w:r>
        <w:rPr>
          <w:spacing w:val="-2"/>
        </w:rPr>
        <w:t>产业扶持资金为</w:t>
      </w:r>
      <w:r>
        <w:rPr>
          <w:rFonts w:ascii="Times New Roman" w:hAnsi="Times New Roman" w:cs="Times New Roman" w:eastAsia="Times New Roman" w:hint="default"/>
          <w:spacing w:val="-2"/>
        </w:rPr>
        <w:t>2013</w:t>
      </w:r>
      <w:r>
        <w:rPr>
          <w:spacing w:val="-2"/>
        </w:rPr>
        <w:t>年度公司取得</w:t>
      </w:r>
      <w:r>
        <w:rPr>
          <w:rFonts w:ascii="Times New Roman" w:hAnsi="Times New Roman" w:cs="Times New Roman" w:eastAsia="Times New Roman" w:hint="default"/>
          <w:spacing w:val="-2"/>
        </w:rPr>
        <w:t>105</w:t>
      </w:r>
      <w:r>
        <w:rPr>
          <w:spacing w:val="-2"/>
        </w:rPr>
        <w:t>万元产业扶持资金，其中：</w:t>
      </w:r>
      <w:r>
        <w:rPr>
          <w:rFonts w:ascii="Times New Roman" w:hAnsi="Times New Roman" w:cs="Times New Roman" w:eastAsia="Times New Roman" w:hint="default"/>
          <w:spacing w:val="-2"/>
        </w:rPr>
        <w:t>78</w:t>
      </w:r>
      <w:r>
        <w:rPr>
          <w:spacing w:val="-2"/>
        </w:rPr>
        <w:t>万元属于对购买设备的资金扶</w:t>
      </w:r>
      <w:r>
        <w:rPr>
          <w:spacing w:val="-16"/>
        </w:rPr>
        <w:t> </w:t>
      </w:r>
      <w:r>
        <w:rPr>
          <w:spacing w:val="-16"/>
        </w:rPr>
      </w:r>
      <w:r>
        <w:rPr/>
        <w:t>持；</w:t>
      </w:r>
      <w:r>
        <w:rPr>
          <w:rFonts w:ascii="Times New Roman" w:hAnsi="Times New Roman" w:cs="Times New Roman" w:eastAsia="Times New Roman" w:hint="default"/>
        </w:rPr>
        <w:t>27</w:t>
      </w:r>
      <w:r>
        <w:rPr/>
        <w:t>万元属于对相关费用的资金扶持；</w:t>
      </w:r>
      <w:r>
        <w:rPr>
          <w:w w:val="100"/>
        </w:rPr>
        <w:t> </w:t>
      </w:r>
      <w:r>
        <w:rPr>
          <w:spacing w:val="-4"/>
        </w:rPr>
        <w:t>原创项目研发和非遗产业化资助，金额</w:t>
      </w:r>
      <w:r>
        <w:rPr>
          <w:rFonts w:ascii="Times New Roman" w:hAnsi="Times New Roman" w:cs="Times New Roman" w:eastAsia="Times New Roman" w:hint="default"/>
          <w:spacing w:val="-4"/>
        </w:rPr>
        <w:t>78</w:t>
      </w:r>
      <w:r>
        <w:rPr>
          <w:spacing w:val="-4"/>
        </w:rPr>
        <w:t>万元，其中</w:t>
      </w:r>
      <w:r>
        <w:rPr>
          <w:rFonts w:ascii="Times New Roman" w:hAnsi="Times New Roman" w:cs="Times New Roman" w:eastAsia="Times New Roman" w:hint="default"/>
          <w:spacing w:val="-4"/>
        </w:rPr>
        <w:t>49</w:t>
      </w:r>
      <w:r>
        <w:rPr>
          <w:spacing w:val="-4"/>
        </w:rPr>
        <w:t>万元属于购买设备的资金扶持，</w:t>
      </w:r>
      <w:r>
        <w:rPr>
          <w:rFonts w:ascii="Times New Roman" w:hAnsi="Times New Roman" w:cs="Times New Roman" w:eastAsia="Times New Roman" w:hint="default"/>
          <w:spacing w:val="-4"/>
        </w:rPr>
        <w:t>29</w:t>
      </w:r>
      <w:r>
        <w:rPr>
          <w:spacing w:val="-4"/>
        </w:rPr>
        <w:t>万元属于</w:t>
      </w:r>
      <w:r>
        <w:rPr>
          <w:spacing w:val="-29"/>
        </w:rPr>
        <w:t> </w:t>
      </w:r>
      <w:r>
        <w:rPr>
          <w:spacing w:val="-29"/>
        </w:rPr>
      </w:r>
      <w:r>
        <w:rPr/>
        <w:t>对费用的资金扶持。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40" w:lineRule="auto"/>
        <w:ind w:right="15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4"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75,000,000.00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25,000,000.00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25,000,000.00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40" w:lineRule="auto" w:before="49"/>
        <w:ind w:right="0"/>
        <w:jc w:val="left"/>
      </w:pPr>
      <w:r>
        <w:rPr/>
        <w:t>其他说明：</w:t>
      </w:r>
    </w:p>
    <w:p>
      <w:pPr>
        <w:pStyle w:val="Heading7"/>
        <w:spacing w:line="256" w:lineRule="auto" w:before="97"/>
        <w:ind w:left="270" w:right="0"/>
        <w:jc w:val="left"/>
      </w:pPr>
      <w:r>
        <w:rPr/>
        <w:t>经中国证券监督管理委员会《关于核准深圳市爱迪尔珠宝股份有限公司首次公开发行股票的批复》</w:t>
      </w:r>
      <w:r>
        <w:rPr>
          <w:rFonts w:ascii="Times New Roman" w:hAnsi="Times New Roman" w:cs="Times New Roman" w:eastAsia="Times New Roman" w:hint="default"/>
        </w:rPr>
        <w:t>(</w:t>
      </w:r>
      <w:r>
        <w:rPr/>
        <w:t>证监</w:t>
      </w:r>
      <w:r>
        <w:rPr>
          <w:spacing w:val="-3"/>
          <w:w w:val="100"/>
        </w:rPr>
        <w:t> </w:t>
      </w:r>
      <w:r>
        <w:rPr/>
        <w:t>许可</w:t>
      </w:r>
      <w:r>
        <w:rPr>
          <w:rFonts w:ascii="Times New Roman" w:hAnsi="Times New Roman" w:cs="Times New Roman" w:eastAsia="Times New Roman" w:hint="default"/>
        </w:rPr>
        <w:t>[2015]28</w:t>
      </w:r>
      <w:r>
        <w:rPr/>
        <w:t>号</w:t>
      </w:r>
      <w:r>
        <w:rPr>
          <w:rFonts w:ascii="Times New Roman" w:hAnsi="Times New Roman" w:cs="Times New Roman" w:eastAsia="Times New Roman" w:hint="default"/>
        </w:rPr>
        <w:t>)</w:t>
      </w:r>
      <w:r>
        <w:rPr/>
        <w:t>核准</w:t>
      </w:r>
      <w:r>
        <w:rPr>
          <w:rFonts w:ascii="Times New Roman" w:hAnsi="Times New Roman" w:cs="Times New Roman" w:eastAsia="Times New Roman" w:hint="default"/>
        </w:rPr>
        <w:t>, </w:t>
      </w:r>
      <w:r>
        <w:rPr>
          <w:spacing w:val="-4"/>
        </w:rPr>
        <w:t>公司向社会首次公开发行人民币普通股（</w:t>
      </w:r>
      <w:r>
        <w:rPr>
          <w:rFonts w:ascii="Times New Roman" w:hAnsi="Times New Roman" w:cs="Times New Roman" w:eastAsia="Times New Roman" w:hint="default"/>
          <w:spacing w:val="-4"/>
        </w:rPr>
        <w:t>A </w:t>
      </w:r>
      <w:r>
        <w:rPr>
          <w:spacing w:val="-4"/>
        </w:rPr>
        <w:t>股）</w:t>
      </w:r>
      <w:r>
        <w:rPr>
          <w:rFonts w:ascii="Times New Roman" w:hAnsi="Times New Roman" w:cs="Times New Roman" w:eastAsia="Times New Roman" w:hint="default"/>
          <w:spacing w:val="-4"/>
        </w:rPr>
        <w:t>25,000,000.00</w:t>
      </w:r>
      <w:r>
        <w:rPr>
          <w:spacing w:val="-4"/>
        </w:rPr>
        <w:t>股（每股面值</w:t>
      </w:r>
      <w:r>
        <w:rPr>
          <w:rFonts w:ascii="Times New Roman" w:hAnsi="Times New Roman" w:cs="Times New Roman" w:eastAsia="Times New Roman" w:hint="default"/>
          <w:spacing w:val="-4"/>
        </w:rPr>
        <w:t>1 </w:t>
      </w:r>
      <w:r>
        <w:rPr>
          <w:spacing w:val="-11"/>
        </w:rPr>
        <w:t>元），</w:t>
      </w:r>
      <w:r>
        <w:rPr>
          <w:spacing w:val="-91"/>
        </w:rPr>
        <w:t> </w:t>
      </w:r>
      <w:r>
        <w:rPr>
          <w:spacing w:val="-91"/>
        </w:rPr>
      </w:r>
      <w:r>
        <w:rPr/>
        <w:t>发行价格为每股</w:t>
      </w:r>
      <w:r>
        <w:rPr>
          <w:rFonts w:ascii="Times New Roman" w:hAnsi="Times New Roman" w:cs="Times New Roman" w:eastAsia="Times New Roman" w:hint="default"/>
        </w:rPr>
        <w:t>16.48</w:t>
      </w:r>
      <w:r>
        <w:rPr/>
        <w:t>元，募集资金总额为</w:t>
      </w:r>
      <w:r>
        <w:rPr>
          <w:rFonts w:ascii="Times New Roman" w:hAnsi="Times New Roman" w:cs="Times New Roman" w:eastAsia="Times New Roman" w:hint="default"/>
        </w:rPr>
        <w:t>412,000,000.00</w:t>
      </w:r>
      <w:r>
        <w:rPr/>
        <w:t>元，扣除承销费等发行费用</w:t>
      </w:r>
      <w:r>
        <w:rPr>
          <w:rFonts w:ascii="Times New Roman" w:hAnsi="Times New Roman" w:cs="Times New Roman" w:eastAsia="Times New Roman" w:hint="default"/>
        </w:rPr>
        <w:t>52,023,691.03</w:t>
      </w:r>
      <w:r>
        <w:rPr/>
        <w:t>元，实</w:t>
      </w:r>
      <w:r>
        <w:rPr>
          <w:spacing w:val="-95"/>
        </w:rPr>
        <w:t> </w:t>
      </w:r>
      <w:r>
        <w:rPr>
          <w:spacing w:val="-95"/>
        </w:rPr>
      </w:r>
      <w:r>
        <w:rPr>
          <w:spacing w:val="-7"/>
          <w:w w:val="100"/>
        </w:rPr>
        <w:t>际募集资金净额</w:t>
      </w:r>
      <w:r>
        <w:rPr>
          <w:rFonts w:ascii="Times New Roman" w:hAnsi="Times New Roman" w:cs="Times New Roman" w:eastAsia="Times New Roman" w:hint="default"/>
          <w:spacing w:val="-7"/>
          <w:w w:val="100"/>
        </w:rPr>
        <w:t>359,976,308.97</w:t>
      </w:r>
      <w:r>
        <w:rPr>
          <w:spacing w:val="-7"/>
          <w:w w:val="100"/>
        </w:rPr>
        <w:t>元，其中新增注册资本（股本）为</w:t>
      </w:r>
      <w:r>
        <w:rPr>
          <w:rFonts w:ascii="Times New Roman" w:hAnsi="Times New Roman" w:cs="Times New Roman" w:eastAsia="Times New Roman" w:hint="default"/>
          <w:spacing w:val="-7"/>
          <w:w w:val="100"/>
        </w:rPr>
        <w:t>25,000,000.00</w:t>
      </w:r>
      <w:r>
        <w:rPr>
          <w:spacing w:val="-7"/>
          <w:w w:val="100"/>
        </w:rPr>
        <w:t>元，资本公积为</w:t>
      </w:r>
      <w:r>
        <w:rPr>
          <w:rFonts w:ascii="Times New Roman" w:hAnsi="Times New Roman" w:cs="Times New Roman" w:eastAsia="Times New Roman" w:hint="default"/>
          <w:spacing w:val="-7"/>
          <w:w w:val="100"/>
        </w:rPr>
        <w:t>334,976,308.97</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spacing w:val="-3"/>
        </w:rPr>
        <w:t>元，以上募集资金的到位情况已由立信会计师事务所（特殊普通合伙）审验并于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日出具报告</w:t>
      </w:r>
      <w:r>
        <w:rPr>
          <w:spacing w:val="-6"/>
        </w:rPr>
        <w:t> </w:t>
      </w:r>
      <w:r>
        <w:rPr>
          <w:spacing w:val="-6"/>
        </w:rPr>
      </w:r>
      <w:r>
        <w:rPr/>
        <w:t>号为信会师报字（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210031</w:t>
      </w:r>
      <w:r>
        <w:rPr/>
        <w:t>号的《验资报告》。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371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87,259,539.26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334,976,308.97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422,235,848.23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87,259,539.26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334,976,308.97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422,235,848.23</w:t>
            </w:r>
          </w:p>
        </w:tc>
      </w:tr>
    </w:tbl>
    <w:p>
      <w:pPr>
        <w:pStyle w:val="BodyText"/>
        <w:spacing w:line="240" w:lineRule="auto" w:before="49"/>
        <w:ind w:right="0"/>
        <w:jc w:val="left"/>
      </w:pPr>
      <w:r>
        <w:rPr/>
        <w:t>其他说明，包括本期增减变动情况、变动原因说明：</w:t>
      </w:r>
    </w:p>
    <w:p>
      <w:pPr>
        <w:pStyle w:val="Heading7"/>
        <w:spacing w:line="256" w:lineRule="auto" w:before="96"/>
        <w:ind w:left="152" w:right="0"/>
        <w:jc w:val="left"/>
        <w:rPr>
          <w:rFonts w:ascii="Times New Roman" w:hAnsi="Times New Roman" w:cs="Times New Roman" w:eastAsia="Times New Roman" w:hint="default"/>
        </w:rPr>
      </w:pPr>
      <w:r>
        <w:rPr>
          <w:spacing w:val="-4"/>
        </w:rPr>
        <w:t>经中国证券监督管理委员会《关于核准深圳市爱迪尔珠宝股份有限公司首次公开发行股票的批复》</w:t>
      </w:r>
      <w:r>
        <w:rPr>
          <w:rFonts w:ascii="Times New Roman" w:hAnsi="Times New Roman" w:cs="Times New Roman" w:eastAsia="Times New Roman" w:hint="default"/>
          <w:spacing w:val="-4"/>
        </w:rPr>
        <w:t>(</w:t>
      </w:r>
      <w:r>
        <w:rPr>
          <w:spacing w:val="-4"/>
        </w:rPr>
        <w:t>证监许</w:t>
      </w:r>
      <w:r>
        <w:rPr>
          <w:spacing w:val="-18"/>
        </w:rPr>
        <w:t> </w:t>
      </w:r>
      <w:r>
        <w:rPr>
          <w:spacing w:val="-18"/>
        </w:rPr>
      </w:r>
      <w:r>
        <w:rPr/>
        <w:t>可</w:t>
      </w:r>
      <w:r>
        <w:rPr>
          <w:rFonts w:ascii="Times New Roman" w:hAnsi="Times New Roman" w:cs="Times New Roman" w:eastAsia="Times New Roman" w:hint="default"/>
        </w:rPr>
        <w:t>[2015]28</w:t>
      </w:r>
      <w:r>
        <w:rPr/>
        <w:t>号</w:t>
      </w:r>
      <w:r>
        <w:rPr>
          <w:rFonts w:ascii="Times New Roman" w:hAnsi="Times New Roman" w:cs="Times New Roman" w:eastAsia="Times New Roman" w:hint="default"/>
        </w:rPr>
        <w:t>)</w:t>
      </w:r>
      <w:r>
        <w:rPr/>
        <w:t>核准</w:t>
      </w:r>
      <w:r>
        <w:rPr>
          <w:rFonts w:ascii="Times New Roman" w:hAnsi="Times New Roman" w:cs="Times New Roman" w:eastAsia="Times New Roman" w:hint="default"/>
        </w:rPr>
        <w:t>, </w:t>
      </w:r>
      <w:r>
        <w:rPr/>
        <w:t>公司向社会首次公开发行人民币普通股（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25,000,000.00</w:t>
      </w:r>
      <w:r>
        <w:rPr/>
        <w:t>股（每股面值</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元），</w:t>
      </w:r>
      <w:r>
        <w:rPr>
          <w:w w:val="100"/>
        </w:rPr>
        <w:t> </w:t>
      </w:r>
      <w:r>
        <w:rPr>
          <w:spacing w:val="-3"/>
        </w:rPr>
        <w:t>发行价格为每股</w:t>
      </w:r>
      <w:r>
        <w:rPr>
          <w:rFonts w:ascii="Times New Roman" w:hAnsi="Times New Roman" w:cs="Times New Roman" w:eastAsia="Times New Roman" w:hint="default"/>
          <w:spacing w:val="-3"/>
        </w:rPr>
        <w:t>16.48</w:t>
      </w:r>
      <w:r>
        <w:rPr>
          <w:spacing w:val="-3"/>
        </w:rPr>
        <w:t>元，募集资金总额为</w:t>
      </w:r>
      <w:r>
        <w:rPr>
          <w:rFonts w:ascii="Times New Roman" w:hAnsi="Times New Roman" w:cs="Times New Roman" w:eastAsia="Times New Roman" w:hint="default"/>
          <w:spacing w:val="-3"/>
        </w:rPr>
        <w:t>412,000,000.00</w:t>
      </w:r>
      <w:r>
        <w:rPr>
          <w:spacing w:val="-3"/>
        </w:rPr>
        <w:t>元，扣除承销费等发行费用</w:t>
      </w:r>
      <w:r>
        <w:rPr>
          <w:rFonts w:ascii="Times New Roman" w:hAnsi="Times New Roman" w:cs="Times New Roman" w:eastAsia="Times New Roman" w:hint="default"/>
          <w:spacing w:val="-3"/>
        </w:rPr>
        <w:t>52,023,691.03</w:t>
      </w:r>
      <w:r>
        <w:rPr>
          <w:spacing w:val="-3"/>
        </w:rPr>
        <w:t>元，实际</w:t>
      </w:r>
      <w:r>
        <w:rPr>
          <w:spacing w:val="-1"/>
        </w:rPr>
        <w:t> </w:t>
      </w:r>
      <w:r>
        <w:rPr>
          <w:spacing w:val="-1"/>
        </w:rPr>
      </w:r>
      <w:r>
        <w:rPr>
          <w:spacing w:val="-3"/>
        </w:rPr>
        <w:t>募集资金净额</w:t>
      </w:r>
      <w:r>
        <w:rPr>
          <w:rFonts w:ascii="Times New Roman" w:hAnsi="Times New Roman" w:cs="Times New Roman" w:eastAsia="Times New Roman" w:hint="default"/>
          <w:spacing w:val="-3"/>
        </w:rPr>
        <w:t>359,976,308.97</w:t>
      </w:r>
      <w:r>
        <w:rPr>
          <w:spacing w:val="-3"/>
        </w:rPr>
        <w:t>元，其中新增注册资本（股本）为</w:t>
      </w:r>
      <w:r>
        <w:rPr>
          <w:rFonts w:ascii="Times New Roman" w:hAnsi="Times New Roman" w:cs="Times New Roman" w:eastAsia="Times New Roman" w:hint="default"/>
          <w:spacing w:val="-3"/>
        </w:rPr>
        <w:t>25,000,000.00</w:t>
      </w:r>
      <w:r>
        <w:rPr>
          <w:spacing w:val="-3"/>
        </w:rPr>
        <w:t>元，资本公积为</w:t>
      </w:r>
      <w:r>
        <w:rPr>
          <w:rFonts w:ascii="Times New Roman" w:hAnsi="Times New Roman" w:cs="Times New Roman" w:eastAsia="Times New Roman" w:hint="default"/>
          <w:spacing w:val="-3"/>
        </w:rPr>
        <w:t>334,976,308.97</w:t>
      </w:r>
    </w:p>
    <w:p>
      <w:pPr>
        <w:spacing w:after="0" w:line="256" w:lineRule="auto"/>
        <w:jc w:val="left"/>
        <w:rPr>
          <w:rFonts w:ascii="Times New Roman" w:hAnsi="Times New Roman" w:cs="Times New Roman" w:eastAsia="Times New Roman" w:hint="default"/>
        </w:rPr>
        <w:sectPr>
          <w:pgSz w:w="11910" w:h="16840"/>
          <w:pgMar w:header="745" w:footer="979" w:top="1060" w:bottom="1160" w:left="980" w:right="920"/>
        </w:sectPr>
      </w:pPr>
    </w:p>
    <w:p>
      <w:pPr>
        <w:spacing w:line="240" w:lineRule="auto" w:before="3"/>
        <w:rPr>
          <w:rFonts w:ascii="Times New Roman" w:hAnsi="Times New Roman" w:cs="Times New Roman" w:eastAsia="Times New Roman" w:hint="default"/>
          <w:sz w:val="28"/>
          <w:szCs w:val="28"/>
        </w:rPr>
      </w:pPr>
    </w:p>
    <w:p>
      <w:pPr>
        <w:pStyle w:val="Heading7"/>
        <w:spacing w:line="256" w:lineRule="auto" w:before="36"/>
        <w:ind w:left="152" w:right="153"/>
        <w:jc w:val="left"/>
      </w:pPr>
      <w:r>
        <w:rPr>
          <w:spacing w:val="-2"/>
        </w:rPr>
        <w:t>元，以上募集资金的到位情况已由立信会计师事务所（特殊普通合伙）审验并于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日出具报告</w:t>
      </w:r>
      <w:r>
        <w:rPr>
          <w:spacing w:val="-17"/>
        </w:rPr>
        <w:t> </w:t>
      </w:r>
      <w:r>
        <w:rPr>
          <w:spacing w:val="-17"/>
        </w:rPr>
      </w:r>
      <w:r>
        <w:rPr/>
        <w:t>号为信会师报字（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210031</w:t>
      </w:r>
      <w:r>
        <w:rPr/>
        <w:t>号的《验资报告》。</w:t>
      </w:r>
    </w:p>
    <w:p>
      <w:pPr>
        <w:spacing w:line="240" w:lineRule="auto" w:before="4"/>
        <w:rPr>
          <w:rFonts w:ascii="宋体" w:hAnsi="宋体" w:cs="宋体" w:eastAsia="宋体" w:hint="default"/>
          <w:sz w:val="23"/>
          <w:szCs w:val="23"/>
        </w:rPr>
      </w:pPr>
    </w:p>
    <w:p>
      <w:pPr>
        <w:pStyle w:val="Heading6"/>
        <w:spacing w:line="240" w:lineRule="auto"/>
        <w:ind w:right="15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5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38,452,912.52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7,518,426.49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45,971,339.01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38,452,912.52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7,518,426.49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45,971,339.01</w:t>
            </w:r>
          </w:p>
        </w:tc>
      </w:tr>
    </w:tbl>
    <w:p>
      <w:pPr>
        <w:pStyle w:val="BodyText"/>
        <w:spacing w:line="240" w:lineRule="auto" w:before="49"/>
        <w:ind w:right="15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336,142,116.14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257,835,302.98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336,142,116.14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257,835,302.98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67,378,787.20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7,518,426.49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9,066,881.61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381,002,476.85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1" w:right="0"/>
              <w:jc w:val="left"/>
              <w:rPr>
                <w:rFonts w:ascii="Times New Roman" w:hAnsi="Times New Roman" w:cs="Times New Roman" w:eastAsia="Times New Roman" w:hint="default"/>
                <w:sz w:val="18"/>
                <w:szCs w:val="18"/>
              </w:rPr>
            </w:pPr>
            <w:r>
              <w:rPr>
                <w:rFonts w:ascii="Times New Roman"/>
                <w:sz w:val="18"/>
              </w:rPr>
              <w:t>336,142,116.14</w:t>
            </w:r>
          </w:p>
        </w:tc>
      </w:tr>
    </w:tbl>
    <w:p>
      <w:pPr>
        <w:pStyle w:val="BodyText"/>
        <w:spacing w:line="240" w:lineRule="auto" w:before="49"/>
        <w:ind w:right="153"/>
        <w:jc w:val="left"/>
      </w:pPr>
      <w:r>
        <w:rPr/>
        <w:t>调整期初未分配利润明细：</w:t>
      </w:r>
    </w:p>
    <w:p>
      <w:pPr>
        <w:pStyle w:val="BodyText"/>
        <w:spacing w:line="240" w:lineRule="auto" w:before="115"/>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827,666,897.33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659,831,306.13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878,846,079.78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684,343,868.51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11,848,718.82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2,294,388.70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6,055,620.53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1,613,763.91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839,515,616.15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662,125,694.83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884,901,700.31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685,957,632.42</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388,602.73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632,767.33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1,730,467.22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1,736,737.52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1,236,048.00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1,240,526.79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3,355,117.95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3,610,031.64</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22,899,199.30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16,708,594.37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17,718,492.53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16,475,473.14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2,457,639.13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2,569,517.85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1,672,629.22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1,567,246.78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1,463,817.81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1,846,694.60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751,667.59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770,484.57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693,602.50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187,063.90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431,507.32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222,986.59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174,352.45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2,399,729.18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1,840,008.18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50,432,348.75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43,077,481.76</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9,486,422.64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7,560,052.67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540,043.26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196,824.72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876,833.54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1,124,888.90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1,110,535.45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2,090,100.28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168,993.38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1,304,759.87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1,245,560.00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1,257,392.97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509,870.06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1,279,427.80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904,537.34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182,618.03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923,712.60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865,652.32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606,329.69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747,132.86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336,965.29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319,585.83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2,627,460.50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2,489,568.53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22,435,734.00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18,742,350.21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10,628,868.26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13,785,416.69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5,269,676.92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496,975.73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188,372.59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5,473,838.08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13,476,813.55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4,859,633.74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3,744,024.08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1,085,799.34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70,236.58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5,945,433.08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3,814,260.66</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-283,184.78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-283,184.78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3,355,427.69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2,561,361.10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3,355,427.69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406,581.81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406,581.81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3,762,009.50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2,561,361.10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3,762,009.50</w:t>
            </w:r>
          </w:p>
        </w:tc>
      </w:tr>
    </w:tbl>
    <w:p>
      <w:pPr>
        <w:pStyle w:val="BodyText"/>
        <w:spacing w:line="240" w:lineRule="auto" w:before="49"/>
        <w:ind w:right="153"/>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5"/>
        <w:gridCol w:w="1062"/>
        <w:gridCol w:w="1052"/>
      </w:tblGrid>
      <w:tr>
        <w:trPr>
          <w:trHeight w:val="71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安置补助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特困补助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15,910.40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8,334.90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政府产业扶 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政府产业扶 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312,340.00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3,355,427.69</w:t>
            </w:r>
          </w:p>
        </w:tc>
        <w:tc>
          <w:tcPr>
            <w:tcW w:w="10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2,561,361.10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9,162.64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58,142.50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58,142.50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358,442.50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209,162.64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26,973,700.23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32,150,555.12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-1,484,655.75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-948,921.36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25,489,044.48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31,201,633.76</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92,867,831.68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26,973,700.23</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-1,484,655.75</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25,489,044.48</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详见附注。</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3,228,427.69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2,948,861.10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5,269,280.46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496,750.55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532,415.17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2,597,656.03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1,003,225.84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10,381,387.86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7,046,493.52</w:t>
            </w:r>
          </w:p>
        </w:tc>
      </w:tr>
    </w:tbl>
    <w:p>
      <w:pPr>
        <w:pStyle w:val="BodyText"/>
        <w:spacing w:line="240" w:lineRule="auto" w:before="49"/>
        <w:ind w:right="15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1,939,681.00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1,303,931.41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2,253,465.36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2,736,720.74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2,168,331.62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2,211,386.58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5,866,599.47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1,883,706.52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3,791,887.80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3,443,382.00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880,619.54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24,770,845.09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16,319,642.91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2,197,959.64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1,945,908.13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502,203.06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899,572.71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4,894,948.44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3,580,956.57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1,477,422.70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4,481,163.64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51,419,694.76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39,886,990.75</w:t>
            </w:r>
          </w:p>
        </w:tc>
      </w:tr>
    </w:tbl>
    <w:p>
      <w:pPr>
        <w:pStyle w:val="BodyText"/>
        <w:spacing w:line="240" w:lineRule="auto" w:before="49"/>
        <w:ind w:right="15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银行借款到期收回的保证金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49"/>
        <w:ind w:right="15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取得银行借款支付的借款保证金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中介机构费用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25,300,000.00</w:t>
            </w:r>
          </w:p>
        </w:tc>
      </w:tr>
    </w:tbl>
    <w:p>
      <w:pPr>
        <w:pStyle w:val="BodyText"/>
        <w:spacing w:line="240" w:lineRule="auto" w:before="49"/>
        <w:ind w:right="153"/>
        <w:jc w:val="left"/>
      </w:pPr>
      <w:r>
        <w:rPr/>
        <w:t>支付的其他与筹资活动有关的现金说明：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347.389984pt;width:151.25pt;height:20.8pt;mso-position-horizontal-relative:page;mso-position-vertical-relative:page;z-index:-822712" coordorigin="4467,6948" coordsize="3025,416">
            <v:group style="position:absolute;left:4478;top:6959;width:2;height:394" coordorigin="4478,6959" coordsize="2,394">
              <v:shape style="position:absolute;left:4478;top:6959;width:2;height:394" coordorigin="4478,6959" coordsize="0,394" path="m4478,6959l4478,7352e" filled="false" stroked="true" strokeweight="1.08pt" strokecolor="#ffffff">
                <v:path arrowok="t"/>
              </v:shape>
            </v:group>
            <v:group style="position:absolute;left:4489;top:6959;width:3003;height:394" coordorigin="4489,6959" coordsize="3003,394">
              <v:shape style="position:absolute;left:4489;top:6959;width:3003;height:394" coordorigin="4489,6959" coordsize="3003,394" path="m4489,7352l7492,7352,7492,6959,4489,6959,4489,7352xe" filled="true" fillcolor="#ffffff" stroked="false">
                <v:path arrowok="t"/>
                <v:fill type="solid"/>
              </v:shape>
            </v:group>
            <w10:wrap type="none"/>
          </v:group>
        </w:pict>
      </w:r>
    </w:p>
    <w:p>
      <w:pPr>
        <w:pStyle w:val="Heading6"/>
        <w:spacing w:line="240" w:lineRule="auto" w:before="36"/>
        <w:ind w:right="153"/>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67,378,787.20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87,373,694.77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5,945,433.08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3,814,260.66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2,243,864.38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2,362,871.44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1,110,535.44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2,090,100.28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767,282.67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433,556.17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10,628,868.26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13,785,416.69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-1,484,655.75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-948,921.36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-19,259,203.39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-80,876,282.65</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-159,516,748.13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-102,848,974.93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-10,734,846.30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34,476,887.88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-102,637,497.76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-40,337,391.05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319,424,838.83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258,513,378.55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258,513,378.55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279,250,157.57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60,911,460.28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-20,736,779.02</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6"/>
        <w:gridCol w:w="4593"/>
      </w:tblGrid>
      <w:tr>
        <w:trPr>
          <w:trHeight w:val="401"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106,554,000.00</w:t>
            </w:r>
          </w:p>
        </w:tc>
      </w:tr>
      <w:tr>
        <w:trPr>
          <w:trHeight w:val="401"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106,554,000.00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319,424,838.83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258,513,378.55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340,313.35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36,867.30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319,084,525.48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258,476,511.25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319,424,838.83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258,513,378.55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spacing w:line="544" w:lineRule="auto" w:before="120"/>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中国民生银行深圳分行抵押贷款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160,000,000.00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6"/>
        <w:gridCol w:w="2292"/>
        <w:gridCol w:w="2391"/>
        <w:gridCol w:w="2379"/>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59" w:lineRule="auto" w:before="118"/>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21"/>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4"/>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8"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5"/>
        <w:ind w:right="5094"/>
        <w:jc w:val="left"/>
      </w:pPr>
      <w:r>
        <w:rPr/>
        <w:t>合并成本公允价值的确定方法、或有对价及其变动的说明： 大额商誉形成的主要原因：</w:t>
      </w:r>
    </w:p>
    <w:p>
      <w:pPr>
        <w:pStyle w:val="BodyText"/>
        <w:spacing w:line="240" w:lineRule="auto" w:before="2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91"/>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34"/>
        <w:jc w:val="left"/>
      </w:pPr>
      <w:r>
        <w:rPr/>
        <w:t>可辨认资产、负债公允价值的确定方法： 企业合并中承担的被购买方的或有负债：</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是否存在通过多次交易分步实现企业合并且在报告期内取得控制权的交易</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无</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无</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3"/>
      </w:tblGrid>
      <w:tr>
        <w:trPr>
          <w:trHeight w:val="134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ind w:right="7614"/>
        <w:jc w:val="left"/>
      </w:pPr>
      <w:r>
        <w:rPr/>
        <w:t>或有对价及其变动的说明： 其他说明：</w:t>
      </w:r>
    </w:p>
    <w:p>
      <w:pPr>
        <w:spacing w:line="240" w:lineRule="auto" w:before="2"/>
        <w:rPr>
          <w:rFonts w:ascii="宋体" w:hAnsi="宋体" w:cs="宋体" w:eastAsia="宋体" w:hint="default"/>
          <w:sz w:val="20"/>
          <w:szCs w:val="20"/>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4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4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ind w:right="6534"/>
        <w:jc w:val="left"/>
      </w:pPr>
      <w:r>
        <w:rPr/>
        <w:t>企业合并中承担的被合并方的或有负债： 其他说明：</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5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right="15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是否存在单次处置对子公司投资即丧失控制权的情形</w:t>
      </w:r>
    </w:p>
    <w:p>
      <w:pPr>
        <w:pStyle w:val="BodyText"/>
        <w:spacing w:line="338" w:lineRule="auto" w:before="117"/>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说明其他原因导致的合并范围变动（如，新设子公司、清算子公司等）及其相关情况：</w:t>
      </w:r>
    </w:p>
    <w:p>
      <w:pPr>
        <w:pStyle w:val="Heading5"/>
        <w:spacing w:line="312" w:lineRule="exact" w:before="97"/>
        <w:ind w:left="873" w:right="190"/>
        <w:jc w:val="both"/>
      </w:pPr>
      <w:r>
        <w:rPr/>
        <w:t>根据公司董事会第三届第四次临时会议：公司决议设立北京、成都、沈阳、武汉、重 庆、济南六大子公司主要用于展示产品、进行加盟业务推广、拓展加盟店、区域物流 配送、区域售后服务以及收集市场信息等。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387"/>
        <w:jc w:val="right"/>
      </w:pPr>
      <w:r>
        <w:rPr/>
        <w:pict>
          <v:shape style="position:absolute;margin-left:56.279999pt;margin-top:-48.268288pt;width:418.3pt;height:410.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3"/>
                    <w:gridCol w:w="1263"/>
                    <w:gridCol w:w="986"/>
                    <w:gridCol w:w="1133"/>
                    <w:gridCol w:w="2127"/>
                    <w:gridCol w:w="1573"/>
                  </w:tblGrid>
                  <w:tr>
                    <w:trPr>
                      <w:trHeight w:val="355" w:hRule="exact"/>
                    </w:trPr>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sz w:val="18"/>
                            <w:szCs w:val="18"/>
                          </w:rPr>
                          <w:t>公司性质</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39" w:right="0"/>
                          <w:jc w:val="left"/>
                          <w:rPr>
                            <w:rFonts w:ascii="宋体" w:hAnsi="宋体" w:cs="宋体" w:eastAsia="宋体" w:hint="default"/>
                            <w:sz w:val="18"/>
                            <w:szCs w:val="18"/>
                          </w:rPr>
                        </w:pPr>
                        <w:r>
                          <w:rPr>
                            <w:rFonts w:ascii="宋体" w:hAnsi="宋体" w:cs="宋体" w:eastAsia="宋体" w:hint="default"/>
                            <w:sz w:val="18"/>
                            <w:szCs w:val="18"/>
                          </w:rPr>
                          <w:t>拟定经营范围</w:t>
                        </w:r>
                      </w:p>
                    </w:tc>
                  </w:tr>
                  <w:tr>
                    <w:trPr>
                      <w:trHeight w:val="977"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1"/>
                          <w:jc w:val="both"/>
                          <w:rPr>
                            <w:rFonts w:ascii="宋体" w:hAnsi="宋体" w:cs="宋体" w:eastAsia="宋体" w:hint="default"/>
                            <w:sz w:val="18"/>
                            <w:szCs w:val="18"/>
                          </w:rPr>
                        </w:pPr>
                        <w:r>
                          <w:rPr>
                            <w:rFonts w:ascii="宋体" w:hAnsi="宋体" w:cs="宋体" w:eastAsia="宋体" w:hint="default"/>
                            <w:sz w:val="18"/>
                            <w:szCs w:val="18"/>
                          </w:rPr>
                          <w:t>济</w:t>
                        </w:r>
                        <w:r>
                          <w:rPr>
                            <w:rFonts w:ascii="宋体" w:hAnsi="宋体" w:cs="宋体" w:eastAsia="宋体" w:hint="default"/>
                            <w:spacing w:val="-57"/>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爱</w:t>
                        </w:r>
                        <w:r>
                          <w:rPr>
                            <w:rFonts w:ascii="宋体" w:hAnsi="宋体" w:cs="宋体" w:eastAsia="宋体" w:hint="default"/>
                            <w:spacing w:val="-57"/>
                            <w:sz w:val="18"/>
                            <w:szCs w:val="18"/>
                          </w:rPr>
                          <w:t> </w:t>
                        </w:r>
                        <w:r>
                          <w:rPr>
                            <w:rFonts w:ascii="宋体" w:hAnsi="宋体" w:cs="宋体" w:eastAsia="宋体" w:hint="default"/>
                            <w:sz w:val="18"/>
                            <w:szCs w:val="18"/>
                          </w:rPr>
                          <w:t>迪</w:t>
                        </w:r>
                        <w:r>
                          <w:rPr>
                            <w:rFonts w:ascii="宋体" w:hAnsi="宋体" w:cs="宋体" w:eastAsia="宋体" w:hint="default"/>
                            <w:spacing w:val="-60"/>
                            <w:sz w:val="18"/>
                            <w:szCs w:val="18"/>
                          </w:rPr>
                          <w:t> </w:t>
                        </w:r>
                        <w:r>
                          <w:rPr>
                            <w:rFonts w:ascii="宋体" w:hAnsi="宋体" w:cs="宋体" w:eastAsia="宋体" w:hint="default"/>
                            <w:sz w:val="18"/>
                            <w:szCs w:val="18"/>
                          </w:rPr>
                          <w:t>尔</w:t>
                        </w:r>
                        <w:r>
                          <w:rPr>
                            <w:rFonts w:ascii="宋体" w:hAnsi="宋体" w:cs="宋体" w:eastAsia="宋体" w:hint="default"/>
                            <w:spacing w:val="-60"/>
                            <w:sz w:val="18"/>
                            <w:szCs w:val="18"/>
                          </w:rPr>
                          <w:t> </w:t>
                        </w:r>
                        <w:r>
                          <w:rPr>
                            <w:rFonts w:ascii="宋体" w:hAnsi="宋体" w:cs="宋体" w:eastAsia="宋体" w:hint="default"/>
                            <w:sz w:val="18"/>
                            <w:szCs w:val="18"/>
                          </w:rPr>
                          <w:t>珠</w:t>
                        </w:r>
                        <w:r>
                          <w:rPr>
                            <w:rFonts w:ascii="宋体" w:hAnsi="宋体" w:cs="宋体" w:eastAsia="宋体" w:hint="default"/>
                            <w:sz w:val="18"/>
                            <w:szCs w:val="18"/>
                          </w:rPr>
                          <w:t> 宝</w:t>
                        </w:r>
                        <w:r>
                          <w:rPr>
                            <w:rFonts w:ascii="宋体" w:hAnsi="宋体" w:cs="宋体" w:eastAsia="宋体" w:hint="default"/>
                            <w:spacing w:val="-57"/>
                            <w:sz w:val="18"/>
                            <w:szCs w:val="18"/>
                          </w:rPr>
                          <w:t> </w:t>
                        </w:r>
                        <w:r>
                          <w:rPr>
                            <w:rFonts w:ascii="宋体" w:hAnsi="宋体" w:cs="宋体" w:eastAsia="宋体" w:hint="default"/>
                            <w:sz w:val="18"/>
                            <w:szCs w:val="18"/>
                          </w:rPr>
                          <w:t>首</w:t>
                        </w:r>
                        <w:r>
                          <w:rPr>
                            <w:rFonts w:ascii="宋体" w:hAnsi="宋体" w:cs="宋体" w:eastAsia="宋体" w:hint="default"/>
                            <w:spacing w:val="-57"/>
                            <w:sz w:val="18"/>
                            <w:szCs w:val="18"/>
                          </w:rPr>
                          <w:t> </w:t>
                        </w:r>
                        <w:r>
                          <w:rPr>
                            <w:rFonts w:ascii="宋体" w:hAnsi="宋体" w:cs="宋体" w:eastAsia="宋体" w:hint="default"/>
                            <w:sz w:val="18"/>
                            <w:szCs w:val="18"/>
                          </w:rPr>
                          <w:t>饰</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2"/>
                          <w:jc w:val="left"/>
                          <w:rPr>
                            <w:rFonts w:ascii="宋体" w:hAnsi="宋体" w:cs="宋体" w:eastAsia="宋体" w:hint="default"/>
                            <w:sz w:val="18"/>
                            <w:szCs w:val="18"/>
                          </w:rPr>
                        </w:pPr>
                        <w:r>
                          <w:rPr>
                            <w:rFonts w:ascii="宋体" w:hAnsi="宋体" w:cs="宋体" w:eastAsia="宋体" w:hint="default"/>
                            <w:spacing w:val="10"/>
                            <w:sz w:val="18"/>
                            <w:szCs w:val="18"/>
                          </w:rPr>
                          <w:t>山东省济南市窑头路大润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珠宝城三楼</w:t>
                        </w:r>
                      </w:p>
                    </w:tc>
                    <w:tc>
                      <w:tcPr>
                        <w:tcW w:w="1573" w:type="dxa"/>
                        <w:vMerge w:val="restart"/>
                        <w:tcBorders>
                          <w:top w:val="single" w:sz="12" w:space="0" w:color="000000"/>
                          <w:left w:val="single" w:sz="6" w:space="0" w:color="000000"/>
                          <w:right w:val="single" w:sz="6" w:space="0" w:color="000000"/>
                        </w:tcBorders>
                      </w:tcPr>
                      <w:p>
                        <w:pPr>
                          <w:pStyle w:val="TableParagraph"/>
                          <w:spacing w:line="314" w:lineRule="auto" w:before="8"/>
                          <w:ind w:left="4" w:right="-17"/>
                          <w:jc w:val="left"/>
                          <w:rPr>
                            <w:rFonts w:ascii="宋体" w:hAnsi="宋体" w:cs="宋体" w:eastAsia="宋体" w:hint="default"/>
                            <w:sz w:val="18"/>
                            <w:szCs w:val="18"/>
                          </w:rPr>
                        </w:pPr>
                        <w:r>
                          <w:rPr>
                            <w:rFonts w:ascii="宋体" w:hAnsi="宋体" w:cs="宋体" w:eastAsia="宋体" w:hint="default"/>
                            <w:spacing w:val="-8"/>
                            <w:sz w:val="18"/>
                            <w:szCs w:val="18"/>
                          </w:rPr>
                          <w:t>珠宝、铂金首饰、黄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金饰品、</w:t>
                        </w:r>
                        <w:r>
                          <w:rPr>
                            <w:rFonts w:ascii="Times New Roman" w:hAnsi="Times New Roman" w:cs="Times New Roman" w:eastAsia="Times New Roman" w:hint="default"/>
                            <w:sz w:val="18"/>
                            <w:szCs w:val="18"/>
                          </w:rPr>
                          <w:t>K</w:t>
                        </w:r>
                        <w:r>
                          <w:rPr>
                            <w:rFonts w:ascii="宋体" w:hAnsi="宋体" w:cs="宋体" w:eastAsia="宋体" w:hint="default"/>
                            <w:sz w:val="18"/>
                            <w:szCs w:val="18"/>
                          </w:rPr>
                          <w:t>金饰品、 钯金首饰、银饰品 </w:t>
                        </w:r>
                        <w:r>
                          <w:rPr>
                            <w:rFonts w:ascii="宋体" w:hAnsi="宋体" w:cs="宋体" w:eastAsia="宋体" w:hint="default"/>
                            <w:spacing w:val="-8"/>
                            <w:sz w:val="18"/>
                            <w:szCs w:val="18"/>
                          </w:rPr>
                          <w:t>翡翠玉石、钻石、红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蓝宝石、镶嵌饰品 </w:t>
                        </w:r>
                        <w:r>
                          <w:rPr>
                            <w:rFonts w:ascii="宋体" w:hAnsi="宋体" w:cs="宋体" w:eastAsia="宋体" w:hint="default"/>
                            <w:spacing w:val="-8"/>
                            <w:sz w:val="18"/>
                            <w:szCs w:val="18"/>
                          </w:rPr>
                          <w:t>工艺品的购销；网上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销售钻石及钻石饰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品、镶嵌饰品、黄金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饰品、</w:t>
                        </w:r>
                        <w:r>
                          <w:rPr>
                            <w:rFonts w:ascii="Times New Roman" w:hAnsi="Times New Roman" w:cs="Times New Roman" w:eastAsia="Times New Roman" w:hint="default"/>
                            <w:spacing w:val="-3"/>
                            <w:sz w:val="18"/>
                            <w:szCs w:val="18"/>
                          </w:rPr>
                          <w:t>K</w:t>
                        </w:r>
                        <w:r>
                          <w:rPr>
                            <w:rFonts w:ascii="宋体" w:hAnsi="宋体" w:cs="宋体" w:eastAsia="宋体" w:hint="default"/>
                            <w:spacing w:val="-3"/>
                            <w:sz w:val="18"/>
                            <w:szCs w:val="18"/>
                          </w:rPr>
                          <w:t>金饰品、铂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金首饰、钯金首饰 银饰品、翡翠玉石 红蓝宝石、工艺品 </w:t>
                        </w:r>
                        <w:r>
                          <w:rPr>
                            <w:rFonts w:ascii="宋体" w:hAnsi="宋体" w:cs="宋体" w:eastAsia="宋体" w:hint="default"/>
                            <w:spacing w:val="12"/>
                            <w:sz w:val="18"/>
                            <w:szCs w:val="18"/>
                          </w:rPr>
                          <w:t>国内贸易（</w:t>
                        </w:r>
                        <w:r>
                          <w:rPr>
                            <w:rFonts w:ascii="宋体" w:hAnsi="宋体" w:cs="宋体" w:eastAsia="宋体" w:hint="default"/>
                            <w:spacing w:val="-73"/>
                            <w:sz w:val="18"/>
                            <w:szCs w:val="18"/>
                          </w:rPr>
                          <w:t> </w:t>
                        </w:r>
                        <w:r>
                          <w:rPr>
                            <w:rFonts w:ascii="宋体" w:hAnsi="宋体" w:cs="宋体" w:eastAsia="宋体" w:hint="default"/>
                            <w:spacing w:val="10"/>
                            <w:sz w:val="18"/>
                            <w:szCs w:val="18"/>
                          </w:rPr>
                          <w:t>不含专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营、</w:t>
                        </w:r>
                        <w:r>
                          <w:rPr>
                            <w:rFonts w:ascii="宋体" w:hAnsi="宋体" w:cs="宋体" w:eastAsia="宋体" w:hint="default"/>
                            <w:spacing w:val="-74"/>
                            <w:sz w:val="18"/>
                            <w:szCs w:val="18"/>
                          </w:rPr>
                          <w:t> </w:t>
                        </w:r>
                        <w:r>
                          <w:rPr>
                            <w:rFonts w:ascii="宋体" w:hAnsi="宋体" w:cs="宋体" w:eastAsia="宋体" w:hint="default"/>
                            <w:spacing w:val="10"/>
                            <w:sz w:val="18"/>
                            <w:szCs w:val="18"/>
                          </w:rPr>
                          <w:t>专控、</w:t>
                        </w:r>
                        <w:r>
                          <w:rPr>
                            <w:rFonts w:ascii="宋体" w:hAnsi="宋体" w:cs="宋体" w:eastAsia="宋体" w:hint="default"/>
                            <w:spacing w:val="-74"/>
                            <w:sz w:val="18"/>
                            <w:szCs w:val="18"/>
                          </w:rPr>
                          <w:t> </w:t>
                        </w:r>
                        <w:r>
                          <w:rPr>
                            <w:rFonts w:ascii="宋体" w:hAnsi="宋体" w:cs="宋体" w:eastAsia="宋体" w:hint="default"/>
                            <w:spacing w:val="10"/>
                            <w:sz w:val="18"/>
                            <w:szCs w:val="18"/>
                          </w:rPr>
                          <w:t>专卖商</w:t>
                        </w:r>
                        <w:r>
                          <w:rPr>
                            <w:rFonts w:ascii="宋体" w:hAnsi="宋体" w:cs="宋体" w:eastAsia="宋体" w:hint="default"/>
                            <w:sz w:val="18"/>
                            <w:szCs w:val="18"/>
                          </w:rPr>
                          <w:t> </w:t>
                        </w:r>
                        <w:r>
                          <w:rPr>
                            <w:rFonts w:ascii="宋体" w:hAnsi="宋体" w:cs="宋体" w:eastAsia="宋体" w:hint="default"/>
                            <w:spacing w:val="-8"/>
                            <w:sz w:val="18"/>
                            <w:szCs w:val="18"/>
                          </w:rPr>
                          <w:t>品）；经济信息咨询</w:t>
                        </w:r>
                      </w:p>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8"/>
                            <w:sz w:val="18"/>
                            <w:szCs w:val="18"/>
                          </w:rPr>
                          <w:t>（不含法律、行政法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规、国务院决定禁止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及规定需审批的项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目）；兴办实业（具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体项目另行申报） </w:t>
                        </w:r>
                        <w:r>
                          <w:rPr>
                            <w:rFonts w:ascii="宋体" w:hAnsi="宋体" w:cs="宋体" w:eastAsia="宋体" w:hint="default"/>
                            <w:spacing w:val="-8"/>
                            <w:sz w:val="18"/>
                            <w:szCs w:val="18"/>
                          </w:rPr>
                          <w:t>经营进出口业务（法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律、行政法规、国务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院决定禁止的项目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除外，限制的项目须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取得许可后方可经</w:t>
                        </w:r>
                      </w:p>
                    </w:tc>
                  </w:tr>
                  <w:tr>
                    <w:trPr>
                      <w:trHeight w:val="974"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庆</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灵</w:t>
                        </w:r>
                        <w:r>
                          <w:rPr>
                            <w:rFonts w:ascii="宋体" w:hAnsi="宋体" w:cs="宋体" w:eastAsia="宋体" w:hint="default"/>
                            <w:spacing w:val="-60"/>
                            <w:sz w:val="18"/>
                            <w:szCs w:val="18"/>
                          </w:rPr>
                          <w:t> </w:t>
                        </w:r>
                        <w:r>
                          <w:rPr>
                            <w:rFonts w:ascii="宋体" w:hAnsi="宋体" w:cs="宋体" w:eastAsia="宋体" w:hint="default"/>
                            <w:sz w:val="18"/>
                            <w:szCs w:val="18"/>
                          </w:rPr>
                          <w:t>感</w:t>
                        </w:r>
                        <w:r>
                          <w:rPr>
                            <w:rFonts w:ascii="宋体" w:hAnsi="宋体" w:cs="宋体" w:eastAsia="宋体" w:hint="default"/>
                            <w:spacing w:val="-60"/>
                            <w:sz w:val="18"/>
                            <w:szCs w:val="18"/>
                          </w:rPr>
                          <w:t> </w:t>
                        </w:r>
                        <w:r>
                          <w:rPr>
                            <w:rFonts w:ascii="宋体" w:hAnsi="宋体" w:cs="宋体" w:eastAsia="宋体" w:hint="default"/>
                            <w:sz w:val="18"/>
                            <w:szCs w:val="18"/>
                          </w:rPr>
                          <w:t>珠</w:t>
                        </w:r>
                        <w:r>
                          <w:rPr>
                            <w:rFonts w:ascii="宋体" w:hAnsi="宋体" w:cs="宋体" w:eastAsia="宋体" w:hint="default"/>
                            <w:sz w:val="18"/>
                            <w:szCs w:val="18"/>
                          </w:rPr>
                          <w:t> 宝</w:t>
                        </w:r>
                        <w:r>
                          <w:rPr>
                            <w:rFonts w:ascii="宋体" w:hAnsi="宋体" w:cs="宋体" w:eastAsia="宋体" w:hint="default"/>
                            <w:spacing w:val="-57"/>
                            <w:sz w:val="18"/>
                            <w:szCs w:val="18"/>
                          </w:rPr>
                          <w:t> </w:t>
                        </w:r>
                        <w:r>
                          <w:rPr>
                            <w:rFonts w:ascii="宋体" w:hAnsi="宋体" w:cs="宋体" w:eastAsia="宋体" w:hint="default"/>
                            <w:sz w:val="18"/>
                            <w:szCs w:val="18"/>
                          </w:rPr>
                          <w:t>首</w:t>
                        </w:r>
                        <w:r>
                          <w:rPr>
                            <w:rFonts w:ascii="宋体" w:hAnsi="宋体" w:cs="宋体" w:eastAsia="宋体" w:hint="default"/>
                            <w:spacing w:val="-57"/>
                            <w:sz w:val="18"/>
                            <w:szCs w:val="18"/>
                          </w:rPr>
                          <w:t> </w:t>
                        </w:r>
                        <w:r>
                          <w:rPr>
                            <w:rFonts w:ascii="宋体" w:hAnsi="宋体" w:cs="宋体" w:eastAsia="宋体" w:hint="default"/>
                            <w:sz w:val="18"/>
                            <w:szCs w:val="18"/>
                          </w:rPr>
                          <w:t>饰</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40" w:lineRule="auto" w:before="8"/>
                          <w:ind w:left="4" w:right="-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重庆市渝中区民权路</w:t>
                        </w:r>
                        <w:r>
                          <w:rPr>
                            <w:rFonts w:ascii="Times New Roman" w:hAnsi="Times New Roman" w:cs="Times New Roman" w:eastAsia="Times New Roman" w:hint="default"/>
                            <w:spacing w:val="10"/>
                            <w:sz w:val="18"/>
                            <w:szCs w:val="18"/>
                          </w:rPr>
                          <w:t>27</w:t>
                        </w:r>
                        <w:r>
                          <w:rPr>
                            <w:rFonts w:ascii="宋体" w:hAnsi="宋体" w:cs="宋体" w:eastAsia="宋体" w:hint="default"/>
                            <w:spacing w:val="10"/>
                            <w:sz w:val="18"/>
                            <w:szCs w:val="18"/>
                          </w:rPr>
                          <w:t>号</w:t>
                        </w:r>
                        <w:r>
                          <w:rPr>
                            <w:rFonts w:ascii="宋体" w:hAnsi="宋体" w:cs="宋体" w:eastAsia="宋体" w:hint="default"/>
                            <w:sz w:val="18"/>
                            <w:szCs w:val="18"/>
                          </w:rPr>
                          <w:t> </w:t>
                        </w:r>
                        <w:r>
                          <w:rPr>
                            <w:rFonts w:ascii="Times New Roman" w:hAnsi="Times New Roman" w:cs="Times New Roman" w:eastAsia="Times New Roman" w:hint="default"/>
                            <w:sz w:val="18"/>
                            <w:szCs w:val="18"/>
                          </w:rPr>
                          <w:t>22-3#</w:t>
                        </w:r>
                      </w:p>
                    </w:tc>
                    <w:tc>
                      <w:tcPr>
                        <w:tcW w:w="1573" w:type="dxa"/>
                        <w:vMerge/>
                        <w:tcBorders>
                          <w:left w:val="single" w:sz="6" w:space="0" w:color="000000"/>
                          <w:right w:val="single" w:sz="6" w:space="0" w:color="000000"/>
                        </w:tcBorders>
                      </w:tcPr>
                      <w:p>
                        <w:pPr/>
                      </w:p>
                    </w:tc>
                  </w:tr>
                  <w:tr>
                    <w:trPr>
                      <w:trHeight w:val="977"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both"/>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7"/>
                            <w:sz w:val="18"/>
                            <w:szCs w:val="18"/>
                          </w:rPr>
                          <w:t> </w:t>
                        </w:r>
                        <w:r>
                          <w:rPr>
                            <w:rFonts w:ascii="宋体" w:hAnsi="宋体" w:cs="宋体" w:eastAsia="宋体" w:hint="default"/>
                            <w:sz w:val="18"/>
                            <w:szCs w:val="18"/>
                          </w:rPr>
                          <w:t>都</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爱</w:t>
                        </w:r>
                        <w:r>
                          <w:rPr>
                            <w:rFonts w:ascii="宋体" w:hAnsi="宋体" w:cs="宋体" w:eastAsia="宋体" w:hint="default"/>
                            <w:spacing w:val="-60"/>
                            <w:sz w:val="18"/>
                            <w:szCs w:val="18"/>
                          </w:rPr>
                          <w:t> </w:t>
                        </w:r>
                        <w:r>
                          <w:rPr>
                            <w:rFonts w:ascii="宋体" w:hAnsi="宋体" w:cs="宋体" w:eastAsia="宋体" w:hint="default"/>
                            <w:sz w:val="18"/>
                            <w:szCs w:val="18"/>
                          </w:rPr>
                          <w:t>迪</w:t>
                        </w:r>
                        <w:r>
                          <w:rPr>
                            <w:rFonts w:ascii="宋体" w:hAnsi="宋体" w:cs="宋体" w:eastAsia="宋体" w:hint="default"/>
                            <w:spacing w:val="-60"/>
                            <w:sz w:val="18"/>
                            <w:szCs w:val="18"/>
                          </w:rPr>
                          <w:t> </w:t>
                        </w:r>
                        <w:r>
                          <w:rPr>
                            <w:rFonts w:ascii="宋体" w:hAnsi="宋体" w:cs="宋体" w:eastAsia="宋体" w:hint="default"/>
                            <w:sz w:val="18"/>
                            <w:szCs w:val="18"/>
                          </w:rPr>
                          <w:t>尔</w:t>
                        </w:r>
                        <w:r>
                          <w:rPr>
                            <w:rFonts w:ascii="宋体" w:hAnsi="宋体" w:cs="宋体" w:eastAsia="宋体" w:hint="default"/>
                            <w:sz w:val="18"/>
                            <w:szCs w:val="18"/>
                          </w:rPr>
                          <w:t> 珠</w:t>
                        </w:r>
                        <w:r>
                          <w:rPr>
                            <w:rFonts w:ascii="宋体" w:hAnsi="宋体" w:cs="宋体" w:eastAsia="宋体" w:hint="default"/>
                            <w:spacing w:val="-57"/>
                            <w:sz w:val="18"/>
                            <w:szCs w:val="18"/>
                          </w:rPr>
                          <w:t> </w:t>
                        </w:r>
                        <w:r>
                          <w:rPr>
                            <w:rFonts w:ascii="宋体" w:hAnsi="宋体" w:cs="宋体" w:eastAsia="宋体" w:hint="default"/>
                            <w:sz w:val="18"/>
                            <w:szCs w:val="18"/>
                          </w:rPr>
                          <w:t>宝</w:t>
                        </w:r>
                        <w:r>
                          <w:rPr>
                            <w:rFonts w:ascii="宋体" w:hAnsi="宋体" w:cs="宋体" w:eastAsia="宋体" w:hint="default"/>
                            <w:spacing w:val="-57"/>
                            <w:sz w:val="18"/>
                            <w:szCs w:val="18"/>
                          </w:rPr>
                          <w:t> </w:t>
                        </w:r>
                        <w:r>
                          <w:rPr>
                            <w:rFonts w:ascii="宋体" w:hAnsi="宋体" w:cs="宋体" w:eastAsia="宋体" w:hint="default"/>
                            <w:sz w:val="18"/>
                            <w:szCs w:val="18"/>
                          </w:rPr>
                          <w:t>首</w:t>
                        </w:r>
                        <w:r>
                          <w:rPr>
                            <w:rFonts w:ascii="宋体" w:hAnsi="宋体" w:cs="宋体" w:eastAsia="宋体" w:hint="default"/>
                            <w:spacing w:val="-57"/>
                            <w:sz w:val="18"/>
                            <w:szCs w:val="18"/>
                          </w:rPr>
                          <w:t> </w:t>
                        </w:r>
                        <w:r>
                          <w:rPr>
                            <w:rFonts w:ascii="宋体" w:hAnsi="宋体" w:cs="宋体" w:eastAsia="宋体" w:hint="default"/>
                            <w:sz w:val="18"/>
                            <w:szCs w:val="18"/>
                          </w:rPr>
                          <w:t>饰</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 w:right="1"/>
                          <w:jc w:val="left"/>
                          <w:rPr>
                            <w:rFonts w:ascii="宋体" w:hAnsi="宋体" w:cs="宋体" w:eastAsia="宋体" w:hint="default"/>
                            <w:sz w:val="18"/>
                            <w:szCs w:val="18"/>
                          </w:rPr>
                        </w:pPr>
                        <w:r>
                          <w:rPr>
                            <w:rFonts w:ascii="宋体" w:hAnsi="宋体" w:cs="宋体" w:eastAsia="宋体" w:hint="default"/>
                            <w:spacing w:val="2"/>
                            <w:sz w:val="18"/>
                            <w:szCs w:val="18"/>
                          </w:rPr>
                          <w:t>青羊区人民南路一段</w:t>
                        </w:r>
                        <w:r>
                          <w:rPr>
                            <w:rFonts w:ascii="Times New Roman" w:hAnsi="Times New Roman" w:cs="Times New Roman" w:eastAsia="Times New Roman" w:hint="default"/>
                            <w:spacing w:val="2"/>
                            <w:sz w:val="18"/>
                            <w:szCs w:val="18"/>
                          </w:rPr>
                          <w:t>97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栋</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25</w:t>
                        </w:r>
                        <w:r>
                          <w:rPr>
                            <w:rFonts w:ascii="宋体" w:hAnsi="宋体" w:cs="宋体" w:eastAsia="宋体" w:hint="default"/>
                            <w:sz w:val="18"/>
                            <w:szCs w:val="18"/>
                          </w:rPr>
                          <w:t>号</w:t>
                        </w:r>
                      </w:p>
                    </w:tc>
                    <w:tc>
                      <w:tcPr>
                        <w:tcW w:w="1573" w:type="dxa"/>
                        <w:vMerge/>
                        <w:tcBorders>
                          <w:left w:val="single" w:sz="6" w:space="0" w:color="000000"/>
                          <w:right w:val="single" w:sz="6" w:space="0" w:color="000000"/>
                        </w:tcBorders>
                      </w:tcPr>
                      <w:p>
                        <w:pPr/>
                      </w:p>
                    </w:tc>
                  </w:tr>
                  <w:tr>
                    <w:trPr>
                      <w:trHeight w:val="665"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57"/>
                            <w:sz w:val="18"/>
                            <w:szCs w:val="18"/>
                          </w:rPr>
                          <w:t> </w:t>
                        </w:r>
                        <w:r>
                          <w:rPr>
                            <w:rFonts w:ascii="宋体" w:hAnsi="宋体" w:cs="宋体" w:eastAsia="宋体" w:hint="default"/>
                            <w:sz w:val="18"/>
                            <w:szCs w:val="18"/>
                          </w:rPr>
                          <w:t>阳</w:t>
                        </w:r>
                        <w:r>
                          <w:rPr>
                            <w:rFonts w:ascii="宋体" w:hAnsi="宋体" w:cs="宋体" w:eastAsia="宋体" w:hint="default"/>
                            <w:spacing w:val="-57"/>
                            <w:sz w:val="18"/>
                            <w:szCs w:val="18"/>
                          </w:rPr>
                          <w:t> </w:t>
                        </w:r>
                        <w:r>
                          <w:rPr>
                            <w:rFonts w:ascii="宋体" w:hAnsi="宋体" w:cs="宋体" w:eastAsia="宋体" w:hint="default"/>
                            <w:sz w:val="18"/>
                            <w:szCs w:val="18"/>
                          </w:rPr>
                          <w:t>爱</w:t>
                        </w:r>
                        <w:r>
                          <w:rPr>
                            <w:rFonts w:ascii="宋体" w:hAnsi="宋体" w:cs="宋体" w:eastAsia="宋体" w:hint="default"/>
                            <w:spacing w:val="-57"/>
                            <w:sz w:val="18"/>
                            <w:szCs w:val="18"/>
                          </w:rPr>
                          <w:t> </w:t>
                        </w:r>
                        <w:r>
                          <w:rPr>
                            <w:rFonts w:ascii="宋体" w:hAnsi="宋体" w:cs="宋体" w:eastAsia="宋体" w:hint="default"/>
                            <w:sz w:val="18"/>
                            <w:szCs w:val="18"/>
                          </w:rPr>
                          <w:t>航</w:t>
                        </w:r>
                        <w:r>
                          <w:rPr>
                            <w:rFonts w:ascii="宋体" w:hAnsi="宋体" w:cs="宋体" w:eastAsia="宋体" w:hint="default"/>
                            <w:spacing w:val="-60"/>
                            <w:sz w:val="18"/>
                            <w:szCs w:val="18"/>
                          </w:rPr>
                          <w:t> </w:t>
                        </w:r>
                        <w:r>
                          <w:rPr>
                            <w:rFonts w:ascii="宋体" w:hAnsi="宋体" w:cs="宋体" w:eastAsia="宋体" w:hint="default"/>
                            <w:sz w:val="18"/>
                            <w:szCs w:val="18"/>
                          </w:rPr>
                          <w:t>珠</w:t>
                        </w:r>
                        <w:r>
                          <w:rPr>
                            <w:rFonts w:ascii="宋体" w:hAnsi="宋体" w:cs="宋体" w:eastAsia="宋体" w:hint="default"/>
                            <w:spacing w:val="-60"/>
                            <w:sz w:val="18"/>
                            <w:szCs w:val="18"/>
                          </w:rPr>
                          <w:t> </w:t>
                        </w:r>
                        <w:r>
                          <w:rPr>
                            <w:rFonts w:ascii="宋体" w:hAnsi="宋体" w:cs="宋体" w:eastAsia="宋体" w:hint="default"/>
                            <w:sz w:val="18"/>
                            <w:szCs w:val="18"/>
                          </w:rPr>
                          <w:t>宝</w:t>
                        </w:r>
                        <w:r>
                          <w:rPr>
                            <w:rFonts w:ascii="宋体" w:hAnsi="宋体" w:cs="宋体" w:eastAsia="宋体" w:hint="default"/>
                            <w:sz w:val="18"/>
                            <w:szCs w:val="18"/>
                          </w:rPr>
                          <w:t> 首饰有限公司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2"/>
                          <w:jc w:val="left"/>
                          <w:rPr>
                            <w:rFonts w:ascii="宋体" w:hAnsi="宋体" w:cs="宋体" w:eastAsia="宋体" w:hint="default"/>
                            <w:sz w:val="18"/>
                            <w:szCs w:val="18"/>
                          </w:rPr>
                        </w:pPr>
                        <w:r>
                          <w:rPr>
                            <w:rFonts w:ascii="宋体" w:hAnsi="宋体" w:cs="宋体" w:eastAsia="宋体" w:hint="default"/>
                            <w:spacing w:val="10"/>
                            <w:sz w:val="18"/>
                            <w:szCs w:val="18"/>
                          </w:rPr>
                          <w:t>辽宁省沈阳市沈河区西顺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城街</w:t>
                        </w:r>
                        <w:r>
                          <w:rPr>
                            <w:rFonts w:ascii="Times New Roman" w:hAnsi="Times New Roman" w:cs="Times New Roman" w:eastAsia="Times New Roman" w:hint="default"/>
                            <w:sz w:val="18"/>
                            <w:szCs w:val="18"/>
                          </w:rPr>
                          <w:t>72</w:t>
                        </w:r>
                        <w:r>
                          <w:rPr>
                            <w:rFonts w:ascii="宋体" w:hAnsi="宋体" w:cs="宋体" w:eastAsia="宋体" w:hint="default"/>
                            <w:sz w:val="18"/>
                            <w:szCs w:val="18"/>
                          </w:rPr>
                          <w:t>号五楼</w:t>
                        </w:r>
                      </w:p>
                    </w:tc>
                    <w:tc>
                      <w:tcPr>
                        <w:tcW w:w="1573" w:type="dxa"/>
                        <w:vMerge/>
                        <w:tcBorders>
                          <w:left w:val="single" w:sz="6" w:space="0" w:color="000000"/>
                          <w:right w:val="single" w:sz="6" w:space="0" w:color="000000"/>
                        </w:tcBorders>
                      </w:tcPr>
                      <w:p>
                        <w:pPr/>
                      </w:p>
                    </w:tc>
                  </w:tr>
                  <w:tr>
                    <w:trPr>
                      <w:trHeight w:val="975"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1"/>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z w:val="18"/>
                            <w:szCs w:val="18"/>
                          </w:rPr>
                          <w:t>爱</w:t>
                        </w:r>
                        <w:r>
                          <w:rPr>
                            <w:rFonts w:ascii="宋体" w:hAnsi="宋体" w:cs="宋体" w:eastAsia="宋体" w:hint="default"/>
                            <w:spacing w:val="-57"/>
                            <w:sz w:val="18"/>
                            <w:szCs w:val="18"/>
                          </w:rPr>
                          <w:t> </w:t>
                        </w:r>
                        <w:r>
                          <w:rPr>
                            <w:rFonts w:ascii="宋体" w:hAnsi="宋体" w:cs="宋体" w:eastAsia="宋体" w:hint="default"/>
                            <w:sz w:val="18"/>
                            <w:szCs w:val="18"/>
                          </w:rPr>
                          <w:t>迪</w:t>
                        </w:r>
                        <w:r>
                          <w:rPr>
                            <w:rFonts w:ascii="宋体" w:hAnsi="宋体" w:cs="宋体" w:eastAsia="宋体" w:hint="default"/>
                            <w:spacing w:val="-60"/>
                            <w:sz w:val="18"/>
                            <w:szCs w:val="18"/>
                          </w:rPr>
                          <w:t> </w:t>
                        </w:r>
                        <w:r>
                          <w:rPr>
                            <w:rFonts w:ascii="宋体" w:hAnsi="宋体" w:cs="宋体" w:eastAsia="宋体" w:hint="default"/>
                            <w:sz w:val="18"/>
                            <w:szCs w:val="18"/>
                          </w:rPr>
                          <w:t>尔</w:t>
                        </w:r>
                        <w:r>
                          <w:rPr>
                            <w:rFonts w:ascii="宋体" w:hAnsi="宋体" w:cs="宋体" w:eastAsia="宋体" w:hint="default"/>
                            <w:spacing w:val="-60"/>
                            <w:sz w:val="18"/>
                            <w:szCs w:val="18"/>
                          </w:rPr>
                          <w:t> </w:t>
                        </w:r>
                        <w:r>
                          <w:rPr>
                            <w:rFonts w:ascii="宋体" w:hAnsi="宋体" w:cs="宋体" w:eastAsia="宋体" w:hint="default"/>
                            <w:sz w:val="18"/>
                            <w:szCs w:val="18"/>
                          </w:rPr>
                          <w:t>灵</w:t>
                        </w:r>
                        <w:r>
                          <w:rPr>
                            <w:rFonts w:ascii="宋体" w:hAnsi="宋体" w:cs="宋体" w:eastAsia="宋体" w:hint="default"/>
                            <w:sz w:val="18"/>
                            <w:szCs w:val="18"/>
                          </w:rPr>
                          <w:t> 感</w:t>
                        </w:r>
                        <w:r>
                          <w:rPr>
                            <w:rFonts w:ascii="宋体" w:hAnsi="宋体" w:cs="宋体" w:eastAsia="宋体" w:hint="default"/>
                            <w:spacing w:val="-57"/>
                            <w:sz w:val="18"/>
                            <w:szCs w:val="18"/>
                          </w:rPr>
                          <w:t> </w:t>
                        </w:r>
                        <w:r>
                          <w:rPr>
                            <w:rFonts w:ascii="宋体" w:hAnsi="宋体" w:cs="宋体" w:eastAsia="宋体" w:hint="default"/>
                            <w:sz w:val="18"/>
                            <w:szCs w:val="18"/>
                          </w:rPr>
                          <w:t>珠</w:t>
                        </w:r>
                        <w:r>
                          <w:rPr>
                            <w:rFonts w:ascii="宋体" w:hAnsi="宋体" w:cs="宋体" w:eastAsia="宋体" w:hint="default"/>
                            <w:spacing w:val="-57"/>
                            <w:sz w:val="18"/>
                            <w:szCs w:val="18"/>
                          </w:rPr>
                          <w:t> </w:t>
                        </w:r>
                        <w:r>
                          <w:rPr>
                            <w:rFonts w:ascii="宋体" w:hAnsi="宋体" w:cs="宋体" w:eastAsia="宋体" w:hint="default"/>
                            <w:sz w:val="18"/>
                            <w:szCs w:val="18"/>
                          </w:rPr>
                          <w:t>宝</w:t>
                        </w:r>
                        <w:r>
                          <w:rPr>
                            <w:rFonts w:ascii="宋体" w:hAnsi="宋体" w:cs="宋体" w:eastAsia="宋体" w:hint="default"/>
                            <w:spacing w:val="-57"/>
                            <w:sz w:val="18"/>
                            <w:szCs w:val="18"/>
                          </w:rPr>
                          <w:t> </w:t>
                        </w:r>
                        <w:r>
                          <w:rPr>
                            <w:rFonts w:ascii="宋体" w:hAnsi="宋体" w:cs="宋体" w:eastAsia="宋体" w:hint="default"/>
                            <w:sz w:val="18"/>
                            <w:szCs w:val="18"/>
                          </w:rPr>
                          <w:t>首</w:t>
                        </w:r>
                        <w:r>
                          <w:rPr>
                            <w:rFonts w:ascii="宋体" w:hAnsi="宋体" w:cs="宋体" w:eastAsia="宋体" w:hint="default"/>
                            <w:spacing w:val="-60"/>
                            <w:sz w:val="18"/>
                            <w:szCs w:val="18"/>
                          </w:rPr>
                          <w:t> </w:t>
                        </w:r>
                        <w:r>
                          <w:rPr>
                            <w:rFonts w:ascii="宋体" w:hAnsi="宋体" w:cs="宋体" w:eastAsia="宋体" w:hint="default"/>
                            <w:sz w:val="18"/>
                            <w:szCs w:val="18"/>
                          </w:rPr>
                          <w:t>饰</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2"/>
                          <w:jc w:val="left"/>
                          <w:rPr>
                            <w:rFonts w:ascii="宋体" w:hAnsi="宋体" w:cs="宋体" w:eastAsia="宋体" w:hint="default"/>
                            <w:sz w:val="18"/>
                            <w:szCs w:val="18"/>
                          </w:rPr>
                        </w:pPr>
                        <w:r>
                          <w:rPr>
                            <w:rFonts w:ascii="宋体" w:hAnsi="宋体" w:cs="宋体" w:eastAsia="宋体" w:hint="default"/>
                            <w:spacing w:val="10"/>
                            <w:sz w:val="18"/>
                            <w:szCs w:val="18"/>
                          </w:rPr>
                          <w:t>北京市西城区新街口北大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街</w:t>
                        </w:r>
                        <w:r>
                          <w:rPr>
                            <w:rFonts w:ascii="Times New Roman" w:hAnsi="Times New Roman" w:cs="Times New Roman" w:eastAsia="Times New Roman" w:hint="default"/>
                            <w:sz w:val="18"/>
                            <w:szCs w:val="18"/>
                          </w:rPr>
                          <w:t>59</w:t>
                        </w:r>
                        <w:r>
                          <w:rPr>
                            <w:rFonts w:ascii="宋体" w:hAnsi="宋体" w:cs="宋体" w:eastAsia="宋体" w:hint="default"/>
                            <w:sz w:val="18"/>
                            <w:szCs w:val="18"/>
                          </w:rPr>
                          <w:t>号万丰珠宝城四楼</w:t>
                        </w:r>
                      </w:p>
                    </w:tc>
                    <w:tc>
                      <w:tcPr>
                        <w:tcW w:w="1573" w:type="dxa"/>
                        <w:vMerge/>
                        <w:tcBorders>
                          <w:left w:val="single" w:sz="6" w:space="0" w:color="000000"/>
                          <w:right w:val="single" w:sz="6" w:space="0" w:color="000000"/>
                        </w:tcBorders>
                      </w:tcPr>
                      <w:p>
                        <w:pPr/>
                      </w:p>
                    </w:tc>
                  </w:tr>
                  <w:tr>
                    <w:trPr>
                      <w:trHeight w:val="3274" w:hRule="exact"/>
                    </w:trPr>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57"/>
                            <w:sz w:val="18"/>
                            <w:szCs w:val="18"/>
                          </w:rPr>
                          <w:t> </w:t>
                        </w:r>
                        <w:r>
                          <w:rPr>
                            <w:rFonts w:ascii="宋体" w:hAnsi="宋体" w:cs="宋体" w:eastAsia="宋体" w:hint="default"/>
                            <w:sz w:val="18"/>
                            <w:szCs w:val="18"/>
                          </w:rPr>
                          <w:t>汉</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灵</w:t>
                        </w:r>
                        <w:r>
                          <w:rPr>
                            <w:rFonts w:ascii="宋体" w:hAnsi="宋体" w:cs="宋体" w:eastAsia="宋体" w:hint="default"/>
                            <w:spacing w:val="-60"/>
                            <w:sz w:val="18"/>
                            <w:szCs w:val="18"/>
                          </w:rPr>
                          <w:t> </w:t>
                        </w:r>
                        <w:r>
                          <w:rPr>
                            <w:rFonts w:ascii="宋体" w:hAnsi="宋体" w:cs="宋体" w:eastAsia="宋体" w:hint="default"/>
                            <w:sz w:val="18"/>
                            <w:szCs w:val="18"/>
                          </w:rPr>
                          <w:t>感</w:t>
                        </w:r>
                        <w:r>
                          <w:rPr>
                            <w:rFonts w:ascii="宋体" w:hAnsi="宋体" w:cs="宋体" w:eastAsia="宋体" w:hint="default"/>
                            <w:spacing w:val="-60"/>
                            <w:sz w:val="18"/>
                            <w:szCs w:val="18"/>
                          </w:rPr>
                          <w:t> </w:t>
                        </w:r>
                        <w:r>
                          <w:rPr>
                            <w:rFonts w:ascii="宋体" w:hAnsi="宋体" w:cs="宋体" w:eastAsia="宋体" w:hint="default"/>
                            <w:sz w:val="18"/>
                            <w:szCs w:val="18"/>
                          </w:rPr>
                          <w:t>珠</w:t>
                        </w:r>
                        <w:r>
                          <w:rPr>
                            <w:rFonts w:ascii="宋体" w:hAnsi="宋体" w:cs="宋体" w:eastAsia="宋体" w:hint="default"/>
                            <w:sz w:val="18"/>
                            <w:szCs w:val="18"/>
                          </w:rPr>
                          <w:t> 宝</w:t>
                        </w:r>
                        <w:r>
                          <w:rPr>
                            <w:rFonts w:ascii="宋体" w:hAnsi="宋体" w:cs="宋体" w:eastAsia="宋体" w:hint="default"/>
                            <w:spacing w:val="-57"/>
                            <w:sz w:val="18"/>
                            <w:szCs w:val="18"/>
                          </w:rPr>
                          <w:t> </w:t>
                        </w:r>
                        <w:r>
                          <w:rPr>
                            <w:rFonts w:ascii="宋体" w:hAnsi="宋体" w:cs="宋体" w:eastAsia="宋体" w:hint="default"/>
                            <w:sz w:val="18"/>
                            <w:szCs w:val="18"/>
                          </w:rPr>
                          <w:t>首</w:t>
                        </w:r>
                        <w:r>
                          <w:rPr>
                            <w:rFonts w:ascii="宋体" w:hAnsi="宋体" w:cs="宋体" w:eastAsia="宋体" w:hint="default"/>
                            <w:spacing w:val="-57"/>
                            <w:sz w:val="18"/>
                            <w:szCs w:val="18"/>
                          </w:rPr>
                          <w:t> </w:t>
                        </w:r>
                        <w:r>
                          <w:rPr>
                            <w:rFonts w:ascii="宋体" w:hAnsi="宋体" w:cs="宋体" w:eastAsia="宋体" w:hint="default"/>
                            <w:sz w:val="18"/>
                            <w:szCs w:val="18"/>
                          </w:rPr>
                          <w:t>饰</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0"/>
                          <w:ind w:left="4" w:right="-2"/>
                          <w:jc w:val="both"/>
                          <w:rPr>
                            <w:rFonts w:ascii="宋体" w:hAnsi="宋体" w:cs="宋体" w:eastAsia="宋体" w:hint="default"/>
                            <w:sz w:val="18"/>
                            <w:szCs w:val="18"/>
                          </w:rPr>
                        </w:pPr>
                        <w:r>
                          <w:rPr>
                            <w:rFonts w:ascii="宋体" w:hAnsi="宋体" w:cs="宋体" w:eastAsia="宋体" w:hint="default"/>
                            <w:spacing w:val="10"/>
                            <w:sz w:val="18"/>
                            <w:szCs w:val="18"/>
                          </w:rPr>
                          <w:t>湖北省武汉市江汉区中山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大道</w:t>
                        </w:r>
                        <w:r>
                          <w:rPr>
                            <w:rFonts w:ascii="Times New Roman" w:hAnsi="Times New Roman" w:cs="Times New Roman" w:eastAsia="Times New Roman" w:hint="default"/>
                            <w:spacing w:val="2"/>
                            <w:sz w:val="18"/>
                            <w:szCs w:val="18"/>
                          </w:rPr>
                          <w:t>357</w:t>
                        </w:r>
                        <w:r>
                          <w:rPr>
                            <w:rFonts w:ascii="宋体" w:hAnsi="宋体" w:cs="宋体" w:eastAsia="宋体" w:hint="default"/>
                            <w:spacing w:val="2"/>
                            <w:sz w:val="18"/>
                            <w:szCs w:val="18"/>
                          </w:rPr>
                          <w:t>号新金珠宝大厦七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楼</w:t>
                        </w:r>
                      </w:p>
                    </w:tc>
                    <w:tc>
                      <w:tcPr>
                        <w:tcW w:w="1573" w:type="dxa"/>
                        <w:vMerge/>
                        <w:tcBorders>
                          <w:left w:val="single" w:sz="6" w:space="0" w:color="000000"/>
                          <w:bottom w:val="single" w:sz="12" w:space="0" w:color="000000"/>
                          <w:right w:val="single" w:sz="6" w:space="0" w:color="000000"/>
                        </w:tcBorders>
                      </w:tcPr>
                      <w:p>
                        <w:pP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ind w:left="0" w:right="138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387"/>
        <w:jc w:val="right"/>
      </w:pPr>
      <w:r>
        <w:rPr/>
        <w:t>、</w:t>
      </w:r>
    </w:p>
    <w:p>
      <w:pPr>
        <w:pStyle w:val="BodyText"/>
        <w:spacing w:line="240" w:lineRule="auto" w:before="76"/>
        <w:ind w:left="0" w:right="1387"/>
        <w:jc w:val="right"/>
      </w:pPr>
      <w:r>
        <w:rPr/>
        <w:t>、</w:t>
      </w:r>
    </w:p>
    <w:p>
      <w:pPr>
        <w:pStyle w:val="BodyText"/>
        <w:spacing w:line="240" w:lineRule="auto" w:before="76"/>
        <w:ind w:left="0" w:right="138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0" w:right="1387"/>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63"/>
        <w:gridCol w:w="1263"/>
        <w:gridCol w:w="986"/>
        <w:gridCol w:w="1133"/>
        <w:gridCol w:w="2127"/>
        <w:gridCol w:w="1573"/>
      </w:tblGrid>
      <w:tr>
        <w:trPr>
          <w:trHeight w:val="356" w:hRule="exact"/>
        </w:trPr>
        <w:tc>
          <w:tcPr>
            <w:tcW w:w="1263" w:type="dxa"/>
            <w:tcBorders>
              <w:top w:val="single" w:sz="6" w:space="0" w:color="000000"/>
              <w:left w:val="single" w:sz="6" w:space="0" w:color="000000"/>
              <w:bottom w:val="single" w:sz="12" w:space="0" w:color="000000"/>
              <w:right w:val="single" w:sz="6" w:space="0" w:color="000000"/>
            </w:tcBorders>
          </w:tcPr>
          <w:p>
            <w:pPr/>
          </w:p>
        </w:tc>
        <w:tc>
          <w:tcPr>
            <w:tcW w:w="1263" w:type="dxa"/>
            <w:tcBorders>
              <w:top w:val="single" w:sz="6" w:space="0" w:color="000000"/>
              <w:left w:val="single" w:sz="6" w:space="0" w:color="000000"/>
              <w:bottom w:val="single" w:sz="12" w:space="0" w:color="000000"/>
              <w:right w:val="single" w:sz="6" w:space="0" w:color="000000"/>
            </w:tcBorders>
          </w:tcPr>
          <w:p>
            <w:pPr/>
          </w:p>
        </w:tc>
        <w:tc>
          <w:tcPr>
            <w:tcW w:w="986"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single" w:sz="6" w:space="0" w:color="000000"/>
            </w:tcBorders>
          </w:tcPr>
          <w:p>
            <w:pP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营）。</w:t>
            </w:r>
          </w:p>
        </w:tc>
      </w:tr>
    </w:tbl>
    <w:p>
      <w:pPr>
        <w:spacing w:line="240" w:lineRule="auto" w:before="3"/>
        <w:rPr>
          <w:rFonts w:ascii="宋体" w:hAnsi="宋体" w:cs="宋体" w:eastAsia="宋体" w:hint="default"/>
          <w:sz w:val="19"/>
          <w:szCs w:val="19"/>
        </w:rPr>
      </w:pPr>
    </w:p>
    <w:p>
      <w:pPr>
        <w:spacing w:line="487" w:lineRule="auto" w:before="36"/>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4"/>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广东省惠州市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非同一控制下取 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福建省龙岩市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福建省龙岩市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零售、其他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济南市爱迪尔珠 宝首饰有限公司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山东省济南市窑 头路大润珠宝城 三楼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重庆市爱迪尔珠 宝首饰有限公司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重庆市渝中区民 权路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青羊区人民南路 一段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辽宁省沈阳市沈 河区西顺城街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号五楼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北京市灵感珠宝 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北京市西城区新 街口北大街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 万丰珠宝城四楼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湖北省武汉市江 汉区中山大道 </w:t>
            </w:r>
            <w:r>
              <w:rPr>
                <w:rFonts w:ascii="Times New Roman" w:hAnsi="Times New Roman" w:cs="Times New Roman" w:eastAsia="Times New Roman" w:hint="default"/>
                <w:sz w:val="18"/>
                <w:szCs w:val="18"/>
              </w:rPr>
              <w:t>357 </w:t>
            </w:r>
            <w:r>
              <w:rPr>
                <w:rFonts w:ascii="宋体" w:hAnsi="宋体" w:cs="宋体" w:eastAsia="宋体" w:hint="default"/>
                <w:sz w:val="18"/>
                <w:szCs w:val="18"/>
              </w:rPr>
              <w:t>号新金珠宝 大厦七楼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49"/>
        <w:ind w:right="5994"/>
        <w:jc w:val="left"/>
      </w:pPr>
      <w:r>
        <w:rPr/>
        <w:t>在子公司的持股比例不同于表决权比例的说明： 无</w:t>
      </w:r>
    </w:p>
    <w:p>
      <w:pPr>
        <w:pStyle w:val="BodyText"/>
        <w:spacing w:line="357" w:lineRule="auto" w:before="27"/>
        <w:ind w:right="1854"/>
        <w:jc w:val="left"/>
      </w:pPr>
      <w:r>
        <w:rPr/>
        <w:t>持有半数或以下表决权但仍控制被投资单位、以及持有半数以上表决权但不控制被投资单位的依据： 无</w:t>
      </w:r>
    </w:p>
    <w:p>
      <w:pPr>
        <w:pStyle w:val="BodyText"/>
        <w:spacing w:line="357" w:lineRule="auto" w:before="29"/>
        <w:ind w:right="5454"/>
        <w:jc w:val="left"/>
      </w:pPr>
      <w:r>
        <w:rPr/>
        <w:t>对于纳入合并范围的重要的结构化主体，控制的依据： 无</w:t>
      </w:r>
    </w:p>
    <w:p>
      <w:pPr>
        <w:pStyle w:val="BodyText"/>
        <w:spacing w:line="240" w:lineRule="auto" w:before="29"/>
        <w:ind w:right="153"/>
        <w:jc w:val="left"/>
      </w:pPr>
      <w:r>
        <w:rPr/>
        <w:t>确定公司是代理人还是委托人的依据：</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545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55"/>
      </w:tblGrid>
      <w:tr>
        <w:trPr>
          <w:trHeight w:val="404"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北京爱投融科技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153"/>
        <w:jc w:val="left"/>
      </w:pPr>
      <w:r>
        <w:rPr/>
        <w:t>在合营企业或联营企业的持股比例不同于表决权比例的说明：</w:t>
      </w:r>
    </w:p>
    <w:p>
      <w:pPr>
        <w:pStyle w:val="BodyText"/>
        <w:spacing w:line="319" w:lineRule="auto" w:before="118"/>
        <w:ind w:right="149"/>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w:t>
      </w:r>
      <w:r>
        <w:rPr>
          <w:spacing w:val="-1"/>
        </w:rPr>
        <w:t>深圳市爱迪尔珠宝股份有限公司与中投国泰（北京）投资管理有限公司按</w:t>
      </w:r>
      <w:r>
        <w:rPr>
          <w:rFonts w:ascii="Times New Roman" w:hAnsi="Times New Roman" w:cs="Times New Roman" w:eastAsia="Times New Roman" w:hint="default"/>
          <w:spacing w:val="-1"/>
        </w:rPr>
        <w:t>40%</w:t>
      </w:r>
      <w:r>
        <w:rPr>
          <w:spacing w:val="-1"/>
        </w:rPr>
        <w:t>：</w:t>
      </w:r>
      <w:r>
        <w:rPr>
          <w:rFonts w:ascii="Times New Roman" w:hAnsi="Times New Roman" w:cs="Times New Roman" w:eastAsia="Times New Roman" w:hint="default"/>
          <w:spacing w:val="-1"/>
        </w:rPr>
        <w:t>60%</w:t>
      </w:r>
      <w:r>
        <w:rPr>
          <w:spacing w:val="-1"/>
        </w:rPr>
        <w:t>的比例行使表决权；其次公司不参与北</w:t>
      </w:r>
      <w:r>
        <w:rPr>
          <w:spacing w:val="-55"/>
        </w:rPr>
        <w:t> </w:t>
      </w:r>
      <w:r>
        <w:rPr>
          <w:spacing w:val="-55"/>
        </w:rPr>
      </w:r>
      <w:r>
        <w:rPr/>
        <w:t>京爱投融科技有限公司的经营管理，公司仅推荐董事会成员，风控，监事各一名。</w:t>
      </w:r>
    </w:p>
    <w:p>
      <w:pPr>
        <w:spacing w:line="240" w:lineRule="auto" w:before="9"/>
        <w:rPr>
          <w:rFonts w:ascii="宋体" w:hAnsi="宋体" w:cs="宋体" w:eastAsia="宋体" w:hint="default"/>
          <w:sz w:val="22"/>
          <w:szCs w:val="22"/>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4"/>
        <w:jc w:val="left"/>
      </w:pPr>
      <w:r>
        <w:rPr/>
        <w:t>在共同经营中的持股比例或享有的份额不同于表决权比例的说明： 共同经营为单独主体的，分类为共同经营的依据：</w:t>
      </w:r>
    </w:p>
    <w:p>
      <w:pPr>
        <w:pStyle w:val="BodyText"/>
        <w:spacing w:line="240" w:lineRule="auto" w:before="2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153"/>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844" w:right="7592"/>
        <w:jc w:val="center"/>
      </w:pPr>
      <w:r>
        <w:rPr>
          <w:rFonts w:ascii="Times New Roman" w:hAnsi="Times New Roman" w:cs="Times New Roman" w:eastAsia="Times New Roman" w:hint="default"/>
        </w:rPr>
        <w:t>—</w:t>
      </w:r>
      <w:r>
        <w:rPr/>
        <w:t>金融工具分类</w:t>
      </w:r>
    </w:p>
    <w:p>
      <w:pPr>
        <w:pStyle w:val="Heading7"/>
        <w:spacing w:line="240" w:lineRule="auto" w:before="21"/>
        <w:ind w:left="1595" w:right="15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日公司各类金融工具账面价值如下：</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53"/>
        <w:gridCol w:w="1553"/>
        <w:gridCol w:w="850"/>
        <w:gridCol w:w="1611"/>
        <w:gridCol w:w="1411"/>
        <w:gridCol w:w="1834"/>
      </w:tblGrid>
      <w:tr>
        <w:trPr>
          <w:trHeight w:val="979" w:hRule="exact"/>
        </w:trPr>
        <w:tc>
          <w:tcPr>
            <w:tcW w:w="18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金融资产项目</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47" w:right="50"/>
              <w:jc w:val="center"/>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益的金融资产</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148" w:right="55" w:hanging="92"/>
              <w:jc w:val="left"/>
              <w:rPr>
                <w:rFonts w:ascii="宋体" w:hAnsi="宋体" w:cs="宋体" w:eastAsia="宋体" w:hint="default"/>
                <w:sz w:val="18"/>
                <w:szCs w:val="18"/>
              </w:rPr>
            </w:pPr>
            <w:r>
              <w:rPr>
                <w:rFonts w:ascii="宋体" w:hAnsi="宋体" w:cs="宋体" w:eastAsia="宋体" w:hint="default"/>
                <w:sz w:val="18"/>
                <w:szCs w:val="18"/>
              </w:rPr>
              <w:t>持有至到 期投资</w:t>
            </w:r>
          </w:p>
        </w:tc>
        <w:tc>
          <w:tcPr>
            <w:tcW w:w="1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67"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607" w:right="67" w:hanging="540"/>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8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以成本计量的权益投资</w:t>
            </w:r>
          </w:p>
        </w:tc>
        <w:tc>
          <w:tcPr>
            <w:tcW w:w="155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611"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1,200,000.00</w:t>
            </w:r>
          </w:p>
        </w:tc>
        <w:tc>
          <w:tcPr>
            <w:tcW w:w="18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50" w:hRule="exact"/>
        </w:trPr>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345,275,033.83</w:t>
            </w:r>
          </w:p>
        </w:tc>
        <w:tc>
          <w:tcPr>
            <w:tcW w:w="1411" w:type="dxa"/>
            <w:tcBorders>
              <w:top w:val="single" w:sz="12" w:space="0" w:color="000000"/>
              <w:left w:val="single" w:sz="6" w:space="0" w:color="000000"/>
              <w:bottom w:val="single" w:sz="12" w:space="0" w:color="000000"/>
              <w:right w:val="single" w:sz="6" w:space="0" w:color="000000"/>
            </w:tcBorders>
          </w:tcPr>
          <w:p>
            <w:pPr/>
          </w:p>
        </w:tc>
        <w:tc>
          <w:tcPr>
            <w:tcW w:w="18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345,275,033.83</w:t>
            </w:r>
          </w:p>
        </w:tc>
      </w:tr>
      <w:tr>
        <w:trPr>
          <w:trHeight w:val="353" w:hRule="exact"/>
        </w:trPr>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5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611"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8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3" w:type="dxa"/>
            <w:tcBorders>
              <w:top w:val="single" w:sz="12" w:space="0" w:color="000000"/>
              <w:left w:val="single" w:sz="6" w:space="0" w:color="000000"/>
              <w:bottom w:val="single" w:sz="12" w:space="0" w:color="000000"/>
              <w:right w:val="single" w:sz="6" w:space="0" w:color="000000"/>
            </w:tcBorders>
          </w:tcPr>
          <w:p>
            <w:pPr/>
          </w:p>
        </w:tc>
        <w:tc>
          <w:tcPr>
            <w:tcW w:w="850" w:type="dxa"/>
            <w:tcBorders>
              <w:top w:val="single" w:sz="12" w:space="0" w:color="000000"/>
              <w:left w:val="single" w:sz="6" w:space="0" w:color="000000"/>
              <w:bottom w:val="single" w:sz="12" w:space="0" w:color="000000"/>
              <w:right w:val="single" w:sz="6" w:space="0" w:color="000000"/>
            </w:tcBorders>
          </w:tcPr>
          <w:p>
            <w:pP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4,462,546.44</w:t>
            </w:r>
          </w:p>
        </w:tc>
        <w:tc>
          <w:tcPr>
            <w:tcW w:w="1411" w:type="dxa"/>
            <w:tcBorders>
              <w:top w:val="single" w:sz="12" w:space="0" w:color="000000"/>
              <w:left w:val="single" w:sz="6" w:space="0" w:color="000000"/>
              <w:bottom w:val="single" w:sz="12" w:space="0" w:color="000000"/>
              <w:right w:val="single" w:sz="6" w:space="0" w:color="000000"/>
            </w:tcBorders>
          </w:tcPr>
          <w:p>
            <w:pPr/>
          </w:p>
        </w:tc>
        <w:tc>
          <w:tcPr>
            <w:tcW w:w="18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4,462,546.44</w:t>
            </w:r>
          </w:p>
        </w:tc>
      </w:tr>
      <w:tr>
        <w:trPr>
          <w:trHeight w:val="353" w:hRule="exact"/>
        </w:trPr>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349,737,580.27</w:t>
            </w: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1,200,000.00</w:t>
            </w:r>
          </w:p>
        </w:tc>
        <w:tc>
          <w:tcPr>
            <w:tcW w:w="18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350,937,580.27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864"/>
        <w:gridCol w:w="2398"/>
        <w:gridCol w:w="1946"/>
        <w:gridCol w:w="1880"/>
      </w:tblGrid>
      <w:tr>
        <w:trPr>
          <w:trHeight w:val="667" w:hRule="exact"/>
        </w:trPr>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金融负债项目</w:t>
            </w:r>
          </w:p>
        </w:tc>
        <w:tc>
          <w:tcPr>
            <w:tcW w:w="239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381" w:right="21" w:hanging="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1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113,000,000.00</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113,000,000.00</w:t>
            </w:r>
          </w:p>
        </w:tc>
      </w:tr>
      <w:tr>
        <w:trPr>
          <w:trHeight w:val="665"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
        </w:tc>
        <w:tc>
          <w:tcPr>
            <w:tcW w:w="188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51,439,732.65</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51,439,732.65</w:t>
            </w:r>
          </w:p>
        </w:tc>
      </w:tr>
      <w:tr>
        <w:trPr>
          <w:trHeight w:val="350"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
        </w:tc>
        <w:tc>
          <w:tcPr>
            <w:tcW w:w="188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11,709,432.75</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11,709,432.75</w:t>
            </w:r>
          </w:p>
        </w:tc>
      </w:tr>
      <w:tr>
        <w:trPr>
          <w:trHeight w:val="353"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一年内到期非流动负债</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
        </w:tc>
        <w:tc>
          <w:tcPr>
            <w:tcW w:w="1880"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8" w:type="dxa"/>
            <w:tcBorders>
              <w:top w:val="single" w:sz="12" w:space="0" w:color="000000"/>
              <w:left w:val="single" w:sz="6" w:space="0" w:color="000000"/>
              <w:bottom w:val="single" w:sz="12" w:space="0" w:color="000000"/>
              <w:right w:val="single" w:sz="6" w:space="0" w:color="000000"/>
            </w:tcBorders>
          </w:tcPr>
          <w:p>
            <w:pPr/>
          </w:p>
        </w:tc>
        <w:tc>
          <w:tcPr>
            <w:tcW w:w="1946" w:type="dxa"/>
            <w:tcBorders>
              <w:top w:val="single" w:sz="12" w:space="0" w:color="000000"/>
              <w:left w:val="single" w:sz="6" w:space="0" w:color="000000"/>
              <w:bottom w:val="single" w:sz="12" w:space="0" w:color="000000"/>
              <w:right w:val="single" w:sz="6" w:space="0" w:color="000000"/>
            </w:tcBorders>
          </w:tcPr>
          <w:p>
            <w:pPr/>
          </w:p>
        </w:tc>
        <w:tc>
          <w:tcPr>
            <w:tcW w:w="188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176,149,165.40</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176,149,165.40</w:t>
            </w:r>
          </w:p>
        </w:tc>
      </w:tr>
    </w:tbl>
    <w:p>
      <w:pPr>
        <w:pStyle w:val="Heading7"/>
        <w:spacing w:line="271" w:lineRule="auto"/>
        <w:ind w:left="870" w:right="0" w:firstLine="129"/>
        <w:jc w:val="left"/>
      </w:pPr>
      <w:r>
        <w:rPr>
          <w:rFonts w:ascii="Times New Roman" w:hAnsi="Times New Roman" w:cs="Times New Roman" w:eastAsia="Times New Roman" w:hint="default"/>
        </w:rPr>
        <w:t>—</w:t>
      </w:r>
      <w:r>
        <w:rPr/>
        <w:t>金融工具的风险分析及风险管理</w:t>
      </w:r>
      <w:r>
        <w:rPr>
          <w:w w:val="100"/>
        </w:rPr>
        <w:t> </w:t>
      </w:r>
      <w:r>
        <w:rPr/>
        <w:t>公司在日常活动中面临各种金融工具的风险主要包括：信用风险、市场风险、流动风险。</w:t>
      </w:r>
      <w:r>
        <w:rPr>
          <w:w w:val="100"/>
        </w:rPr>
        <w:t> </w:t>
      </w:r>
      <w:r>
        <w:rPr/>
        <w:t>公司从事风险管理的目标是在风险和收益之间取得适当的平衡，力求降低金融工具风险对公司经</w:t>
      </w:r>
      <w:r>
        <w:rPr>
          <w:spacing w:val="-9"/>
        </w:rPr>
        <w:t> </w:t>
      </w:r>
      <w:r>
        <w:rPr>
          <w:spacing w:val="-9"/>
        </w:rPr>
      </w:r>
      <w:r>
        <w:rPr>
          <w:spacing w:val="-2"/>
        </w:rPr>
        <w:t>营的不利影响，基于该风险管理目标，公司已制定风险管理政策以辨别和分析公司所面临的风险，</w:t>
      </w:r>
      <w:r>
        <w:rPr>
          <w:spacing w:val="-30"/>
        </w:rPr>
        <w:t> </w:t>
      </w:r>
      <w:r>
        <w:rPr>
          <w:spacing w:val="-30"/>
        </w:rPr>
      </w:r>
      <w:r>
        <w:rPr/>
        <w:t>设定适当的风险可接受水平并设计相应的内部控制程序，以监控公司的风险水平。公司会定期审</w:t>
      </w:r>
      <w:r>
        <w:rPr>
          <w:spacing w:val="-9"/>
        </w:rPr>
        <w:t> </w:t>
      </w:r>
      <w:r>
        <w:rPr>
          <w:spacing w:val="-9"/>
        </w:rPr>
      </w:r>
      <w:r>
        <w:rPr/>
        <w:t>阅这些风险管理政策及有关内部控制系统，以适应市场情况或公司经营活动的改变。公司的内部</w:t>
      </w:r>
      <w:r>
        <w:rPr>
          <w:spacing w:val="-9"/>
        </w:rPr>
        <w:t> </w:t>
      </w:r>
      <w:r>
        <w:rPr>
          <w:spacing w:val="-9"/>
        </w:rPr>
      </w:r>
      <w:r>
        <w:rPr/>
        <w:t>审计部门也定期或随机检查内部控制系统的执行是否符合风险管理政策。</w:t>
      </w:r>
    </w:p>
    <w:p>
      <w:pPr>
        <w:pStyle w:val="Heading7"/>
        <w:spacing w:line="271" w:lineRule="auto" w:before="10"/>
        <w:ind w:left="870" w:right="0" w:firstLine="38"/>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信用风险</w:t>
      </w:r>
      <w:r>
        <w:rPr>
          <w:rFonts w:ascii="宋体" w:hAnsi="宋体" w:cs="宋体" w:eastAsia="宋体" w:hint="default"/>
          <w:b/>
          <w:bCs/>
          <w:w w:val="100"/>
        </w:rPr>
        <w:t> </w:t>
      </w:r>
      <w:r>
        <w:rPr/>
        <w:t>信用风险是指金融工具的一方不履行义务，造成另一方发生财务损失的风险。公司的信用风险主</w:t>
      </w:r>
      <w:r>
        <w:rPr>
          <w:spacing w:val="-9"/>
        </w:rPr>
        <w:t> </w:t>
      </w:r>
      <w:r>
        <w:rPr>
          <w:spacing w:val="-9"/>
        </w:rPr>
      </w:r>
      <w:r>
        <w:rPr/>
        <w:t>要是来自货币资金、应收款项等</w:t>
      </w:r>
      <w:r>
        <w:rPr>
          <w:w w:val="100"/>
        </w:rPr>
        <w:t> </w:t>
      </w:r>
      <w:r>
        <w:rPr>
          <w:spacing w:val="-3"/>
        </w:rPr>
        <w:t>公司除现金以外的货币资金主要存放于信用良好的金融机构，管理层认为其不存在重大的信用风</w:t>
      </w:r>
      <w:r>
        <w:rPr>
          <w:spacing w:val="-18"/>
        </w:rPr>
        <w:t> </w:t>
      </w:r>
      <w:r>
        <w:rPr>
          <w:spacing w:val="-18"/>
        </w:rPr>
      </w:r>
      <w:r>
        <w:rPr/>
        <w:t>险，预期不会因为对方违约而给公司造成损失。</w:t>
      </w:r>
      <w:r>
        <w:rPr>
          <w:w w:val="100"/>
        </w:rPr>
        <w:t> </w:t>
      </w:r>
      <w:r>
        <w:rPr>
          <w:spacing w:val="-3"/>
        </w:rPr>
        <w:t>对于应收款项，这些金融资产的信用风险源自交易对手违约，公司仅与经认可的、信誉良好的第</w:t>
      </w:r>
      <w:r>
        <w:rPr>
          <w:spacing w:val="-22"/>
        </w:rPr>
        <w:t> </w:t>
      </w:r>
      <w:r>
        <w:rPr>
          <w:spacing w:val="-22"/>
        </w:rPr>
      </w:r>
      <w:r>
        <w:rPr>
          <w:spacing w:val="-5"/>
        </w:rPr>
        <w:t>三方进行交易。按照公司的销售政策，需对所有要求采用信用方式进行交易的客户进行信用审核。</w:t>
      </w:r>
      <w:r>
        <w:rPr>
          <w:spacing w:val="-32"/>
        </w:rPr>
        <w:t> </w:t>
      </w:r>
      <w:r>
        <w:rPr>
          <w:spacing w:val="-32"/>
        </w:rPr>
      </w:r>
      <w:r>
        <w:rPr>
          <w:spacing w:val="-3"/>
        </w:rPr>
        <w:t>为监控公司的信用风险，公司按照账龄、到期日及逾期天数等要素对公司的客户欠款进行分析和</w:t>
      </w:r>
      <w:r>
        <w:rPr>
          <w:spacing w:val="-17"/>
        </w:rPr>
        <w:t> </w:t>
      </w:r>
      <w:r>
        <w:rPr>
          <w:spacing w:val="-17"/>
        </w:rPr>
      </w:r>
      <w:r>
        <w:rPr/>
        <w:t>分类。截止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日，公司已将应收款项按风险分类计提了减值准备。</w:t>
      </w:r>
    </w:p>
    <w:p>
      <w:pPr>
        <w:spacing w:line="240" w:lineRule="auto" w:before="2"/>
        <w:rPr>
          <w:rFonts w:ascii="宋体" w:hAnsi="宋体" w:cs="宋体" w:eastAsia="宋体" w:hint="default"/>
          <w:sz w:val="23"/>
          <w:szCs w:val="23"/>
        </w:rPr>
      </w:pPr>
    </w:p>
    <w:p>
      <w:pPr>
        <w:pStyle w:val="Heading7"/>
        <w:spacing w:line="268" w:lineRule="auto"/>
        <w:ind w:left="870" w:right="0" w:firstLine="38"/>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市场风险</w:t>
      </w:r>
      <w:r>
        <w:rPr>
          <w:rFonts w:ascii="宋体" w:hAnsi="宋体" w:cs="宋体" w:eastAsia="宋体" w:hint="default"/>
          <w:b/>
          <w:bCs/>
          <w:w w:val="100"/>
        </w:rPr>
        <w:t> </w:t>
      </w:r>
      <w:r>
        <w:rPr/>
        <w:t>金融工具的市场风险，是指金融工具的公允价值或未来现金流量因市场价格变动而发生波动的风</w:t>
      </w:r>
      <w:r>
        <w:rPr>
          <w:spacing w:val="-9"/>
        </w:rPr>
        <w:t> </w:t>
      </w:r>
      <w:r>
        <w:rPr>
          <w:spacing w:val="-9"/>
        </w:rPr>
      </w:r>
      <w:r>
        <w:rPr/>
        <w:t>险，包括利率风险。</w:t>
      </w:r>
      <w:r>
        <w:rPr>
          <w:w w:val="100"/>
        </w:rPr>
        <w:t> </w:t>
      </w:r>
      <w:r>
        <w:rPr/>
        <w:t>利率风险，是指金融工具的公允价值或未来现金流量因市场利率变动而发生波动的风险。本公司</w:t>
      </w:r>
      <w:r>
        <w:rPr>
          <w:spacing w:val="-9"/>
        </w:rPr>
        <w:t> </w:t>
      </w:r>
      <w:r>
        <w:rPr>
          <w:spacing w:val="-9"/>
        </w:rPr>
      </w:r>
      <w:r>
        <w:rPr/>
        <w:t>面临的利率风险主要来源于银行借款。公司目前的政策是全部为固定利率借款。</w:t>
      </w:r>
      <w:r>
        <w:rPr>
          <w:w w:val="100"/>
        </w:rPr>
        <w:t> </w:t>
      </w:r>
      <w:r>
        <w:rPr/>
        <w:t>因此，利率风险变动对公司经营是可以控制等</w:t>
      </w:r>
    </w:p>
    <w:p>
      <w:pPr>
        <w:spacing w:line="240" w:lineRule="auto" w:before="10"/>
        <w:rPr>
          <w:rFonts w:ascii="宋体" w:hAnsi="宋体" w:cs="宋体" w:eastAsia="宋体" w:hint="default"/>
          <w:sz w:val="24"/>
          <w:szCs w:val="24"/>
        </w:rPr>
      </w:pPr>
    </w:p>
    <w:p>
      <w:pPr>
        <w:pStyle w:val="Heading7"/>
        <w:spacing w:line="266" w:lineRule="auto"/>
        <w:ind w:left="870" w:right="0" w:firstLine="38"/>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流动性风险</w:t>
      </w:r>
      <w:r>
        <w:rPr>
          <w:rFonts w:ascii="宋体" w:hAnsi="宋体" w:cs="宋体" w:eastAsia="宋体" w:hint="default"/>
          <w:b/>
          <w:bCs/>
          <w:w w:val="100"/>
        </w:rPr>
        <w:t> </w:t>
      </w:r>
      <w:r>
        <w:rPr/>
        <w:t>流动风险，是指企业在履行交付现金或其他金融资产的方式结算的义务时发生资金短缺的风险。</w:t>
      </w:r>
      <w:r>
        <w:rPr>
          <w:w w:val="100"/>
        </w:rPr>
        <w:t> </w:t>
      </w:r>
      <w:r>
        <w:rPr>
          <w:spacing w:val="-2"/>
        </w:rPr>
        <w:t>本公司的政策是确保拥有充足的现金以偿还到期债务。流动性风险由本公司的财务部门集中控制。</w:t>
      </w:r>
      <w:r>
        <w:rPr>
          <w:spacing w:val="-33"/>
        </w:rPr>
        <w:t> </w:t>
      </w:r>
      <w:r>
        <w:rPr>
          <w:spacing w:val="-33"/>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w:t>
      </w:r>
      <w:r>
        <w:rPr>
          <w:spacing w:val="-4"/>
        </w:rPr>
        <w:t> </w:t>
      </w:r>
      <w:r>
        <w:rPr>
          <w:spacing w:val="-4"/>
        </w:rPr>
      </w:r>
      <w:r>
        <w:rPr/>
        <w:t>保公司在所有合理预测的情况下拥有充足的资金偿还债务。</w:t>
      </w:r>
      <w:r>
        <w:rPr>
          <w:w w:val="10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日公司按金融资产和金融负债按未折现的合同现金流量的到期期限分析如下：</w:t>
      </w:r>
    </w:p>
    <w:tbl>
      <w:tblPr>
        <w:tblW w:w="0" w:type="auto"/>
        <w:jc w:val="left"/>
        <w:tblInd w:w="145" w:type="dxa"/>
        <w:tblLayout w:type="fixed"/>
        <w:tblCellMar>
          <w:top w:w="0" w:type="dxa"/>
          <w:left w:w="0" w:type="dxa"/>
          <w:bottom w:w="0" w:type="dxa"/>
          <w:right w:w="0" w:type="dxa"/>
        </w:tblCellMar>
        <w:tblLook w:val="01E0"/>
      </w:tblPr>
      <w:tblGrid>
        <w:gridCol w:w="1527"/>
        <w:gridCol w:w="1417"/>
        <w:gridCol w:w="1418"/>
        <w:gridCol w:w="1416"/>
        <w:gridCol w:w="1274"/>
        <w:gridCol w:w="1558"/>
      </w:tblGrid>
      <w:tr>
        <w:trPr>
          <w:trHeight w:val="355"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金融资产项目</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27"/>
        <w:gridCol w:w="1417"/>
        <w:gridCol w:w="1418"/>
        <w:gridCol w:w="1416"/>
        <w:gridCol w:w="1274"/>
        <w:gridCol w:w="1558"/>
      </w:tblGrid>
      <w:tr>
        <w:trPr>
          <w:trHeight w:val="668"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8"/>
              <w:ind w:left="4" w:right="65"/>
              <w:jc w:val="left"/>
              <w:rPr>
                <w:rFonts w:ascii="宋体" w:hAnsi="宋体" w:cs="宋体" w:eastAsia="宋体" w:hint="default"/>
                <w:sz w:val="18"/>
                <w:szCs w:val="18"/>
              </w:rPr>
            </w:pPr>
            <w:r>
              <w:rPr>
                <w:rFonts w:ascii="宋体" w:hAnsi="宋体" w:cs="宋体" w:eastAsia="宋体" w:hint="default"/>
                <w:sz w:val="18"/>
                <w:szCs w:val="18"/>
              </w:rPr>
              <w:t>以成本计量的权益 投资</w:t>
            </w:r>
          </w:p>
        </w:tc>
        <w:tc>
          <w:tcPr>
            <w:tcW w:w="1417"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1416"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50"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343,951,242.65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1,323,791.18</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345,275,033.83</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3,686,752.11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707,651.13</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39,343.20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28,800.00</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4,462,546.44</w:t>
            </w:r>
          </w:p>
        </w:tc>
      </w:tr>
      <w:tr>
        <w:trPr>
          <w:trHeight w:val="350"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347,637,994.76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3,231,442.31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39,343.20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28,800.00</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350,937,580.27</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113,000,000.00</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113,000,000.00</w:t>
            </w:r>
          </w:p>
        </w:tc>
      </w:tr>
      <w:tr>
        <w:trPr>
          <w:trHeight w:val="350"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49,159,518.63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100,212.65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26,507.51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2,153,493.86</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51,439,732.65</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7,443,852.85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1,063,104.14</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1,212,281.35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1,990,194.41</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11,709,432.75</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169,603,371.48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1,163,316.79</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1,238,788.86</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4,143,688.27</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pacing w:val="-1"/>
                <w:sz w:val="18"/>
              </w:rPr>
              <w:t>176,149,165.40</w:t>
            </w:r>
          </w:p>
        </w:tc>
      </w:tr>
    </w:tbl>
    <w:p>
      <w:pPr>
        <w:pStyle w:val="Heading7"/>
        <w:spacing w:line="273" w:lineRule="auto"/>
        <w:ind w:left="870" w:right="153"/>
        <w:jc w:val="left"/>
      </w:pPr>
      <w:r>
        <w:rPr/>
        <w:t>公司未来金融资产和金融负债净额为正值，且因公司的产品主要为黄金珠宝，具有易于销售变现</w:t>
      </w:r>
      <w:r>
        <w:rPr>
          <w:spacing w:val="-9"/>
        </w:rPr>
        <w:t> </w:t>
      </w:r>
      <w:r>
        <w:rPr>
          <w:spacing w:val="-9"/>
        </w:rPr>
      </w:r>
      <w:r>
        <w:rPr/>
        <w:t>的特性，因此公司不存在重大流动性风险。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7434"/>
        <w:jc w:val="left"/>
      </w:pPr>
      <w:r>
        <w:rPr/>
        <w:t>本企业的母公司情况的说明 本企业最终控制方是。 其他说明：</w:t>
      </w:r>
    </w:p>
    <w:p>
      <w:pPr>
        <w:spacing w:line="240" w:lineRule="auto" w:before="6"/>
        <w:rPr>
          <w:rFonts w:ascii="宋体" w:hAnsi="宋体" w:cs="宋体" w:eastAsia="宋体" w:hint="default"/>
          <w:sz w:val="20"/>
          <w:szCs w:val="20"/>
        </w:rPr>
      </w:pPr>
    </w:p>
    <w:p>
      <w:pPr>
        <w:pStyle w:val="Heading6"/>
        <w:spacing w:line="240" w:lineRule="auto"/>
        <w:ind w:right="15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t>本企业子公司的情况详见附注</w:t>
      </w:r>
      <w:r>
        <w:rPr>
          <w:spacing w:val="-1"/>
        </w:rPr>
        <w:t> </w:t>
      </w:r>
      <w:r>
        <w:rPr/>
        <w:t>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1314"/>
        <w:jc w:val="left"/>
      </w:pPr>
      <w:r>
        <w:rPr/>
        <w:t>本企业重要的合营或联营企业详见附注</w:t>
      </w:r>
      <w:r>
        <w:rPr>
          <w:spacing w:val="1"/>
        </w:rPr>
        <w:t> </w:t>
      </w:r>
      <w:r>
        <w:rPr/>
        <w:t>九</w:t>
      </w:r>
      <w:r>
        <w:rPr>
          <w:rFonts w:ascii="Times New Roman" w:hAnsi="Times New Roman" w:cs="Times New Roman" w:eastAsia="Times New Roman" w:hint="default"/>
        </w:rPr>
        <w:t>“</w:t>
      </w:r>
      <w:r>
        <w:rPr/>
        <w:t>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公司股东、实际控制人弟弟</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公司董事金燕兼任该公司总经理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深圳市递四方速递有限公司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公司董事金燕兼任该公司董事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深圳市爱航投资有限公司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该公司为员工持股公司，监事郑恒毅担任其执行董事。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北京爱投融科技有限公司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公司的合营企业</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5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5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本公司作为出租方：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53"/>
        <w:jc w:val="left"/>
      </w:pPr>
      <w:r>
        <w:rPr/>
        <w:t>本公司作为承租方：</w:t>
      </w:r>
    </w:p>
    <w:p>
      <w:pPr>
        <w:pStyle w:val="BodyText"/>
        <w:spacing w:line="240" w:lineRule="auto" w:before="115"/>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53"/>
        <w:jc w:val="left"/>
      </w:pPr>
      <w:r>
        <w:rPr/>
        <w:t>关联租赁情况说明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53"/>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关联担保情况说明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4"/>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4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right="7494"/>
        <w:jc w:val="left"/>
      </w:pPr>
      <w:r>
        <w:rPr/>
        <w:t>资产负债表日存在的重要承诺 不适用</w:t>
      </w:r>
    </w:p>
    <w:p>
      <w:pPr>
        <w:spacing w:line="240" w:lineRule="auto" w:before="5"/>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9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left="570"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w:t>
      </w:r>
      <w:r>
        <w:rPr>
          <w:spacing w:val="-4"/>
        </w:rPr>
        <w:t>日，中国证券监督管理委员会发行审核委员会审核通过深圳市爱迪尔股份有限公司</w:t>
      </w:r>
      <w:r>
        <w:rPr>
          <w:rFonts w:ascii="Times New Roman" w:hAnsi="Times New Roman" w:cs="Times New Roman" w:eastAsia="Times New Roman" w:hint="default"/>
          <w:spacing w:val="-4"/>
        </w:rPr>
        <w:t>2015</w:t>
      </w:r>
    </w:p>
    <w:p>
      <w:pPr>
        <w:pStyle w:val="Heading7"/>
        <w:spacing w:line="240" w:lineRule="auto" w:before="21"/>
        <w:ind w:left="570" w:right="0"/>
        <w:jc w:val="left"/>
      </w:pPr>
      <w:r>
        <w:rPr/>
        <w:t>年非公开发行股票的事项。</w:t>
      </w:r>
    </w:p>
    <w:p>
      <w:pPr>
        <w:spacing w:line="240" w:lineRule="auto" w:before="9"/>
        <w:rPr>
          <w:rFonts w:ascii="宋体" w:hAnsi="宋体" w:cs="宋体" w:eastAsia="宋体" w:hint="default"/>
          <w:sz w:val="26"/>
          <w:szCs w:val="26"/>
        </w:rPr>
      </w:pPr>
    </w:p>
    <w:p>
      <w:pPr>
        <w:pStyle w:val="Heading7"/>
        <w:spacing w:line="256" w:lineRule="auto"/>
        <w:ind w:left="570" w:right="0"/>
        <w:jc w:val="left"/>
      </w:pPr>
      <w:r>
        <w:rPr>
          <w:rFonts w:ascii="Times New Roman" w:hAnsi="Times New Roman" w:cs="Times New Roman" w:eastAsia="Times New Roman" w:hint="default"/>
          <w:spacing w:val="-2"/>
        </w:rPr>
        <w:t>2</w:t>
      </w:r>
      <w:r>
        <w:rPr>
          <w:spacing w:val="-2"/>
        </w:rPr>
        <w:t>、经公司召开第三届董事会第十七次会议，审议通过了《关于公司</w:t>
      </w:r>
      <w:r>
        <w:rPr>
          <w:rFonts w:ascii="Times New Roman" w:hAnsi="Times New Roman" w:cs="Times New Roman" w:eastAsia="Times New Roman" w:hint="default"/>
          <w:spacing w:val="-2"/>
        </w:rPr>
        <w:t>2015</w:t>
      </w:r>
      <w:r>
        <w:rPr>
          <w:spacing w:val="-2"/>
        </w:rPr>
        <w:t>年度利润分配预案的议案》，</w:t>
      </w:r>
      <w:r>
        <w:rPr>
          <w:spacing w:val="-46"/>
        </w:rPr>
        <w:t> </w:t>
      </w:r>
      <w:r>
        <w:rPr>
          <w:spacing w:val="-46"/>
        </w:rPr>
      </w:r>
      <w:r>
        <w:rPr/>
        <w:t>公司</w:t>
      </w:r>
      <w:r>
        <w:rPr>
          <w:rFonts w:ascii="Times New Roman" w:hAnsi="Times New Roman" w:cs="Times New Roman" w:eastAsia="Times New Roman" w:hint="default"/>
        </w:rPr>
        <w:t>2015</w:t>
      </w:r>
      <w:r>
        <w:rPr/>
        <w:t>年度利润分配及资本公积金转增股本预案为：以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100,000,000</w:t>
      </w:r>
      <w:r>
        <w:rPr/>
        <w:t>股为</w:t>
      </w:r>
      <w:r>
        <w:rPr>
          <w:w w:val="100"/>
        </w:rPr>
        <w:t> </w:t>
      </w:r>
      <w:r>
        <w:rPr>
          <w:spacing w:val="-3"/>
        </w:rPr>
        <w:t>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1.10</w:t>
      </w:r>
      <w:r>
        <w:rPr>
          <w:spacing w:val="-3"/>
        </w:rPr>
        <w:t>元（含税），共计</w:t>
      </w:r>
      <w:r>
        <w:rPr>
          <w:rFonts w:ascii="Times New Roman" w:hAnsi="Times New Roman" w:cs="Times New Roman" w:eastAsia="Times New Roman" w:hint="default"/>
          <w:spacing w:val="-3"/>
        </w:rPr>
        <w:t>11,000,000</w:t>
      </w:r>
      <w:r>
        <w:rPr>
          <w:spacing w:val="-3"/>
        </w:rPr>
        <w:t>元（含税），剩余未分配利润</w:t>
      </w:r>
    </w:p>
    <w:p>
      <w:pPr>
        <w:spacing w:after="0" w:line="256"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7"/>
        <w:spacing w:line="256" w:lineRule="auto" w:before="36"/>
        <w:ind w:left="570" w:right="0"/>
        <w:jc w:val="left"/>
      </w:pPr>
      <w:r>
        <w:rPr/>
        <w:t>转入以后年度；同时，进行资本公积金转增股本，向全体股东每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股，共计转增</w:t>
      </w:r>
      <w:r>
        <w:rPr>
          <w:rFonts w:ascii="Times New Roman" w:hAnsi="Times New Roman" w:cs="Times New Roman" w:eastAsia="Times New Roman" w:hint="default"/>
        </w:rPr>
        <w:t>200,000,000</w:t>
      </w:r>
      <w:r>
        <w:rPr>
          <w:rFonts w:ascii="Times New Roman" w:hAnsi="Times New Roman" w:cs="Times New Roman" w:eastAsia="Times New Roman" w:hint="default"/>
          <w:w w:val="100"/>
        </w:rPr>
        <w:t> </w:t>
      </w:r>
      <w:r>
        <w:rPr/>
        <w:t>股，转增后公司总股本将增加至</w:t>
      </w:r>
      <w:r>
        <w:rPr>
          <w:rFonts w:ascii="Times New Roman" w:hAnsi="Times New Roman" w:cs="Times New Roman" w:eastAsia="Times New Roman" w:hint="default"/>
        </w:rPr>
        <w:t>300,000,000</w:t>
      </w:r>
      <w:r>
        <w:rPr/>
        <w:t>股。本议案尚需提交公司股东大会审议。</w:t>
      </w:r>
    </w:p>
    <w:p>
      <w:pPr>
        <w:spacing w:line="240" w:lineRule="auto" w:before="3"/>
        <w:rPr>
          <w:rFonts w:ascii="宋体" w:hAnsi="宋体" w:cs="宋体" w:eastAsia="宋体" w:hint="default"/>
          <w:sz w:val="24"/>
          <w:szCs w:val="24"/>
        </w:rPr>
      </w:pPr>
    </w:p>
    <w:p>
      <w:pPr>
        <w:pStyle w:val="Heading7"/>
        <w:spacing w:line="261" w:lineRule="auto"/>
        <w:ind w:left="570" w:right="0"/>
        <w:jc w:val="left"/>
      </w:pPr>
      <w:r>
        <w:rPr>
          <w:rFonts w:ascii="Times New Roman" w:hAnsi="Times New Roman" w:cs="Times New Roman" w:eastAsia="Times New Roman" w:hint="default"/>
          <w:spacing w:val="-7"/>
        </w:rPr>
        <w:t>3</w:t>
      </w:r>
      <w:r>
        <w:rPr>
          <w:spacing w:val="-7"/>
        </w:rPr>
        <w:t>、经公司第三届董事会第十七次会议，审议通过了《关于公司向下游客户提供融资担保额度的议案》；</w:t>
      </w:r>
      <w:r>
        <w:rPr>
          <w:spacing w:val="-23"/>
        </w:rPr>
        <w:t> </w:t>
      </w:r>
      <w:r>
        <w:rPr>
          <w:spacing w:val="-23"/>
        </w:rPr>
      </w:r>
      <w:r>
        <w:rPr/>
        <w:t>公司根据《中华人民共和国公司法》</w:t>
      </w:r>
      <w:r>
        <w:rPr>
          <w:spacing w:val="-23"/>
        </w:rPr>
        <w:t> </w:t>
      </w:r>
      <w:r>
        <w:rPr>
          <w:spacing w:val="-5"/>
        </w:rPr>
        <w:t>、《公司章程》、《中华人民共和国担保法》和《深圳证券交易</w:t>
      </w:r>
      <w:r>
        <w:rPr>
          <w:spacing w:val="-81"/>
        </w:rPr>
        <w:t> </w:t>
      </w:r>
      <w:r>
        <w:rPr>
          <w:spacing w:val="-81"/>
        </w:rPr>
      </w:r>
      <w:r>
        <w:rPr/>
        <w:t>所股票上市规则》</w:t>
      </w:r>
      <w:r>
        <w:rPr>
          <w:spacing w:val="-24"/>
        </w:rPr>
        <w:t> </w:t>
      </w:r>
      <w:r>
        <w:rPr/>
        <w:t>的相关规定及要求，公司</w:t>
      </w:r>
      <w:r>
        <w:rPr>
          <w:rFonts w:ascii="Times New Roman" w:hAnsi="Times New Roman" w:cs="Times New Roman" w:eastAsia="Times New Roman" w:hint="default"/>
        </w:rPr>
        <w:t>2016</w:t>
      </w:r>
      <w:r>
        <w:rPr/>
        <w:t>年度向下游客户提供融资担保总额不超过</w:t>
      </w:r>
      <w:r>
        <w:rPr>
          <w:rFonts w:ascii="Times New Roman" w:hAnsi="Times New Roman" w:cs="Times New Roman" w:eastAsia="Times New Roman" w:hint="default"/>
        </w:rPr>
        <w:t>3</w:t>
      </w:r>
      <w:r>
        <w:rPr/>
        <w:t>亿元。公</w:t>
      </w:r>
      <w:r>
        <w:rPr>
          <w:w w:val="100"/>
        </w:rPr>
        <w:t> </w:t>
      </w:r>
      <w:r>
        <w:rPr/>
        <w:t>司将在董事会通过担保总额度后，对每次被担保对象资质情况及反担保能力进行公告。</w:t>
      </w:r>
    </w:p>
    <w:p>
      <w:pPr>
        <w:spacing w:line="240" w:lineRule="auto" w:before="3"/>
        <w:rPr>
          <w:rFonts w:ascii="宋体" w:hAnsi="宋体" w:cs="宋体" w:eastAsia="宋体" w:hint="default"/>
          <w:sz w:val="25"/>
          <w:szCs w:val="25"/>
        </w:rPr>
      </w:pPr>
    </w:p>
    <w:p>
      <w:pPr>
        <w:pStyle w:val="Heading7"/>
        <w:spacing w:line="240" w:lineRule="auto"/>
        <w:ind w:left="570" w:right="0"/>
        <w:jc w:val="left"/>
      </w:pPr>
      <w:r>
        <w:rPr>
          <w:rFonts w:ascii="Times New Roman" w:hAnsi="Times New Roman" w:cs="Times New Roman" w:eastAsia="Times New Roman" w:hint="default"/>
        </w:rPr>
        <w:t>4</w:t>
      </w:r>
      <w:r>
        <w:rPr/>
        <w:t>、截至本报告日，公司不存在其他需披露的资产负债表日后事项中的重大非调整事项。</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3"/>
          <w:szCs w:val="23"/>
        </w:rPr>
      </w:pPr>
    </w:p>
    <w:p>
      <w:pPr>
        <w:pStyle w:val="Heading5"/>
        <w:spacing w:line="228" w:lineRule="auto"/>
        <w:ind w:right="136"/>
        <w:jc w:val="left"/>
      </w:pPr>
      <w:r>
        <w:rPr>
          <w:rFonts w:ascii="Times New Roman" w:hAnsi="Times New Roman" w:cs="Times New Roman" w:eastAsia="Times New Roman" w:hint="default"/>
          <w:spacing w:val="-2"/>
        </w:rPr>
        <w:t>1</w:t>
      </w:r>
      <w:r>
        <w:rPr>
          <w:spacing w:val="-2"/>
        </w:rPr>
        <w:t>、公司第三届董事会第八次会议及</w:t>
      </w:r>
      <w:r>
        <w:rPr>
          <w:rFonts w:ascii="Times New Roman" w:hAnsi="Times New Roman" w:cs="Times New Roman" w:eastAsia="Times New Roman" w:hint="default"/>
          <w:spacing w:val="-2"/>
        </w:rPr>
        <w:t>2015</w:t>
      </w:r>
      <w:r>
        <w:rPr>
          <w:spacing w:val="-2"/>
        </w:rPr>
        <w:t>年第一次临时股东大会审议通过了《关于发起设立玖</w:t>
      </w:r>
      <w:r>
        <w:rPr>
          <w:spacing w:val="-116"/>
        </w:rPr>
        <w:t> </w:t>
      </w:r>
      <w:r>
        <w:rPr>
          <w:spacing w:val="-116"/>
        </w:rPr>
      </w:r>
      <w:r>
        <w:rPr/>
        <w:t>爱珠宝产业并购基金（有限合伙）的议案》公司拟以自有资金与昆吾九鼎投资管理有限公司</w:t>
      </w:r>
      <w:r>
        <w:rPr>
          <w:spacing w:val="-91"/>
        </w:rPr>
        <w:t> </w:t>
      </w:r>
      <w:r>
        <w:rPr>
          <w:spacing w:val="-91"/>
        </w:rPr>
      </w:r>
      <w:r>
        <w:rPr/>
        <w:t>或其子公司发起设立产业并购基金，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月，合伙企业已完成工商登记手续。 </w:t>
      </w:r>
      <w:r>
        <w:rPr>
          <w:rFonts w:ascii="Times New Roman" w:hAnsi="Times New Roman" w:cs="Times New Roman" w:eastAsia="Times New Roman" w:hint="default"/>
          <w:spacing w:val="-2"/>
        </w:rPr>
        <w:t>2</w:t>
      </w:r>
      <w:r>
        <w:rPr>
          <w:spacing w:val="-2"/>
        </w:rPr>
        <w:t>、公司第三届董事会第十一次会议通过了《关于为浙江禧福珠宝有限公司申请银行授信提供</w:t>
      </w:r>
      <w:r>
        <w:rPr/>
        <w:t> 担保的议案》同意为禧福珠宝向平安银行杭州分行萧山支行申请</w:t>
      </w:r>
      <w:r>
        <w:rPr>
          <w:rFonts w:ascii="Times New Roman" w:hAnsi="Times New Roman" w:cs="Times New Roman" w:eastAsia="Times New Roman" w:hint="default"/>
        </w:rPr>
        <w:t>1000</w:t>
      </w:r>
      <w:r>
        <w:rPr/>
        <w:t>万元的银行综合授信连</w:t>
      </w:r>
      <w:r>
        <w:rPr>
          <w:spacing w:val="-88"/>
        </w:rPr>
        <w:t> </w:t>
      </w:r>
      <w:r>
        <w:rPr>
          <w:spacing w:val="-88"/>
        </w:rPr>
      </w:r>
      <w:r>
        <w:rPr/>
        <w:t>带保证担保，担保期限为一年。</w:t>
      </w:r>
    </w:p>
    <w:p>
      <w:pPr>
        <w:pStyle w:val="Heading5"/>
        <w:spacing w:line="312" w:lineRule="auto"/>
        <w:ind w:right="3654"/>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日公告了拟设立子公司的基本情况。 如下表所示：</w:t>
      </w:r>
    </w:p>
    <w:p>
      <w:pPr>
        <w:spacing w:line="240" w:lineRule="auto" w:before="0"/>
        <w:rPr>
          <w:rFonts w:ascii="宋体" w:hAnsi="宋体" w:cs="宋体" w:eastAsia="宋体" w:hint="default"/>
          <w:sz w:val="6"/>
          <w:szCs w:val="6"/>
        </w:rPr>
      </w:pPr>
    </w:p>
    <w:p>
      <w:pPr>
        <w:spacing w:line="3845" w:lineRule="exact"/>
        <w:ind w:left="136"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483.7pt;height:192.3pt;mso-position-horizontal-relative:char;mso-position-vertical-relative:line" coordorigin="0,0" coordsize="9674,3846">
            <v:group style="position:absolute;left:14;top:15;width:1374;height:2" coordorigin="14,15" coordsize="1374,2">
              <v:shape style="position:absolute;left:14;top:15;width:1374;height:2" coordorigin="14,15" coordsize="1374,0" path="m14,15l1388,15e" filled="false" stroked="true" strokeweight=".72pt" strokecolor="#000000">
                <v:path arrowok="t"/>
              </v:shape>
            </v:group>
            <v:group style="position:absolute;left:1402;top:15;width:1307;height:2" coordorigin="1402,15" coordsize="1307,2">
              <v:shape style="position:absolute;left:1402;top:15;width:1307;height:2" coordorigin="1402,15" coordsize="1307,0" path="m1402,15l2708,15e" filled="false" stroked="true" strokeweight=".72pt" strokecolor="#000000">
                <v:path arrowok="t"/>
              </v:shape>
            </v:group>
            <v:group style="position:absolute;left:2723;top:15;width:896;height:2" coordorigin="2723,15" coordsize="896,2">
              <v:shape style="position:absolute;left:2723;top:15;width:896;height:2" coordorigin="2723,15" coordsize="896,0" path="m2723,15l3618,15e" filled="false" stroked="true" strokeweight=".72pt" strokecolor="#000000">
                <v:path arrowok="t"/>
              </v:shape>
            </v:group>
            <v:group style="position:absolute;left:3632;top:15;width:833;height:2" coordorigin="3632,15" coordsize="833,2">
              <v:shape style="position:absolute;left:3632;top:15;width:833;height:2" coordorigin="3632,15" coordsize="833,0" path="m3632,15l4465,15e" filled="false" stroked="true" strokeweight=".72pt" strokecolor="#000000">
                <v:path arrowok="t"/>
              </v:shape>
            </v:group>
            <v:group style="position:absolute;left:4479;top:15;width:774;height:2" coordorigin="4479,15" coordsize="774,2">
              <v:shape style="position:absolute;left:4479;top:15;width:774;height:2" coordorigin="4479,15" coordsize="774,0" path="m4479,15l5253,15e" filled="false" stroked="true" strokeweight=".72pt" strokecolor="#000000">
                <v:path arrowok="t"/>
              </v:shape>
            </v:group>
            <v:group style="position:absolute;left:5267;top:15;width:2038;height:2" coordorigin="5267,15" coordsize="2038,2">
              <v:shape style="position:absolute;left:5267;top:15;width:2038;height:2" coordorigin="5267,15" coordsize="2038,0" path="m5267,15l7305,15e" filled="false" stroked="true" strokeweight=".72pt" strokecolor="#000000">
                <v:path arrowok="t"/>
              </v:shape>
            </v:group>
            <v:group style="position:absolute;left:7320;top:15;width:2340;height:2" coordorigin="7320,15" coordsize="2340,2">
              <v:shape style="position:absolute;left:7320;top:15;width:2340;height:2" coordorigin="7320,15" coordsize="2340,0" path="m7320,15l9660,15e" filled="false" stroked="true" strokeweight=".72pt" strokecolor="#000000">
                <v:path arrowok="t"/>
              </v:shape>
            </v:group>
            <v:group style="position:absolute;left:14;top:675;width:1374;height:2" coordorigin="14,675" coordsize="1374,2">
              <v:shape style="position:absolute;left:14;top:675;width:1374;height:2" coordorigin="14,675" coordsize="1374,0" path="m14,675l1388,675e" filled="false" stroked="true" strokeweight=".72pt" strokecolor="#000000">
                <v:path arrowok="t"/>
              </v:shape>
            </v:group>
            <v:group style="position:absolute;left:1402;top:675;width:1307;height:2" coordorigin="1402,675" coordsize="1307,2">
              <v:shape style="position:absolute;left:1402;top:675;width:1307;height:2" coordorigin="1402,675" coordsize="1307,0" path="m1402,675l2708,675e" filled="false" stroked="true" strokeweight=".72pt" strokecolor="#000000">
                <v:path arrowok="t"/>
              </v:shape>
            </v:group>
            <v:group style="position:absolute;left:2723;top:675;width:896;height:2" coordorigin="2723,675" coordsize="896,2">
              <v:shape style="position:absolute;left:2723;top:675;width:896;height:2" coordorigin="2723,675" coordsize="896,0" path="m2723,675l3618,675e" filled="false" stroked="true" strokeweight=".72pt" strokecolor="#000000">
                <v:path arrowok="t"/>
              </v:shape>
            </v:group>
            <v:group style="position:absolute;left:3632;top:675;width:833;height:2" coordorigin="3632,675" coordsize="833,2">
              <v:shape style="position:absolute;left:3632;top:675;width:833;height:2" coordorigin="3632,675" coordsize="833,0" path="m3632,675l4465,675e" filled="false" stroked="true" strokeweight=".72pt" strokecolor="#000000">
                <v:path arrowok="t"/>
              </v:shape>
            </v:group>
            <v:group style="position:absolute;left:4479;top:675;width:774;height:2" coordorigin="4479,675" coordsize="774,2">
              <v:shape style="position:absolute;left:4479;top:675;width:774;height:2" coordorigin="4479,675" coordsize="774,0" path="m4479,675l5253,675e" filled="false" stroked="true" strokeweight=".72pt" strokecolor="#000000">
                <v:path arrowok="t"/>
              </v:shape>
            </v:group>
            <v:group style="position:absolute;left:5267;top:675;width:2038;height:2" coordorigin="5267,675" coordsize="2038,2">
              <v:shape style="position:absolute;left:5267;top:675;width:2038;height:2" coordorigin="5267,675" coordsize="2038,0" path="m5267,675l7305,675e" filled="false" stroked="true" strokeweight=".72pt" strokecolor="#000000">
                <v:path arrowok="t"/>
              </v:shape>
            </v:group>
            <v:group style="position:absolute;left:7320;top:675;width:2340;height:2" coordorigin="7320,675" coordsize="2340,2">
              <v:shape style="position:absolute;left:7320;top:675;width:2340;height:2" coordorigin="7320,675" coordsize="2340,0" path="m7320,675l9660,675e" filled="false" stroked="true" strokeweight=".72pt" strokecolor="#000000">
                <v:path arrowok="t"/>
              </v:shape>
            </v:group>
            <v:group style="position:absolute;left:14;top:1956;width:1374;height:2" coordorigin="14,1956" coordsize="1374,2">
              <v:shape style="position:absolute;left:14;top:1956;width:1374;height:2" coordorigin="14,1956" coordsize="1374,0" path="m14,1956l1388,1956e" filled="false" stroked="true" strokeweight=".72003pt" strokecolor="#000000">
                <v:path arrowok="t"/>
              </v:shape>
            </v:group>
            <v:group style="position:absolute;left:1402;top:1956;width:1307;height:2" coordorigin="1402,1956" coordsize="1307,2">
              <v:shape style="position:absolute;left:1402;top:1956;width:1307;height:2" coordorigin="1402,1956" coordsize="1307,0" path="m1402,1956l2708,1956e" filled="false" stroked="true" strokeweight=".72003pt" strokecolor="#000000">
                <v:path arrowok="t"/>
              </v:shape>
            </v:group>
            <v:group style="position:absolute;left:2723;top:1956;width:896;height:2" coordorigin="2723,1956" coordsize="896,2">
              <v:shape style="position:absolute;left:2723;top:1956;width:896;height:2" coordorigin="2723,1956" coordsize="896,0" path="m2723,1956l3618,1956e" filled="false" stroked="true" strokeweight=".72003pt" strokecolor="#000000">
                <v:path arrowok="t"/>
              </v:shape>
            </v:group>
            <v:group style="position:absolute;left:3632;top:1956;width:833;height:2" coordorigin="3632,1956" coordsize="833,2">
              <v:shape style="position:absolute;left:3632;top:1956;width:833;height:2" coordorigin="3632,1956" coordsize="833,0" path="m3632,1956l4465,1956e" filled="false" stroked="true" strokeweight=".72003pt" strokecolor="#000000">
                <v:path arrowok="t"/>
              </v:shape>
            </v:group>
            <v:group style="position:absolute;left:4479;top:1956;width:774;height:2" coordorigin="4479,1956" coordsize="774,2">
              <v:shape style="position:absolute;left:4479;top:1956;width:774;height:2" coordorigin="4479,1956" coordsize="774,0" path="m4479,1956l5253,1956e" filled="false" stroked="true" strokeweight=".72003pt" strokecolor="#000000">
                <v:path arrowok="t"/>
              </v:shape>
            </v:group>
            <v:group style="position:absolute;left:7;top:7;width:2;height:3831" coordorigin="7,7" coordsize="2,3831">
              <v:shape style="position:absolute;left:7;top:7;width:2;height:3831" coordorigin="7,7" coordsize="0,3831" path="m7,7l7,3838e" filled="false" stroked="true" strokeweight=".72pt" strokecolor="#000000">
                <v:path arrowok="t"/>
              </v:shape>
            </v:group>
            <v:group style="position:absolute;left:14;top:3831;width:1374;height:2" coordorigin="14,3831" coordsize="1374,2">
              <v:shape style="position:absolute;left:14;top:3831;width:1374;height:2" coordorigin="14,3831" coordsize="1374,0" path="m14,3831l1388,3831e" filled="false" stroked="true" strokeweight=".71997pt" strokecolor="#000000">
                <v:path arrowok="t"/>
              </v:shape>
            </v:group>
            <v:group style="position:absolute;left:1395;top:7;width:2;height:3831" coordorigin="1395,7" coordsize="2,3831">
              <v:shape style="position:absolute;left:1395;top:7;width:2;height:3831" coordorigin="1395,7" coordsize="0,3831" path="m1395,7l1395,3838e" filled="false" stroked="true" strokeweight=".72pt" strokecolor="#000000">
                <v:path arrowok="t"/>
              </v:shape>
            </v:group>
            <v:group style="position:absolute;left:1402;top:3831;width:1307;height:2" coordorigin="1402,3831" coordsize="1307,2">
              <v:shape style="position:absolute;left:1402;top:3831;width:1307;height:2" coordorigin="1402,3831" coordsize="1307,0" path="m1402,3831l2708,3831e" filled="false" stroked="true" strokeweight=".71997pt" strokecolor="#000000">
                <v:path arrowok="t"/>
              </v:shape>
            </v:group>
            <v:group style="position:absolute;left:2715;top:7;width:2;height:3831" coordorigin="2715,7" coordsize="2,3831">
              <v:shape style="position:absolute;left:2715;top:7;width:2;height:3831" coordorigin="2715,7" coordsize="0,3831" path="m2715,7l2715,3838e" filled="false" stroked="true" strokeweight=".72pt" strokecolor="#000000">
                <v:path arrowok="t"/>
              </v:shape>
            </v:group>
            <v:group style="position:absolute;left:2723;top:3831;width:896;height:2" coordorigin="2723,3831" coordsize="896,2">
              <v:shape style="position:absolute;left:2723;top:3831;width:896;height:2" coordorigin="2723,3831" coordsize="896,0" path="m2723,3831l3618,3831e" filled="false" stroked="true" strokeweight=".71997pt" strokecolor="#000000">
                <v:path arrowok="t"/>
              </v:shape>
            </v:group>
            <v:group style="position:absolute;left:3625;top:7;width:2;height:3831" coordorigin="3625,7" coordsize="2,3831">
              <v:shape style="position:absolute;left:3625;top:7;width:2;height:3831" coordorigin="3625,7" coordsize="0,3831" path="m3625,7l3625,3838e" filled="false" stroked="true" strokeweight=".72pt" strokecolor="#000000">
                <v:path arrowok="t"/>
              </v:shape>
            </v:group>
            <v:group style="position:absolute;left:3632;top:3831;width:833;height:2" coordorigin="3632,3831" coordsize="833,2">
              <v:shape style="position:absolute;left:3632;top:3831;width:833;height:2" coordorigin="3632,3831" coordsize="833,0" path="m3632,3831l4465,3831e" filled="false" stroked="true" strokeweight=".71997pt" strokecolor="#000000">
                <v:path arrowok="t"/>
              </v:shape>
            </v:group>
            <v:group style="position:absolute;left:4472;top:7;width:2;height:3831" coordorigin="4472,7" coordsize="2,3831">
              <v:shape style="position:absolute;left:4472;top:7;width:2;height:3831" coordorigin="4472,7" coordsize="0,3831" path="m4472,7l4472,3838e" filled="false" stroked="true" strokeweight=".72pt" strokecolor="#000000">
                <v:path arrowok="t"/>
              </v:shape>
            </v:group>
            <v:group style="position:absolute;left:4479;top:3831;width:774;height:2" coordorigin="4479,3831" coordsize="774,2">
              <v:shape style="position:absolute;left:4479;top:3831;width:774;height:2" coordorigin="4479,3831" coordsize="774,0" path="m4479,3831l5253,3831e" filled="false" stroked="true" strokeweight=".71997pt" strokecolor="#000000">
                <v:path arrowok="t"/>
              </v:shape>
            </v:group>
            <v:group style="position:absolute;left:5260;top:7;width:2;height:3831" coordorigin="5260,7" coordsize="2,3831">
              <v:shape style="position:absolute;left:5260;top:7;width:2;height:3831" coordorigin="5260,7" coordsize="0,3831" path="m5260,7l5260,3838e" filled="false" stroked="true" strokeweight=".72pt" strokecolor="#000000">
                <v:path arrowok="t"/>
              </v:shape>
            </v:group>
            <v:group style="position:absolute;left:5267;top:3831;width:2038;height:2" coordorigin="5267,3831" coordsize="2038,2">
              <v:shape style="position:absolute;left:5267;top:3831;width:2038;height:2" coordorigin="5267,3831" coordsize="2038,0" path="m5267,3831l7305,3831e" filled="false" stroked="true" strokeweight=".71997pt" strokecolor="#000000">
                <v:path arrowok="t"/>
              </v:shape>
            </v:group>
            <v:group style="position:absolute;left:7312;top:7;width:2;height:3831" coordorigin="7312,7" coordsize="2,3831">
              <v:shape style="position:absolute;left:7312;top:7;width:2;height:3831" coordorigin="7312,7" coordsize="0,3831" path="m7312,7l7312,3838e" filled="false" stroked="true" strokeweight=".74399pt" strokecolor="#000000">
                <v:path arrowok="t"/>
              </v:shape>
            </v:group>
            <v:group style="position:absolute;left:7320;top:3831;width:2340;height:2" coordorigin="7320,3831" coordsize="2340,2">
              <v:shape style="position:absolute;left:7320;top:3831;width:2340;height:2" coordorigin="7320,3831" coordsize="2340,0" path="m7320,3831l9660,3831e" filled="false" stroked="true" strokeweight=".71997pt" strokecolor="#000000">
                <v:path arrowok="t"/>
              </v:shape>
            </v:group>
            <v:group style="position:absolute;left:9667;top:7;width:2;height:3831" coordorigin="9667,7" coordsize="2,3831">
              <v:shape style="position:absolute;left:9667;top:7;width:2;height:3831" coordorigin="9667,7" coordsize="0,3831" path="m9667,7l9667,3838e" filled="false" stroked="true" strokeweight=".72003pt" strokecolor="#000000">
                <v:path arrowok="t"/>
              </v:shape>
              <v:shape style="position:absolute;left:7;top:15;width:1388;height:660" type="#_x0000_t202" filled="false" stroked="false">
                <v:textbox inset="0,0,0,0">
                  <w:txbxContent>
                    <w:p>
                      <w:pPr>
                        <w:spacing w:before="162"/>
                        <w:ind w:left="274" w:right="0" w:firstLine="0"/>
                        <w:jc w:val="left"/>
                        <w:rPr>
                          <w:rFonts w:ascii="宋体" w:hAnsi="宋体" w:cs="宋体" w:eastAsia="宋体" w:hint="default"/>
                          <w:sz w:val="21"/>
                          <w:szCs w:val="21"/>
                        </w:rPr>
                      </w:pPr>
                      <w:r>
                        <w:rPr>
                          <w:rFonts w:ascii="宋体" w:hAnsi="宋体" w:cs="宋体" w:eastAsia="宋体" w:hint="default"/>
                          <w:sz w:val="21"/>
                          <w:szCs w:val="21"/>
                        </w:rPr>
                        <w:t>公司名称</w:t>
                      </w:r>
                    </w:p>
                  </w:txbxContent>
                </v:textbox>
                <w10:wrap type="none"/>
              </v:shape>
              <v:shape style="position:absolute;left:1395;top:15;width:1321;height:660" type="#_x0000_t202" filled="false" stroked="false">
                <v:textbox inset="0,0,0,0">
                  <w:txbxContent>
                    <w:p>
                      <w:pPr>
                        <w:spacing w:before="162"/>
                        <w:ind w:left="239" w:right="0" w:firstLine="0"/>
                        <w:jc w:val="left"/>
                        <w:rPr>
                          <w:rFonts w:ascii="宋体" w:hAnsi="宋体" w:cs="宋体" w:eastAsia="宋体" w:hint="default"/>
                          <w:sz w:val="21"/>
                          <w:szCs w:val="21"/>
                        </w:rPr>
                      </w:pPr>
                      <w:r>
                        <w:rPr>
                          <w:rFonts w:ascii="宋体" w:hAnsi="宋体" w:cs="宋体" w:eastAsia="宋体" w:hint="default"/>
                          <w:sz w:val="21"/>
                          <w:szCs w:val="21"/>
                        </w:rPr>
                        <w:t>公司性质</w:t>
                      </w:r>
                    </w:p>
                  </w:txbxContent>
                </v:textbox>
                <w10:wrap type="none"/>
              </v:shape>
              <v:shape style="position:absolute;left:2715;top:15;width:910;height:660" type="#_x0000_t202" filled="false" stroked="false">
                <v:textbox inset="0,0,0,0">
                  <w:txbxContent>
                    <w:p>
                      <w:pPr>
                        <w:spacing w:line="273" w:lineRule="auto" w:before="6"/>
                        <w:ind w:left="350" w:right="29"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w:t>
                      </w:r>
                    </w:p>
                  </w:txbxContent>
                </v:textbox>
                <w10:wrap type="none"/>
              </v:shape>
              <v:shape style="position:absolute;left:3625;top:15;width:848;height:660" type="#_x0000_t202" filled="false" stroked="false">
                <v:textbox inset="0,0,0,0">
                  <w:txbxContent>
                    <w:p>
                      <w:pPr>
                        <w:spacing w:line="273" w:lineRule="auto" w:before="6"/>
                        <w:ind w:left="316" w:right="103"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xbxContent>
                </v:textbox>
                <w10:wrap type="none"/>
              </v:shape>
              <v:shape style="position:absolute;left:4472;top:15;width:788;height:660" type="#_x0000_t202" filled="false" stroked="false">
                <v:textbox inset="0,0,0,0">
                  <w:txbxContent>
                    <w:p>
                      <w:pPr>
                        <w:spacing w:line="273" w:lineRule="auto" w:before="6"/>
                        <w:ind w:left="287" w:right="75" w:hanging="212"/>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pacing w:val="-102"/>
                          <w:sz w:val="21"/>
                          <w:szCs w:val="21"/>
                        </w:rPr>
                        <w:t> </w:t>
                      </w:r>
                      <w:r>
                        <w:rPr>
                          <w:rFonts w:ascii="宋体" w:hAnsi="宋体" w:cs="宋体" w:eastAsia="宋体" w:hint="default"/>
                          <w:sz w:val="21"/>
                          <w:szCs w:val="21"/>
                        </w:rPr>
                        <w:t>址</w:t>
                      </w:r>
                    </w:p>
                  </w:txbxContent>
                </v:textbox>
                <w10:wrap type="none"/>
              </v:shape>
              <v:shape style="position:absolute;left:5260;top:15;width:2053;height:660" type="#_x0000_t202" filled="false" stroked="false">
                <v:textbox inset="0,0,0,0">
                  <w:txbxContent>
                    <w:p>
                      <w:pPr>
                        <w:spacing w:before="162"/>
                        <w:ind w:left="395" w:right="0" w:firstLine="0"/>
                        <w:jc w:val="left"/>
                        <w:rPr>
                          <w:rFonts w:ascii="宋体" w:hAnsi="宋体" w:cs="宋体" w:eastAsia="宋体" w:hint="default"/>
                          <w:sz w:val="21"/>
                          <w:szCs w:val="21"/>
                        </w:rPr>
                      </w:pPr>
                      <w:r>
                        <w:rPr>
                          <w:rFonts w:ascii="宋体" w:hAnsi="宋体" w:cs="宋体" w:eastAsia="宋体" w:hint="default"/>
                          <w:sz w:val="21"/>
                          <w:szCs w:val="21"/>
                        </w:rPr>
                        <w:t>拟定经营范围</w:t>
                      </w:r>
                    </w:p>
                  </w:txbxContent>
                </v:textbox>
                <w10:wrap type="none"/>
              </v:shape>
              <v:shape style="position:absolute;left:7312;top:15;width:2355;height:660" type="#_x0000_t202" filled="false" stroked="false">
                <v:textbox inset="0,0,0,0">
                  <w:txbxContent>
                    <w:p>
                      <w:pPr>
                        <w:spacing w:before="162"/>
                        <w:ind w:left="230" w:right="0" w:firstLine="0"/>
                        <w:jc w:val="left"/>
                        <w:rPr>
                          <w:rFonts w:ascii="宋体" w:hAnsi="宋体" w:cs="宋体" w:eastAsia="宋体" w:hint="default"/>
                          <w:sz w:val="21"/>
                          <w:szCs w:val="21"/>
                        </w:rPr>
                      </w:pPr>
                      <w:r>
                        <w:rPr>
                          <w:rFonts w:ascii="宋体" w:hAnsi="宋体" w:cs="宋体" w:eastAsia="宋体" w:hint="default"/>
                          <w:sz w:val="21"/>
                          <w:szCs w:val="21"/>
                        </w:rPr>
                        <w:t>资金来源及出资方式</w:t>
                      </w:r>
                    </w:p>
                  </w:txbxContent>
                </v:textbox>
                <w10:wrap type="none"/>
              </v:shape>
              <v:shape style="position:absolute;left:7;top:675;width:1388;height:128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273" w:lineRule="auto" w:before="0"/>
                        <w:ind w:left="62" w:right="5" w:hanging="53"/>
                        <w:jc w:val="left"/>
                        <w:rPr>
                          <w:rFonts w:ascii="宋体" w:hAnsi="宋体" w:cs="宋体" w:eastAsia="宋体" w:hint="default"/>
                          <w:sz w:val="21"/>
                          <w:szCs w:val="21"/>
                        </w:rPr>
                      </w:pPr>
                      <w:r>
                        <w:rPr>
                          <w:rFonts w:ascii="宋体" w:hAnsi="宋体" w:cs="宋体" w:eastAsia="宋体" w:hint="default"/>
                          <w:spacing w:val="-16"/>
                          <w:sz w:val="21"/>
                          <w:szCs w:val="21"/>
                        </w:rPr>
                        <w:t>爱迪尔珠宝（上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海）有限公司</w:t>
                      </w:r>
                    </w:p>
                  </w:txbxContent>
                </v:textbox>
                <w10:wrap type="none"/>
              </v:shape>
              <v:shape style="position:absolute;left:1395;top:675;width:1321;height:128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有限责任公司</w:t>
                      </w:r>
                    </w:p>
                  </w:txbxContent>
                </v:textbox>
                <w10:wrap type="none"/>
              </v:shape>
              <v:shape style="position:absolute;left:2715;top:675;width:910;height:128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狄爱玲</w:t>
                      </w:r>
                    </w:p>
                  </w:txbxContent>
                </v:textbox>
                <w10:wrap type="none"/>
              </v:shape>
              <v:shape style="position:absolute;left:3625;top:675;width:848;height:128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256" w:lineRule="auto" w:before="0"/>
                        <w:ind w:left="213" w:right="103" w:hanging="106"/>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万人</w:t>
                      </w:r>
                      <w:r>
                        <w:rPr>
                          <w:rFonts w:ascii="宋体" w:hAnsi="宋体" w:cs="宋体" w:eastAsia="宋体" w:hint="default"/>
                          <w:spacing w:val="-102"/>
                          <w:sz w:val="21"/>
                          <w:szCs w:val="21"/>
                        </w:rPr>
                        <w:t> </w:t>
                      </w:r>
                      <w:r>
                        <w:rPr>
                          <w:rFonts w:ascii="宋体" w:hAnsi="宋体" w:cs="宋体" w:eastAsia="宋体" w:hint="default"/>
                          <w:sz w:val="21"/>
                          <w:szCs w:val="21"/>
                        </w:rPr>
                        <w:t>民币</w:t>
                      </w:r>
                    </w:p>
                  </w:txbxContent>
                </v:textbox>
                <w10:wrap type="none"/>
              </v:shape>
              <v:shape style="position:absolute;left:4472;top:675;width:788;height:128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273" w:lineRule="auto" w:before="0"/>
                        <w:ind w:left="287" w:right="75" w:hanging="212"/>
                        <w:jc w:val="left"/>
                        <w:rPr>
                          <w:rFonts w:ascii="宋体" w:hAnsi="宋体" w:cs="宋体" w:eastAsia="宋体" w:hint="default"/>
                          <w:sz w:val="21"/>
                          <w:szCs w:val="21"/>
                        </w:rPr>
                      </w:pPr>
                      <w:r>
                        <w:rPr>
                          <w:rFonts w:ascii="宋体" w:hAnsi="宋体" w:cs="宋体" w:eastAsia="宋体" w:hint="default"/>
                          <w:sz w:val="21"/>
                          <w:szCs w:val="21"/>
                        </w:rPr>
                        <w:t>暂未确</w:t>
                      </w:r>
                      <w:r>
                        <w:rPr>
                          <w:rFonts w:ascii="宋体" w:hAnsi="宋体" w:cs="宋体" w:eastAsia="宋体" w:hint="default"/>
                          <w:spacing w:val="-102"/>
                          <w:sz w:val="21"/>
                          <w:szCs w:val="21"/>
                        </w:rPr>
                        <w:t> </w:t>
                      </w:r>
                      <w:r>
                        <w:rPr>
                          <w:rFonts w:ascii="宋体" w:hAnsi="宋体" w:cs="宋体" w:eastAsia="宋体" w:hint="default"/>
                          <w:sz w:val="21"/>
                          <w:szCs w:val="21"/>
                        </w:rPr>
                        <w:t>定</w:t>
                      </w:r>
                    </w:p>
                  </w:txbxContent>
                </v:textbox>
                <w10:wrap type="none"/>
              </v:shape>
              <v:shape style="position:absolute;left:7;top:1956;width:1388;height:187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139"/>
                        <w:ind w:left="62" w:right="5" w:hanging="53"/>
                        <w:jc w:val="left"/>
                        <w:rPr>
                          <w:rFonts w:ascii="宋体" w:hAnsi="宋体" w:cs="宋体" w:eastAsia="宋体" w:hint="default"/>
                          <w:sz w:val="21"/>
                          <w:szCs w:val="21"/>
                        </w:rPr>
                      </w:pPr>
                      <w:r>
                        <w:rPr>
                          <w:rFonts w:ascii="宋体" w:hAnsi="宋体" w:cs="宋体" w:eastAsia="宋体" w:hint="default"/>
                          <w:spacing w:val="-16"/>
                          <w:sz w:val="21"/>
                          <w:szCs w:val="21"/>
                        </w:rPr>
                        <w:t>爱迪尔珠宝（香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港）有限公司</w:t>
                      </w:r>
                    </w:p>
                  </w:txbxContent>
                </v:textbox>
                <w10:wrap type="none"/>
              </v:shape>
              <v:shape style="position:absolute;left:1395;top:1956;width:1321;height:187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有限责任公司</w:t>
                      </w:r>
                    </w:p>
                  </w:txbxContent>
                </v:textbox>
                <w10:wrap type="none"/>
              </v:shape>
              <v:shape style="position:absolute;left:2715;top:1956;width:910;height:187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狄爱玲</w:t>
                      </w:r>
                    </w:p>
                  </w:txbxContent>
                </v:textbox>
                <w10:wrap type="none"/>
              </v:shape>
              <v:shape style="position:absolute;left:3625;top:1956;width:848;height:187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56" w:lineRule="auto" w:before="139"/>
                        <w:ind w:left="316" w:right="103" w:hanging="209"/>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万港</w:t>
                      </w:r>
                      <w:r>
                        <w:rPr>
                          <w:rFonts w:ascii="宋体" w:hAnsi="宋体" w:cs="宋体" w:eastAsia="宋体" w:hint="default"/>
                          <w:spacing w:val="-102"/>
                          <w:sz w:val="21"/>
                          <w:szCs w:val="21"/>
                        </w:rPr>
                        <w:t> </w:t>
                      </w:r>
                      <w:r>
                        <w:rPr>
                          <w:rFonts w:ascii="宋体" w:hAnsi="宋体" w:cs="宋体" w:eastAsia="宋体" w:hint="default"/>
                          <w:sz w:val="21"/>
                          <w:szCs w:val="21"/>
                        </w:rPr>
                        <w:t>币</w:t>
                      </w:r>
                    </w:p>
                  </w:txbxContent>
                </v:textbox>
                <w10:wrap type="none"/>
              </v:shape>
              <v:shape style="position:absolute;left:4472;top:1956;width:788;height:187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73" w:lineRule="auto" w:before="139"/>
                        <w:ind w:left="287" w:right="75" w:hanging="212"/>
                        <w:jc w:val="left"/>
                        <w:rPr>
                          <w:rFonts w:ascii="宋体" w:hAnsi="宋体" w:cs="宋体" w:eastAsia="宋体" w:hint="default"/>
                          <w:sz w:val="21"/>
                          <w:szCs w:val="21"/>
                        </w:rPr>
                      </w:pPr>
                      <w:r>
                        <w:rPr>
                          <w:rFonts w:ascii="宋体" w:hAnsi="宋体" w:cs="宋体" w:eastAsia="宋体" w:hint="default"/>
                          <w:sz w:val="21"/>
                          <w:szCs w:val="21"/>
                        </w:rPr>
                        <w:t>暂未确</w:t>
                      </w:r>
                      <w:r>
                        <w:rPr>
                          <w:rFonts w:ascii="宋体" w:hAnsi="宋体" w:cs="宋体" w:eastAsia="宋体" w:hint="default"/>
                          <w:spacing w:val="-102"/>
                          <w:sz w:val="21"/>
                          <w:szCs w:val="21"/>
                        </w:rPr>
                        <w:t> </w:t>
                      </w:r>
                      <w:r>
                        <w:rPr>
                          <w:rFonts w:ascii="宋体" w:hAnsi="宋体" w:cs="宋体" w:eastAsia="宋体" w:hint="default"/>
                          <w:sz w:val="21"/>
                          <w:szCs w:val="21"/>
                        </w:rPr>
                        <w:t>定</w:t>
                      </w:r>
                    </w:p>
                  </w:txbxContent>
                </v:textbox>
                <w10:wrap type="none"/>
              </v:shape>
              <v:shape style="position:absolute;left:5272;top:755;width:2122;height:2063" type="#_x0000_t202" filled="false" stroked="false">
                <v:textbox inset="0,0,0,0">
                  <w:txbxContent>
                    <w:p>
                      <w:pPr>
                        <w:spacing w:line="180" w:lineRule="exact" w:before="0"/>
                        <w:ind w:left="0" w:right="0" w:firstLine="24"/>
                        <w:jc w:val="left"/>
                        <w:rPr>
                          <w:rFonts w:ascii="宋体" w:hAnsi="宋体" w:cs="宋体" w:eastAsia="宋体" w:hint="default"/>
                          <w:sz w:val="18"/>
                          <w:szCs w:val="18"/>
                        </w:rPr>
                      </w:pPr>
                      <w:r>
                        <w:rPr>
                          <w:rFonts w:ascii="宋体" w:hAnsi="宋体" w:cs="宋体" w:eastAsia="宋体" w:hint="default"/>
                          <w:sz w:val="18"/>
                          <w:szCs w:val="18"/>
                        </w:rPr>
                        <w:t>珠宝、铂金首饰、黄金饰</w:t>
                      </w:r>
                    </w:p>
                    <w:p>
                      <w:pPr>
                        <w:spacing w:line="314"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品、</w:t>
                      </w:r>
                      <w:r>
                        <w:rPr>
                          <w:rFonts w:ascii="Times New Roman" w:hAnsi="Times New Roman" w:cs="Times New Roman" w:eastAsia="Times New Roman" w:hint="default"/>
                          <w:sz w:val="18"/>
                          <w:szCs w:val="18"/>
                        </w:rPr>
                        <w:t>K</w:t>
                      </w:r>
                      <w:r>
                        <w:rPr>
                          <w:rFonts w:ascii="宋体" w:hAnsi="宋体" w:cs="宋体" w:eastAsia="宋体" w:hint="default"/>
                          <w:sz w:val="18"/>
                          <w:szCs w:val="18"/>
                        </w:rPr>
                        <w:t>金饰品、钯金首饰、 </w:t>
                      </w:r>
                      <w:r>
                        <w:rPr>
                          <w:rFonts w:ascii="宋体" w:hAnsi="宋体" w:cs="宋体" w:eastAsia="宋体" w:hint="default"/>
                          <w:spacing w:val="-4"/>
                          <w:sz w:val="18"/>
                          <w:szCs w:val="18"/>
                        </w:rPr>
                        <w:t>银饰品、翡翠玉石、钻石、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红蓝宝石、镶嵌饰品，工 艺品的购销；网上销售钻 </w:t>
                      </w:r>
                      <w:r>
                        <w:rPr>
                          <w:rFonts w:ascii="宋体" w:hAnsi="宋体" w:cs="宋体" w:eastAsia="宋体" w:hint="default"/>
                          <w:spacing w:val="-4"/>
                          <w:sz w:val="18"/>
                          <w:szCs w:val="18"/>
                        </w:rPr>
                        <w:t>石及钻石饰品、镶嵌饰品、</w:t>
                      </w:r>
                    </w:p>
                    <w:p>
                      <w:pPr>
                        <w:spacing w:line="245" w:lineRule="exact" w:before="20"/>
                        <w:ind w:left="0" w:right="0" w:firstLine="0"/>
                        <w:jc w:val="left"/>
                        <w:rPr>
                          <w:rFonts w:ascii="宋体" w:hAnsi="宋体" w:cs="宋体" w:eastAsia="宋体" w:hint="default"/>
                          <w:sz w:val="18"/>
                          <w:szCs w:val="18"/>
                        </w:rPr>
                      </w:pPr>
                      <w:r>
                        <w:rPr>
                          <w:rFonts w:ascii="宋体" w:hAnsi="宋体" w:cs="宋体" w:eastAsia="宋体" w:hint="default"/>
                          <w:spacing w:val="-7"/>
                          <w:sz w:val="18"/>
                          <w:szCs w:val="18"/>
                        </w:rPr>
                        <w:t>黄金饰品、</w:t>
                      </w:r>
                      <w:r>
                        <w:rPr>
                          <w:rFonts w:ascii="Times New Roman" w:hAnsi="Times New Roman" w:cs="Times New Roman" w:eastAsia="Times New Roman" w:hint="default"/>
                          <w:spacing w:val="-7"/>
                          <w:sz w:val="18"/>
                          <w:szCs w:val="18"/>
                        </w:rPr>
                        <w:t>K</w:t>
                      </w:r>
                      <w:r>
                        <w:rPr>
                          <w:rFonts w:ascii="宋体" w:hAnsi="宋体" w:cs="宋体" w:eastAsia="宋体" w:hint="default"/>
                          <w:spacing w:val="-7"/>
                          <w:sz w:val="18"/>
                          <w:szCs w:val="18"/>
                        </w:rPr>
                        <w:t>金饰品、铂金</w:t>
                      </w:r>
                    </w:p>
                  </w:txbxContent>
                </v:textbox>
                <w10:wrap type="none"/>
              </v:shape>
              <v:shape style="position:absolute;left:5272;top:2771;width:4377;height:973" type="#_x0000_t202" filled="false" stroked="false">
                <v:textbox inset="0,0,0,0">
                  <w:txbxContent>
                    <w:p>
                      <w:pPr>
                        <w:spacing w:line="162" w:lineRule="exact" w:before="0"/>
                        <w:ind w:left="2062" w:right="0" w:firstLine="0"/>
                        <w:jc w:val="left"/>
                        <w:rPr>
                          <w:rFonts w:ascii="宋体" w:hAnsi="宋体" w:cs="宋体" w:eastAsia="宋体" w:hint="default"/>
                          <w:sz w:val="21"/>
                          <w:szCs w:val="21"/>
                        </w:rPr>
                      </w:pPr>
                      <w:r>
                        <w:rPr>
                          <w:rFonts w:ascii="宋体" w:hAnsi="宋体" w:cs="宋体" w:eastAsia="宋体" w:hint="default"/>
                          <w:spacing w:val="-2"/>
                          <w:sz w:val="21"/>
                          <w:szCs w:val="21"/>
                        </w:rPr>
                        <w:t>公司自有资金，以货币资</w:t>
                      </w:r>
                    </w:p>
                    <w:p>
                      <w:pPr>
                        <w:spacing w:line="186" w:lineRule="exact" w:before="0"/>
                        <w:ind w:left="23" w:right="0" w:hanging="24"/>
                        <w:jc w:val="left"/>
                        <w:rPr>
                          <w:rFonts w:ascii="宋体" w:hAnsi="宋体" w:cs="宋体" w:eastAsia="宋体" w:hint="default"/>
                          <w:sz w:val="18"/>
                          <w:szCs w:val="18"/>
                        </w:rPr>
                      </w:pPr>
                      <w:r>
                        <w:rPr>
                          <w:rFonts w:ascii="宋体" w:hAnsi="宋体" w:cs="宋体" w:eastAsia="宋体" w:hint="default"/>
                          <w:spacing w:val="-4"/>
                          <w:sz w:val="18"/>
                          <w:szCs w:val="18"/>
                        </w:rPr>
                        <w:t>首饰、钯金首饰、银饰品、</w:t>
                      </w:r>
                    </w:p>
                    <w:p>
                      <w:pPr>
                        <w:spacing w:line="310" w:lineRule="atLeast" w:before="2"/>
                        <w:ind w:left="383" w:right="2370" w:hanging="360"/>
                        <w:jc w:val="left"/>
                        <w:rPr>
                          <w:rFonts w:ascii="宋体" w:hAnsi="宋体" w:cs="宋体" w:eastAsia="宋体" w:hint="default"/>
                          <w:sz w:val="18"/>
                          <w:szCs w:val="18"/>
                        </w:rPr>
                      </w:pPr>
                      <w:r>
                        <w:rPr>
                          <w:rFonts w:ascii="宋体" w:hAnsi="宋体" w:cs="宋体" w:eastAsia="宋体" w:hint="default"/>
                          <w:sz w:val="18"/>
                          <w:szCs w:val="18"/>
                        </w:rPr>
                        <w:t>翡翠玉石、红蓝宝石、工 艺品；国内贸易</w:t>
                      </w:r>
                    </w:p>
                  </w:txbxContent>
                </v:textbox>
                <w10:wrap type="none"/>
              </v:shape>
              <v:shape style="position:absolute;left:7963;top:3083;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金形式出资</w:t>
                      </w:r>
                    </w:p>
                  </w:txbxContent>
                </v:textbox>
                <w10:wrap type="none"/>
              </v:shape>
            </v:group>
          </v:group>
        </w:pict>
      </w:r>
      <w:r>
        <w:rPr>
          <w:rFonts w:ascii="宋体" w:hAnsi="宋体" w:cs="宋体" w:eastAsia="宋体" w:hint="default"/>
          <w:position w:val="-76"/>
          <w:sz w:val="20"/>
          <w:szCs w:val="20"/>
        </w:rPr>
      </w:r>
    </w:p>
    <w:p>
      <w:pPr>
        <w:spacing w:line="240" w:lineRule="auto" w:before="4"/>
        <w:rPr>
          <w:rFonts w:ascii="宋体" w:hAnsi="宋体" w:cs="宋体" w:eastAsia="宋体" w:hint="default"/>
          <w:sz w:val="18"/>
          <w:szCs w:val="18"/>
        </w:rPr>
      </w:pPr>
    </w:p>
    <w:p>
      <w:pPr>
        <w:pStyle w:val="Heading5"/>
        <w:spacing w:line="240" w:lineRule="auto" w:before="26"/>
        <w:ind w:left="902" w:right="153"/>
        <w:jc w:val="left"/>
      </w:pPr>
      <w:r>
        <w:rPr>
          <w:rFonts w:ascii="Times New Roman" w:hAnsi="Times New Roman" w:cs="Times New Roman" w:eastAsia="Times New Roman" w:hint="default"/>
        </w:rPr>
        <w:t>*</w:t>
      </w:r>
      <w:r>
        <w:rPr/>
        <w:t>以上信息最终以工商行政管理部门核准登记的为准。</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15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346,259,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061.96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10,445,1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335,813,8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185,136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,186.59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5,983,818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179,152,36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7.77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346,259,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061.96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10,445,1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67.58</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335,813,8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94.38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185,136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,186.59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179,152,36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7.77</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0"/>
        <w:gridCol w:w="2300"/>
        <w:gridCol w:w="2391"/>
        <w:gridCol w:w="2390"/>
      </w:tblGrid>
      <w:tr>
        <w:trPr>
          <w:trHeight w:val="206" w:hRule="exact"/>
        </w:trPr>
        <w:tc>
          <w:tcPr>
            <w:tcW w:w="2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0"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343,269,322.22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10,298,079.67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1,470,879.09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147,087.91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344,740,201.31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10,445,167.58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3.03%</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ind w:right="-11"/>
        <w:jc w:val="left"/>
      </w:pPr>
      <w:r>
        <w:rPr/>
        <w:t>本期计提坏账准备金额</w:t>
      </w:r>
      <w:r>
        <w:rPr>
          <w:spacing w:val="-46"/>
        </w:rPr>
        <w:t> </w:t>
      </w:r>
      <w:r>
        <w:rPr>
          <w:rFonts w:ascii="Times New Roman" w:hAnsi="Times New Roman" w:cs="Times New Roman" w:eastAsia="Times New Roman" w:hint="default"/>
        </w:rPr>
        <w:t>4,461,348.76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7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53"/>
        <w:jc w:val="left"/>
      </w:pPr>
      <w:r>
        <w:rPr/>
        <w:t>应收账款核销说明：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52" w:type="dxa"/>
        <w:tblLayout w:type="fixed"/>
        <w:tblCellMar>
          <w:top w:w="0" w:type="dxa"/>
          <w:left w:w="0" w:type="dxa"/>
          <w:bottom w:w="0" w:type="dxa"/>
          <w:right w:w="0" w:type="dxa"/>
        </w:tblCellMar>
        <w:tblLook w:val="01E0"/>
      </w:tblPr>
      <w:tblGrid>
        <w:gridCol w:w="1080"/>
        <w:gridCol w:w="1529"/>
        <w:gridCol w:w="1998"/>
        <w:gridCol w:w="1274"/>
      </w:tblGrid>
      <w:tr>
        <w:trPr>
          <w:trHeight w:val="272"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9" w:type="dxa"/>
            <w:tcBorders>
              <w:top w:val="nil" w:sz="6" w:space="0" w:color="auto"/>
              <w:left w:val="nil" w:sz="6" w:space="0" w:color="auto"/>
              <w:bottom w:val="single" w:sz="12" w:space="0" w:color="000000"/>
              <w:right w:val="nil" w:sz="6" w:space="0" w:color="auto"/>
            </w:tcBorders>
          </w:tcPr>
          <w:p>
            <w:pPr/>
          </w:p>
        </w:tc>
        <w:tc>
          <w:tcPr>
            <w:tcW w:w="1998" w:type="dxa"/>
            <w:tcBorders>
              <w:top w:val="nil" w:sz="6" w:space="0" w:color="auto"/>
              <w:left w:val="nil" w:sz="6" w:space="0" w:color="auto"/>
              <w:bottom w:val="single" w:sz="12"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nil" w:sz="6" w:space="0" w:color="auto"/>
              <w:left w:val="nil" w:sz="6" w:space="0" w:color="auto"/>
              <w:bottom w:val="single" w:sz="12" w:space="0" w:color="000000"/>
              <w:right w:val="nil" w:sz="6" w:space="0" w:color="auto"/>
            </w:tcBorders>
          </w:tcPr>
          <w:p>
            <w:pPr/>
          </w:p>
        </w:tc>
      </w:tr>
      <w:tr>
        <w:trPr>
          <w:trHeight w:val="665" w:hRule="exact"/>
        </w:trPr>
        <w:tc>
          <w:tcPr>
            <w:tcW w:w="1080" w:type="dxa"/>
            <w:tcBorders>
              <w:top w:val="nil" w:sz="6" w:space="0" w:color="auto"/>
              <w:left w:val="nil" w:sz="6" w:space="0" w:color="auto"/>
              <w:bottom w:val="single" w:sz="12" w:space="0" w:color="000000"/>
              <w:right w:val="nil" w:sz="6" w:space="0" w:color="auto"/>
            </w:tcBorders>
          </w:tcPr>
          <w:p>
            <w:pP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677" w:right="197"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7,972,379.32</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
              <w:jc w:val="center"/>
              <w:rPr>
                <w:rFonts w:ascii="Times New Roman" w:hAnsi="Times New Roman" w:cs="Times New Roman" w:eastAsia="Times New Roman" w:hint="default"/>
                <w:sz w:val="18"/>
                <w:szCs w:val="18"/>
              </w:rPr>
            </w:pPr>
            <w:r>
              <w:rPr>
                <w:rFonts w:ascii="Times New Roman"/>
                <w:sz w:val="18"/>
              </w:rPr>
              <w:t>2.3</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239,171.38</w:t>
            </w:r>
          </w:p>
        </w:tc>
      </w:tr>
      <w:tr>
        <w:trPr>
          <w:trHeight w:val="353"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57" w:right="0"/>
              <w:jc w:val="left"/>
              <w:rPr>
                <w:rFonts w:ascii="Times New Roman" w:hAnsi="Times New Roman" w:cs="Times New Roman" w:eastAsia="Times New Roman" w:hint="default"/>
                <w:sz w:val="18"/>
                <w:szCs w:val="18"/>
              </w:rPr>
            </w:pPr>
            <w:r>
              <w:rPr>
                <w:rFonts w:ascii="Times New Roman"/>
                <w:sz w:val="18"/>
              </w:rPr>
              <w:t>7,560,074.50</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4"/>
              <w:jc w:val="center"/>
              <w:rPr>
                <w:rFonts w:ascii="Times New Roman" w:hAnsi="Times New Roman" w:cs="Times New Roman" w:eastAsia="Times New Roman" w:hint="default"/>
                <w:sz w:val="18"/>
                <w:szCs w:val="18"/>
              </w:rPr>
            </w:pPr>
            <w:r>
              <w:rPr>
                <w:rFonts w:ascii="Times New Roman"/>
                <w:sz w:val="18"/>
              </w:rPr>
              <w:t>2.18</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8"/>
                <w:szCs w:val="18"/>
              </w:rPr>
            </w:pPr>
            <w:r>
              <w:rPr>
                <w:rFonts w:ascii="Times New Roman"/>
                <w:sz w:val="18"/>
              </w:rPr>
              <w:t>226,802.24</w:t>
            </w:r>
          </w:p>
        </w:tc>
      </w:tr>
      <w:tr>
        <w:trPr>
          <w:trHeight w:val="353"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57" w:right="0"/>
              <w:jc w:val="left"/>
              <w:rPr>
                <w:rFonts w:ascii="Times New Roman" w:hAnsi="Times New Roman" w:cs="Times New Roman" w:eastAsia="Times New Roman" w:hint="default"/>
                <w:sz w:val="18"/>
                <w:szCs w:val="18"/>
              </w:rPr>
            </w:pPr>
            <w:r>
              <w:rPr>
                <w:rFonts w:ascii="Times New Roman"/>
                <w:sz w:val="18"/>
              </w:rPr>
              <w:t>7,051,836.43</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4"/>
              <w:jc w:val="center"/>
              <w:rPr>
                <w:rFonts w:ascii="Times New Roman" w:hAnsi="Times New Roman" w:cs="Times New Roman" w:eastAsia="Times New Roman" w:hint="default"/>
                <w:sz w:val="18"/>
                <w:szCs w:val="18"/>
              </w:rPr>
            </w:pPr>
            <w:r>
              <w:rPr>
                <w:rFonts w:ascii="Times New Roman"/>
                <w:sz w:val="18"/>
              </w:rPr>
              <w:t>2.04</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8"/>
                <w:szCs w:val="18"/>
              </w:rPr>
            </w:pPr>
            <w:r>
              <w:rPr>
                <w:rFonts w:ascii="Times New Roman"/>
                <w:sz w:val="18"/>
              </w:rPr>
              <w:t>211,555.09</w:t>
            </w:r>
          </w:p>
        </w:tc>
      </w:tr>
      <w:tr>
        <w:trPr>
          <w:trHeight w:val="350"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6,961,997.78</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4"/>
              <w:jc w:val="center"/>
              <w:rPr>
                <w:rFonts w:ascii="Times New Roman" w:hAnsi="Times New Roman" w:cs="Times New Roman" w:eastAsia="Times New Roman" w:hint="default"/>
                <w:sz w:val="18"/>
                <w:szCs w:val="18"/>
              </w:rPr>
            </w:pPr>
            <w:r>
              <w:rPr>
                <w:rFonts w:ascii="Times New Roman"/>
                <w:sz w:val="18"/>
              </w:rPr>
              <w:t>2.01</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208,859.93</w:t>
            </w:r>
          </w:p>
        </w:tc>
      </w:tr>
      <w:tr>
        <w:trPr>
          <w:trHeight w:val="353"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57" w:right="0"/>
              <w:jc w:val="left"/>
              <w:rPr>
                <w:rFonts w:ascii="Times New Roman" w:hAnsi="Times New Roman" w:cs="Times New Roman" w:eastAsia="Times New Roman" w:hint="default"/>
                <w:sz w:val="18"/>
                <w:szCs w:val="18"/>
              </w:rPr>
            </w:pPr>
            <w:r>
              <w:rPr>
                <w:rFonts w:ascii="Times New Roman"/>
                <w:sz w:val="18"/>
              </w:rPr>
              <w:t>6,438,279.00</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4"/>
              <w:jc w:val="center"/>
              <w:rPr>
                <w:rFonts w:ascii="Times New Roman" w:hAnsi="Times New Roman" w:cs="Times New Roman" w:eastAsia="Times New Roman" w:hint="default"/>
                <w:sz w:val="18"/>
                <w:szCs w:val="18"/>
              </w:rPr>
            </w:pPr>
            <w:r>
              <w:rPr>
                <w:rFonts w:ascii="Times New Roman"/>
                <w:sz w:val="18"/>
              </w:rPr>
              <w:t>1.86</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8"/>
                <w:szCs w:val="18"/>
              </w:rPr>
            </w:pPr>
            <w:r>
              <w:rPr>
                <w:rFonts w:ascii="Times New Roman"/>
                <w:sz w:val="18"/>
              </w:rPr>
              <w:t>193,148.37</w:t>
            </w:r>
          </w:p>
        </w:tc>
      </w:tr>
      <w:tr>
        <w:trPr>
          <w:trHeight w:val="353" w:hRule="exact"/>
        </w:trPr>
        <w:tc>
          <w:tcPr>
            <w:tcW w:w="10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14" w:right="0"/>
              <w:jc w:val="left"/>
              <w:rPr>
                <w:rFonts w:ascii="Times New Roman" w:hAnsi="Times New Roman" w:cs="Times New Roman" w:eastAsia="Times New Roman" w:hint="default"/>
                <w:sz w:val="18"/>
                <w:szCs w:val="18"/>
              </w:rPr>
            </w:pPr>
            <w:r>
              <w:rPr>
                <w:rFonts w:ascii="Times New Roman"/>
                <w:sz w:val="18"/>
              </w:rPr>
              <w:t>35,984,567.03</w:t>
            </w:r>
          </w:p>
        </w:tc>
        <w:tc>
          <w:tcPr>
            <w:tcW w:w="19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4"/>
              <w:jc w:val="center"/>
              <w:rPr>
                <w:rFonts w:ascii="Times New Roman" w:hAnsi="Times New Roman" w:cs="Times New Roman" w:eastAsia="Times New Roman" w:hint="default"/>
                <w:sz w:val="18"/>
                <w:szCs w:val="18"/>
              </w:rPr>
            </w:pPr>
            <w:r>
              <w:rPr>
                <w:rFonts w:ascii="Times New Roman"/>
                <w:sz w:val="18"/>
              </w:rPr>
              <w:t>10.39</w:t>
            </w:r>
          </w:p>
        </w:tc>
        <w:tc>
          <w:tcPr>
            <w:tcW w:w="12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1,079,537.01</w:t>
            </w:r>
          </w:p>
        </w:tc>
      </w:tr>
    </w:tbl>
    <w:p>
      <w:pPr>
        <w:spacing w:line="240" w:lineRule="auto" w:before="3"/>
        <w:rPr>
          <w:rFonts w:ascii="宋体" w:hAnsi="宋体" w:cs="宋体" w:eastAsia="宋体" w:hint="default"/>
          <w:b/>
          <w:bCs/>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57,530,7</w:t>
            </w:r>
          </w:p>
          <w:p>
            <w:pPr>
              <w:pStyle w:val="TableParagraph"/>
              <w:spacing w:line="240" w:lineRule="auto" w:before="102"/>
              <w:ind w:left="320" w:right="0"/>
              <w:jc w:val="left"/>
              <w:rPr>
                <w:rFonts w:ascii="Times New Roman" w:hAnsi="Times New Roman" w:cs="Times New Roman" w:eastAsia="Times New Roman" w:hint="default"/>
                <w:sz w:val="18"/>
                <w:szCs w:val="18"/>
              </w:rPr>
            </w:pPr>
            <w:r>
              <w:rPr>
                <w:rFonts w:ascii="Times New Roman"/>
                <w:sz w:val="18"/>
              </w:rPr>
              <w:t>80.34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2,089,69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55,441,08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43,919,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750.42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1,942,563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41,977,186.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left="94" w:right="0"/>
              <w:jc w:val="left"/>
              <w:rPr>
                <w:rFonts w:ascii="Times New Roman" w:hAnsi="Times New Roman" w:cs="Times New Roman" w:eastAsia="Times New Roman" w:hint="default"/>
                <w:sz w:val="18"/>
                <w:szCs w:val="18"/>
              </w:rPr>
            </w:pPr>
            <w:r>
              <w:rPr>
                <w:rFonts w:ascii="Times New Roman"/>
                <w:sz w:val="18"/>
              </w:rPr>
              <w:t>57,530,7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2,089,69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55,441,08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 w:right="0"/>
              <w:jc w:val="left"/>
              <w:rPr>
                <w:rFonts w:ascii="Times New Roman" w:hAnsi="Times New Roman" w:cs="Times New Roman" w:eastAsia="Times New Roman" w:hint="default"/>
                <w:sz w:val="18"/>
                <w:szCs w:val="18"/>
              </w:rPr>
            </w:pPr>
            <w:r>
              <w:rPr>
                <w:rFonts w:ascii="Times New Roman"/>
                <w:sz w:val="18"/>
              </w:rPr>
              <w:t>43,919,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1,942,563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41,977,186.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80.34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6.34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750.42</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.50</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3,495,247.17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104,857.42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754,889.03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75,488.90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9,835.80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6,227,627.08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1,870,711.88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10,584,542.28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2,089,694.00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ind w:right="-11"/>
        <w:jc w:val="left"/>
      </w:pPr>
      <w:r>
        <w:rPr/>
        <w:t>本期计提坏账准备金额</w:t>
      </w:r>
      <w:r>
        <w:rPr>
          <w:spacing w:val="-46"/>
        </w:rPr>
        <w:t> </w:t>
      </w:r>
      <w:r>
        <w:rPr>
          <w:rFonts w:ascii="Times New Roman" w:hAnsi="Times New Roman" w:cs="Times New Roman" w:eastAsia="Times New Roman" w:hint="default"/>
        </w:rPr>
        <w:t>147,130.50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7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53"/>
        <w:jc w:val="left"/>
      </w:pPr>
      <w:r>
        <w:rPr/>
        <w:t>其中重要的其他应收款核销情况：</w:t>
      </w:r>
    </w:p>
    <w:p>
      <w:pPr>
        <w:pStyle w:val="BodyText"/>
        <w:spacing w:line="240" w:lineRule="auto" w:before="11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53"/>
        <w:jc w:val="left"/>
      </w:pPr>
      <w:r>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51,303,153.26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40,128,394.72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4,002,202.82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1,249,957.36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818,311.88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889,700.33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1,360,294.93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1,367,122.07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46,817.45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284,575.94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57,530,780.34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43,919,750.42</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合并关联方往来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47,812,266.26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748,711.88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748,711.88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348,725.00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10,461.75</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53,319,703.14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1,869,173.63</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33"/>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0"/>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284,496,200.00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284,496,200.00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466,815.22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466,815.22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284,963,015.22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284,963,015.22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176,442,200.00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176,942,200.00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济南爱迪尔珠宝 首饰有限公司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重庆市灵感珠宝 首饰有限公司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14,554,000.00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14,554,000.00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北京爱迪尔灵感 珠宝首饰有限公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282,996,200.00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284,496,200.00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3"/>
        <w:gridCol w:w="801"/>
        <w:gridCol w:w="797"/>
        <w:gridCol w:w="797"/>
        <w:gridCol w:w="799"/>
        <w:gridCol w:w="797"/>
        <w:gridCol w:w="800"/>
        <w:gridCol w:w="797"/>
        <w:gridCol w:w="799"/>
        <w:gridCol w:w="797"/>
        <w:gridCol w:w="799"/>
        <w:gridCol w:w="797"/>
      </w:tblGrid>
      <w:tr>
        <w:trPr>
          <w:trHeight w:val="403" w:hRule="exact"/>
        </w:trPr>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3"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7"/>
              <w:jc w:val="both"/>
              <w:rPr>
                <w:rFonts w:ascii="宋体" w:hAnsi="宋体" w:cs="宋体" w:eastAsia="宋体" w:hint="default"/>
                <w:sz w:val="18"/>
                <w:szCs w:val="18"/>
              </w:rPr>
            </w:pPr>
            <w:r>
              <w:rPr>
                <w:rFonts w:ascii="宋体" w:hAnsi="宋体" w:cs="宋体" w:eastAsia="宋体" w:hint="default"/>
                <w:sz w:val="18"/>
                <w:szCs w:val="18"/>
              </w:rPr>
              <w:t>北京爱投 融科技有 限公司</w:t>
            </w:r>
          </w:p>
        </w:tc>
        <w:tc>
          <w:tcPr>
            <w:tcW w:w="80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01"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1"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827,753,881.05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654,679,185.96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874,819,606.98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681,111,077.06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10,578,880.30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2,294,388.70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5,144,980.32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1,613,763.91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838,332,761.35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656,973,574.66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879,964,587.30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682,724,840.97</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1"/>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-283,184.78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15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3,355,427.69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48,139.31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850,891.75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2,552,675.25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r>
    </w:tbl>
    <w:p>
      <w:pPr>
        <w:spacing w:line="240" w:lineRule="auto" w:before="3"/>
        <w:rPr>
          <w:rFonts w:ascii="宋体" w:hAnsi="宋体" w:cs="宋体" w:eastAsia="宋体" w:hint="default"/>
          <w:b/>
          <w:bCs/>
          <w:sz w:val="19"/>
          <w:szCs w:val="19"/>
        </w:rPr>
      </w:pPr>
    </w:p>
    <w:p>
      <w:pPr>
        <w:pStyle w:val="Heading6"/>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59" w:lineRule="auto"/>
        <w:ind w:right="15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5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5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2754"/>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四、公司第三届董事会第十七次会议决议；</w:t>
      </w:r>
    </w:p>
    <w:p>
      <w:pPr>
        <w:pStyle w:val="BodyText"/>
        <w:spacing w:line="240" w:lineRule="auto" w:before="19"/>
        <w:ind w:right="153"/>
        <w:jc w:val="left"/>
      </w:pPr>
      <w:r>
        <w:rPr/>
        <w:t>五、以上备查文件的备置地点：公司证券办。</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230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3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229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229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229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229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823048" type="#_x0000_t202" filled="false" stroked="false">
          <v:textbox inset="0,0,0,0">
            <w:txbxContent>
              <w:p>
                <w:pPr>
                  <w:pStyle w:val="BodyText"/>
                  <w:spacing w:line="214" w:lineRule="exact" w:before="0"/>
                  <w:ind w:left="20" w:right="0"/>
                  <w:jc w:val="left"/>
                </w:pPr>
                <w:r>
                  <w:rPr/>
                  <w:t>深圳市爱迪尔珠宝股份有限公司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84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firstLine="559"/>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sz w:val="24"/>
      <w:szCs w:val="24"/>
    </w:rPr>
  </w:style>
  <w:style w:styleId="Heading6" w:type="paragraph">
    <w:name w:val="Heading 6"/>
    <w:basedOn w:val="Normal"/>
    <w:uiPriority w:val="1"/>
    <w:qFormat/>
    <w:pPr>
      <w:ind w:left="152"/>
      <w:outlineLvl w:val="6"/>
    </w:pPr>
    <w:rPr>
      <w:rFonts w:ascii="宋体" w:hAnsi="宋体" w:eastAsia="宋体"/>
      <w:b/>
      <w:bCs/>
      <w:sz w:val="21"/>
      <w:szCs w:val="21"/>
    </w:rPr>
  </w:style>
  <w:style w:styleId="Heading7" w:type="paragraph">
    <w:name w:val="Heading 7"/>
    <w:basedOn w:val="Normal"/>
    <w:uiPriority w:val="1"/>
    <w:qFormat/>
    <w:pPr>
      <w:ind w:left="1413"/>
      <w:outlineLvl w:val="7"/>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idr.com.cn/" TargetMode="External"/><Relationship Id="rId10" Type="http://schemas.openxmlformats.org/officeDocument/2006/relationships/hyperlink" Target="mailto:zhu@idr.com.cn" TargetMode="External"/><Relationship Id="rId11" Type="http://schemas.openxmlformats.org/officeDocument/2006/relationships/hyperlink" Target="mailto:wangyou725@163.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深圳市爱迪尔珠宝股份有限公司</dc:creator>
  <dc:title>深圳市爱迪尔珠宝股份有限公司2015年年度报告全文</dc:title>
  <dcterms:created xsi:type="dcterms:W3CDTF">2020-05-04T14:43:32Z</dcterms:created>
  <dcterms:modified xsi:type="dcterms:W3CDTF">2020-05-04T14:43:32Z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Microsoft® Word 2010</vt:lpwstr>
  </property>
  <property fmtid="{D5CDD505-2E9C-101B-9397-08002B2CF9AE}" pid="4" name="LastSaved">
    <vt:filetime>2020-05-04T00:00:00Z</vt:filetime>
  </property>
</Properties>
</file>