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575001pt;margin-top:49.174999pt;width:485.85pt;height:.1pt;mso-position-horizontal-relative:page;mso-position-vertical-relative:page;z-index:0" coordorigin="1112,983" coordsize="9717,2">
            <v:shape style="position:absolute;left:1112;top:983;width:9717;height:2" coordorigin="1112,983" coordsize="9717,0" path="m1112,983l10829,983e" filled="false" stroked="true" strokeweight=".75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spacing w:line="675" w:lineRule="exact"/>
        <w:ind w:left="384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09700" cy="4286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428625"/>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11"/>
        <w:rPr>
          <w:rFonts w:ascii="Times New Roman" w:hAnsi="Times New Roman" w:cs="Times New Roman" w:eastAsia="Times New Roman" w:hint="default"/>
          <w:sz w:val="12"/>
          <w:szCs w:val="12"/>
        </w:rPr>
      </w:pPr>
    </w:p>
    <w:p>
      <w:pPr>
        <w:spacing w:line="460" w:lineRule="exact" w:before="0"/>
        <w:ind w:left="1872" w:right="2854" w:firstLine="0"/>
        <w:jc w:val="center"/>
        <w:rPr>
          <w:rFonts w:ascii="宋体" w:hAnsi="宋体" w:cs="宋体" w:eastAsia="宋体" w:hint="default"/>
          <w:sz w:val="36"/>
          <w:szCs w:val="36"/>
        </w:rPr>
      </w:pPr>
      <w:r>
        <w:rPr>
          <w:rFonts w:ascii="宋体" w:hAnsi="宋体" w:cs="宋体" w:eastAsia="宋体" w:hint="default"/>
          <w:b/>
          <w:bCs/>
          <w:sz w:val="36"/>
          <w:szCs w:val="36"/>
        </w:rPr>
        <w:t>深圳市普路通供应链管理股份有限公司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2"/>
          <w:szCs w:val="32"/>
        </w:rPr>
      </w:pPr>
    </w:p>
    <w:p>
      <w:pPr>
        <w:spacing w:before="0"/>
        <w:ind w:left="1872" w:right="2839"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2019</w:t>
      </w:r>
      <w:r>
        <w:rPr>
          <w:rFonts w:ascii="Times New Roman" w:hAnsi="Times New Roman" w:cs="Times New Roman" w:eastAsia="Times New Roman" w:hint="default"/>
          <w:b/>
          <w:bCs/>
          <w:spacing w:val="30"/>
          <w:sz w:val="31"/>
          <w:szCs w:val="31"/>
        </w:rPr>
        <w:t> </w:t>
      </w:r>
      <w:r>
        <w:rPr>
          <w:rFonts w:ascii="宋体" w:hAnsi="宋体" w:cs="宋体" w:eastAsia="宋体" w:hint="default"/>
          <w:b/>
          <w:bCs/>
          <w:spacing w:val="5"/>
          <w:sz w:val="31"/>
          <w:szCs w:val="31"/>
        </w:rPr>
        <w:t>年年度报告</w:t>
      </w:r>
      <w:r>
        <w:rPr>
          <w:rFonts w:ascii="宋体" w:hAnsi="宋体" w:cs="宋体" w:eastAsia="宋体" w:hint="default"/>
          <w:spacing w:val="5"/>
          <w:sz w:val="31"/>
          <w:szCs w:val="31"/>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1"/>
          <w:szCs w:val="41"/>
        </w:rPr>
      </w:pPr>
    </w:p>
    <w:p>
      <w:pPr>
        <w:spacing w:before="0"/>
        <w:ind w:left="1872" w:right="2839"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2020 </w:t>
      </w:r>
      <w:r>
        <w:rPr>
          <w:rFonts w:ascii="宋体" w:hAnsi="宋体" w:cs="宋体" w:eastAsia="宋体" w:hint="default"/>
          <w:b/>
          <w:bCs/>
          <w:sz w:val="31"/>
          <w:szCs w:val="31"/>
        </w:rPr>
        <w:t>年 </w:t>
      </w:r>
      <w:r>
        <w:rPr>
          <w:rFonts w:ascii="Times New Roman" w:hAnsi="Times New Roman" w:cs="Times New Roman" w:eastAsia="Times New Roman" w:hint="default"/>
          <w:b/>
          <w:bCs/>
          <w:spacing w:val="3"/>
          <w:sz w:val="31"/>
          <w:szCs w:val="31"/>
        </w:rPr>
        <w:t>04</w:t>
      </w:r>
      <w:r>
        <w:rPr>
          <w:rFonts w:ascii="Times New Roman" w:hAnsi="Times New Roman" w:cs="Times New Roman" w:eastAsia="Times New Roman" w:hint="default"/>
          <w:b/>
          <w:bCs/>
          <w:spacing w:val="-45"/>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31"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1"/>
        <w:spacing w:line="240" w:lineRule="auto"/>
        <w:ind w:left="2875" w:right="0"/>
        <w:jc w:val="left"/>
        <w:rPr>
          <w:b w:val="0"/>
          <w:bCs w:val="0"/>
        </w:rPr>
      </w:pPr>
      <w:bookmarkStart w:name="第一节重要提示、目录和释义" w:id="1"/>
      <w:bookmarkEnd w:id="1"/>
      <w:r>
        <w:rPr>
          <w:b w:val="0"/>
          <w:bCs w:val="0"/>
        </w:rPr>
      </w:r>
      <w:bookmarkStart w:name="_bookmark0" w:id="2"/>
      <w:bookmarkEnd w:id="2"/>
      <w:r>
        <w:rPr>
          <w:b w:val="0"/>
          <w:bCs w:val="0"/>
        </w:rPr>
      </w:r>
      <w:r>
        <w:rPr>
          <w:spacing w:val="6"/>
        </w:rPr>
        <w:t>第一节重要提示、目录和释义</w:t>
      </w:r>
      <w:r>
        <w:rPr>
          <w:b w:val="0"/>
          <w:bCs w:val="0"/>
          <w:spacing w:val="6"/>
        </w:rPr>
      </w:r>
    </w:p>
    <w:p>
      <w:pPr>
        <w:spacing w:line="240" w:lineRule="auto" w:before="0"/>
        <w:rPr>
          <w:rFonts w:ascii="宋体" w:hAnsi="宋体" w:cs="宋体" w:eastAsia="宋体" w:hint="default"/>
          <w:b/>
          <w:bCs/>
          <w:sz w:val="32"/>
          <w:szCs w:val="32"/>
        </w:rPr>
      </w:pPr>
    </w:p>
    <w:p>
      <w:pPr>
        <w:spacing w:line="408" w:lineRule="auto" w:before="216"/>
        <w:ind w:left="141" w:right="1089"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公司董事会、监事会及董事、监事、高级管理人员保证年度报告内容的真</w:t>
      </w:r>
      <w:r>
        <w:rPr>
          <w:rFonts w:ascii="宋体" w:hAnsi="宋体" w:cs="宋体" w:eastAsia="宋体" w:hint="default"/>
          <w:b/>
          <w:bCs/>
          <w:w w:val="101"/>
          <w:sz w:val="28"/>
          <w:szCs w:val="28"/>
        </w:rPr>
        <w:t> </w:t>
      </w:r>
      <w:r>
        <w:rPr>
          <w:rFonts w:ascii="宋体" w:hAnsi="宋体" w:cs="宋体" w:eastAsia="宋体" w:hint="default"/>
          <w:b/>
          <w:bCs/>
          <w:spacing w:val="-1"/>
          <w:sz w:val="28"/>
          <w:szCs w:val="28"/>
        </w:rPr>
        <w:t>实、准确、完整，不存在虚假记载、误导性陈述或重大遗漏，并承担个别和连</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带的法律责任。</w:t>
      </w:r>
      <w:r>
        <w:rPr>
          <w:rFonts w:ascii="宋体" w:hAnsi="宋体" w:cs="宋体" w:eastAsia="宋体" w:hint="default"/>
          <w:spacing w:val="-3"/>
          <w:sz w:val="28"/>
          <w:szCs w:val="28"/>
        </w:rPr>
      </w:r>
    </w:p>
    <w:p>
      <w:pPr>
        <w:spacing w:line="391" w:lineRule="auto" w:before="158"/>
        <w:ind w:left="141" w:right="1110" w:firstLine="555"/>
        <w:jc w:val="both"/>
        <w:rPr>
          <w:rFonts w:ascii="宋体" w:hAnsi="宋体" w:cs="宋体" w:eastAsia="宋体" w:hint="default"/>
          <w:sz w:val="28"/>
          <w:szCs w:val="28"/>
        </w:rPr>
      </w:pPr>
      <w:r>
        <w:rPr>
          <w:rFonts w:ascii="宋体" w:hAnsi="宋体" w:cs="宋体" w:eastAsia="宋体" w:hint="default"/>
          <w:b/>
          <w:bCs/>
          <w:spacing w:val="-5"/>
          <w:sz w:val="28"/>
          <w:szCs w:val="28"/>
        </w:rPr>
        <w:t>公司负责人陈书智、主管会计工作负责人师帅及会计机构负责人</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会计主管</w:t>
      </w:r>
      <w:r>
        <w:rPr>
          <w:rFonts w:ascii="宋体" w:hAnsi="宋体" w:cs="宋体" w:eastAsia="宋体" w:hint="default"/>
          <w:b/>
          <w:bCs/>
          <w:w w:val="101"/>
          <w:sz w:val="28"/>
          <w:szCs w:val="28"/>
        </w:rPr>
        <w:t> </w:t>
      </w:r>
      <w:r>
        <w:rPr>
          <w:rFonts w:ascii="宋体" w:hAnsi="宋体" w:cs="宋体" w:eastAsia="宋体" w:hint="default"/>
          <w:b/>
          <w:bCs/>
          <w:spacing w:val="-4"/>
          <w:sz w:val="28"/>
          <w:szCs w:val="28"/>
        </w:rPr>
        <w:t>人员</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叶艳梅声明：保证年度报告中财务报告的真实、准确、完整。</w:t>
      </w:r>
      <w:r>
        <w:rPr>
          <w:rFonts w:ascii="宋体" w:hAnsi="宋体" w:cs="宋体" w:eastAsia="宋体" w:hint="default"/>
          <w:spacing w:val="-4"/>
          <w:sz w:val="28"/>
          <w:szCs w:val="28"/>
        </w:rPr>
      </w:r>
    </w:p>
    <w:p>
      <w:pPr>
        <w:spacing w:before="138"/>
        <w:ind w:left="696"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所有董事均已出席了审议本报告的董事会会议。</w:t>
      </w:r>
      <w:r>
        <w:rPr>
          <w:rFonts w:ascii="宋体" w:hAnsi="宋体" w:cs="宋体" w:eastAsia="宋体" w:hint="default"/>
          <w:spacing w:val="-4"/>
          <w:sz w:val="28"/>
          <w:szCs w:val="28"/>
        </w:rPr>
      </w:r>
    </w:p>
    <w:p>
      <w:pPr>
        <w:spacing w:line="240" w:lineRule="auto" w:before="1"/>
        <w:rPr>
          <w:rFonts w:ascii="宋体" w:hAnsi="宋体" w:cs="宋体" w:eastAsia="宋体" w:hint="default"/>
          <w:b/>
          <w:bCs/>
          <w:sz w:val="27"/>
          <w:szCs w:val="27"/>
        </w:rPr>
      </w:pPr>
    </w:p>
    <w:p>
      <w:pPr>
        <w:spacing w:line="391" w:lineRule="auto" w:before="0"/>
        <w:ind w:left="141" w:right="1108" w:firstLine="555"/>
        <w:jc w:val="both"/>
        <w:rPr>
          <w:rFonts w:ascii="宋体" w:hAnsi="宋体" w:cs="宋体" w:eastAsia="宋体" w:hint="default"/>
          <w:sz w:val="28"/>
          <w:szCs w:val="28"/>
        </w:rPr>
      </w:pPr>
      <w:r>
        <w:rPr>
          <w:rFonts w:ascii="宋体" w:hAnsi="宋体" w:cs="宋体" w:eastAsia="宋体" w:hint="default"/>
          <w:b/>
          <w:bCs/>
          <w:spacing w:val="3"/>
          <w:sz w:val="28"/>
          <w:szCs w:val="28"/>
        </w:rPr>
        <w:t>公司在本报告</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第四节 </w:t>
      </w:r>
      <w:r>
        <w:rPr>
          <w:rFonts w:ascii="宋体" w:hAnsi="宋体" w:cs="宋体" w:eastAsia="宋体" w:hint="default"/>
          <w:b/>
          <w:bCs/>
          <w:spacing w:val="2"/>
          <w:sz w:val="28"/>
          <w:szCs w:val="28"/>
        </w:rPr>
        <w:t>经营情况讨论与分析中</w:t>
      </w:r>
      <w:r>
        <w:rPr>
          <w:rFonts w:ascii="宋体" w:hAnsi="宋体" w:cs="宋体" w:eastAsia="宋体" w:hint="default"/>
          <w:b/>
          <w:bCs/>
          <w:spacing w:val="16"/>
          <w:sz w:val="28"/>
          <w:szCs w:val="28"/>
        </w:rPr>
        <w:t> </w:t>
      </w:r>
      <w:r>
        <w:rPr>
          <w:rFonts w:ascii="宋体" w:hAnsi="宋体" w:cs="宋体" w:eastAsia="宋体" w:hint="default"/>
          <w:b/>
          <w:bCs/>
          <w:spacing w:val="2"/>
          <w:sz w:val="28"/>
          <w:szCs w:val="28"/>
        </w:rPr>
        <w:t>公司未来发展的展望描述</w:t>
      </w:r>
      <w:r>
        <w:rPr>
          <w:rFonts w:ascii="宋体" w:hAnsi="宋体" w:cs="宋体" w:eastAsia="宋体" w:hint="default"/>
          <w:b/>
          <w:bCs/>
          <w:w w:val="101"/>
          <w:sz w:val="28"/>
          <w:szCs w:val="28"/>
        </w:rPr>
        <w:t> </w:t>
      </w:r>
      <w:r>
        <w:rPr>
          <w:rFonts w:ascii="宋体" w:hAnsi="宋体" w:cs="宋体" w:eastAsia="宋体" w:hint="default"/>
          <w:b/>
          <w:bCs/>
          <w:spacing w:val="-4"/>
          <w:sz w:val="28"/>
          <w:szCs w:val="28"/>
        </w:rPr>
        <w:t>了公司经营可能面临的风险</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，敬请广大投资者注意查阅。</w:t>
      </w:r>
      <w:r>
        <w:rPr>
          <w:rFonts w:ascii="宋体" w:hAnsi="宋体" w:cs="宋体" w:eastAsia="宋体" w:hint="default"/>
          <w:spacing w:val="-4"/>
          <w:sz w:val="28"/>
          <w:szCs w:val="28"/>
        </w:rPr>
      </w:r>
    </w:p>
    <w:p>
      <w:pPr>
        <w:spacing w:before="137"/>
        <w:ind w:left="696" w:right="0" w:firstLine="0"/>
        <w:jc w:val="left"/>
        <w:rPr>
          <w:rFonts w:ascii="宋体" w:hAnsi="宋体" w:cs="宋体" w:eastAsia="宋体" w:hint="default"/>
          <w:sz w:val="28"/>
          <w:szCs w:val="28"/>
        </w:rPr>
      </w:pPr>
      <w:r>
        <w:rPr>
          <w:rFonts w:ascii="宋体" w:hAnsi="宋体" w:cs="宋体" w:eastAsia="宋体" w:hint="default"/>
          <w:b/>
          <w:bCs/>
          <w:spacing w:val="-5"/>
          <w:sz w:val="28"/>
          <w:szCs w:val="28"/>
        </w:rPr>
        <w:t>公司经本次董事会审议通过的利润分配预案为：以 </w:t>
      </w:r>
      <w:r>
        <w:rPr>
          <w:rFonts w:ascii="Times New Roman" w:hAnsi="Times New Roman" w:cs="Times New Roman" w:eastAsia="Times New Roman" w:hint="default"/>
          <w:b/>
          <w:bCs/>
          <w:spacing w:val="-5"/>
          <w:sz w:val="28"/>
          <w:szCs w:val="28"/>
        </w:rPr>
        <w:t>373,318,054 </w:t>
      </w:r>
      <w:r>
        <w:rPr>
          <w:rFonts w:ascii="Times New Roman" w:hAnsi="Times New Roman" w:cs="Times New Roman" w:eastAsia="Times New Roman" w:hint="default"/>
          <w:b/>
          <w:bCs/>
          <w:spacing w:val="25"/>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1" w:lineRule="auto" w:before="243"/>
        <w:ind w:left="141" w:right="1091" w:firstLine="0"/>
        <w:jc w:val="left"/>
        <w:rPr>
          <w:rFonts w:ascii="宋体" w:hAnsi="宋体" w:cs="宋体" w:eastAsia="宋体" w:hint="default"/>
          <w:sz w:val="28"/>
          <w:szCs w:val="28"/>
        </w:rPr>
      </w:pPr>
      <w:r>
        <w:rPr>
          <w:rFonts w:ascii="宋体" w:hAnsi="宋体" w:cs="宋体" w:eastAsia="宋体" w:hint="default"/>
          <w:b/>
          <w:bCs/>
          <w:spacing w:val="-4"/>
          <w:w w:val="101"/>
          <w:sz w:val="28"/>
          <w:szCs w:val="28"/>
        </w:rPr>
        <w:t>全体股东每</w:t>
      </w:r>
      <w:r>
        <w:rPr>
          <w:rFonts w:ascii="宋体" w:hAnsi="宋体" w:cs="宋体" w:eastAsia="宋体" w:hint="default"/>
          <w:b/>
          <w:bCs/>
          <w:spacing w:val="-68"/>
          <w:w w:val="101"/>
          <w:sz w:val="28"/>
          <w:szCs w:val="28"/>
        </w:rPr>
        <w:t> </w:t>
      </w:r>
      <w:r>
        <w:rPr>
          <w:rFonts w:ascii="Times New Roman" w:hAnsi="Times New Roman" w:cs="Times New Roman" w:eastAsia="Times New Roman" w:hint="default"/>
          <w:b/>
          <w:bCs/>
          <w:spacing w:val="-4"/>
          <w:w w:val="101"/>
          <w:sz w:val="28"/>
          <w:szCs w:val="28"/>
        </w:rPr>
        <w:t>10</w:t>
      </w:r>
      <w:r>
        <w:rPr>
          <w:rFonts w:ascii="Times New Roman" w:hAnsi="Times New Roman" w:cs="Times New Roman" w:eastAsia="Times New Roman" w:hint="default"/>
          <w:b/>
          <w:bCs/>
          <w:spacing w:val="-3"/>
          <w:w w:val="101"/>
          <w:sz w:val="28"/>
          <w:szCs w:val="28"/>
        </w:rPr>
        <w:t> </w:t>
      </w:r>
      <w:r>
        <w:rPr>
          <w:rFonts w:ascii="宋体" w:hAnsi="宋体" w:cs="宋体" w:eastAsia="宋体" w:hint="default"/>
          <w:b/>
          <w:bCs/>
          <w:spacing w:val="-3"/>
          <w:w w:val="101"/>
          <w:sz w:val="28"/>
          <w:szCs w:val="28"/>
        </w:rPr>
        <w:t>股派发现金红利</w:t>
      </w:r>
      <w:r>
        <w:rPr>
          <w:rFonts w:ascii="宋体" w:hAnsi="宋体" w:cs="宋体" w:eastAsia="宋体" w:hint="default"/>
          <w:b/>
          <w:bCs/>
          <w:spacing w:val="-68"/>
          <w:w w:val="101"/>
          <w:sz w:val="28"/>
          <w:szCs w:val="28"/>
        </w:rPr>
        <w:t> </w:t>
      </w:r>
      <w:r>
        <w:rPr>
          <w:rFonts w:ascii="Times New Roman" w:hAnsi="Times New Roman" w:cs="Times New Roman" w:eastAsia="Times New Roman" w:hint="default"/>
          <w:b/>
          <w:bCs/>
          <w:spacing w:val="-7"/>
          <w:w w:val="101"/>
          <w:sz w:val="28"/>
          <w:szCs w:val="28"/>
        </w:rPr>
        <w:t>0.18</w:t>
      </w:r>
      <w:r>
        <w:rPr>
          <w:rFonts w:ascii="Times New Roman" w:hAnsi="Times New Roman" w:cs="Times New Roman" w:eastAsia="Times New Roman" w:hint="default"/>
          <w:b/>
          <w:bCs/>
          <w:spacing w:val="-3"/>
          <w:w w:val="101"/>
          <w:sz w:val="28"/>
          <w:szCs w:val="28"/>
        </w:rPr>
        <w:t> </w:t>
      </w:r>
      <w:r>
        <w:rPr>
          <w:rFonts w:ascii="宋体" w:hAnsi="宋体" w:cs="宋体" w:eastAsia="宋体" w:hint="default"/>
          <w:b/>
          <w:bCs/>
          <w:spacing w:val="-25"/>
          <w:w w:val="101"/>
          <w:sz w:val="28"/>
          <w:szCs w:val="28"/>
        </w:rPr>
        <w:t>元（含税），送红股</w:t>
      </w:r>
      <w:r>
        <w:rPr>
          <w:rFonts w:ascii="宋体" w:hAnsi="宋体" w:cs="宋体" w:eastAsia="宋体" w:hint="default"/>
          <w:b/>
          <w:bCs/>
          <w:spacing w:val="-68"/>
          <w:w w:val="101"/>
          <w:sz w:val="28"/>
          <w:szCs w:val="28"/>
        </w:rPr>
        <w:t> </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w w:val="101"/>
          <w:sz w:val="28"/>
          <w:szCs w:val="28"/>
        </w:rPr>
        <w:t> </w:t>
      </w:r>
      <w:r>
        <w:rPr>
          <w:rFonts w:ascii="宋体" w:hAnsi="宋体" w:cs="宋体" w:eastAsia="宋体" w:hint="default"/>
          <w:b/>
          <w:bCs/>
          <w:spacing w:val="-25"/>
          <w:w w:val="101"/>
          <w:sz w:val="28"/>
          <w:szCs w:val="28"/>
        </w:rPr>
        <w:t>股（含税），不以公积</w:t>
      </w:r>
      <w:r>
        <w:rPr>
          <w:rFonts w:ascii="宋体" w:hAnsi="宋体" w:cs="宋体" w:eastAsia="宋体" w:hint="default"/>
          <w:b/>
          <w:bCs/>
          <w:w w:val="101"/>
          <w:sz w:val="28"/>
          <w:szCs w:val="28"/>
        </w:rPr>
        <w:t> </w:t>
      </w:r>
      <w:r>
        <w:rPr>
          <w:rFonts w:ascii="宋体" w:hAnsi="宋体" w:cs="宋体" w:eastAsia="宋体" w:hint="default"/>
          <w:b/>
          <w:bCs/>
          <w:spacing w:val="-3"/>
          <w:sz w:val="28"/>
          <w:szCs w:val="28"/>
        </w:rPr>
        <w:t>金转增股本。</w:t>
      </w:r>
      <w:r>
        <w:rPr>
          <w:rFonts w:ascii="宋体" w:hAnsi="宋体" w:cs="宋体" w:eastAsia="宋体" w:hint="default"/>
          <w:spacing w:val="-3"/>
          <w:sz w:val="28"/>
          <w:szCs w:val="28"/>
        </w:rPr>
      </w:r>
    </w:p>
    <w:p>
      <w:pPr>
        <w:spacing w:after="0" w:line="381" w:lineRule="auto"/>
        <w:jc w:val="left"/>
        <w:rPr>
          <w:rFonts w:ascii="宋体" w:hAnsi="宋体" w:cs="宋体" w:eastAsia="宋体" w:hint="default"/>
          <w:sz w:val="28"/>
          <w:szCs w:val="28"/>
        </w:rPr>
        <w:sectPr>
          <w:footerReference w:type="default" r:id="rId8"/>
          <w:pgSz w:w="11910" w:h="16850"/>
          <w:pgMar w:footer="981" w:header="731" w:top="1040" w:bottom="1180" w:left="1000" w:right="0"/>
          <w:pgNumType w:start="2"/>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spacing w:line="460" w:lineRule="exact" w:before="0"/>
        <w:ind w:left="1870" w:right="285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3" w:val="right" w:leader="dot"/>
            </w:tabs>
            <w:spacing w:line="240" w:lineRule="auto" w:before="181"/>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2"/>
              </w:rPr>
              <w:t> </w:t>
            </w:r>
            <w:r>
              <w:rPr>
                <w:spacing w:val="2"/>
              </w:rPr>
              <w:t>公司业务概要</w:t>
            </w:r>
            <w:r>
              <w:rPr>
                <w:rFonts w:ascii="宋体" w:hAnsi="宋体" w:cs="宋体" w:eastAsia="宋体" w:hint="default"/>
                <w:spacing w:val="2"/>
              </w:rPr>
              <w:tab/>
            </w:r>
            <w:r>
              <w:rPr>
                <w:rFonts w:ascii="宋体" w:hAnsi="宋体" w:cs="宋体" w:eastAsia="宋体" w:hint="default"/>
              </w:rPr>
              <w:t>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12</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2"/>
              </w:rPr>
              <w:t> </w:t>
            </w:r>
            <w:r>
              <w:rPr>
                <w:spacing w:val="3"/>
              </w:rPr>
              <w:t>重要事项</w:t>
            </w:r>
            <w:r>
              <w:rPr>
                <w:rFonts w:ascii="宋体" w:hAnsi="宋体" w:cs="宋体" w:eastAsia="宋体" w:hint="default"/>
                <w:spacing w:val="3"/>
              </w:rPr>
              <w:tab/>
            </w:r>
            <w:r>
              <w:rPr>
                <w:rFonts w:ascii="宋体" w:hAnsi="宋体" w:cs="宋体" w:eastAsia="宋体" w:hint="default"/>
              </w:rPr>
              <w:t>23</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46</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2"/>
              </w:rPr>
              <w:t> </w:t>
            </w:r>
            <w:r>
              <w:rPr>
                <w:spacing w:val="2"/>
              </w:rPr>
              <w:t>优先股相关情况</w:t>
            </w:r>
            <w:r>
              <w:rPr>
                <w:rFonts w:ascii="宋体" w:hAnsi="宋体" w:cs="宋体" w:eastAsia="宋体" w:hint="default"/>
                <w:spacing w:val="2"/>
              </w:rPr>
              <w:tab/>
            </w:r>
            <w:r>
              <w:rPr>
                <w:rFonts w:ascii="宋体" w:hAnsi="宋体" w:cs="宋体" w:eastAsia="宋体" w:hint="default"/>
              </w:rPr>
              <w:t>52</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可转换公司债券相关情况</w:t>
            </w:r>
            <w:r>
              <w:rPr>
                <w:rFonts w:ascii="宋体" w:hAnsi="宋体" w:cs="宋体" w:eastAsia="宋体" w:hint="default"/>
              </w:rPr>
              <w:tab/>
              <w:t>53</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8">
            <w:r>
              <w:rPr/>
              <w:t>第九节</w:t>
            </w:r>
            <w:r>
              <w:rPr>
                <w:spacing w:val="-2"/>
              </w:rPr>
              <w:t> </w:t>
            </w:r>
            <w:r>
              <w:rPr/>
              <w:t>董事、监事、高级管理人员和员工情况</w:t>
            </w:r>
            <w:r>
              <w:rPr>
                <w:rFonts w:ascii="宋体" w:hAnsi="宋体" w:cs="宋体" w:eastAsia="宋体" w:hint="default"/>
              </w:rPr>
              <w:tab/>
              <w:t>54</w:t>
            </w:r>
            <w:r>
              <w:rPr>
                <w:rFonts w:ascii="宋体" w:hAnsi="宋体" w:cs="宋体" w:eastAsia="宋体" w:hint="default"/>
                <w:b w:val="0"/>
                <w:bCs w:val="0"/>
              </w:rPr>
            </w:r>
          </w:hyperlink>
        </w:p>
        <w:p>
          <w:pPr>
            <w:pStyle w:val="TOC1"/>
            <w:tabs>
              <w:tab w:pos="9782" w:val="right" w:leader="dot"/>
            </w:tabs>
            <w:spacing w:line="240" w:lineRule="auto" w:before="181"/>
            <w:ind w:right="0"/>
            <w:jc w:val="left"/>
            <w:rPr>
              <w:rFonts w:ascii="宋体" w:hAnsi="宋体" w:cs="宋体" w:eastAsia="宋体" w:hint="default"/>
              <w:b w:val="0"/>
              <w:bCs w:val="0"/>
            </w:rPr>
          </w:pPr>
          <w:hyperlink w:history="true" w:anchor="_bookmark9">
            <w:r>
              <w:rPr/>
              <w:t>第十节</w:t>
            </w:r>
            <w:r>
              <w:rPr>
                <w:spacing w:val="-2"/>
              </w:rPr>
              <w:t> </w:t>
            </w:r>
            <w:r>
              <w:rPr>
                <w:spacing w:val="3"/>
              </w:rPr>
              <w:t>公司治理</w:t>
            </w:r>
            <w:r>
              <w:rPr>
                <w:rFonts w:ascii="宋体" w:hAnsi="宋体" w:cs="宋体" w:eastAsia="宋体" w:hint="default"/>
                <w:spacing w:val="3"/>
              </w:rPr>
              <w:tab/>
            </w:r>
            <w:r>
              <w:rPr>
                <w:rFonts w:ascii="宋体" w:hAnsi="宋体" w:cs="宋体" w:eastAsia="宋体" w:hint="default"/>
              </w:rPr>
              <w:t>63</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公司债券相关情况</w:t>
            </w:r>
            <w:r>
              <w:rPr>
                <w:rFonts w:ascii="宋体" w:hAnsi="宋体" w:cs="宋体" w:eastAsia="宋体" w:hint="default"/>
              </w:rPr>
              <w:tab/>
              <w:t>70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1">
            <w:r>
              <w:rPr/>
              <w:t>第十二节</w:t>
            </w:r>
            <w:r>
              <w:rPr>
                <w:spacing w:val="-2"/>
              </w:rPr>
              <w:t> </w:t>
            </w:r>
            <w:r>
              <w:rPr>
                <w:spacing w:val="3"/>
              </w:rPr>
              <w:t>财务报告</w:t>
            </w:r>
            <w:r>
              <w:rPr>
                <w:rFonts w:ascii="宋体" w:hAnsi="宋体" w:cs="宋体" w:eastAsia="宋体" w:hint="default"/>
                <w:spacing w:val="3"/>
              </w:rPr>
              <w:tab/>
            </w:r>
            <w:r>
              <w:rPr>
                <w:rFonts w:ascii="宋体" w:hAnsi="宋体" w:cs="宋体" w:eastAsia="宋体" w:hint="default"/>
              </w:rPr>
              <w:t>71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2">
            <w:r>
              <w:rPr/>
              <w:t>第十三节</w:t>
            </w:r>
            <w:r>
              <w:rPr>
                <w:spacing w:val="-2"/>
              </w:rPr>
              <w:t> </w:t>
            </w:r>
            <w:r>
              <w:rPr>
                <w:spacing w:val="2"/>
              </w:rPr>
              <w:t>备查文件目录</w:t>
            </w:r>
            <w:r>
              <w:rPr>
                <w:rFonts w:ascii="宋体" w:hAnsi="宋体" w:cs="宋体" w:eastAsia="宋体" w:hint="default"/>
                <w:spacing w:val="2"/>
              </w:rPr>
              <w:tab/>
            </w:r>
            <w:r>
              <w:rPr>
                <w:rFonts w:ascii="宋体" w:hAnsi="宋体" w:cs="宋体" w:eastAsia="宋体" w:hint="default"/>
              </w:rPr>
              <w:t>203</w:t>
            </w:r>
            <w:r>
              <w:rPr>
                <w:rFonts w:ascii="宋体" w:hAnsi="宋体" w:cs="宋体" w:eastAsia="宋体" w:hint="default"/>
                <w:b w:val="0"/>
                <w:bCs w:val="0"/>
              </w:rPr>
            </w:r>
          </w:hyperlink>
        </w:p>
        <w:p>
          <w:pPr/>
          <w:r>
            <w:fldChar w:fldCharType="end"/>
          </w:r>
        </w:p>
      </w:sdtContent>
    </w:sdt>
    <w:p>
      <w:pPr>
        <w:spacing w:after="0"/>
        <w:sectPr>
          <w:pgSz w:w="11910" w:h="16850"/>
          <w:pgMar w:header="731" w:footer="981" w:top="1040" w:bottom="1180" w:left="1000" w:right="0"/>
        </w:sectPr>
      </w:pPr>
    </w:p>
    <w:p>
      <w:pPr>
        <w:spacing w:before="953"/>
        <w:ind w:left="1872" w:right="2826"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545"/>
        <w:gridCol w:w="593"/>
        <w:gridCol w:w="5444"/>
      </w:tblGrid>
      <w:tr>
        <w:trPr>
          <w:trHeight w:val="405" w:hRule="exact"/>
        </w:trPr>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r>
              <w:rPr>
                <w:rFonts w:ascii="Times New Roman" w:hAnsi="Times New Roman" w:cs="Times New Roman" w:eastAsia="Times New Roman" w:hint="default"/>
                <w:sz w:val="18"/>
                <w:szCs w:val="18"/>
              </w:rPr>
              <w:t>/</w:t>
            </w:r>
            <w:r>
              <w:rPr>
                <w:rFonts w:ascii="宋体" w:hAnsi="宋体" w:cs="宋体" w:eastAsia="宋体" w:hint="default"/>
                <w:sz w:val="18"/>
                <w:szCs w:val="18"/>
              </w:rPr>
              <w:t>普路通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中国证监会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深圳市普路通供应链管理股份有限公司董事会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深圳市普路通供应链管理股份有限公司监事会</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深圳市普路通供应链管理股份有限公司股东大会</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《深圳市普路通供应链管理股份有限公司章程》</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报告期</w:t>
            </w:r>
            <w:r>
              <w:rPr>
                <w:rFonts w:ascii="Times New Roman" w:hAnsi="Times New Roman" w:cs="Times New Roman" w:eastAsia="Times New Roman" w:hint="default"/>
                <w:sz w:val="18"/>
                <w:szCs w:val="18"/>
              </w:rPr>
              <w:t>/</w:t>
            </w:r>
            <w:r>
              <w:rPr>
                <w:rFonts w:ascii="宋体" w:hAnsi="宋体" w:cs="宋体" w:eastAsia="宋体" w:hint="default"/>
                <w:sz w:val="18"/>
                <w:szCs w:val="18"/>
              </w:rPr>
              <w:t>本报告期</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绿色金控</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广东省绿色金融投资控股集团有限公司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广州金控</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广州金融控股集团有限公司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聚智通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广州普路通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广州市普路通供应链管理有限公司</w:t>
            </w:r>
          </w:p>
        </w:tc>
      </w:tr>
      <w:tr>
        <w:trPr>
          <w:trHeight w:val="308" w:hRule="exact"/>
        </w:trPr>
        <w:tc>
          <w:tcPr>
            <w:tcW w:w="3545"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593"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321" w:lineRule="auto" w:before="30"/>
              <w:ind w:left="30" w:right="19"/>
              <w:jc w:val="both"/>
              <w:rPr>
                <w:rFonts w:ascii="宋体" w:hAnsi="宋体" w:cs="宋体" w:eastAsia="宋体" w:hint="default"/>
                <w:sz w:val="18"/>
                <w:szCs w:val="18"/>
              </w:rPr>
            </w:pPr>
            <w:r>
              <w:rPr>
                <w:rFonts w:ascii="宋体" w:hAnsi="宋体" w:cs="宋体" w:eastAsia="宋体" w:hint="default"/>
                <w:spacing w:val="-2"/>
                <w:sz w:val="18"/>
                <w:szCs w:val="18"/>
              </w:rPr>
              <w:t>通过整合和优化供应链上各节点企业的物流、资金流、信息流等，提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高供应链的运作效率，降低供应链运作成本，提升供应链参与企业的</w:t>
            </w:r>
            <w:r>
              <w:rPr>
                <w:rFonts w:ascii="宋体" w:hAnsi="宋体" w:cs="宋体" w:eastAsia="宋体" w:hint="default"/>
                <w:sz w:val="18"/>
                <w:szCs w:val="18"/>
              </w:rPr>
              <w:t> 竞争力。</w:t>
            </w:r>
          </w:p>
        </w:tc>
      </w:tr>
      <w:tr>
        <w:trPr>
          <w:trHeight w:val="390" w:hRule="exact"/>
        </w:trPr>
        <w:tc>
          <w:tcPr>
            <w:tcW w:w="3545" w:type="dxa"/>
            <w:vMerge/>
            <w:tcBorders>
              <w:left w:val="single" w:sz="6" w:space="0" w:color="000000"/>
              <w:right w:val="single" w:sz="6" w:space="0" w:color="000000"/>
            </w:tcBorders>
          </w:tcPr>
          <w:p>
            <w:pPr/>
          </w:p>
        </w:tc>
        <w:tc>
          <w:tcPr>
            <w:tcW w:w="59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323" w:hRule="exact"/>
        </w:trPr>
        <w:tc>
          <w:tcPr>
            <w:tcW w:w="3545" w:type="dxa"/>
            <w:vMerge/>
            <w:tcBorders>
              <w:left w:val="single" w:sz="6" w:space="0" w:color="000000"/>
              <w:bottom w:val="single" w:sz="6" w:space="0" w:color="000000"/>
              <w:right w:val="single" w:sz="6" w:space="0" w:color="000000"/>
            </w:tcBorders>
          </w:tcPr>
          <w:p>
            <w:pPr/>
          </w:p>
        </w:tc>
        <w:tc>
          <w:tcPr>
            <w:tcW w:w="593"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157" w:hRule="exact"/>
        </w:trPr>
        <w:tc>
          <w:tcPr>
            <w:tcW w:w="3545"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组合售汇</w:t>
            </w:r>
          </w:p>
        </w:tc>
        <w:tc>
          <w:tcPr>
            <w:tcW w:w="593"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307" w:lineRule="auto" w:before="44"/>
              <w:ind w:left="30" w:right="169"/>
              <w:jc w:val="left"/>
              <w:rPr>
                <w:rFonts w:ascii="宋体" w:hAnsi="宋体" w:cs="宋体" w:eastAsia="宋体" w:hint="default"/>
                <w:sz w:val="18"/>
                <w:szCs w:val="18"/>
              </w:rPr>
            </w:pPr>
            <w:r>
              <w:rPr>
                <w:rFonts w:ascii="宋体" w:hAnsi="宋体" w:cs="宋体" w:eastAsia="宋体" w:hint="default"/>
                <w:sz w:val="18"/>
                <w:szCs w:val="18"/>
              </w:rPr>
              <w:t>商业银行针对有进出口业务需求的企业推出的将远期售汇与存贷款 相结合的一项业务，旨在降低企业的汇率风险和购汇成本。</w:t>
            </w:r>
          </w:p>
        </w:tc>
      </w:tr>
      <w:tr>
        <w:trPr>
          <w:trHeight w:val="390" w:hRule="exact"/>
        </w:trPr>
        <w:tc>
          <w:tcPr>
            <w:tcW w:w="3545" w:type="dxa"/>
            <w:vMerge/>
            <w:tcBorders>
              <w:left w:val="single" w:sz="6" w:space="0" w:color="000000"/>
              <w:right w:val="single" w:sz="6" w:space="0" w:color="000000"/>
            </w:tcBorders>
          </w:tcPr>
          <w:p>
            <w:pPr/>
          </w:p>
        </w:tc>
        <w:tc>
          <w:tcPr>
            <w:tcW w:w="59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73" w:hRule="exact"/>
        </w:trPr>
        <w:tc>
          <w:tcPr>
            <w:tcW w:w="3545" w:type="dxa"/>
            <w:vMerge/>
            <w:tcBorders>
              <w:left w:val="single" w:sz="6" w:space="0" w:color="000000"/>
              <w:bottom w:val="single" w:sz="6" w:space="0" w:color="000000"/>
              <w:right w:val="single" w:sz="6" w:space="0" w:color="000000"/>
            </w:tcBorders>
          </w:tcPr>
          <w:p>
            <w:pPr/>
          </w:p>
        </w:tc>
        <w:tc>
          <w:tcPr>
            <w:tcW w:w="593"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r>
        <w:rPr/>
        <w:pict>
          <v:group style="position:absolute;margin-left:171.229996pt;margin-top:292.755005pt;width:363.45pt;height:20.3pt;mso-position-horizontal-relative:page;mso-position-vertical-relative:page;z-index:-1101760" coordorigin="3425,5855" coordsize="7269,406">
            <v:group style="position:absolute;left:3425;top:5855;width:30;height:406" coordorigin="3425,5855" coordsize="30,406">
              <v:shape style="position:absolute;left:3425;top:5855;width:30;height:406" coordorigin="3425,5855" coordsize="30,406" path="m3425,6261l3455,6261,3455,5855,3425,5855,3425,6261xe" filled="true" fillcolor="#ffffff" stroked="false">
                <v:path arrowok="t"/>
                <v:fill type="solid"/>
              </v:shape>
            </v:group>
            <v:group style="position:absolute;left:3455;top:5855;width:7239;height:406" coordorigin="3455,5855" coordsize="7239,406">
              <v:shape style="position:absolute;left:3455;top:5855;width:7239;height:406" coordorigin="3455,5855" coordsize="7239,406" path="m3455,6261l10694,6261,10694,5855,3455,5855,3455,626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Heading1"/>
        <w:spacing w:line="240" w:lineRule="auto"/>
        <w:ind w:left="2709" w:right="0"/>
        <w:jc w:val="left"/>
        <w:rPr>
          <w:b w:val="0"/>
          <w:bCs w:val="0"/>
        </w:rPr>
      </w:pPr>
      <w:bookmarkStart w:name="第二节公司简介和主要财务指标" w:id="3"/>
      <w:bookmarkEnd w:id="3"/>
      <w:r>
        <w:rPr>
          <w:b w:val="0"/>
          <w:bCs w:val="0"/>
        </w:rPr>
      </w:r>
      <w:bookmarkStart w:name="_bookmark1" w:id="4"/>
      <w:bookmarkEnd w:id="4"/>
      <w:r>
        <w:rPr>
          <w:b w:val="0"/>
          <w:bCs w:val="0"/>
        </w:rPr>
      </w:r>
      <w:r>
        <w:rPr>
          <w:spacing w:val="5"/>
        </w:rPr>
        <w:t>第二节公司简介和主要财务指标</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275"/>
        <w:gridCol w:w="2966"/>
        <w:gridCol w:w="2162"/>
        <w:gridCol w:w="2178"/>
      </w:tblGrid>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普路通</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002769</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普路通</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Shenzhen Prolto Supply Chain Management</w:t>
            </w:r>
            <w:r>
              <w:rPr>
                <w:rFonts w:ascii="Times New Roman"/>
                <w:spacing w:val="-13"/>
                <w:sz w:val="18"/>
              </w:rPr>
              <w:t> </w:t>
            </w:r>
            <w:r>
              <w:rPr>
                <w:rFonts w:ascii="Times New Roman"/>
                <w:sz w:val="18"/>
              </w:rPr>
              <w:t>Co.,Ltd</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35"/>
              <w:ind w:left="-96" w:right="0"/>
              <w:jc w:val="left"/>
              <w:rPr>
                <w:rFonts w:ascii="Times New Roman" w:hAnsi="Times New Roman" w:cs="Times New Roman" w:eastAsia="Times New Roman" w:hint="default"/>
                <w:sz w:val="18"/>
                <w:szCs w:val="18"/>
              </w:rPr>
            </w:pPr>
            <w:r>
              <w:rPr>
                <w:rFonts w:ascii="宋体" w:hAnsi="宋体" w:cs="宋体" w:eastAsia="宋体" w:hint="default"/>
                <w:spacing w:val="-7"/>
                <w:position w:val="1"/>
                <w:sz w:val="18"/>
                <w:szCs w:val="18"/>
              </w:rPr>
              <w:t>）</w:t>
            </w:r>
            <w:r>
              <w:rPr>
                <w:rFonts w:ascii="Times New Roman" w:hAnsi="Times New Roman" w:cs="Times New Roman" w:eastAsia="Times New Roman" w:hint="default"/>
                <w:spacing w:val="-7"/>
                <w:sz w:val="18"/>
                <w:szCs w:val="18"/>
              </w:rPr>
              <w:t>Prolto</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陈书智</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1006 </w:t>
            </w:r>
            <w:r>
              <w:rPr>
                <w:rFonts w:ascii="宋体" w:hAnsi="宋体" w:cs="宋体" w:eastAsia="宋体" w:hint="default"/>
                <w:sz w:val="18"/>
                <w:szCs w:val="18"/>
              </w:rPr>
              <w:t>号深圳国际创新中心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楼</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518026</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1006 </w:t>
            </w:r>
            <w:r>
              <w:rPr>
                <w:rFonts w:ascii="宋体" w:hAnsi="宋体" w:cs="宋体" w:eastAsia="宋体" w:hint="default"/>
                <w:sz w:val="18"/>
                <w:szCs w:val="18"/>
              </w:rPr>
              <w:t>号深圳国际创新中心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楼</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518026</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9">
              <w:r>
                <w:rPr>
                  <w:rFonts w:ascii="Times New Roman"/>
                  <w:sz w:val="18"/>
                </w:rPr>
                <w:t>http://www.prolto.com</w:t>
              </w:r>
            </w:hyperlink>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10">
              <w:r>
                <w:rPr>
                  <w:rFonts w:ascii="Times New Roman"/>
                  <w:sz w:val="18"/>
                </w:rPr>
                <w:t>ir@prolto.com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2"/>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3192"/>
        <w:gridCol w:w="3184"/>
        <w:gridCol w:w="3199"/>
      </w:tblGrid>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1"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余斌</w:t>
            </w:r>
          </w:p>
        </w:tc>
      </w:tr>
      <w:tr>
        <w:trPr>
          <w:trHeight w:val="157" w:hRule="exact"/>
        </w:trPr>
        <w:tc>
          <w:tcPr>
            <w:tcW w:w="31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8" w:space="0" w:color="D2D2D2"/>
              <w:right w:val="single" w:sz="6" w:space="0" w:color="000000"/>
            </w:tcBorders>
          </w:tcPr>
          <w:p>
            <w:pPr>
              <w:pStyle w:val="TableParagraph"/>
              <w:spacing w:line="290" w:lineRule="auto" w:before="59"/>
              <w:ind w:left="-1" w:right="29"/>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号深圳国际 创新中心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楼</w:t>
            </w:r>
          </w:p>
        </w:tc>
        <w:tc>
          <w:tcPr>
            <w:tcW w:w="3199" w:type="dxa"/>
            <w:vMerge w:val="restart"/>
            <w:tcBorders>
              <w:top w:val="single" w:sz="6" w:space="0" w:color="000000"/>
              <w:left w:val="single" w:sz="6" w:space="0" w:color="000000"/>
              <w:right w:val="single" w:sz="6" w:space="0" w:color="000000"/>
            </w:tcBorders>
          </w:tcPr>
          <w:p>
            <w:pPr>
              <w:pStyle w:val="TableParagraph"/>
              <w:spacing w:line="290" w:lineRule="auto" w:before="59"/>
              <w:ind w:left="30" w:right="29"/>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号深圳国际 创新中心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楼</w:t>
            </w:r>
          </w:p>
        </w:tc>
      </w:tr>
      <w:tr>
        <w:trPr>
          <w:trHeight w:val="405" w:hRule="exact"/>
        </w:trPr>
        <w:tc>
          <w:tcPr>
            <w:tcW w:w="31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4" w:type="dxa"/>
            <w:vMerge/>
            <w:tcBorders>
              <w:left w:val="single" w:sz="18"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158" w:hRule="exact"/>
        </w:trPr>
        <w:tc>
          <w:tcPr>
            <w:tcW w:w="319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8"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6"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0755-82874201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0755-82874201</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 w:right="0"/>
              <w:jc w:val="left"/>
              <w:rPr>
                <w:rFonts w:ascii="Times New Roman" w:hAnsi="Times New Roman" w:cs="Times New Roman" w:eastAsia="Times New Roman" w:hint="default"/>
                <w:sz w:val="18"/>
                <w:szCs w:val="18"/>
              </w:rPr>
            </w:pPr>
            <w:r>
              <w:rPr>
                <w:rFonts w:ascii="Times New Roman"/>
                <w:sz w:val="18"/>
              </w:rPr>
              <w:t>0755-83203373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0755-83203373</w:t>
            </w:r>
          </w:p>
        </w:tc>
      </w:tr>
      <w:tr>
        <w:trPr>
          <w:trHeight w:val="390"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 w:right="0"/>
              <w:jc w:val="left"/>
              <w:rPr>
                <w:rFonts w:ascii="Times New Roman" w:hAnsi="Times New Roman" w:cs="Times New Roman" w:eastAsia="Times New Roman" w:hint="default"/>
                <w:sz w:val="18"/>
                <w:szCs w:val="18"/>
              </w:rPr>
            </w:pPr>
            <w:hyperlink r:id="rId10">
              <w:r>
                <w:rPr>
                  <w:rFonts w:ascii="Times New Roman"/>
                  <w:sz w:val="18"/>
                </w:rPr>
                <w:t>ir@prolto.com</w:t>
              </w:r>
            </w:hyperlink>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10">
              <w:r>
                <w:rPr>
                  <w:rFonts w:ascii="Times New Roman"/>
                  <w:sz w:val="18"/>
                </w:rPr>
                <w:t>ir@prolto.com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390"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4"/>
          <w:szCs w:val="24"/>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99"/>
        <w:gridCol w:w="6383"/>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91440300783905518J</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7"/>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3798"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日，公司收到大股东聚智通的通知，获悉聚智通已办理完成股</w:t>
            </w:r>
          </w:p>
          <w:p>
            <w:pPr>
              <w:pStyle w:val="TableParagraph"/>
              <w:spacing w:line="240" w:lineRule="auto" w:before="96"/>
              <w:ind w:left="14" w:right="0"/>
              <w:jc w:val="both"/>
              <w:rPr>
                <w:rFonts w:ascii="宋体" w:hAnsi="宋体" w:cs="宋体" w:eastAsia="宋体" w:hint="default"/>
                <w:sz w:val="18"/>
                <w:szCs w:val="18"/>
              </w:rPr>
            </w:pPr>
            <w:r>
              <w:rPr>
                <w:rFonts w:ascii="宋体" w:hAnsi="宋体" w:cs="宋体" w:eastAsia="宋体" w:hint="default"/>
                <w:sz w:val="18"/>
                <w:szCs w:val="18"/>
              </w:rPr>
              <w:t>份变更的工商登记手续，绿色金控通过聚智通间接持有普路通股份</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19,743,607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11"/>
              <w:ind w:left="14" w:right="0"/>
              <w:jc w:val="both"/>
              <w:rPr>
                <w:rFonts w:ascii="宋体" w:hAnsi="宋体" w:cs="宋体" w:eastAsia="宋体" w:hint="default"/>
                <w:sz w:val="18"/>
                <w:szCs w:val="18"/>
              </w:rPr>
            </w:pPr>
            <w:r>
              <w:rPr>
                <w:rFonts w:ascii="宋体" w:hAnsi="宋体" w:cs="宋体" w:eastAsia="宋体" w:hint="default"/>
                <w:sz w:val="18"/>
                <w:szCs w:val="18"/>
              </w:rPr>
              <w:t>，占上市公司股份总数的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5.29%</w:t>
            </w:r>
            <w:r>
              <w:rPr>
                <w:rFonts w:ascii="宋体" w:hAnsi="宋体" w:cs="宋体" w:eastAsia="宋体" w:hint="default"/>
                <w:sz w:val="18"/>
                <w:szCs w:val="18"/>
              </w:rPr>
              <w:t>。</w:t>
            </w:r>
          </w:p>
          <w:p>
            <w:pPr>
              <w:pStyle w:val="TableParagraph"/>
              <w:spacing w:line="240" w:lineRule="auto" w:before="96"/>
              <w:ind w:left="1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日，中国证券登记结算有限责任公司深圳分公司出具了《证券</w:t>
            </w:r>
          </w:p>
          <w:p>
            <w:pPr>
              <w:pStyle w:val="TableParagraph"/>
              <w:spacing w:line="331" w:lineRule="auto" w:before="96"/>
              <w:ind w:left="14" w:right="135"/>
              <w:jc w:val="left"/>
              <w:rPr>
                <w:rFonts w:ascii="宋体" w:hAnsi="宋体" w:cs="宋体" w:eastAsia="宋体" w:hint="default"/>
                <w:sz w:val="18"/>
                <w:szCs w:val="18"/>
              </w:rPr>
            </w:pPr>
            <w:r>
              <w:rPr>
                <w:rFonts w:ascii="宋体" w:hAnsi="宋体" w:cs="宋体" w:eastAsia="宋体" w:hint="default"/>
                <w:spacing w:val="-5"/>
                <w:sz w:val="18"/>
                <w:szCs w:val="18"/>
              </w:rPr>
              <w:t>过户确认登记书》，陈书智先生直接持有公司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20,066,931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股股份已全部过户登记 至绿色金控名下，本次股份协议转让所涉及的股份已完成过户登记。</w:t>
            </w:r>
          </w:p>
          <w:p>
            <w:pPr>
              <w:pStyle w:val="TableParagraph"/>
              <w:spacing w:line="312" w:lineRule="auto" w:before="101"/>
              <w:ind w:left="14" w:right="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日，陈书智先生收到绿色金控支付的《股份转让协议》约定的 第二期转让价款，根据《表决权委托协议》约定，陈书智先生委托给绿色金控行 使的 </w:t>
            </w:r>
            <w:r>
              <w:rPr>
                <w:rFonts w:ascii="Times New Roman" w:hAnsi="Times New Roman" w:cs="Times New Roman" w:eastAsia="Times New Roman" w:hint="default"/>
                <w:sz w:val="18"/>
                <w:szCs w:val="18"/>
              </w:rPr>
              <w:t>71,559,567 </w:t>
            </w:r>
            <w:r>
              <w:rPr>
                <w:rFonts w:ascii="宋体" w:hAnsi="宋体" w:cs="宋体" w:eastAsia="宋体" w:hint="default"/>
                <w:spacing w:val="-5"/>
                <w:sz w:val="18"/>
                <w:szCs w:val="18"/>
              </w:rPr>
              <w:t>股股份（占公司股份总数的 </w:t>
            </w:r>
            <w:r>
              <w:rPr>
                <w:rFonts w:ascii="Times New Roman" w:hAnsi="Times New Roman" w:cs="Times New Roman" w:eastAsia="Times New Roman" w:hint="default"/>
                <w:spacing w:val="-4"/>
                <w:sz w:val="18"/>
                <w:szCs w:val="18"/>
              </w:rPr>
              <w:t>19.18%</w:t>
            </w:r>
            <w:r>
              <w:rPr>
                <w:rFonts w:ascii="宋体" w:hAnsi="宋体" w:cs="宋体" w:eastAsia="宋体" w:hint="default"/>
                <w:spacing w:val="-4"/>
                <w:sz w:val="18"/>
                <w:szCs w:val="18"/>
              </w:rPr>
              <w:t>）所对应的全部表决权自</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2019</w:t>
            </w:r>
          </w:p>
          <w:p>
            <w:pPr>
              <w:pStyle w:val="TableParagraph"/>
              <w:spacing w:line="290" w:lineRule="auto"/>
              <w:ind w:left="14" w:right="1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日起生效。公司控股股东变更为绿色金控，实际控制人变更为广州市人 民政府。</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391"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1101</w:t>
            </w: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陈勇、吕红涛</w:t>
            </w:r>
          </w:p>
        </w:tc>
      </w:tr>
    </w:tbl>
    <w:p>
      <w:pPr>
        <w:pStyle w:val="BodyText"/>
        <w:spacing w:line="240" w:lineRule="auto"/>
        <w:ind w:right="0"/>
        <w:jc w:val="left"/>
      </w:pPr>
      <w:r>
        <w:rPr/>
        <w:t>公司聘请的报告期内履行持续督导职责的保荐机构</w:t>
      </w:r>
    </w:p>
    <w:p>
      <w:pPr>
        <w:pStyle w:val="BodyText"/>
        <w:spacing w:line="316"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公司聘请的报告期内履行持续督导职责的财务顾问</w:t>
      </w:r>
    </w:p>
    <w:p>
      <w:pPr>
        <w:pStyle w:val="BodyText"/>
        <w:spacing w:line="240" w:lineRule="auto" w:before="8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公司是否需追溯调整或重述以前年度会计数据</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27"/>
        <w:gridCol w:w="1742"/>
        <w:gridCol w:w="1742"/>
      </w:tblGrid>
      <w:tr>
        <w:trPr>
          <w:trHeight w:val="39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6,512,430,900.39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5,772,278,517.70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12.82%</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5,380,662,496.25</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62,942,762.72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102,112,535.47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-38.36%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68,247,002.58</w:t>
            </w:r>
          </w:p>
        </w:tc>
      </w:tr>
      <w:tr>
        <w:trPr>
          <w:trHeight w:val="7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57,771,958.16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72,878,950.66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-20.73%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63,054,039.81</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-282,988,420.02</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-512,397,054.95</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367,339,508.65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27"/>
        <w:gridCol w:w="1742"/>
        <w:gridCol w:w="1742"/>
      </w:tblGrid>
      <w:tr>
        <w:trPr>
          <w:trHeight w:val="36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0.17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-39.29%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0.18</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0.17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-39.29%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0.18</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4.63%</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7.81%</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-3.18%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5.56%</w:t>
            </w:r>
            <w:r>
              <w:rPr>
                <w:rFonts w:ascii="Times New Roman"/>
                <w:sz w:val="18"/>
              </w:rPr>
            </w:r>
          </w:p>
        </w:tc>
      </w:tr>
      <w:tr>
        <w:trPr>
          <w:trHeight w:val="39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6,513,236,919.20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11,561,165,878.58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-43.66%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13,975,327,766.90</w:t>
            </w:r>
          </w:p>
        </w:tc>
      </w:tr>
      <w:tr>
        <w:trPr>
          <w:trHeight w:val="7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1,381,853,954.18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1,339,194,185.80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3.19%</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1,260,847,960.28</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公司报告期不存在按照国际会计准则与按照中国会计准则披露的财务报告中净利润和净资产差异情况。</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331" w:lineRule="auto" w:before="0"/>
        <w:ind w:right="26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1,567,637,433.47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1,791,194,064.49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1,418,979,134.81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1,734,620,267.62</w:t>
            </w:r>
          </w:p>
        </w:tc>
      </w:tr>
      <w:tr>
        <w:trPr>
          <w:trHeight w:val="39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30,187,784.59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20,062,299.84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10,868,122.98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1,824,555.31</w:t>
            </w:r>
          </w:p>
        </w:tc>
      </w:tr>
      <w:tr>
        <w:trPr>
          <w:trHeight w:val="72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27,543,708.14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18,558,054.64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10,242,183.49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1,428,011.89</w:t>
            </w:r>
          </w:p>
        </w:tc>
      </w:tr>
      <w:tr>
        <w:trPr>
          <w:trHeight w:val="39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-420,792,547.39</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-1,458,946.14</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68,955,994.29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70,307,079.22</w:t>
            </w:r>
          </w:p>
        </w:tc>
      </w:tr>
    </w:tbl>
    <w:p>
      <w:pPr>
        <w:pStyle w:val="BodyText"/>
        <w:spacing w:line="240" w:lineRule="auto"/>
        <w:ind w:right="0"/>
        <w:jc w:val="left"/>
      </w:pPr>
      <w:r>
        <w:rPr/>
        <w:t>上述财务指标或其加总数是否与公司已披露季度报告、半年度报告相关财务指标存在重大差异</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4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年金额</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7"/>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-9,940.07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23,000.00</w:t>
            </w: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102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6,826,426.08</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24,335,799.00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6,565,906.13</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282"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5"/>
              <w:ind w:left="15" w:right="1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-3,199,373.62</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7"/>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32" w:type="dxa"/>
            <w:tcBorders>
              <w:top w:val="single" w:sz="6" w:space="0" w:color="000000"/>
              <w:left w:val="single" w:sz="18" w:space="0" w:color="D2D2D2"/>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9,561,938.79</w:t>
            </w: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82,059.90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-187,743.53</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-529,411.78</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2,000,000.00</w:t>
            </w: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528,367.73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6,499,409.45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843,531.58</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5,170,804.56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29,233,584.81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5,192,962.77</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0"/>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66"/>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0" w:right="1132"/>
        <w:jc w:val="right"/>
      </w:pPr>
      <w:r>
        <w:rPr/>
        <w:pict>
          <v:shape style="position:absolute;margin-left:56.325001pt;margin-top:-36.088295pt;width:480.25pt;height:91.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2133"/>
                    <w:gridCol w:w="5181"/>
                  </w:tblGrid>
                  <w:tr>
                    <w:trPr>
                      <w:trHeight w:val="391"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3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3,145,927.42</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09"/>
                          <w:jc w:val="both"/>
                          <w:rPr>
                            <w:rFonts w:ascii="宋体" w:hAnsi="宋体" w:cs="宋体" w:eastAsia="宋体" w:hint="default"/>
                            <w:sz w:val="18"/>
                            <w:szCs w:val="18"/>
                          </w:rPr>
                        </w:pPr>
                        <w:r>
                          <w:rPr>
                            <w:rFonts w:ascii="宋体" w:hAnsi="宋体" w:cs="宋体" w:eastAsia="宋体" w:hint="default"/>
                            <w:sz w:val="18"/>
                            <w:szCs w:val="18"/>
                          </w:rPr>
                          <w:t>公司在对外支付外币货款时，为降低支付成本、锁定外汇风险， 与金融机构签署一揽子合约，其中包括存款质押合约、贷款合约 远期外汇合约等。因此，本公司将该项目界定为经常性损益。</w:t>
                        </w:r>
                      </w:p>
                    </w:tc>
                  </w:tr>
                  <w:tr>
                    <w:trPr>
                      <w:trHeight w:val="39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15,537,021.42</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2840"/>
        <w:jc w:val="center"/>
        <w:rPr>
          <w:b w:val="0"/>
          <w:bCs w:val="0"/>
        </w:rPr>
      </w:pPr>
      <w:bookmarkStart w:name="第三节公司业务概要" w:id="16"/>
      <w:bookmarkEnd w:id="16"/>
      <w:r>
        <w:rPr>
          <w:b w:val="0"/>
          <w:bCs w:val="0"/>
        </w:rPr>
      </w:r>
      <w:bookmarkStart w:name="_bookmark2" w:id="17"/>
      <w:bookmarkEnd w:id="17"/>
      <w:r>
        <w:rPr>
          <w:b w:val="0"/>
          <w:bCs w:val="0"/>
        </w:rPr>
      </w:r>
      <w:r>
        <w:rPr>
          <w:spacing w:val="5"/>
        </w:rPr>
        <w:t>第三节公司业务概要</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1"/>
        <w:rPr>
          <w:rFonts w:ascii="宋体" w:hAnsi="宋体" w:cs="宋体" w:eastAsia="宋体" w:hint="default"/>
          <w:b/>
          <w:bCs/>
          <w:sz w:val="26"/>
          <w:szCs w:val="26"/>
        </w:rPr>
      </w:pPr>
    </w:p>
    <w:p>
      <w:pPr>
        <w:pStyle w:val="BodyText"/>
        <w:spacing w:line="321" w:lineRule="auto" w:before="0"/>
        <w:ind w:left="501" w:right="1029" w:hanging="361"/>
        <w:jc w:val="left"/>
      </w:pPr>
      <w:r>
        <w:rPr/>
        <w:t>（一）、报告期内公司从事的主要业务： 公司凭借专业的供应链管理服务优势，通过提供智慧供应链服务，基于对所服务行业的上下游链条的深度理解和认知，</w:t>
      </w:r>
    </w:p>
    <w:p>
      <w:pPr>
        <w:pStyle w:val="BodyText"/>
        <w:spacing w:line="316" w:lineRule="auto" w:before="19"/>
        <w:ind w:right="0"/>
        <w:jc w:val="left"/>
      </w:pPr>
      <w:r>
        <w:rPr>
          <w:spacing w:val="-2"/>
        </w:rPr>
        <w:t>创新性地为客户提供包括物流、商流、资金流、信息流和工作流在内的供应链改进方案并协助其执行，为客户提供包括供应</w:t>
      </w:r>
      <w:r>
        <w:rPr>
          <w:spacing w:val="-42"/>
        </w:rPr>
        <w:t> </w:t>
      </w:r>
      <w:r>
        <w:rPr>
          <w:spacing w:val="-42"/>
        </w:rPr>
      </w:r>
      <w:r>
        <w:rPr>
          <w:spacing w:val="-2"/>
        </w:rPr>
        <w:t>链方案设计及优化、采购分销、库存管理、资金结算、通关物流以及信息系统配套支持等诸多环节在内的一体化供应链管理</w:t>
      </w:r>
      <w:r>
        <w:rPr>
          <w:spacing w:val="-42"/>
        </w:rPr>
        <w:t> </w:t>
      </w:r>
      <w:r>
        <w:rPr>
          <w:spacing w:val="-42"/>
        </w:rPr>
      </w:r>
      <w:r>
        <w:rPr/>
        <w:t>服务，帮助客户提高供应链效益，推动供应链创新，为客户创造可持续发展的价值。 报告期内，公司经营状况良好，主营业务未发生重大变化，从事的主要业务情况如下：</w:t>
      </w:r>
    </w:p>
    <w:p>
      <w:pPr>
        <w:pStyle w:val="BodyText"/>
        <w:spacing w:line="302" w:lineRule="auto" w:before="37"/>
        <w:ind w:left="501" w:right="1099" w:hanging="36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ICT</w:t>
      </w:r>
      <w:r>
        <w:rPr/>
        <w:t>领域</w:t>
      </w:r>
      <w:r>
        <w:rPr>
          <w:rFonts w:ascii="Times New Roman" w:hAnsi="Times New Roman" w:cs="Times New Roman" w:eastAsia="Times New Roman" w:hint="default"/>
        </w:rPr>
        <w:t>B2B</w:t>
      </w:r>
      <w:r>
        <w:rPr/>
        <w:t>服务平台</w:t>
      </w:r>
      <w:r>
        <w:rPr>
          <w:spacing w:val="-83"/>
        </w:rPr>
        <w:t> </w:t>
      </w:r>
      <w:r>
        <w:rPr>
          <w:rFonts w:ascii="Times New Roman" w:hAnsi="Times New Roman" w:cs="Times New Roman" w:eastAsia="Times New Roman" w:hint="default"/>
        </w:rPr>
        <w:t>ICT</w:t>
      </w:r>
      <w:r>
        <w:rPr/>
        <w:t>行业在商业流通环节，具有技术迭代快、交易层级透明、易跌价、供应链周转要求高等要求，公司通过深度分析客</w:t>
      </w:r>
    </w:p>
    <w:p>
      <w:pPr>
        <w:pStyle w:val="BodyText"/>
        <w:spacing w:line="220" w:lineRule="exact" w:before="0"/>
        <w:ind w:right="0"/>
        <w:jc w:val="left"/>
      </w:pPr>
      <w:r>
        <w:rPr/>
        <w:t>户需求与行业特点，为客户提供量身定做的供应链管理咨询解决方案并执行。通过执行更先进的供应链方案，可协助客户提</w:t>
      </w:r>
    </w:p>
    <w:p>
      <w:pPr>
        <w:pStyle w:val="BodyText"/>
        <w:spacing w:line="321" w:lineRule="auto" w:before="79"/>
        <w:ind w:right="0"/>
        <w:jc w:val="left"/>
      </w:pPr>
      <w:r>
        <w:rPr>
          <w:spacing w:val="-2"/>
        </w:rPr>
        <w:t>升其商流、资金流、信息流、物流质量，降低成本，提升响应速度，加快客户周转，帮助客户提高供应链效益，推动供应链</w:t>
      </w:r>
      <w:r>
        <w:rPr>
          <w:spacing w:val="-75"/>
        </w:rPr>
        <w:t> </w:t>
      </w:r>
      <w:r>
        <w:rPr>
          <w:spacing w:val="-75"/>
        </w:rPr>
      </w:r>
      <w:r>
        <w:rPr/>
        <w:t>创新，为客户创造效益与可持续发展的竞争力。</w:t>
      </w:r>
    </w:p>
    <w:p>
      <w:pPr>
        <w:pStyle w:val="BodyText"/>
        <w:spacing w:line="290" w:lineRule="auto" w:before="33"/>
        <w:ind w:left="501" w:right="1133" w:hanging="361"/>
        <w:jc w:val="left"/>
      </w:pPr>
      <w:r>
        <w:rPr>
          <w:rFonts w:ascii="Times New Roman" w:hAnsi="Times New Roman" w:cs="Times New Roman" w:eastAsia="Times New Roman" w:hint="default"/>
        </w:rPr>
        <w:t>2</w:t>
      </w:r>
      <w:r>
        <w:rPr/>
        <w:t>、医疗事业服务平台 </w:t>
      </w:r>
      <w:r>
        <w:rPr>
          <w:spacing w:val="-2"/>
        </w:rPr>
        <w:t>在医疗器械进口领域，公司已拥有国家认可的二、三类医疗产品进出口许可及经营许可资质，基于对医疗器械行业的深</w:t>
      </w:r>
    </w:p>
    <w:p>
      <w:pPr>
        <w:pStyle w:val="BodyText"/>
        <w:spacing w:line="309" w:lineRule="auto" w:before="42"/>
        <w:ind w:right="1098"/>
        <w:jc w:val="both"/>
      </w:pPr>
      <w:r>
        <w:rPr>
          <w:spacing w:val="-1"/>
        </w:rPr>
        <w:t>刻理解和精准营销，响应国家新医改包括</w:t>
      </w:r>
      <w:r>
        <w:rPr>
          <w:rFonts w:ascii="Times New Roman" w:hAnsi="Times New Roman" w:cs="Times New Roman" w:eastAsia="Times New Roman" w:hint="default"/>
          <w:spacing w:val="-1"/>
        </w:rPr>
        <w:t>“</w:t>
      </w:r>
      <w:r>
        <w:rPr>
          <w:spacing w:val="-1"/>
        </w:rPr>
        <w:t>二票制</w:t>
      </w:r>
      <w:r>
        <w:rPr>
          <w:rFonts w:ascii="Times New Roman" w:hAnsi="Times New Roman" w:cs="Times New Roman" w:eastAsia="Times New Roman" w:hint="default"/>
          <w:spacing w:val="-1"/>
        </w:rPr>
        <w:t>”</w:t>
      </w:r>
      <w:r>
        <w:rPr>
          <w:spacing w:val="-1"/>
        </w:rPr>
        <w:t>等政策的实施，公司与国际知名医疗器械厂商建立了战略合作关系，以信</w:t>
      </w:r>
      <w:r>
        <w:rPr>
          <w:spacing w:val="-70"/>
        </w:rPr>
        <w:t> </w:t>
      </w:r>
      <w:r>
        <w:rPr>
          <w:spacing w:val="-70"/>
        </w:rPr>
      </w:r>
      <w:r>
        <w:rPr>
          <w:spacing w:val="-2"/>
        </w:rPr>
        <w:t>誉度高且行业内实力较高的国内医院或医疗机构为主要客户，协助客户以更短的周期、更低的成本、更精简的渠道采购优质</w:t>
      </w:r>
      <w:r>
        <w:rPr>
          <w:spacing w:val="-75"/>
        </w:rPr>
        <w:t> </w:t>
      </w:r>
      <w:r>
        <w:rPr>
          <w:spacing w:val="-75"/>
        </w:rPr>
      </w:r>
      <w:r>
        <w:rPr>
          <w:spacing w:val="-2"/>
        </w:rPr>
        <w:t>器械。同时也协助国内外优秀的厂商更好的拓展国内市场，为其提供更专业、更优质、更全面、更完善的服务，以量身定制</w:t>
      </w:r>
      <w:r>
        <w:rPr>
          <w:spacing w:val="-72"/>
        </w:rPr>
        <w:t> </w:t>
      </w:r>
      <w:r>
        <w:rPr>
          <w:spacing w:val="-72"/>
        </w:rPr>
      </w:r>
      <w:r>
        <w:rPr/>
        <w:t>的服务方案，在不断满足其需求的过程中完善业务平台，实现共同发展以及供应链条上多角度全方位的整合。</w:t>
      </w:r>
    </w:p>
    <w:p>
      <w:pPr>
        <w:pStyle w:val="BodyText"/>
        <w:spacing w:line="273" w:lineRule="auto" w:before="43"/>
        <w:ind w:left="501" w:right="1133" w:hanging="361"/>
        <w:jc w:val="left"/>
      </w:pPr>
      <w:r>
        <w:rPr>
          <w:rFonts w:ascii="Times New Roman" w:hAnsi="Times New Roman" w:cs="Times New Roman" w:eastAsia="Times New Roman" w:hint="default"/>
        </w:rPr>
        <w:t>3</w:t>
      </w:r>
      <w:r>
        <w:rPr/>
        <w:t>、融资租赁服务平台 </w:t>
      </w:r>
      <w:r>
        <w:rPr>
          <w:spacing w:val="-2"/>
        </w:rPr>
        <w:t>公司凭借多年在医疗器械行业供应链管理积累的经验及优势，延伸业务链条，战略布局医疗器械融资租赁领域，将融资</w:t>
      </w:r>
    </w:p>
    <w:p>
      <w:pPr>
        <w:pStyle w:val="BodyText"/>
        <w:spacing w:line="328" w:lineRule="auto" w:before="54"/>
        <w:ind w:right="1091"/>
        <w:jc w:val="left"/>
      </w:pPr>
      <w:r>
        <w:rPr>
          <w:spacing w:val="-2"/>
        </w:rPr>
        <w:t>租赁与现有主营业务相结合，帮助医疗客户缓解高额设备采购带来的资金集中支付压力，有利于医疗客户合理配置其资金资</w:t>
      </w:r>
      <w:r>
        <w:rPr>
          <w:spacing w:val="-69"/>
        </w:rPr>
        <w:t> </w:t>
      </w:r>
      <w:r>
        <w:rPr>
          <w:spacing w:val="-69"/>
        </w:rPr>
      </w:r>
      <w:r>
        <w:rPr/>
        <w:t>源。且融资租赁服务平台可与医疗事业服务平台相互促进，共享资源，有助于提高公司盈利能力和竞争优势。 </w:t>
      </w:r>
      <w:r>
        <w:rPr>
          <w:rFonts w:ascii="Times New Roman" w:hAnsi="Times New Roman" w:cs="Times New Roman" w:eastAsia="Times New Roman" w:hint="default"/>
        </w:rPr>
        <w:t>4</w:t>
      </w:r>
      <w:r>
        <w:rPr/>
        <w:t>、跨境电商服务平台</w:t>
      </w:r>
    </w:p>
    <w:p>
      <w:pPr>
        <w:pStyle w:val="BodyText"/>
        <w:spacing w:line="213" w:lineRule="exact" w:before="0"/>
        <w:ind w:right="0" w:firstLine="360"/>
        <w:jc w:val="both"/>
      </w:pPr>
      <w:r>
        <w:rPr/>
        <w:t>公司跨境电商服务主要包括跨境电商进口业务和跨境电商出口业务，公司凭借在进出口方面的专业优势，协同跨境电商</w:t>
      </w:r>
    </w:p>
    <w:p>
      <w:pPr>
        <w:pStyle w:val="BodyText"/>
        <w:spacing w:line="321" w:lineRule="auto" w:before="64"/>
        <w:ind w:right="0"/>
        <w:jc w:val="left"/>
      </w:pPr>
      <w:r>
        <w:rPr>
          <w:spacing w:val="-2"/>
        </w:rPr>
        <w:t>平台、电商卖家，整合优化电商行业供应链资源，为客户提供基于跨境的供应链管理服务，包括供应链方案设计，进出口通</w:t>
      </w:r>
      <w:r>
        <w:rPr>
          <w:spacing w:val="-57"/>
        </w:rPr>
        <w:t> </w:t>
      </w:r>
      <w:r>
        <w:rPr>
          <w:spacing w:val="-57"/>
        </w:rPr>
      </w:r>
      <w:r>
        <w:rPr/>
        <w:t>关，海外采购分销，保税区仓储、集运、配送，信息技术支持等现代物流服务。</w:t>
      </w:r>
    </w:p>
    <w:p>
      <w:pPr>
        <w:pStyle w:val="BodyText"/>
        <w:spacing w:line="240" w:lineRule="auto" w:before="33"/>
        <w:ind w:right="0"/>
        <w:jc w:val="left"/>
      </w:pPr>
      <w:r>
        <w:rPr>
          <w:rFonts w:ascii="Times New Roman" w:hAnsi="Times New Roman" w:cs="Times New Roman" w:eastAsia="Times New Roman" w:hint="default"/>
        </w:rPr>
        <w:t>5</w:t>
      </w:r>
      <w:r>
        <w:rPr/>
        <w:t>、全球交付平台</w:t>
      </w:r>
    </w:p>
    <w:p>
      <w:pPr>
        <w:pStyle w:val="BodyText"/>
        <w:spacing w:line="304" w:lineRule="auto" w:before="66"/>
        <w:ind w:right="1111" w:firstLine="360"/>
        <w:jc w:val="both"/>
      </w:pPr>
      <w:r>
        <w:rPr>
          <w:spacing w:val="-1"/>
        </w:rPr>
        <w:t>全球交付平台是公司响应国家</w:t>
      </w:r>
      <w:r>
        <w:rPr>
          <w:rFonts w:ascii="Times New Roman" w:hAnsi="Times New Roman" w:cs="Times New Roman" w:eastAsia="Times New Roman" w:hint="default"/>
          <w:spacing w:val="-1"/>
        </w:rPr>
        <w:t>“</w:t>
      </w:r>
      <w:r>
        <w:rPr>
          <w:spacing w:val="-1"/>
        </w:rPr>
        <w:t>一带一路</w:t>
      </w:r>
      <w:r>
        <w:rPr>
          <w:rFonts w:ascii="Times New Roman" w:hAnsi="Times New Roman" w:cs="Times New Roman" w:eastAsia="Times New Roman" w:hint="default"/>
          <w:spacing w:val="-1"/>
        </w:rPr>
        <w:t>”</w:t>
      </w:r>
      <w:r>
        <w:rPr>
          <w:spacing w:val="-1"/>
        </w:rPr>
        <w:t>战略，以全球化视野助力企业</w:t>
      </w:r>
      <w:r>
        <w:rPr>
          <w:rFonts w:ascii="Times New Roman" w:hAnsi="Times New Roman" w:cs="Times New Roman" w:eastAsia="Times New Roman" w:hint="default"/>
          <w:spacing w:val="-1"/>
        </w:rPr>
        <w:t>“</w:t>
      </w:r>
      <w:r>
        <w:rPr>
          <w:spacing w:val="-1"/>
        </w:rPr>
        <w:t>引进来</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走出去</w:t>
      </w:r>
      <w:r>
        <w:rPr>
          <w:rFonts w:ascii="Times New Roman" w:hAnsi="Times New Roman" w:cs="Times New Roman" w:eastAsia="Times New Roman" w:hint="default"/>
          <w:spacing w:val="-1"/>
        </w:rPr>
        <w:t>”</w:t>
      </w:r>
      <w:r>
        <w:rPr>
          <w:spacing w:val="-1"/>
        </w:rPr>
        <w:t>，为客户提供供应链管理咨</w:t>
      </w:r>
      <w:r>
        <w:rPr/>
        <w:t> </w:t>
      </w:r>
      <w:r>
        <w:rPr>
          <w:spacing w:val="-2"/>
        </w:rPr>
        <w:t>询和外包执行服务中的国际化延展。通过建立全球交付模式，能够让客户接触到全球范围内的优秀资源，并实现资源的可持</w:t>
      </w:r>
      <w:r>
        <w:rPr>
          <w:spacing w:val="-75"/>
        </w:rPr>
        <w:t> </w:t>
      </w:r>
      <w:r>
        <w:rPr>
          <w:spacing w:val="-75"/>
        </w:rPr>
      </w:r>
      <w:r>
        <w:rPr>
          <w:spacing w:val="-2"/>
        </w:rPr>
        <w:t>续利用。通过未来全球交付中心的网点建设，整合资源，提供境内、跨境、境外的全通道供应链管理综合服务，未来将结合</w:t>
      </w:r>
      <w:r>
        <w:rPr>
          <w:spacing w:val="-72"/>
        </w:rPr>
        <w:t> </w:t>
      </w:r>
      <w:r>
        <w:rPr>
          <w:spacing w:val="-72"/>
        </w:rPr>
      </w:r>
      <w:r>
        <w:rPr/>
        <w:t>大数据和区块链技术，打通全球商品流通环节数据的交换，为全球供应链提供智能化的交付服务。</w:t>
      </w:r>
    </w:p>
    <w:p>
      <w:pPr>
        <w:pStyle w:val="BodyText"/>
        <w:spacing w:line="336" w:lineRule="auto" w:before="31"/>
        <w:ind w:right="5779"/>
        <w:jc w:val="left"/>
      </w:pPr>
      <w:r>
        <w:rPr/>
        <w:t>（二）、报告期内公司所处行业情况： 根据上市公司行业分类指引，公司所处行业为</w:t>
      </w:r>
      <w:r>
        <w:rPr>
          <w:rFonts w:ascii="Times New Roman" w:hAnsi="Times New Roman" w:cs="Times New Roman" w:eastAsia="Times New Roman" w:hint="default"/>
        </w:rPr>
        <w:t>L72</w:t>
      </w:r>
      <w:r>
        <w:rPr/>
        <w:t>商务服务业。</w:t>
      </w:r>
    </w:p>
    <w:p>
      <w:pPr>
        <w:pStyle w:val="BodyText"/>
        <w:spacing w:line="207" w:lineRule="exact" w:before="0"/>
        <w:ind w:right="0" w:firstLine="360"/>
        <w:jc w:val="both"/>
      </w:pPr>
      <w:r>
        <w:rPr/>
        <w:t>随着全球经济一体化、市场国际化和电子商务的发展，市场竞争已从企业与企业间的竞争演进为以核心企业为中心的供</w:t>
      </w:r>
    </w:p>
    <w:p>
      <w:pPr>
        <w:pStyle w:val="BodyText"/>
        <w:spacing w:line="316" w:lineRule="auto" w:before="65"/>
        <w:ind w:right="1098"/>
        <w:jc w:val="both"/>
      </w:pPr>
      <w:r>
        <w:rPr>
          <w:spacing w:val="-2"/>
        </w:rPr>
        <w:t>应链之间的竞争，谁更充分利用、发挥供应链管理的作用，谁将在激烈的市场竞争中抢得发展先机。目前，随着互联网技术</w:t>
      </w:r>
      <w:r>
        <w:rPr>
          <w:spacing w:val="-57"/>
        </w:rPr>
        <w:t> </w:t>
      </w:r>
      <w:r>
        <w:rPr>
          <w:spacing w:val="-57"/>
        </w:rPr>
      </w:r>
      <w:r>
        <w:rPr>
          <w:spacing w:val="-2"/>
        </w:rPr>
        <w:t>的广泛应用，信息技术的运用更加充分，数据交互的效率显著提升，供应链服务的覆盖面进一步增加，这些因素为供应链服</w:t>
      </w:r>
      <w:r>
        <w:rPr>
          <w:spacing w:val="-42"/>
        </w:rPr>
        <w:t> </w:t>
      </w:r>
      <w:r>
        <w:rPr>
          <w:spacing w:val="-42"/>
        </w:rPr>
      </w:r>
      <w:r>
        <w:rPr>
          <w:spacing w:val="-1"/>
        </w:rPr>
        <w:t>务企业带来了发展机会，同时也对供应链企业的升级发展带来了压力。</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月，国务院办公厅发布《国务院办公厅关于</w:t>
      </w:r>
      <w:r>
        <w:rPr>
          <w:spacing w:val="-87"/>
        </w:rPr>
        <w:t> </w:t>
      </w:r>
      <w:r>
        <w:rPr>
          <w:spacing w:val="-87"/>
        </w:rPr>
      </w:r>
      <w:r>
        <w:rPr>
          <w:spacing w:val="-2"/>
        </w:rPr>
        <w:t>积极推进供应链创新与应用的指导意见》（国办发〔</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84</w:t>
      </w:r>
      <w:r>
        <w:rPr>
          <w:spacing w:val="-2"/>
        </w:rPr>
        <w:t>号），首次从国家层面针对供应链服务进行政策指导，由国家</w:t>
      </w:r>
      <w:r>
        <w:rPr>
          <w:spacing w:val="-60"/>
        </w:rPr>
        <w:t> </w:t>
      </w:r>
      <w:r>
        <w:rPr>
          <w:spacing w:val="-60"/>
        </w:rPr>
      </w:r>
      <w:r>
        <w:rPr>
          <w:spacing w:val="-8"/>
          <w:w w:val="99"/>
        </w:rPr>
        <w:t>统计局起草，国家质量监督检验检疫总局、国家标准化管理委员会批准发布《国民经济行业分类》国家标准（</w:t>
      </w:r>
      <w:r>
        <w:rPr>
          <w:rFonts w:ascii="Times New Roman" w:hAnsi="Times New Roman" w:cs="Times New Roman" w:eastAsia="Times New Roman" w:hint="default"/>
          <w:spacing w:val="-8"/>
          <w:w w:val="99"/>
        </w:rPr>
        <w:t>GB/T</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spacing w:val="-17"/>
        </w:rPr>
        <w:t>4754-2017</w:t>
      </w:r>
      <w:r>
        <w:rPr>
          <w:spacing w:val="-17"/>
        </w:rPr>
        <w:t>），</w:t>
      </w:r>
      <w:r>
        <w:rPr/>
      </w:r>
    </w:p>
    <w:p>
      <w:pPr>
        <w:spacing w:after="0" w:line="316"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0" w:lineRule="auto"/>
        <w:ind w:right="1106"/>
        <w:jc w:val="both"/>
      </w:pPr>
      <w:r>
        <w:rPr/>
        <w:t>明确了供应链管理服务的定义、分类标准等，为后续产业支持政策的制定奠定了良好的基础。</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月，商务部市场体系</w:t>
      </w:r>
      <w:r>
        <w:rPr>
          <w:spacing w:val="-82"/>
        </w:rPr>
        <w:t> </w:t>
      </w:r>
      <w:r>
        <w:rPr>
          <w:spacing w:val="-2"/>
        </w:rPr>
        <w:t>建设司发布《商务部等</w:t>
      </w:r>
      <w:r>
        <w:rPr>
          <w:rFonts w:ascii="Times New Roman" w:hAnsi="Times New Roman" w:cs="Times New Roman" w:eastAsia="Times New Roman" w:hint="default"/>
          <w:spacing w:val="-2"/>
        </w:rPr>
        <w:t>8</w:t>
      </w:r>
      <w:r>
        <w:rPr>
          <w:spacing w:val="-2"/>
        </w:rPr>
        <w:t>部门关于开展供应链创新与应用试点的通知》（商建函〔</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142</w:t>
      </w:r>
      <w:r>
        <w:rPr>
          <w:spacing w:val="-2"/>
        </w:rPr>
        <w:t>号），进一步加快国家对供应链</w:t>
      </w:r>
      <w:r>
        <w:rPr>
          <w:spacing w:val="-59"/>
        </w:rPr>
        <w:t> </w:t>
      </w:r>
      <w:r>
        <w:rPr>
          <w:spacing w:val="-59"/>
        </w:rPr>
      </w:r>
      <w:r>
        <w:rPr>
          <w:spacing w:val="-2"/>
        </w:rPr>
        <w:t>服务行业的步伐。综上，供应链服务行业具有良好的市场基础，在国家政策的大力支持下，行业进行产业升级的压力和机会</w:t>
      </w:r>
      <w:r>
        <w:rPr>
          <w:spacing w:val="-42"/>
        </w:rPr>
        <w:t> </w:t>
      </w:r>
      <w:r>
        <w:rPr>
          <w:spacing w:val="-42"/>
        </w:rPr>
      </w:r>
      <w:r>
        <w:rPr/>
        <w:t>并存，机会大于压力。</w:t>
      </w:r>
    </w:p>
    <w:p>
      <w:pPr>
        <w:pStyle w:val="BodyText"/>
        <w:spacing w:line="297" w:lineRule="auto" w:before="49"/>
        <w:ind w:right="1046" w:firstLine="360"/>
        <w:jc w:val="both"/>
      </w:pPr>
      <w:r>
        <w:rPr/>
        <w:t>公司在国内供应链管理服务行业中具有领先地位，在</w:t>
      </w:r>
      <w:r>
        <w:rPr>
          <w:rFonts w:ascii="Times New Roman" w:hAnsi="Times New Roman" w:cs="Times New Roman" w:eastAsia="Times New Roman" w:hint="default"/>
        </w:rPr>
        <w:t>ICT</w:t>
      </w:r>
      <w:r>
        <w:rPr/>
        <w:t>行业与医疗器械行业供应链管理服务方面具有丰富的经验。随 着公司在延展行业领域的深耕细作，已逐渐立足于融资租赁及跨境电商行业。现已包括传统</w:t>
      </w:r>
      <w:r>
        <w:rPr>
          <w:rFonts w:ascii="Times New Roman" w:hAnsi="Times New Roman" w:cs="Times New Roman" w:eastAsia="Times New Roman" w:hint="default"/>
        </w:rPr>
        <w:t>ICT</w:t>
      </w:r>
      <w:r>
        <w:rPr/>
        <w:t>与医疗</w:t>
      </w:r>
      <w:r>
        <w:rPr>
          <w:rFonts w:ascii="Times New Roman" w:hAnsi="Times New Roman" w:cs="Times New Roman" w:eastAsia="Times New Roman" w:hint="default"/>
        </w:rPr>
        <w:t>B2B</w:t>
      </w:r>
      <w:r>
        <w:rPr/>
        <w:t>服务、融资租赁</w:t>
      </w:r>
      <w:r>
        <w:rPr>
          <w:spacing w:val="-74"/>
        </w:rPr>
        <w:t> </w:t>
      </w:r>
      <w:r>
        <w:rPr/>
        <w:t>服务、跨境电商服务、全球交付平台等业务板块，并实现阶段式跨越发展，现已成为境内供应链管理服务行业的领先企业。</w:t>
      </w:r>
    </w:p>
    <w:p>
      <w:pPr>
        <w:spacing w:line="240" w:lineRule="auto" w:before="9"/>
        <w:rPr>
          <w:rFonts w:ascii="宋体" w:hAnsi="宋体" w:cs="宋体" w:eastAsia="宋体" w:hint="default"/>
          <w:sz w:val="22"/>
          <w:szCs w:val="22"/>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049"/>
        <w:gridCol w:w="6533"/>
      </w:tblGrid>
      <w:tr>
        <w:trPr>
          <w:trHeight w:val="766"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line="240" w:lineRule="auto" w:before="11"/>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3"/>
        <w:rPr>
          <w:rFonts w:ascii="宋体" w:hAnsi="宋体" w:cs="宋体" w:eastAsia="宋体" w:hint="default"/>
          <w:b/>
          <w:bCs/>
          <w:sz w:val="27"/>
          <w:szCs w:val="27"/>
        </w:rPr>
      </w:pPr>
    </w:p>
    <w:p>
      <w:pPr>
        <w:pStyle w:val="BodyText"/>
        <w:spacing w:line="273" w:lineRule="auto" w:before="0"/>
        <w:ind w:left="501" w:right="0" w:hanging="361"/>
        <w:jc w:val="left"/>
      </w:pPr>
      <w:r>
        <w:rPr>
          <w:rFonts w:ascii="Times New Roman" w:hAnsi="Times New Roman" w:cs="Times New Roman" w:eastAsia="Times New Roman" w:hint="default"/>
        </w:rPr>
        <w:t>1</w:t>
      </w:r>
      <w:r>
        <w:rPr/>
        <w:t>、优秀的供应链管理咨询方案与敏捷的供应链操作能力</w:t>
      </w:r>
      <w:r>
        <w:rPr>
          <w:spacing w:val="-85"/>
        </w:rPr>
        <w:t> </w:t>
      </w:r>
      <w:r>
        <w:rPr>
          <w:spacing w:val="-85"/>
        </w:rPr>
      </w:r>
      <w:r>
        <w:rPr>
          <w:spacing w:val="-2"/>
        </w:rPr>
        <w:t>公司供应链管理所服务的行业较广，天花板较高。为满足客户的需求，公司在为客户提供供应链管理服务时，会对客户</w:t>
      </w:r>
    </w:p>
    <w:p>
      <w:pPr>
        <w:pStyle w:val="BodyText"/>
        <w:spacing w:line="314" w:lineRule="auto" w:before="55"/>
        <w:ind w:right="0"/>
        <w:jc w:val="left"/>
      </w:pPr>
      <w:r>
        <w:rPr>
          <w:spacing w:val="-4"/>
        </w:rPr>
        <w:t>及客户供应商、代工厂等上下游整个业务链条的每个单元的流程、运营等程序充分了解，对其供应链进行诊断、优化并执行，</w:t>
      </w:r>
      <w:r>
        <w:rPr>
          <w:spacing w:val="-50"/>
        </w:rPr>
        <w:t> </w:t>
      </w:r>
      <w:r>
        <w:rPr>
          <w:spacing w:val="-50"/>
        </w:rPr>
      </w:r>
      <w:r>
        <w:rPr>
          <w:spacing w:val="-2"/>
        </w:rPr>
        <w:t>帮助其提高效率，降低成本。公司凭借优秀的供应链管理咨询方案与敏捷的供应链操作能力帮助如</w:t>
      </w:r>
      <w:r>
        <w:rPr>
          <w:rFonts w:ascii="Times New Roman" w:hAnsi="Times New Roman" w:cs="Times New Roman" w:eastAsia="Times New Roman" w:hint="default"/>
          <w:spacing w:val="-2"/>
        </w:rPr>
        <w:t>ICT</w:t>
      </w:r>
      <w:r>
        <w:rPr>
          <w:spacing w:val="-2"/>
        </w:rPr>
        <w:t>行业客户尽量实现</w:t>
      </w:r>
      <w:r>
        <w:rPr>
          <w:rFonts w:ascii="Times New Roman" w:hAnsi="Times New Roman" w:cs="Times New Roman" w:eastAsia="Times New Roman" w:hint="default"/>
          <w:spacing w:val="-2"/>
        </w:rPr>
        <w:t>“</w:t>
      </w:r>
      <w:r>
        <w:rPr>
          <w:spacing w:val="-2"/>
        </w:rPr>
        <w:t>零</w:t>
      </w:r>
      <w:r>
        <w:rPr>
          <w:spacing w:val="-38"/>
        </w:rPr>
        <w:t> </w:t>
      </w:r>
      <w:r>
        <w:rPr/>
        <w:t>库存</w:t>
      </w:r>
      <w:r>
        <w:rPr>
          <w:rFonts w:ascii="Times New Roman" w:hAnsi="Times New Roman" w:cs="Times New Roman" w:eastAsia="Times New Roman" w:hint="default"/>
        </w:rPr>
        <w:t>”</w:t>
      </w:r>
      <w:r>
        <w:rPr/>
        <w:t>管理和</w:t>
      </w:r>
      <w:r>
        <w:rPr>
          <w:rFonts w:ascii="Times New Roman" w:hAnsi="Times New Roman" w:cs="Times New Roman" w:eastAsia="Times New Roman" w:hint="default"/>
        </w:rPr>
        <w:t>“</w:t>
      </w:r>
      <w:r>
        <w:rPr/>
        <w:t>准时制</w:t>
      </w:r>
      <w:r>
        <w:rPr>
          <w:rFonts w:ascii="Times New Roman" w:hAnsi="Times New Roman" w:cs="Times New Roman" w:eastAsia="Times New Roman" w:hint="default"/>
        </w:rPr>
        <w:t>”</w:t>
      </w:r>
      <w:r>
        <w:rPr/>
        <w:t>生产的需求，以及为医疗器械客户提供一体化、扁平化、专业化的供应链管理服务。 </w:t>
      </w:r>
      <w:r>
        <w:rPr>
          <w:rFonts w:ascii="Times New Roman" w:hAnsi="Times New Roman" w:cs="Times New Roman" w:eastAsia="Times New Roman" w:hint="default"/>
        </w:rPr>
        <w:t>2</w:t>
      </w:r>
      <w:r>
        <w:rPr/>
        <w:t>、标准化与订制化相结合的服务方式</w:t>
      </w:r>
    </w:p>
    <w:p>
      <w:pPr>
        <w:pStyle w:val="BodyText"/>
        <w:spacing w:line="210" w:lineRule="exact" w:before="0"/>
        <w:ind w:right="0" w:firstLine="360"/>
        <w:jc w:val="left"/>
      </w:pPr>
      <w:r>
        <w:rPr/>
        <w:t>公司通过标准化与订制化相结合的服务模式，灵活应对各个行业不同的客户需求。目前公司建立了一套标准化的服务流</w:t>
      </w:r>
    </w:p>
    <w:p>
      <w:pPr>
        <w:pStyle w:val="BodyText"/>
        <w:spacing w:line="321" w:lineRule="auto" w:before="79"/>
        <w:ind w:right="1029"/>
        <w:jc w:val="left"/>
      </w:pPr>
      <w:r>
        <w:rPr>
          <w:spacing w:val="-2"/>
        </w:rPr>
        <w:t>程和组织部门架构来满足对客户的个性化定制服务，在不同行业有严格的业务执行流程。公司在供应链管理服务方面拥有丰</w:t>
      </w:r>
      <w:r>
        <w:rPr>
          <w:spacing w:val="-72"/>
        </w:rPr>
        <w:t> </w:t>
      </w:r>
      <w:r>
        <w:rPr>
          <w:spacing w:val="-72"/>
        </w:rPr>
      </w:r>
      <w:r>
        <w:rPr>
          <w:spacing w:val="-2"/>
        </w:rPr>
        <w:t>富的运营经验和专业的服务能力，在长期的业务发展过程中积累了大量的客户和供应商等资源，深入了解客户需求，能够为</w:t>
      </w:r>
      <w:r>
        <w:rPr>
          <w:spacing w:val="-75"/>
        </w:rPr>
        <w:t> </w:t>
      </w:r>
      <w:r>
        <w:rPr>
          <w:spacing w:val="-75"/>
        </w:rPr>
      </w:r>
      <w:r>
        <w:rPr>
          <w:spacing w:val="-4"/>
        </w:rPr>
        <w:t>客户提供结合其生产前端、销售后端等多方面的供应链咨询方案，解决客户运营发展中的痛点、难点，直到满足客户的要求，</w:t>
      </w:r>
      <w:r>
        <w:rPr>
          <w:spacing w:val="-50"/>
        </w:rPr>
        <w:t> </w:t>
      </w:r>
      <w:r>
        <w:rPr>
          <w:spacing w:val="-50"/>
        </w:rPr>
      </w:r>
      <w:r>
        <w:rPr/>
        <w:t>为客户最大限度降低成本，提高效率。同时，公司能与客户共同成长，实现客户与公司的双赢。 </w:t>
      </w:r>
      <w:r>
        <w:rPr>
          <w:rFonts w:ascii="Times New Roman" w:hAnsi="Times New Roman" w:cs="Times New Roman" w:eastAsia="Times New Roman" w:hint="default"/>
        </w:rPr>
        <w:t>3</w:t>
      </w:r>
      <w:r>
        <w:rPr/>
        <w:t>、强大的供应链研发协同管理系统支持</w:t>
      </w:r>
    </w:p>
    <w:p>
      <w:pPr>
        <w:pStyle w:val="BodyText"/>
        <w:spacing w:line="312" w:lineRule="auto" w:before="0"/>
        <w:ind w:right="1105" w:firstLine="360"/>
        <w:jc w:val="both"/>
      </w:pPr>
      <w:r>
        <w:rPr>
          <w:spacing w:val="-1"/>
        </w:rPr>
        <w:t>公司供应链管理服务业务系统基于金蝶</w:t>
      </w:r>
      <w:r>
        <w:rPr>
          <w:rFonts w:ascii="Times New Roman" w:hAnsi="Times New Roman" w:cs="Times New Roman" w:eastAsia="Times New Roman" w:hint="default"/>
          <w:spacing w:val="-1"/>
        </w:rPr>
        <w:t>EAS</w:t>
      </w:r>
      <w:r>
        <w:rPr>
          <w:spacing w:val="-1"/>
        </w:rPr>
        <w:t>平台，进行自主知识产权的二次开发，并基于</w:t>
      </w:r>
      <w:r>
        <w:rPr>
          <w:rFonts w:ascii="Times New Roman" w:hAnsi="Times New Roman" w:cs="Times New Roman" w:eastAsia="Times New Roman" w:hint="default"/>
          <w:spacing w:val="-1"/>
        </w:rPr>
        <w:t>“</w:t>
      </w:r>
      <w:r>
        <w:rPr>
          <w:spacing w:val="-1"/>
        </w:rPr>
        <w:t>微服务</w:t>
      </w:r>
      <w:r>
        <w:rPr>
          <w:rFonts w:ascii="Times New Roman" w:hAnsi="Times New Roman" w:cs="Times New Roman" w:eastAsia="Times New Roman" w:hint="default"/>
          <w:spacing w:val="-1"/>
        </w:rPr>
        <w:t>”</w:t>
      </w:r>
      <w:r>
        <w:rPr>
          <w:spacing w:val="-1"/>
        </w:rPr>
        <w:t>架构，自主研发辅助</w:t>
      </w:r>
      <w:r>
        <w:rPr/>
        <w:t> </w:t>
      </w:r>
      <w:r>
        <w:rPr>
          <w:spacing w:val="-2"/>
        </w:rPr>
        <w:t>业务运作信息平台；通过消息流、审批流等，保证了供应链管理服务业务运作的高效协同；通过业务总线、微服务、接口总</w:t>
      </w:r>
      <w:r>
        <w:rPr>
          <w:spacing w:val="-72"/>
        </w:rPr>
        <w:t> </w:t>
      </w:r>
      <w:r>
        <w:rPr>
          <w:spacing w:val="-72"/>
        </w:rPr>
      </w:r>
      <w:r>
        <w:rPr/>
        <w:t>线以及</w:t>
      </w:r>
      <w:r>
        <w:rPr>
          <w:rFonts w:ascii="Times New Roman" w:hAnsi="Times New Roman" w:cs="Times New Roman" w:eastAsia="Times New Roman" w:hint="default"/>
        </w:rPr>
        <w:t>BOTP</w:t>
      </w:r>
      <w:r>
        <w:rPr/>
        <w:t>等核心技术，能根据客户供应链管理服务需求，快速构建供应链管理信息服务，同时，系统数据一次录入后，</w:t>
      </w:r>
    </w:p>
    <w:p>
      <w:pPr>
        <w:pStyle w:val="BodyText"/>
        <w:spacing w:line="314" w:lineRule="auto" w:before="0"/>
        <w:ind w:right="0"/>
        <w:jc w:val="left"/>
      </w:pPr>
      <w:r>
        <w:rPr/>
        <w:t>根据业务流自动流转，保证数据的一致性和完整性，提高数据使用价值；由于信息系统的扁平化设计，公司决策层能够对市 </w:t>
      </w:r>
      <w:r>
        <w:rPr>
          <w:spacing w:val="-2"/>
        </w:rPr>
        <w:t>场进行更为准确的分析，且公司针对融资租赁、跨境电商及全球交付等也研发了相应的信息平台，从而保证公司能够根据市</w:t>
      </w:r>
      <w:r>
        <w:rPr>
          <w:spacing w:val="-66"/>
        </w:rPr>
        <w:t> </w:t>
      </w:r>
      <w:r>
        <w:rPr>
          <w:spacing w:val="-66"/>
        </w:rPr>
      </w:r>
      <w:r>
        <w:rPr/>
        <w:t>场的变化调整公司战略，更好的服务于客户。公司计划引入</w:t>
      </w:r>
      <w:r>
        <w:rPr>
          <w:rFonts w:ascii="Times New Roman" w:hAnsi="Times New Roman" w:cs="Times New Roman" w:eastAsia="Times New Roman" w:hint="default"/>
        </w:rPr>
        <w:t>OCR</w:t>
      </w:r>
      <w:r>
        <w:rPr/>
        <w:t>、</w:t>
      </w:r>
      <w:r>
        <w:rPr>
          <w:rFonts w:ascii="Times New Roman" w:hAnsi="Times New Roman" w:cs="Times New Roman" w:eastAsia="Times New Roman" w:hint="default"/>
        </w:rPr>
        <w:t>RPA</w:t>
      </w:r>
      <w:r>
        <w:rPr/>
        <w:t>、</w:t>
      </w:r>
      <w:r>
        <w:rPr>
          <w:rFonts w:ascii="Times New Roman" w:hAnsi="Times New Roman" w:cs="Times New Roman" w:eastAsia="Times New Roman" w:hint="default"/>
        </w:rPr>
        <w:t>BI</w:t>
      </w:r>
      <w:r>
        <w:rPr/>
        <w:t>、</w:t>
      </w:r>
      <w:r>
        <w:rPr>
          <w:rFonts w:ascii="Times New Roman" w:hAnsi="Times New Roman" w:cs="Times New Roman" w:eastAsia="Times New Roman" w:hint="default"/>
        </w:rPr>
        <w:t>AI</w:t>
      </w:r>
      <w:r>
        <w:rPr/>
        <w:t>等技术，进行供应链管理服务数字化转型。</w:t>
      </w:r>
      <w:r>
        <w:rPr>
          <w:spacing w:val="-68"/>
        </w:rPr>
        <w:t> </w:t>
      </w:r>
      <w:r>
        <w:rPr>
          <w:rFonts w:ascii="Times New Roman" w:hAnsi="Times New Roman" w:cs="Times New Roman" w:eastAsia="Times New Roman" w:hint="default"/>
        </w:rPr>
        <w:t>4</w:t>
      </w:r>
      <w:r>
        <w:rPr/>
        <w:t>、富有经验的管理团队及专业的人才优势</w:t>
      </w:r>
    </w:p>
    <w:p>
      <w:pPr>
        <w:pStyle w:val="BodyText"/>
        <w:spacing w:line="316" w:lineRule="auto" w:before="0"/>
        <w:ind w:right="0" w:firstLine="360"/>
        <w:jc w:val="left"/>
      </w:pPr>
      <w:r>
        <w:rPr>
          <w:spacing w:val="-2"/>
        </w:rPr>
        <w:t>公司在供应链行业积累多年，培养了一批经验丰富、市场开拓能力强的高素质人才，分别对不同客户所在行业组建拥有</w:t>
      </w:r>
      <w:r>
        <w:rPr/>
        <w:t> </w:t>
      </w:r>
      <w:r>
        <w:rPr>
          <w:spacing w:val="-2"/>
        </w:rPr>
        <w:t>熟悉国际贸易、海关事务、物流管理、保税区管理、外汇管理等方面丰富的实务操作经验的专业团队，主要核心管理团队均</w:t>
      </w:r>
      <w:r>
        <w:rPr>
          <w:spacing w:val="-57"/>
        </w:rPr>
        <w:t> </w:t>
      </w:r>
      <w:r>
        <w:rPr>
          <w:spacing w:val="-57"/>
        </w:rPr>
      </w:r>
      <w:r>
        <w:rPr>
          <w:spacing w:val="-4"/>
        </w:rPr>
        <w:t>多年从事于供应链管理行业，拥有丰富的经验，能将供应链管理理论应用到特定行业，特别是电子信息行业及医疗器械行业，</w:t>
      </w:r>
      <w:r>
        <w:rPr>
          <w:spacing w:val="-50"/>
        </w:rPr>
        <w:t> </w:t>
      </w:r>
      <w:r>
        <w:rPr>
          <w:spacing w:val="-50"/>
        </w:rPr>
      </w:r>
      <w:r>
        <w:rPr>
          <w:spacing w:val="-2"/>
        </w:rPr>
        <w:t>能够准确把握供应链行业发展趋势，保证企业的战略发展方向，不断增强公司竞争优势。且公司已在融资租赁、跨境电商及</w:t>
      </w:r>
    </w:p>
    <w:p>
      <w:pPr>
        <w:spacing w:after="0" w:line="316"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0"/>
        <w:jc w:val="left"/>
      </w:pPr>
      <w:r>
        <w:rPr>
          <w:spacing w:val="-2"/>
        </w:rPr>
        <w:t>全球交付平台方面汇聚了专业的人才资源，使公司在除传统的电子信息及医疗器械行业外，在其它业务发展方面的人才布局</w:t>
      </w:r>
      <w:r>
        <w:rPr>
          <w:spacing w:val="-72"/>
        </w:rPr>
        <w:t> </w:t>
      </w:r>
      <w:r>
        <w:rPr>
          <w:spacing w:val="-72"/>
        </w:rPr>
      </w:r>
      <w:r>
        <w:rPr/>
        <w:t>也能够为公司供应链管理提供大力支持。</w:t>
      </w:r>
    </w:p>
    <w:p>
      <w:pPr>
        <w:pStyle w:val="BodyText"/>
        <w:spacing w:line="276" w:lineRule="auto" w:before="33"/>
        <w:ind w:left="501" w:right="1029" w:hanging="361"/>
        <w:jc w:val="left"/>
      </w:pPr>
      <w:r>
        <w:rPr>
          <w:rFonts w:ascii="Times New Roman" w:hAnsi="Times New Roman" w:cs="Times New Roman" w:eastAsia="Times New Roman" w:hint="default"/>
        </w:rPr>
        <w:t>5</w:t>
      </w:r>
      <w:r>
        <w:rPr/>
        <w:t>、良好的银行信誉支持 公司拥有良好的信誉优势，与众多银行建立了战略合作伙伴关系，拥有充足的银行授信额度，构筑了强大的资金实力，</w:t>
      </w:r>
    </w:p>
    <w:p>
      <w:pPr>
        <w:pStyle w:val="BodyText"/>
        <w:spacing w:line="321" w:lineRule="auto" w:before="52"/>
        <w:ind w:right="1133"/>
        <w:jc w:val="both"/>
      </w:pPr>
      <w:r>
        <w:rPr>
          <w:spacing w:val="-2"/>
        </w:rPr>
        <w:t>在满足公司迅速扩张的同时，能够更好地满足公司日益增长的支付结算需求并支持客户对各项资金的需求服务。为了应对汇</w:t>
      </w:r>
      <w:r>
        <w:rPr>
          <w:spacing w:val="-72"/>
        </w:rPr>
        <w:t> </w:t>
      </w:r>
      <w:r>
        <w:rPr>
          <w:spacing w:val="-72"/>
        </w:rPr>
      </w:r>
      <w:r>
        <w:rPr>
          <w:spacing w:val="-2"/>
        </w:rPr>
        <w:t>率变动的风险，公司在收付货款过程中通过操作远期外汇合约进行组合售汇支付业务获得无风险收益。由于采用组合售汇方</w:t>
      </w:r>
      <w:r>
        <w:rPr>
          <w:spacing w:val="-69"/>
        </w:rPr>
        <w:t> </w:t>
      </w:r>
      <w:r>
        <w:rPr>
          <w:spacing w:val="-69"/>
        </w:rPr>
      </w:r>
      <w:r>
        <w:rPr>
          <w:spacing w:val="-2"/>
        </w:rPr>
        <w:t>式，公司可以很大程度上解决单个客户支付外币规模小且不连续所产生的交易门槛问题，从而降低企业的运营成本，提升供</w:t>
      </w:r>
      <w:r>
        <w:rPr>
          <w:spacing w:val="-75"/>
        </w:rPr>
        <w:t> </w:t>
      </w:r>
      <w:r>
        <w:rPr>
          <w:spacing w:val="-75"/>
        </w:rPr>
      </w:r>
      <w:r>
        <w:rPr/>
        <w:t>应链运营的效率，提高公司竞争力。</w:t>
      </w:r>
    </w:p>
    <w:p>
      <w:pPr>
        <w:pStyle w:val="BodyText"/>
        <w:spacing w:line="290" w:lineRule="auto" w:before="18"/>
        <w:ind w:left="501" w:right="1133" w:hanging="361"/>
        <w:jc w:val="left"/>
      </w:pPr>
      <w:r>
        <w:rPr>
          <w:rFonts w:ascii="Times New Roman" w:hAnsi="Times New Roman" w:cs="Times New Roman" w:eastAsia="Times New Roman" w:hint="default"/>
        </w:rPr>
        <w:t>6</w:t>
      </w:r>
      <w:r>
        <w:rPr/>
        <w:t>、有效的风险控制体系 </w:t>
      </w:r>
      <w:r>
        <w:rPr>
          <w:spacing w:val="-2"/>
        </w:rPr>
        <w:t>由于供应链管理与服务常常涉及复杂的多节点、全流程业务运作，或大量的资金和高值的货物运作，供应链融资还广泛</w:t>
      </w:r>
    </w:p>
    <w:p>
      <w:pPr>
        <w:pStyle w:val="BodyText"/>
        <w:spacing w:line="316" w:lineRule="auto" w:before="41"/>
        <w:ind w:right="1014"/>
        <w:jc w:val="left"/>
      </w:pPr>
      <w:r>
        <w:rPr>
          <w:spacing w:val="-3"/>
        </w:rPr>
        <w:t>涉及权利转让和资产支持的法律问题，面临着各种经营、运作、财务、投资、安全、汇率、法律、道德、政策、信用等风险，</w:t>
      </w:r>
      <w:r>
        <w:rPr>
          <w:spacing w:val="-75"/>
        </w:rPr>
        <w:t> </w:t>
      </w:r>
      <w:r>
        <w:rPr>
          <w:spacing w:val="-75"/>
        </w:rPr>
      </w:r>
      <w:r>
        <w:rPr/>
        <w:t>必须结合不同行业及产品的特点和可能的风险特征，建立风险管理和控制体系。公司针对不同客户进行有效分类评级管理。</w:t>
      </w:r>
      <w:r>
        <w:rPr>
          <w:spacing w:val="-85"/>
        </w:rPr>
        <w:t> </w:t>
      </w:r>
      <w:r>
        <w:rPr>
          <w:spacing w:val="-85"/>
        </w:rPr>
      </w:r>
      <w:r>
        <w:rPr/>
        <w:t>由风险控制委员会依据客户的资信情况、历史交易情况、合约履行情况等风险控制指标，结合客户的业界口碑、行业前景和</w:t>
      </w:r>
      <w:r>
        <w:rPr/>
        <w:t> 经营状况的基础上，评定客户资信等级，给不同等级的客户不同的交易条件和信用政策。</w:t>
      </w:r>
    </w:p>
    <w:p>
      <w:pPr>
        <w:spacing w:after="0" w:line="316"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040" w:right="0"/>
        <w:jc w:val="left"/>
        <w:rPr>
          <w:b w:val="0"/>
          <w:bCs w:val="0"/>
        </w:rPr>
      </w:pPr>
      <w:bookmarkStart w:name="第四节经营情况讨论与分析" w:id="23"/>
      <w:bookmarkEnd w:id="23"/>
      <w:r>
        <w:rPr>
          <w:b w:val="0"/>
          <w:bCs w:val="0"/>
        </w:rPr>
      </w:r>
      <w:bookmarkStart w:name="_bookmark3" w:id="24"/>
      <w:bookmarkEnd w:id="24"/>
      <w:r>
        <w:rPr>
          <w:b w:val="0"/>
          <w:bCs w:val="0"/>
        </w:rPr>
      </w:r>
      <w:r>
        <w:rPr>
          <w:spacing w:val="5"/>
        </w:rPr>
        <w:t>第四节经营情况讨论与分析</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4"/>
        <w:rPr>
          <w:rFonts w:ascii="宋体" w:hAnsi="宋体" w:cs="宋体" w:eastAsia="宋体" w:hint="default"/>
          <w:b/>
          <w:bCs/>
          <w:sz w:val="27"/>
          <w:szCs w:val="27"/>
        </w:rPr>
      </w:pPr>
    </w:p>
    <w:p>
      <w:pPr>
        <w:pStyle w:val="BodyText"/>
        <w:spacing w:line="297" w:lineRule="auto" w:before="0"/>
        <w:ind w:right="1103" w:firstLine="360"/>
        <w:jc w:val="both"/>
      </w:pPr>
      <w:r>
        <w:rPr>
          <w:rFonts w:ascii="Times New Roman" w:hAnsi="Times New Roman" w:cs="Times New Roman" w:eastAsia="Times New Roman" w:hint="default"/>
          <w:spacing w:val="-2"/>
        </w:rPr>
        <w:t>2019</w:t>
      </w:r>
      <w:r>
        <w:rPr>
          <w:spacing w:val="-2"/>
        </w:rPr>
        <w:t>年，面对错综复杂的国内外形势和日益激烈的竞争环境，公司管理层根据发展战略，积极应对外部环境的变化，紧</w:t>
      </w:r>
      <w:r>
        <w:rPr/>
        <w:t> </w:t>
      </w:r>
      <w:r>
        <w:rPr>
          <w:spacing w:val="-2"/>
        </w:rPr>
        <w:t>抓内部管理，对内落实精细化管理以实现降本增效，并充分整合内外部资源，坚持以客户需求为导向，以提升服务质量为目</w:t>
      </w:r>
      <w:r>
        <w:rPr>
          <w:spacing w:val="-40"/>
        </w:rPr>
        <w:t> </w:t>
      </w:r>
      <w:r>
        <w:rPr>
          <w:spacing w:val="-40"/>
        </w:rPr>
      </w:r>
      <w:r>
        <w:rPr/>
        <w:t>标，积极把握市场和行业的发展趋势，保持公司业绩持续稳定发展。</w:t>
      </w:r>
    </w:p>
    <w:p>
      <w:pPr>
        <w:pStyle w:val="BodyText"/>
        <w:spacing w:line="300" w:lineRule="auto" w:before="51"/>
        <w:ind w:right="1036" w:firstLine="360"/>
        <w:jc w:val="left"/>
      </w:pPr>
      <w:r>
        <w:rPr/>
        <w:t>报告期内，公司实现营业收入</w:t>
      </w:r>
      <w:r>
        <w:rPr>
          <w:rFonts w:ascii="Times New Roman" w:hAnsi="Times New Roman" w:cs="Times New Roman" w:eastAsia="Times New Roman" w:hint="default"/>
        </w:rPr>
        <w:t>6,512,430,900.39</w:t>
      </w:r>
      <w:r>
        <w:rPr/>
        <w:t>元，同比增长</w:t>
      </w:r>
      <w:r>
        <w:rPr>
          <w:rFonts w:ascii="Times New Roman" w:hAnsi="Times New Roman" w:cs="Times New Roman" w:eastAsia="Times New Roman" w:hint="default"/>
        </w:rPr>
        <w:t>12.82%</w:t>
      </w:r>
      <w:r>
        <w:rPr/>
        <w:t>；实现营业利润</w:t>
      </w:r>
      <w:r>
        <w:rPr>
          <w:rFonts w:ascii="Times New Roman" w:hAnsi="Times New Roman" w:cs="Times New Roman" w:eastAsia="Times New Roman" w:hint="default"/>
        </w:rPr>
        <w:t>83,683,931.08</w:t>
      </w:r>
      <w:r>
        <w:rPr/>
        <w:t>元，同比下降</w:t>
      </w:r>
      <w:r>
        <w:rPr>
          <w:rFonts w:ascii="Times New Roman" w:hAnsi="Times New Roman" w:cs="Times New Roman" w:eastAsia="Times New Roman" w:hint="default"/>
        </w:rPr>
        <w:t>32.31%</w:t>
      </w:r>
      <w:r>
        <w:rPr/>
        <w:t>； 实现利润总额</w:t>
      </w:r>
      <w:r>
        <w:rPr>
          <w:rFonts w:ascii="Times New Roman" w:hAnsi="Times New Roman" w:cs="Times New Roman" w:eastAsia="Times New Roman" w:hint="default"/>
        </w:rPr>
        <w:t>83,753,974.93</w:t>
      </w:r>
      <w:r>
        <w:rPr/>
        <w:t>元，同比下降</w:t>
      </w:r>
      <w:r>
        <w:rPr>
          <w:rFonts w:ascii="Times New Roman" w:hAnsi="Times New Roman" w:cs="Times New Roman" w:eastAsia="Times New Roman" w:hint="default"/>
        </w:rPr>
        <w:t>32.15%</w:t>
      </w:r>
      <w:r>
        <w:rPr/>
        <w:t>；实现归属于上市公司股东的净利润</w:t>
      </w:r>
      <w:r>
        <w:rPr>
          <w:rFonts w:ascii="Times New Roman" w:hAnsi="Times New Roman" w:cs="Times New Roman" w:eastAsia="Times New Roman" w:hint="default"/>
        </w:rPr>
        <w:t>62,942,762.72</w:t>
      </w:r>
      <w:r>
        <w:rPr/>
        <w:t>元，同比下降</w:t>
      </w:r>
      <w:r>
        <w:rPr>
          <w:rFonts w:ascii="Times New Roman" w:hAnsi="Times New Roman" w:cs="Times New Roman" w:eastAsia="Times New Roman" w:hint="default"/>
        </w:rPr>
        <w:t>38.36%</w:t>
      </w:r>
      <w:r>
        <w:rPr/>
        <w:t>；实</w:t>
      </w:r>
      <w:r>
        <w:rPr>
          <w:spacing w:val="-83"/>
        </w:rPr>
        <w:t> </w:t>
      </w:r>
      <w:r>
        <w:rPr>
          <w:spacing w:val="-1"/>
        </w:rPr>
        <w:t>现归属于上市公司股东的扣除非经常性损益的净利润</w:t>
      </w:r>
      <w:r>
        <w:rPr>
          <w:rFonts w:ascii="Times New Roman" w:hAnsi="Times New Roman" w:cs="Times New Roman" w:eastAsia="Times New Roman" w:hint="default"/>
          <w:spacing w:val="-1"/>
        </w:rPr>
        <w:t>57,771,958.16</w:t>
      </w:r>
      <w:r>
        <w:rPr>
          <w:spacing w:val="-1"/>
        </w:rPr>
        <w:t>元，同比下降</w:t>
      </w:r>
      <w:r>
        <w:rPr>
          <w:rFonts w:ascii="Times New Roman" w:hAnsi="Times New Roman" w:cs="Times New Roman" w:eastAsia="Times New Roman" w:hint="default"/>
          <w:spacing w:val="-1"/>
        </w:rPr>
        <w:t>20.73%</w:t>
      </w:r>
      <w:r>
        <w:rPr>
          <w:spacing w:val="-1"/>
        </w:rPr>
        <w:t>。主要系：（</w:t>
      </w:r>
      <w:r>
        <w:rPr>
          <w:rFonts w:ascii="Times New Roman" w:hAnsi="Times New Roman" w:cs="Times New Roman" w:eastAsia="Times New Roman" w:hint="default"/>
          <w:spacing w:val="-1"/>
        </w:rPr>
        <w:t>1</w:t>
      </w:r>
      <w:r>
        <w:rPr>
          <w:spacing w:val="-1"/>
        </w:rPr>
        <w:t>）受</w:t>
      </w:r>
      <w:r>
        <w:rPr>
          <w:rFonts w:ascii="Times New Roman" w:hAnsi="Times New Roman" w:cs="Times New Roman" w:eastAsia="Times New Roman" w:hint="default"/>
          <w:spacing w:val="-1"/>
        </w:rPr>
        <w:t>2019</w:t>
      </w:r>
      <w:r>
        <w:rPr>
          <w:spacing w:val="-1"/>
        </w:rPr>
        <w:t>年国际政治、</w:t>
      </w:r>
      <w:r>
        <w:rPr>
          <w:spacing w:val="-76"/>
        </w:rPr>
        <w:t> </w:t>
      </w:r>
      <w:r>
        <w:rPr/>
        <w:t>经济大环境影响，造成公司部分客户的业务受到一定影响；（</w:t>
      </w:r>
      <w:r>
        <w:rPr>
          <w:rFonts w:ascii="Times New Roman" w:hAnsi="Times New Roman" w:cs="Times New Roman" w:eastAsia="Times New Roman" w:hint="default"/>
        </w:rPr>
        <w:t>2</w:t>
      </w:r>
      <w:r>
        <w:rPr/>
        <w:t>）因国内整体金融环境趋严、行业风险加大，公司坚持稳健</w:t>
      </w:r>
      <w:r>
        <w:rPr>
          <w:spacing w:val="-84"/>
        </w:rPr>
        <w:t> </w:t>
      </w:r>
      <w:r>
        <w:rPr/>
        <w:t>经营，选择服务规模大、资信好、风险低的客户为主，因此公司向客户收取的综合服务费率有所降低；（</w:t>
      </w:r>
      <w:r>
        <w:rPr>
          <w:rFonts w:ascii="Times New Roman" w:hAnsi="Times New Roman" w:cs="Times New Roman" w:eastAsia="Times New Roman" w:hint="default"/>
        </w:rPr>
        <w:t>3</w:t>
      </w:r>
      <w:r>
        <w:rPr/>
        <w:t>）组合售汇产品</w:t>
      </w:r>
      <w:r>
        <w:rPr>
          <w:spacing w:val="-80"/>
        </w:rPr>
        <w:t> </w:t>
      </w:r>
      <w:r>
        <w:rPr/>
        <w:t>收益下降；（</w:t>
      </w:r>
      <w:r>
        <w:rPr>
          <w:rFonts w:ascii="Times New Roman" w:hAnsi="Times New Roman" w:cs="Times New Roman" w:eastAsia="Times New Roman" w:hint="default"/>
        </w:rPr>
        <w:t>4</w:t>
      </w:r>
      <w:r>
        <w:rPr/>
        <w:t>）本报告期内公司对乐视的应收款项进一步计提至</w:t>
      </w:r>
      <w:r>
        <w:rPr>
          <w:rFonts w:ascii="Times New Roman" w:hAnsi="Times New Roman" w:cs="Times New Roman" w:eastAsia="Times New Roman" w:hint="default"/>
        </w:rPr>
        <w:t>100%</w:t>
      </w:r>
      <w:r>
        <w:rPr/>
        <w:t>。</w:t>
      </w:r>
    </w:p>
    <w:p>
      <w:pPr>
        <w:pStyle w:val="BodyText"/>
        <w:spacing w:line="240" w:lineRule="auto" w:before="1"/>
        <w:ind w:right="0"/>
        <w:jc w:val="left"/>
      </w:pPr>
      <w:r>
        <w:rPr/>
        <w:t>报告期内，各板块业务开展情况：</w:t>
      </w:r>
    </w:p>
    <w:p>
      <w:pPr>
        <w:pStyle w:val="BodyText"/>
        <w:spacing w:line="276" w:lineRule="auto" w:before="95"/>
        <w:ind w:right="0" w:firstLine="360"/>
        <w:jc w:val="left"/>
      </w:pPr>
      <w:r>
        <w:rPr>
          <w:spacing w:val="-1"/>
        </w:rPr>
        <w:t>公司始终贯彻为客户提供专业的、定制化的供应链管理服务的理念，并持续推进</w:t>
      </w:r>
      <w:r>
        <w:rPr>
          <w:rFonts w:ascii="Times New Roman" w:hAnsi="Times New Roman" w:cs="Times New Roman" w:eastAsia="Times New Roman" w:hint="default"/>
          <w:spacing w:val="-1"/>
        </w:rPr>
        <w:t>“</w:t>
      </w:r>
      <w:r>
        <w:rPr>
          <w:spacing w:val="-1"/>
        </w:rPr>
        <w:t>大客户</w:t>
      </w:r>
      <w:r>
        <w:rPr>
          <w:rFonts w:ascii="Times New Roman" w:hAnsi="Times New Roman" w:cs="Times New Roman" w:eastAsia="Times New Roman" w:hint="default"/>
          <w:spacing w:val="-1"/>
        </w:rPr>
        <w:t>”</w:t>
      </w:r>
      <w:r>
        <w:rPr>
          <w:spacing w:val="-1"/>
        </w:rPr>
        <w:t>战略，围绕大客户需求深化业</w:t>
      </w:r>
      <w:r>
        <w:rPr/>
        <w:t> 务合作，通过与大客户的资源共享，形成战略合作，实现优势互补、价值提升。</w:t>
      </w:r>
    </w:p>
    <w:p>
      <w:pPr>
        <w:pStyle w:val="BodyText"/>
        <w:spacing w:line="295" w:lineRule="auto" w:before="67"/>
        <w:ind w:right="0"/>
        <w:jc w:val="left"/>
      </w:pPr>
      <w:r>
        <w:rPr>
          <w:rFonts w:ascii="Times New Roman" w:hAnsi="Times New Roman" w:cs="Times New Roman" w:eastAsia="Times New Roman" w:hint="default"/>
        </w:rPr>
        <w:t>1</w:t>
      </w:r>
      <w:r>
        <w:rPr/>
        <w:t>、报告期内，中美贸易的持续升级，对各行业均产生了不同程度的冲击，公司作为供应链管理服务商，同样受到影响，公 </w:t>
      </w:r>
      <w:r>
        <w:rPr>
          <w:spacing w:val="-2"/>
        </w:rPr>
        <w:t>司</w:t>
      </w:r>
      <w:r>
        <w:rPr>
          <w:rFonts w:ascii="Times New Roman" w:hAnsi="Times New Roman" w:cs="Times New Roman" w:eastAsia="Times New Roman" w:hint="default"/>
          <w:spacing w:val="-2"/>
        </w:rPr>
        <w:t>ICT</w:t>
      </w:r>
      <w:r>
        <w:rPr>
          <w:spacing w:val="-2"/>
        </w:rPr>
        <w:t>行业的部分客户业务规模有所下滑，但大量客户仍保持稳定；公司医疗器械业务，深入耕耘华南、西南、西北部市场，</w:t>
      </w:r>
      <w:r>
        <w:rPr>
          <w:spacing w:val="-58"/>
        </w:rPr>
        <w:t> </w:t>
      </w:r>
      <w:r>
        <w:rPr>
          <w:spacing w:val="-58"/>
        </w:rPr>
      </w:r>
      <w:r>
        <w:rPr/>
        <w:t>不断拓展更多医疗资源，实现了业务量的稳定增长。</w:t>
      </w:r>
    </w:p>
    <w:p>
      <w:pPr>
        <w:pStyle w:val="BodyText"/>
        <w:spacing w:line="290" w:lineRule="auto" w:before="53"/>
        <w:ind w:right="1110"/>
        <w:jc w:val="both"/>
      </w:pPr>
      <w:r>
        <w:rPr>
          <w:rFonts w:ascii="Times New Roman" w:hAnsi="Times New Roman" w:cs="Times New Roman" w:eastAsia="Times New Roman" w:hint="default"/>
        </w:rPr>
        <w:t>2</w:t>
      </w:r>
      <w:r>
        <w:rPr/>
        <w:t>、报告期内，金融监管环境趋严、行业风险加大、竞争加剧，为控制短期风险，公司严格把控风险，谨慎运营融资租赁业 务；跨境电商方面基于与境内外重点拓展客户的合作，推动了业务量整体上升，营业收入较去年同期增长</w:t>
      </w:r>
      <w:r>
        <w:rPr>
          <w:rFonts w:ascii="Times New Roman" w:hAnsi="Times New Roman" w:cs="Times New Roman" w:eastAsia="Times New Roman" w:hint="default"/>
        </w:rPr>
        <w:t>158.13%</w:t>
      </w:r>
      <w:r>
        <w:rPr/>
        <w:t>，发展迅</w:t>
      </w:r>
      <w:r>
        <w:rPr>
          <w:spacing w:val="-80"/>
        </w:rPr>
        <w:t> </w:t>
      </w:r>
      <w:r>
        <w:rPr/>
        <w:t>猛。</w:t>
      </w:r>
    </w:p>
    <w:p>
      <w:pPr>
        <w:pStyle w:val="BodyText"/>
        <w:spacing w:line="290" w:lineRule="auto" w:before="56"/>
        <w:ind w:right="1119"/>
        <w:jc w:val="left"/>
      </w:pPr>
      <w:r>
        <w:rPr>
          <w:rFonts w:ascii="Times New Roman" w:hAnsi="Times New Roman" w:cs="Times New Roman" w:eastAsia="Times New Roman" w:hint="default"/>
        </w:rPr>
        <w:t>3</w:t>
      </w:r>
      <w:r>
        <w:rPr/>
        <w:t>、报告期内，公司通过人员精简、效率提升、组织流程优化等一系列部署，降本增效，全面提升公司经营效率，提高公司 综合竞争力。</w:t>
      </w:r>
    </w:p>
    <w:p>
      <w:pPr>
        <w:pStyle w:val="BodyText"/>
        <w:spacing w:line="273" w:lineRule="auto" w:before="57"/>
        <w:ind w:right="1119"/>
        <w:jc w:val="left"/>
      </w:pPr>
      <w:r>
        <w:rPr>
          <w:rFonts w:ascii="Times New Roman" w:hAnsi="Times New Roman" w:cs="Times New Roman" w:eastAsia="Times New Roman" w:hint="default"/>
        </w:rPr>
        <w:t>4</w:t>
      </w:r>
      <w:r>
        <w:rPr/>
        <w:t>、报告期内，公司控股股东变更为绿色金控，实际控制人变更为广州市人民政府。依托绿色金控的产业资源，优势互补， 积极拓展供应链管理外包业务，公司子公司广州普路通已与广州市广百物流有限公司等客户开展国内供应链管理业务。</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92"/>
        <w:gridCol w:w="1607"/>
        <w:gridCol w:w="1585"/>
        <w:gridCol w:w="1607"/>
        <w:gridCol w:w="1585"/>
        <w:gridCol w:w="1599"/>
      </w:tblGrid>
      <w:tr>
        <w:trPr>
          <w:trHeight w:val="203" w:hRule="exact"/>
        </w:trPr>
        <w:tc>
          <w:tcPr>
            <w:tcW w:w="15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9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59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592" w:type="dxa"/>
            <w:vMerge w:val="restart"/>
            <w:tcBorders>
              <w:top w:val="nil" w:sz="6" w:space="0" w:color="auto"/>
              <w:left w:val="single" w:sz="6" w:space="0" w:color="000000"/>
              <w:right w:val="single" w:sz="6" w:space="0" w:color="000000"/>
            </w:tcBorders>
            <w:shd w:val="clear" w:color="auto" w:fill="D2D2D2"/>
          </w:tcPr>
          <w:p>
            <w:pPr/>
          </w:p>
        </w:tc>
        <w:tc>
          <w:tcPr>
            <w:tcW w:w="3192" w:type="dxa"/>
            <w:gridSpan w:val="2"/>
            <w:vMerge/>
            <w:tcBorders>
              <w:left w:val="single" w:sz="6" w:space="0" w:color="000000"/>
              <w:bottom w:val="single" w:sz="6" w:space="0" w:color="000000"/>
              <w:right w:val="single" w:sz="6" w:space="0" w:color="000000"/>
            </w:tcBorders>
            <w:shd w:val="clear" w:color="auto" w:fill="D2D2D2"/>
          </w:tcPr>
          <w:p>
            <w:pPr/>
          </w:p>
        </w:tc>
        <w:tc>
          <w:tcPr>
            <w:tcW w:w="3192" w:type="dxa"/>
            <w:gridSpan w:val="2"/>
            <w:vMerge/>
            <w:tcBorders>
              <w:left w:val="single" w:sz="6" w:space="0" w:color="000000"/>
              <w:bottom w:val="single" w:sz="6" w:space="0" w:color="000000"/>
              <w:right w:val="single" w:sz="6" w:space="0" w:color="000000"/>
            </w:tcBorders>
            <w:shd w:val="clear" w:color="auto" w:fill="D2D2D2"/>
          </w:tcPr>
          <w:p>
            <w:pPr/>
          </w:p>
        </w:tc>
        <w:tc>
          <w:tcPr>
            <w:tcW w:w="159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42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88" w:hRule="exact"/>
        </w:trPr>
        <w:tc>
          <w:tcPr>
            <w:tcW w:w="1592" w:type="dxa"/>
            <w:vMerge/>
            <w:tcBorders>
              <w:left w:val="single" w:sz="6" w:space="0" w:color="000000"/>
              <w:bottom w:val="nil" w:sz="6" w:space="0" w:color="auto"/>
              <w:right w:val="single" w:sz="6" w:space="0" w:color="000000"/>
            </w:tcBorders>
            <w:shd w:val="clear" w:color="auto" w:fill="D2D2D2"/>
          </w:tcPr>
          <w:p>
            <w:pP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金额</w:t>
            </w:r>
          </w:p>
        </w:tc>
        <w:tc>
          <w:tcPr>
            <w:tcW w:w="158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5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85"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85" w:type="dxa"/>
            <w:vMerge/>
            <w:tcBorders>
              <w:left w:val="single" w:sz="6" w:space="0" w:color="000000"/>
              <w:bottom w:val="single" w:sz="6" w:space="0" w:color="000000"/>
              <w:right w:val="single" w:sz="6" w:space="0" w:color="000000"/>
            </w:tcBorders>
            <w:shd w:val="clear" w:color="auto" w:fill="D2D2D2"/>
          </w:tcPr>
          <w:p>
            <w:pPr/>
          </w:p>
        </w:tc>
        <w:tc>
          <w:tcPr>
            <w:tcW w:w="1599"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7"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87"/>
              <w:ind w:left="300" w:right="0"/>
              <w:jc w:val="left"/>
              <w:rPr>
                <w:rFonts w:ascii="Times New Roman" w:hAnsi="Times New Roman" w:cs="Times New Roman" w:eastAsia="Times New Roman" w:hint="default"/>
                <w:sz w:val="18"/>
                <w:szCs w:val="18"/>
              </w:rPr>
            </w:pPr>
            <w:r>
              <w:rPr>
                <w:rFonts w:ascii="Times New Roman"/>
                <w:sz w:val="18"/>
              </w:rPr>
              <w:t>6,512,430,900.39</w:t>
            </w:r>
          </w:p>
        </w:tc>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7"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87"/>
              <w:ind w:left="292" w:right="0"/>
              <w:jc w:val="left"/>
              <w:rPr>
                <w:rFonts w:ascii="Times New Roman" w:hAnsi="Times New Roman" w:cs="Times New Roman" w:eastAsia="Times New Roman" w:hint="default"/>
                <w:sz w:val="18"/>
                <w:szCs w:val="18"/>
              </w:rPr>
            </w:pPr>
            <w:r>
              <w:rPr>
                <w:rFonts w:ascii="Times New Roman"/>
                <w:sz w:val="18"/>
              </w:rPr>
              <w:t>5,772,278,517.70</w:t>
            </w:r>
          </w:p>
        </w:tc>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6"/>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1006" w:right="0"/>
              <w:jc w:val="left"/>
              <w:rPr>
                <w:rFonts w:ascii="Times New Roman" w:hAnsi="Times New Roman" w:cs="Times New Roman" w:eastAsia="Times New Roman" w:hint="default"/>
                <w:sz w:val="18"/>
                <w:szCs w:val="18"/>
              </w:rPr>
            </w:pPr>
            <w:r>
              <w:rPr>
                <w:rFonts w:ascii="Times New Roman"/>
                <w:sz w:val="18"/>
              </w:rPr>
              <w:t>12.82%</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6,343,278,720.03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97.40%</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5,696,484,273.49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98.69%</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11.35%</w:t>
            </w:r>
            <w:r>
              <w:rPr>
                <w:rFonts w:ascii="Times New Roman"/>
                <w:sz w:val="18"/>
              </w:rPr>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169,152,180.36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2.60%</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75,794,244.21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1.31%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123.17%</w:t>
            </w:r>
            <w:r>
              <w:rPr>
                <w:rFonts w:ascii="Times New Roman"/>
                <w:sz w:val="18"/>
              </w:rPr>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6,343,278,720.03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97.40%</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5,696,484,273.49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98.69%</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11.35%</w:t>
            </w:r>
            <w:r>
              <w:rPr>
                <w:rFonts w:ascii="Times New Roman"/>
                <w:sz w:val="18"/>
              </w:rPr>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169,152,180.36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2.60%</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75,794,244.21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1.31%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123.17%</w:t>
            </w:r>
            <w:r>
              <w:rPr>
                <w:rFonts w:ascii="Times New Roman"/>
                <w:sz w:val="18"/>
              </w:rPr>
            </w:r>
          </w:p>
        </w:tc>
      </w:tr>
      <w:tr>
        <w:trPr>
          <w:trHeight w:val="406"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171,450,414.03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2.63%</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92,978,835.27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1.61%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84.40%</w:t>
            </w:r>
            <w:r>
              <w:rPr>
                <w:rFonts w:ascii="Times New Roman"/>
                <w:sz w:val="18"/>
              </w:rPr>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2,289,340,007.99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35.15%</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2,277,796,013.76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39.46%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1,329,812,933.52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20.42%</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1,083,282,233.49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18.77%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22.76%</w:t>
            </w:r>
            <w:r>
              <w:rPr>
                <w:rFonts w:ascii="Times New Roman"/>
                <w:sz w:val="18"/>
              </w:rPr>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1,359,848,765.45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20.88%</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1,091,476,144.56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18.91%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24.59%</w:t>
            </w:r>
            <w:r>
              <w:rPr>
                <w:rFonts w:ascii="Times New Roman"/>
                <w:sz w:val="18"/>
              </w:rPr>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408,871,130.01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6.28%</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365,031,203.63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6.32%</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12.01%</w:t>
            </w:r>
            <w:r>
              <w:rPr>
                <w:rFonts w:ascii="Times New Roman"/>
                <w:sz w:val="18"/>
              </w:rPr>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248,303,350.72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3.81%</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259,928,247.96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4.50%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-4.47%</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418,652,477.66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6.43%</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402,818,624.96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6.98%</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3.93%</w:t>
            </w:r>
            <w:r>
              <w:rPr>
                <w:rFonts w:ascii="Times New Roman"/>
                <w:sz w:val="18"/>
              </w:rPr>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286,151,821.01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4.39%</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198,967,214.07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3.45%</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43.82%</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6,343,278,720.03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5,799,937,869.34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8.57%</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11.35%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11.17%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r>
      <w:tr>
        <w:trPr>
          <w:trHeight w:val="390"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6,343,278,720.03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5,799,937,869.34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8.57%</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11.35%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11.17%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r>
      <w:tr>
        <w:trPr>
          <w:trHeight w:val="406"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2,289,340,007.99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2,231,489,989.15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2.53%</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-0.99%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1.48%</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1,329,812,933.52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1,332,044,081.26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22.76%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30.37%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-5.85%</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8" w:right="0"/>
              <w:jc w:val="center"/>
              <w:rPr>
                <w:rFonts w:ascii="Times New Roman" w:hAnsi="Times New Roman" w:cs="Times New Roman" w:eastAsia="Times New Roman" w:hint="default"/>
                <w:sz w:val="18"/>
                <w:szCs w:val="18"/>
              </w:rPr>
            </w:pPr>
            <w:r>
              <w:rPr>
                <w:rFonts w:ascii="Times New Roman"/>
                <w:sz w:val="18"/>
              </w:rPr>
              <w:t>1,359,848,765.45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Times New Roman" w:hAnsi="Times New Roman" w:cs="Times New Roman" w:eastAsia="Times New Roman" w:hint="default"/>
                <w:sz w:val="18"/>
                <w:szCs w:val="18"/>
              </w:rPr>
            </w:pPr>
            <w:r>
              <w:rPr>
                <w:rFonts w:ascii="Times New Roman"/>
                <w:sz w:val="18"/>
              </w:rPr>
              <w:t>1,111,022,938.25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18.30%</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24.59%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16.02%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6.03%</w:t>
            </w:r>
            <w:r>
              <w:rPr>
                <w:rFonts w:ascii="Times New Roman"/>
                <w:sz w:val="18"/>
              </w:rPr>
            </w:r>
          </w:p>
        </w:tc>
      </w:tr>
    </w:tbl>
    <w:p>
      <w:pPr>
        <w:pStyle w:val="BodyText"/>
        <w:spacing w:line="240" w:lineRule="auto" w:before="59"/>
        <w:ind w:right="0"/>
        <w:jc w:val="left"/>
      </w:pPr>
      <w:r>
        <w:rPr/>
        <w:t>公司主营业务数据统计口径在报告期发生调整的情况下，公司最近</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年按报告期末口径调整后的主营业务数据</w:t>
      </w:r>
    </w:p>
    <w:p>
      <w:pPr>
        <w:pStyle w:val="BodyText"/>
        <w:spacing w:line="240" w:lineRule="auto" w:before="9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07"/>
        <w:gridCol w:w="1577"/>
        <w:gridCol w:w="1607"/>
        <w:gridCol w:w="1592"/>
        <w:gridCol w:w="1592"/>
        <w:gridCol w:w="1607"/>
      </w:tblGrid>
      <w:tr>
        <w:trPr>
          <w:trHeight w:val="405" w:hRule="exact"/>
        </w:trPr>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607" w:type="dxa"/>
            <w:vMerge w:val="restart"/>
            <w:tcBorders>
              <w:top w:val="single" w:sz="6" w:space="0" w:color="000000"/>
              <w:left w:val="single" w:sz="6" w:space="0" w:color="000000"/>
              <w:right w:val="single" w:sz="12"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物流供应链服务业</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6,356,438,106.9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5,614,763,980.4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13.21%</w:t>
            </w:r>
            <w:r>
              <w:rPr>
                <w:rFonts w:ascii="Times New Roman"/>
                <w:sz w:val="18"/>
              </w:rPr>
            </w:r>
          </w:p>
        </w:tc>
      </w:tr>
      <w:tr>
        <w:trPr>
          <w:trHeight w:val="390" w:hRule="exact"/>
        </w:trPr>
        <w:tc>
          <w:tcPr>
            <w:tcW w:w="1607" w:type="dxa"/>
            <w:vMerge/>
            <w:tcBorders>
              <w:left w:val="single" w:sz="6" w:space="0" w:color="000000"/>
              <w:right w:val="single" w:sz="12"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98,278,635.89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243,349,075.24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-59.61%</w:t>
            </w:r>
          </w:p>
        </w:tc>
      </w:tr>
      <w:tr>
        <w:trPr>
          <w:trHeight w:val="405" w:hRule="exact"/>
        </w:trPr>
        <w:tc>
          <w:tcPr>
            <w:tcW w:w="1607" w:type="dxa"/>
            <w:vMerge/>
            <w:tcBorders>
              <w:left w:val="single" w:sz="6" w:space="0" w:color="000000"/>
              <w:bottom w:val="single" w:sz="6" w:space="0" w:color="000000"/>
              <w:right w:val="single" w:sz="12"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采购量</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5,836,143,592.2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5,495,317,676.13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6.20%</w:t>
            </w:r>
            <w:r>
              <w:rPr>
                <w:rFonts w:ascii="Times New Roman"/>
                <w:sz w:val="18"/>
              </w:rPr>
            </w:r>
          </w:p>
        </w:tc>
      </w:tr>
    </w:tbl>
    <w:p>
      <w:pPr>
        <w:pStyle w:val="BodyText"/>
        <w:spacing w:line="240" w:lineRule="auto" w:before="60"/>
        <w:ind w:right="0"/>
        <w:jc w:val="left"/>
      </w:pPr>
      <w:r>
        <w:rPr/>
        <w:t>相关数据同比发生变动</w:t>
      </w:r>
      <w:r>
        <w:rPr>
          <w:spacing w:val="-43"/>
        </w:rPr>
        <w:t> </w:t>
      </w:r>
      <w:r>
        <w:rPr>
          <w:rFonts w:ascii="Times New Roman" w:hAnsi="Times New Roman" w:cs="Times New Roman" w:eastAsia="Times New Roman" w:hint="default"/>
        </w:rPr>
        <w:t>30%</w:t>
      </w:r>
      <w:r>
        <w:rPr/>
        <w:t>以上的原因说明</w:t>
      </w:r>
    </w:p>
    <w:p>
      <w:pPr>
        <w:pStyle w:val="BodyText"/>
        <w:spacing w:line="333" w:lineRule="auto" w:before="96"/>
        <w:ind w:right="4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物流供应链服务库存量</w:t>
      </w:r>
      <w:r>
        <w:rPr>
          <w:rFonts w:ascii="Times New Roman" w:hAnsi="Times New Roman" w:cs="Times New Roman" w:eastAsia="Times New Roman" w:hint="default"/>
        </w:rPr>
        <w:t>2019</w:t>
      </w:r>
      <w:r>
        <w:rPr/>
        <w:t>年末较年初下降</w:t>
      </w:r>
      <w:r>
        <w:rPr>
          <w:rFonts w:ascii="Times New Roman" w:hAnsi="Times New Roman" w:cs="Times New Roman" w:eastAsia="Times New Roman" w:hint="default"/>
        </w:rPr>
        <w:t>59.61%</w:t>
      </w:r>
      <w:r>
        <w:rPr/>
        <w:t>，主要系公司商品销售出库所致。</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4"/>
          <w:szCs w:val="24"/>
        </w:rPr>
      </w:pPr>
    </w:p>
    <w:p>
      <w:pPr>
        <w:pStyle w:val="BodyText"/>
        <w:spacing w:line="352" w:lineRule="auto" w:before="0"/>
        <w:ind w:right="10029"/>
        <w:jc w:val="left"/>
      </w:pPr>
      <w:r>
        <w:rPr/>
        <w:t>行业分类 行业分类</w:t>
      </w:r>
    </w:p>
    <w:p>
      <w:pPr>
        <w:pStyle w:val="BodyText"/>
        <w:spacing w:line="240" w:lineRule="auto" w:before="4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5,799,937,869.34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98.11%</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5,217,149,957.76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99.10%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11.17%</w:t>
            </w:r>
            <w:r>
              <w:rPr>
                <w:rFonts w:ascii="Times New Roman"/>
                <w:sz w:val="18"/>
              </w:rPr>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111,580,217.71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1.89%</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47,178,121.42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0.90%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136.51%</w:t>
            </w:r>
            <w:r>
              <w:rPr>
                <w:rFonts w:ascii="Times New Roman"/>
                <w:sz w:val="18"/>
              </w:rPr>
            </w:r>
          </w:p>
        </w:tc>
      </w:tr>
    </w:tbl>
    <w:p>
      <w:pPr>
        <w:pStyle w:val="BodyText"/>
        <w:spacing w:line="240" w:lineRule="auto"/>
        <w:ind w:right="0"/>
        <w:jc w:val="left"/>
      </w:pPr>
      <w:r>
        <w:rPr/>
        <w:t>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111"/>
        <w:ind w:left="501" w:right="0"/>
        <w:jc w:val="left"/>
      </w:pPr>
      <w:r>
        <w:rPr/>
        <w:t>本期纳入合并财务报表范围的子公司共</w:t>
      </w:r>
      <w:r>
        <w:rPr>
          <w:rFonts w:ascii="Times New Roman" w:hAnsi="Times New Roman" w:cs="Times New Roman" w:eastAsia="Times New Roman" w:hint="default"/>
        </w:rPr>
        <w:t>29</w:t>
      </w:r>
      <w:r>
        <w:rPr/>
        <w:t>户，具体包括：</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515"/>
        <w:gridCol w:w="1262"/>
        <w:gridCol w:w="721"/>
        <w:gridCol w:w="1516"/>
        <w:gridCol w:w="1532"/>
      </w:tblGrid>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级次</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44"/>
              <w:jc w:val="right"/>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深圳市前海瑞智供应链管理有限公司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深圳市丝路纪元供应链科技有限公司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普路通全球物流（深圳）有限公司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6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right="77"/>
              <w:jc w:val="left"/>
              <w:rPr>
                <w:rFonts w:ascii="宋体" w:hAnsi="宋体" w:cs="宋体" w:eastAsia="宋体" w:hint="default"/>
                <w:sz w:val="18"/>
                <w:szCs w:val="18"/>
              </w:rPr>
            </w:pPr>
            <w:r>
              <w:rPr>
                <w:rFonts w:ascii="宋体" w:hAnsi="宋体" w:cs="宋体" w:eastAsia="宋体" w:hint="default"/>
                <w:sz w:val="18"/>
                <w:szCs w:val="18"/>
              </w:rPr>
              <w:t>深圳市前海普路通电子商务综合服务有限公 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深圳市联动量子股权投资管理有限公司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广州市普路通供应链管理有限公司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珠海市普路通供应链管理有限公司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515"/>
        <w:gridCol w:w="1262"/>
        <w:gridCol w:w="721"/>
        <w:gridCol w:w="1516"/>
        <w:gridCol w:w="1532"/>
      </w:tblGrid>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武汉市瑞亿通供应链管理有限公司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荆门市普路通供应链管理有限公司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荆门市赢洲电子商务有限公司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676"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77"/>
              <w:jc w:val="left"/>
              <w:rPr>
                <w:rFonts w:ascii="宋体" w:hAnsi="宋体" w:cs="宋体" w:eastAsia="宋体" w:hint="default"/>
                <w:sz w:val="18"/>
                <w:szCs w:val="18"/>
              </w:rPr>
            </w:pPr>
            <w:r>
              <w:rPr>
                <w:rFonts w:ascii="宋体" w:hAnsi="宋体" w:cs="宋体" w:eastAsia="宋体" w:hint="default"/>
                <w:sz w:val="18"/>
                <w:szCs w:val="18"/>
              </w:rPr>
              <w:t>荆门保税物流中心普路通供应链管理有限公 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重庆市普路通供应链管理有限公司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厦门市普路通供应链管理有限公司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广西慧通供应链管理有限公司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香港智慧云国际有限公司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香港云泰国际有限公司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香港雪梨小姐国际有限公司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51.00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51.00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香港坎普国际贸易科技有限公司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三级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三级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14"/>
        <w:ind w:left="501" w:right="0"/>
        <w:jc w:val="left"/>
      </w:pPr>
      <w:r>
        <w:rPr/>
        <w:t>本期纳入合并财务报表范围的主体较上期相比，增加</w:t>
      </w:r>
      <w:r>
        <w:rPr>
          <w:rFonts w:ascii="Times New Roman" w:hAnsi="Times New Roman" w:cs="Times New Roman" w:eastAsia="Times New Roman" w:hint="default"/>
        </w:rPr>
        <w:t>2</w:t>
      </w:r>
      <w:r>
        <w:rPr/>
        <w:t>户，减少</w:t>
      </w:r>
      <w:r>
        <w:rPr>
          <w:rFonts w:ascii="Times New Roman" w:hAnsi="Times New Roman" w:cs="Times New Roman" w:eastAsia="Times New Roman" w:hint="default"/>
        </w:rPr>
        <w:t>1</w:t>
      </w:r>
      <w:r>
        <w:rPr/>
        <w:t>户，其中：</w:t>
      </w:r>
    </w:p>
    <w:p>
      <w:pPr>
        <w:pStyle w:val="BodyText"/>
        <w:spacing w:line="240" w:lineRule="auto" w:before="51"/>
        <w:ind w:right="0"/>
        <w:jc w:val="left"/>
      </w:pPr>
      <w:r>
        <w:rPr>
          <w:rFonts w:ascii="宋体" w:hAnsi="宋体" w:cs="宋体" w:eastAsia="宋体" w:hint="default"/>
        </w:rPr>
        <w:t>1.  </w:t>
      </w:r>
      <w:r>
        <w:rPr/>
        <w:t>本期新纳入合并范围的子公司、特殊目的主体、通过受托经营或承租等方式形成控制权的经营实体</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379"/>
        <w:gridCol w:w="5166"/>
      </w:tblGrid>
      <w:tr>
        <w:trPr>
          <w:trHeight w:val="346"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7"/>
              <w:jc w:val="center"/>
              <w:rPr>
                <w:rFonts w:ascii="宋体" w:hAnsi="宋体" w:cs="宋体" w:eastAsia="宋体" w:hint="default"/>
                <w:sz w:val="18"/>
                <w:szCs w:val="18"/>
              </w:rPr>
            </w:pPr>
            <w:r>
              <w:rPr>
                <w:rFonts w:ascii="宋体" w:hAnsi="宋体" w:cs="宋体" w:eastAsia="宋体" w:hint="default"/>
                <w:sz w:val="18"/>
                <w:szCs w:val="18"/>
              </w:rPr>
              <w:t>名称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0"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广州市普路通供应链管理有限公司</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856"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20"/>
              <w:ind w:right="122"/>
              <w:jc w:val="left"/>
              <w:rPr>
                <w:rFonts w:ascii="宋体" w:hAnsi="宋体" w:cs="宋体" w:eastAsia="宋体" w:hint="default"/>
                <w:sz w:val="18"/>
                <w:szCs w:val="18"/>
              </w:rPr>
            </w:pPr>
            <w:r>
              <w:rPr>
                <w:rFonts w:ascii="宋体" w:hAnsi="宋体" w:cs="宋体" w:eastAsia="宋体" w:hint="default"/>
                <w:sz w:val="18"/>
                <w:szCs w:val="18"/>
              </w:rPr>
              <w:t>荆门保税物流中心普路通供应链管理有限 公司</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2"/>
        <w:rPr>
          <w:rFonts w:ascii="宋体" w:hAnsi="宋体" w:cs="宋体" w:eastAsia="宋体" w:hint="default"/>
          <w:sz w:val="9"/>
          <w:szCs w:val="9"/>
        </w:rPr>
      </w:pPr>
    </w:p>
    <w:p>
      <w:pPr>
        <w:pStyle w:val="BodyText"/>
        <w:spacing w:line="240" w:lineRule="auto"/>
        <w:ind w:right="0"/>
        <w:jc w:val="left"/>
      </w:pPr>
      <w:r>
        <w:rPr>
          <w:rFonts w:ascii="宋体" w:hAnsi="宋体" w:cs="宋体" w:eastAsia="宋体" w:hint="default"/>
        </w:rPr>
        <w:t>1.  </w:t>
      </w:r>
      <w:r>
        <w:rPr/>
        <w:t>本期不再纳入合并范围的子公司、特殊目的主体、通过委托经营或出租等方式丧失控制权的经营实体</w:t>
      </w:r>
    </w:p>
    <w:p>
      <w:pPr>
        <w:spacing w:line="240" w:lineRule="auto" w:before="2"/>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379"/>
        <w:gridCol w:w="5166"/>
      </w:tblGrid>
      <w:tr>
        <w:trPr>
          <w:trHeight w:val="345"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7"/>
              <w:jc w:val="center"/>
              <w:rPr>
                <w:rFonts w:ascii="宋体" w:hAnsi="宋体" w:cs="宋体" w:eastAsia="宋体" w:hint="default"/>
                <w:sz w:val="18"/>
                <w:szCs w:val="18"/>
              </w:rPr>
            </w:pPr>
            <w:r>
              <w:rPr>
                <w:rFonts w:ascii="宋体" w:hAnsi="宋体" w:cs="宋体" w:eastAsia="宋体" w:hint="default"/>
                <w:sz w:val="18"/>
                <w:szCs w:val="18"/>
              </w:rPr>
              <w:t>名称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556"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郑州市普路通供应链管理有限公司</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1"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11"/>
        <w:rPr>
          <w:rFonts w:ascii="宋体" w:hAnsi="宋体" w:cs="宋体" w:eastAsia="宋体" w:hint="default"/>
          <w:sz w:val="21"/>
          <w:szCs w:val="21"/>
        </w:rPr>
      </w:pPr>
    </w:p>
    <w:p>
      <w:pPr>
        <w:pStyle w:val="BodyText"/>
        <w:spacing w:line="240" w:lineRule="auto"/>
        <w:ind w:right="0"/>
        <w:jc w:val="left"/>
        <w:rPr>
          <w:rFonts w:ascii="Times New Roman" w:hAnsi="Times New Roman" w:cs="Times New Roman" w:eastAsia="Times New Roman" w:hint="default"/>
        </w:rPr>
      </w:pPr>
      <w:r>
        <w:rPr/>
        <w:t>详情参见</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Heading3"/>
        <w:spacing w:line="240" w:lineRule="auto" w:before="134"/>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公司主要销售客户情况</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3,708,513,927.65</w:t>
            </w:r>
          </w:p>
        </w:tc>
      </w:tr>
      <w:tr>
        <w:trPr>
          <w:trHeight w:val="4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56.95%</w:t>
            </w:r>
            <w:r>
              <w:rPr>
                <w:rFonts w:ascii="Times New Roman"/>
                <w:sz w:val="18"/>
              </w:rPr>
            </w:r>
          </w:p>
        </w:tc>
      </w:tr>
      <w:tr>
        <w:trPr>
          <w:trHeight w:val="7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85"/>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9"/>
        <w:ind w:right="0"/>
        <w:jc w:val="left"/>
      </w:pPr>
      <w:r>
        <w:rPr/>
        <w:t>公司前</w:t>
      </w:r>
      <w:r>
        <w:rPr>
          <w:spacing w:val="-45"/>
        </w:rPr>
        <w:t> </w:t>
      </w:r>
      <w:r>
        <w:rPr>
          <w:rFonts w:ascii="Times New Roman" w:hAnsi="Times New Roman" w:cs="Times New Roman" w:eastAsia="Times New Roman" w:hint="default"/>
        </w:rPr>
        <w:t>5 </w:t>
      </w:r>
      <w:r>
        <w:rPr/>
        <w:t>大客户资料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2,778,750,976.66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42.67%</w:t>
            </w:r>
            <w:r>
              <w:rPr>
                <w:rFonts w:ascii="Times New Roman"/>
                <w:sz w:val="18"/>
              </w:rPr>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479,191,818.68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7.36%</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199,787,180.19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3.07%</w:t>
            </w:r>
            <w:r>
              <w:rPr>
                <w:rFonts w:ascii="Times New Roman"/>
                <w:sz w:val="18"/>
              </w:rPr>
            </w:r>
          </w:p>
        </w:tc>
      </w:tr>
      <w:tr>
        <w:trPr>
          <w:trHeight w:val="391"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165,075,368.08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2.53%</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85,708,584.04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1.32%</w:t>
            </w:r>
            <w:r>
              <w:rPr>
                <w:rFonts w:ascii="Times New Roman"/>
                <w:sz w:val="18"/>
              </w:rPr>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3,708,513,927.65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56.95%</w:t>
            </w:r>
            <w:r>
              <w:rPr>
                <w:rFonts w:ascii="Times New Roman"/>
                <w:sz w:val="18"/>
              </w:rPr>
            </w:r>
          </w:p>
        </w:tc>
      </w:tr>
    </w:tbl>
    <w:p>
      <w:pPr>
        <w:pStyle w:val="BodyText"/>
        <w:spacing w:line="240" w:lineRule="auto"/>
        <w:ind w:right="0"/>
        <w:jc w:val="left"/>
      </w:pPr>
      <w:r>
        <w:rPr/>
        <w:t>主要客户其他情况说明</w:t>
      </w:r>
    </w:p>
    <w:p>
      <w:pPr>
        <w:pStyle w:val="BodyText"/>
        <w:spacing w:line="316"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公司主要供应商情况</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390"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4,715,455,960.00</w:t>
            </w:r>
          </w:p>
        </w:tc>
      </w:tr>
      <w:tr>
        <w:trPr>
          <w:trHeight w:val="4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80.79%</w:t>
            </w:r>
            <w:r>
              <w:rPr>
                <w:rFonts w:ascii="Times New Roman"/>
                <w:sz w:val="18"/>
              </w:rPr>
            </w:r>
          </w:p>
        </w:tc>
      </w:tr>
      <w:tr>
        <w:trPr>
          <w:trHeight w:val="721"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85"/>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0"/>
        <w:ind w:right="0"/>
        <w:jc w:val="left"/>
      </w:pPr>
      <w:r>
        <w:rPr/>
        <w:t>公司前</w:t>
      </w:r>
      <w:r>
        <w:rPr>
          <w:spacing w:val="-45"/>
        </w:rPr>
        <w:t> </w:t>
      </w:r>
      <w:r>
        <w:rPr>
          <w:rFonts w:ascii="Times New Roman" w:hAnsi="Times New Roman" w:cs="Times New Roman" w:eastAsia="Times New Roman" w:hint="default"/>
        </w:rPr>
        <w:t>5 </w:t>
      </w:r>
      <w:r>
        <w:rPr/>
        <w:t>名供应商资料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391"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2,816,728,688.49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48.26%</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1,214,524,831.01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20.81%</w:t>
            </w:r>
            <w:r>
              <w:rPr>
                <w:rFonts w:ascii="Times New Roman"/>
                <w:sz w:val="18"/>
              </w:rPr>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468,301,355.69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8.02%</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110,632,657.15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1.90%</w:t>
            </w:r>
            <w:r>
              <w:rPr>
                <w:rFonts w:ascii="Times New Roman"/>
                <w:sz w:val="18"/>
              </w:rPr>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5</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105,268,427.66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1.80%</w:t>
            </w:r>
            <w:r>
              <w:rPr>
                <w:rFonts w:ascii="Times New Roman"/>
                <w:sz w:val="18"/>
              </w:rPr>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4,715,455,960.00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80.79%</w:t>
            </w:r>
            <w:r>
              <w:rPr>
                <w:rFonts w:ascii="Times New Roman"/>
                <w:sz w:val="18"/>
              </w:rPr>
            </w:r>
          </w:p>
        </w:tc>
      </w:tr>
    </w:tbl>
    <w:p>
      <w:pPr>
        <w:pStyle w:val="BodyText"/>
        <w:spacing w:line="240" w:lineRule="auto"/>
        <w:ind w:right="0"/>
        <w:jc w:val="left"/>
      </w:pPr>
      <w:r>
        <w:rPr/>
        <w:t>主要供应商其他情况说明</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37"/>
        <w:gridCol w:w="1637"/>
        <w:gridCol w:w="1457"/>
        <w:gridCol w:w="2929"/>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637"/>
        <w:gridCol w:w="1637"/>
        <w:gridCol w:w="1457"/>
        <w:gridCol w:w="2929"/>
      </w:tblGrid>
      <w:tr>
        <w:trPr>
          <w:trHeight w:val="72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295,818,834.66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194,150,484.59</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52.37%</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主要系公司跨境电商业务增长平台 费用增长及市场拓展费用增长所致。</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119,000,481.37</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95,275,264.16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24.90%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46,850,839.77</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130,574,314.17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-64.12%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81"/>
              <w:jc w:val="left"/>
              <w:rPr>
                <w:rFonts w:ascii="宋体" w:hAnsi="宋体" w:cs="宋体" w:eastAsia="宋体" w:hint="default"/>
                <w:sz w:val="18"/>
                <w:szCs w:val="18"/>
              </w:rPr>
            </w:pPr>
            <w:r>
              <w:rPr>
                <w:rFonts w:ascii="宋体" w:hAnsi="宋体" w:cs="宋体" w:eastAsia="宋体" w:hint="default"/>
                <w:sz w:val="18"/>
                <w:szCs w:val="18"/>
              </w:rPr>
              <w:t>主要系汇率波动及公司组合售汇业 务产品减少所致。</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17,320,824.16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12,655,613.62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36.86%</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34,618,305,316.62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44,535,164,867.79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-22.27%</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34,901,293,736.64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45,047,561,922.74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-22.52%</w:t>
            </w: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-282,988,420.02</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-512,397,054.95</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16,074,862.13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2,054,140.36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682.56%</w:t>
            </w:r>
            <w:r>
              <w:rPr>
                <w:rFonts w:ascii="Times New Roman"/>
                <w:sz w:val="18"/>
              </w:rPr>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21,372,313.89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11,640,463.66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83.60%</w:t>
            </w:r>
            <w:r>
              <w:rPr>
                <w:rFonts w:ascii="Times New Roman"/>
                <w:sz w:val="18"/>
              </w:rPr>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-5,297,451.76</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-9,586,323.30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5,735,053,449.85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10,563,675,925.61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-45.71%</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5,545,882,603.63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11,274,868,351.46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-50.81%</w:t>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8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189,170,846.22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-711,192,425.85</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-98,213,962.55</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-1,239,461,966.33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5"/>
        <w:ind w:right="0"/>
        <w:jc w:val="left"/>
      </w:pPr>
      <w:r>
        <w:rPr/>
        <w:t>相关数据同比发生重大变动的主要影响因素说明</w:t>
      </w:r>
    </w:p>
    <w:p>
      <w:pPr>
        <w:pStyle w:val="BodyText"/>
        <w:spacing w:line="240" w:lineRule="auto" w:before="1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90" w:lineRule="auto" w:before="96"/>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年经营活动产生的现金流量净额</w:t>
      </w:r>
      <w:r>
        <w:rPr>
          <w:rFonts w:ascii="Times New Roman" w:hAnsi="Times New Roman" w:cs="Times New Roman" w:eastAsia="Times New Roman" w:hint="default"/>
        </w:rPr>
        <w:t>-282,988,420.02</w:t>
      </w:r>
      <w:r>
        <w:rPr/>
        <w:t>元，较同期变动主要系公司上年同期到期支付</w:t>
      </w:r>
      <w:r>
        <w:rPr>
          <w:rFonts w:ascii="Times New Roman" w:hAnsi="Times New Roman" w:cs="Times New Roman" w:eastAsia="Times New Roman" w:hint="default"/>
        </w:rPr>
        <w:t>2017</w:t>
      </w:r>
      <w:r>
        <w:rPr/>
        <w:t>年第四季度收到</w:t>
      </w:r>
      <w:r>
        <w:rPr>
          <w:spacing w:val="-12"/>
        </w:rPr>
        <w:t> </w:t>
      </w:r>
      <w:r>
        <w:rPr>
          <w:spacing w:val="-12"/>
        </w:rPr>
      </w:r>
      <w:r>
        <w:rPr/>
        <w:t>的客户代收代付款项所致。</w:t>
      </w:r>
    </w:p>
    <w:p>
      <w:pPr>
        <w:pStyle w:val="BodyText"/>
        <w:spacing w:line="240" w:lineRule="auto" w:before="86"/>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年投资活动产生的现金流量净额</w:t>
      </w:r>
      <w:r>
        <w:rPr>
          <w:spacing w:val="-11"/>
        </w:rPr>
        <w:t> </w:t>
      </w:r>
      <w:r>
        <w:rPr>
          <w:rFonts w:ascii="Times New Roman" w:hAnsi="Times New Roman" w:cs="Times New Roman" w:eastAsia="Times New Roman" w:hint="default"/>
        </w:rPr>
        <w:t>-5,297,451.76</w:t>
      </w:r>
      <w:r>
        <w:rPr/>
        <w:t>元，较同期变动主要系公司对外投资减少所致。</w:t>
      </w:r>
    </w:p>
    <w:p>
      <w:pPr>
        <w:pStyle w:val="BodyText"/>
        <w:spacing w:line="288" w:lineRule="auto" w:before="111"/>
        <w:ind w:right="1091"/>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年筹资活动产生的现金流量净额</w:t>
      </w:r>
      <w:r>
        <w:rPr>
          <w:rFonts w:ascii="Times New Roman" w:hAnsi="Times New Roman" w:cs="Times New Roman" w:eastAsia="Times New Roman" w:hint="default"/>
          <w:spacing w:val="-1"/>
        </w:rPr>
        <w:t>189,170,846.22</w:t>
      </w:r>
      <w:r>
        <w:rPr>
          <w:spacing w:val="-1"/>
        </w:rPr>
        <w:t>元，较同期变动主要系公司主要系公司为支持业务发展，筹集资金增</w:t>
      </w:r>
      <w:r>
        <w:rPr>
          <w:spacing w:val="-67"/>
        </w:rPr>
        <w:t> </w:t>
      </w:r>
      <w:r>
        <w:rPr>
          <w:spacing w:val="-67"/>
        </w:rPr>
      </w:r>
      <w:r>
        <w:rPr/>
        <w:t>加所致。</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0" w:lineRule="auto" w:before="0"/>
        <w:ind w:right="0"/>
        <w:jc w:val="left"/>
      </w:pPr>
      <w:r>
        <w:rPr/>
        <w:t>报告期内公司经营活动产生的现金净流量与本年度净利润存在重大差异的原因说明</w:t>
      </w:r>
    </w:p>
    <w:p>
      <w:pPr>
        <w:pStyle w:val="BodyText"/>
        <w:spacing w:line="319"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供应链管理服务企业在经营业务过程中提供结算配套资金是供应链管理的要求。报告期内公司经营活动产生的现金净流量与</w:t>
      </w:r>
    </w:p>
    <w:p>
      <w:pPr>
        <w:spacing w:after="0" w:line="319"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本年度净利润存在重大差异主要系公司为支持业务发展，营运资金投入增加所致。</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ind w:right="-18"/>
        <w:jc w:val="left"/>
      </w:pPr>
      <w:r>
        <w:rPr/>
        <w:t>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年起首次执行新金融工具准则、新收入准则或新租赁准则且调整执行当年年初财务报表相关项目</w:t>
      </w:r>
    </w:p>
    <w:p>
      <w:pPr>
        <w:pStyle w:val="BodyText"/>
        <w:spacing w:line="240" w:lineRule="auto" w:before="11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8516" w:space="421"/>
            <w:col w:w="1973"/>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
        </w:tc>
        <w:tc>
          <w:tcPr>
            <w:tcW w:w="223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25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年初</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73" w:hRule="exact"/>
        </w:trPr>
        <w:tc>
          <w:tcPr>
            <w:tcW w:w="1367" w:type="dxa"/>
            <w:vMerge/>
            <w:tcBorders>
              <w:left w:val="single" w:sz="6" w:space="0" w:color="000000"/>
              <w:right w:val="single" w:sz="6" w:space="0" w:color="000000"/>
            </w:tcBorders>
            <w:shd w:val="clear" w:color="auto" w:fill="D2D2D2"/>
          </w:tcPr>
          <w:p>
            <w:pPr/>
          </w:p>
        </w:tc>
        <w:tc>
          <w:tcPr>
            <w:tcW w:w="117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5"/>
              <w:ind w:left="420" w:right="89"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5"/>
              <w:ind w:left="435"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390" w:hRule="exact"/>
        </w:trPr>
        <w:tc>
          <w:tcPr>
            <w:tcW w:w="1367" w:type="dxa"/>
            <w:vMerge/>
            <w:tcBorders>
              <w:left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158"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2929"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4,298,653,694.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66.00%</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9,187,162,193.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79.47%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-13.47%</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1,293,839,362.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19.86%</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1,277,587,757.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11.05%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8.81%</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98,278,635.89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1.51%</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243,349,075.24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-0.59%</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9,654,944.40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11,201,716.43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3,973,312,425.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61.00%</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8,805,820,738.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76.17%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-15.17%</w:t>
            </w: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rPr>
          <w:rFonts w:ascii="Times New Roman" w:hAnsi="Times New Roman" w:cs="Times New Roman" w:eastAsia="Times New Roman" w:hint="default"/>
        </w:rPr>
      </w:pPr>
      <w:r>
        <w:rPr/>
        <w:t>详见 </w:t>
      </w:r>
      <w:r>
        <w:rPr>
          <w:rFonts w:ascii="Times New Roman" w:hAnsi="Times New Roman" w:cs="Times New Roman" w:eastAsia="Times New Roman" w:hint="default"/>
        </w:rPr>
        <w:t>“</w:t>
      </w:r>
      <w:r>
        <w:rPr/>
        <w:t>第十二节</w:t>
      </w:r>
      <w:r>
        <w:rPr>
          <w:spacing w:val="-19"/>
        </w:rPr>
        <w:t> </w:t>
      </w:r>
      <w:r>
        <w:rPr/>
        <w:t>财务报告</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w:t>
      </w:r>
      <w:r>
        <w:rPr/>
        <w:t>七、合并财务报表项目注释</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“81</w:t>
      </w:r>
      <w:r>
        <w:rPr/>
        <w:t>、所有权或使用权受到限制的资产</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25"/>
          <w:szCs w:val="25"/>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66"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76"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pacing w:val="-2"/>
                <w:sz w:val="18"/>
              </w:rPr>
              <w:t>11,111,112.00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before="0"/>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公司报告期无募集资金使用情况。</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公司报告期未出售重大资产。</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right="-19"/>
        <w:jc w:val="left"/>
      </w:pPr>
      <w:r>
        <w:rPr/>
        <w:t>主要子公司及对公司净利润影响达</w:t>
      </w:r>
      <w:r>
        <w:rPr>
          <w:spacing w:val="-42"/>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4841" w:space="4095"/>
            <w:col w:w="197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51"/>
        <w:gridCol w:w="1202"/>
        <w:gridCol w:w="1052"/>
        <w:gridCol w:w="1036"/>
        <w:gridCol w:w="1051"/>
        <w:gridCol w:w="1052"/>
        <w:gridCol w:w="1036"/>
        <w:gridCol w:w="1051"/>
        <w:gridCol w:w="1051"/>
      </w:tblGrid>
      <w:tr>
        <w:trPr>
          <w:trHeight w:val="405"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0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18"/>
              <w:jc w:val="left"/>
              <w:rPr>
                <w:rFonts w:ascii="宋体" w:hAnsi="宋体" w:cs="宋体" w:eastAsia="宋体" w:hint="default"/>
                <w:sz w:val="18"/>
                <w:szCs w:val="18"/>
              </w:rPr>
            </w:pPr>
            <w:r>
              <w:rPr>
                <w:rFonts w:ascii="宋体" w:hAnsi="宋体" w:cs="宋体" w:eastAsia="宋体" w:hint="default"/>
                <w:sz w:val="18"/>
                <w:szCs w:val="18"/>
              </w:rPr>
              <w:t>香港瑞通国 际有限公司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20"/>
              <w:jc w:val="left"/>
              <w:rPr>
                <w:rFonts w:ascii="宋体" w:hAnsi="宋体" w:cs="宋体" w:eastAsia="宋体" w:hint="default"/>
                <w:sz w:val="18"/>
                <w:szCs w:val="18"/>
              </w:rPr>
            </w:pPr>
            <w:r>
              <w:rPr>
                <w:rFonts w:ascii="宋体" w:hAnsi="宋体" w:cs="宋体" w:eastAsia="宋体" w:hint="default"/>
                <w:sz w:val="18"/>
                <w:szCs w:val="18"/>
              </w:rPr>
              <w:t>一般贸易及 服务</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万港币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4,819,633,95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0.47</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81,334,901.7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5,153,762,46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0.97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10,407,044.7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8,840,606.29</w:t>
            </w:r>
          </w:p>
        </w:tc>
      </w:tr>
    </w:tbl>
    <w:p>
      <w:pPr>
        <w:pStyle w:val="BodyText"/>
        <w:spacing w:line="240" w:lineRule="auto"/>
        <w:ind w:right="0"/>
        <w:jc w:val="left"/>
      </w:pPr>
      <w:r>
        <w:rPr/>
        <w:t>报告期内取得和处置子公司的情况</w:t>
      </w:r>
    </w:p>
    <w:p>
      <w:pPr>
        <w:pStyle w:val="BodyText"/>
        <w:spacing w:line="331" w:lineRule="auto" w:before="125"/>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主要控股参股公司情况说明</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type w:val="continuous"/>
          <w:pgSz w:w="11910" w:h="16850"/>
          <w:pgMar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0"/>
        <w:jc w:val="left"/>
      </w:pPr>
      <w:r>
        <w:rPr/>
        <w:t>一、行业格局和趋势</w:t>
      </w:r>
    </w:p>
    <w:p>
      <w:pPr>
        <w:pStyle w:val="BodyText"/>
        <w:spacing w:line="288" w:lineRule="auto" w:before="95"/>
        <w:ind w:left="501" w:right="1026" w:hanging="361"/>
        <w:jc w:val="left"/>
      </w:pPr>
      <w:r>
        <w:rPr>
          <w:rFonts w:ascii="Times New Roman" w:hAnsi="Times New Roman" w:cs="Times New Roman" w:eastAsia="Times New Roman" w:hint="default"/>
        </w:rPr>
        <w:t>1</w:t>
      </w:r>
      <w:r>
        <w:rPr/>
        <w:t>、供应链管理行业 </w:t>
      </w:r>
      <w:r>
        <w:rPr>
          <w:spacing w:val="-3"/>
        </w:rPr>
        <w:t>根据国务院办公厅</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13</w:t>
      </w:r>
      <w:r>
        <w:rPr>
          <w:spacing w:val="-3"/>
        </w:rPr>
        <w:t>日发布的《国务院办公厅关于积极推进供应链创新与应用的指导意见》（国办发【</w:t>
      </w:r>
      <w:r>
        <w:rPr>
          <w:rFonts w:ascii="Times New Roman" w:hAnsi="Times New Roman" w:cs="Times New Roman" w:eastAsia="Times New Roman" w:hint="default"/>
          <w:spacing w:val="-3"/>
        </w:rPr>
        <w:t>2017</w:t>
      </w:r>
      <w:r>
        <w:rPr>
          <w:spacing w:val="-3"/>
        </w:rPr>
        <w:t>】</w:t>
      </w:r>
    </w:p>
    <w:p>
      <w:pPr>
        <w:pStyle w:val="BodyText"/>
        <w:spacing w:line="309" w:lineRule="auto" w:before="26"/>
        <w:ind w:right="1029"/>
        <w:jc w:val="left"/>
      </w:pPr>
      <w:r>
        <w:rPr>
          <w:rFonts w:ascii="Times New Roman" w:hAnsi="Times New Roman" w:cs="Times New Roman" w:eastAsia="Times New Roman" w:hint="default"/>
          <w:spacing w:val="-2"/>
        </w:rPr>
        <w:t>84</w:t>
      </w:r>
      <w:r>
        <w:rPr>
          <w:spacing w:val="-2"/>
        </w:rPr>
        <w:t>号），我国各地政府部门已开始重视供应链服务产业对拉动地区经济增长的卓越贡献，并已开始制定发展规划和政策，促</w:t>
      </w:r>
      <w:r>
        <w:rPr>
          <w:spacing w:val="-40"/>
        </w:rPr>
        <w:t> </w:t>
      </w:r>
      <w:r>
        <w:rPr>
          <w:spacing w:val="-40"/>
        </w:rPr>
      </w:r>
      <w:r>
        <w:rPr>
          <w:spacing w:val="-2"/>
        </w:rPr>
        <w:t>进供应链服务的研究和发展，同时，《意见》指出，要着力构建符合我国国情的供应链发展新技术、新模式，到</w:t>
      </w:r>
      <w:r>
        <w:rPr>
          <w:rFonts w:ascii="Times New Roman" w:hAnsi="Times New Roman" w:cs="Times New Roman" w:eastAsia="Times New Roman" w:hint="default"/>
          <w:spacing w:val="-2"/>
        </w:rPr>
        <w:t>2020</w:t>
      </w:r>
      <w:r>
        <w:rPr>
          <w:spacing w:val="-2"/>
        </w:rPr>
        <w:t>年基本</w:t>
      </w:r>
      <w:r>
        <w:rPr>
          <w:spacing w:val="-59"/>
        </w:rPr>
        <w:t> </w:t>
      </w:r>
      <w:r>
        <w:rPr/>
        <w:t>形成我国重点产业智慧供应链体系，培育</w:t>
      </w:r>
      <w:r>
        <w:rPr>
          <w:rFonts w:ascii="Times New Roman" w:hAnsi="Times New Roman" w:cs="Times New Roman" w:eastAsia="Times New Roman" w:hint="default"/>
        </w:rPr>
        <w:t>100</w:t>
      </w:r>
      <w:r>
        <w:rPr/>
        <w:t>家左右的全球供应链领先企业；重点产业的供应链竞争力进入世界前列，中国</w:t>
      </w:r>
      <w:r>
        <w:rPr>
          <w:spacing w:val="-87"/>
        </w:rPr>
        <w:t> </w:t>
      </w:r>
      <w:r>
        <w:rPr>
          <w:spacing w:val="-2"/>
        </w:rPr>
        <w:t>成为全球供应链创新和应用的重要中心。《意见》从鼓励技术和商业模式创新、龙头企业培育、智慧供应链体系建设等多个</w:t>
      </w:r>
      <w:r>
        <w:rPr>
          <w:spacing w:val="-58"/>
        </w:rPr>
        <w:t> </w:t>
      </w:r>
      <w:r>
        <w:rPr>
          <w:spacing w:val="-58"/>
        </w:rPr>
      </w:r>
      <w:r>
        <w:rPr/>
        <w:t>维度提出了具有前瞻和战略性的规划，将我国的供应链发展推向全新高度。 </w:t>
      </w:r>
      <w:r>
        <w:rPr>
          <w:spacing w:val="-2"/>
        </w:rPr>
        <w:t>中国供应链服务市场潜力很大，推动中国现代物流及供应链贸易服务发展的主要因素有三点，第一是跨国公司正在将更多的</w:t>
      </w:r>
      <w:r>
        <w:rPr>
          <w:spacing w:val="-72"/>
        </w:rPr>
        <w:t> </w:t>
      </w:r>
      <w:r>
        <w:rPr>
          <w:spacing w:val="-72"/>
        </w:rPr>
      </w:r>
      <w:r>
        <w:rPr>
          <w:spacing w:val="-2"/>
        </w:rPr>
        <w:t>业务转向中国，甚至将发展重心转移到中国，这会产生大量的供应链贸易服务需求；第二是中国公司为降低成本和增强核心</w:t>
      </w:r>
      <w:r>
        <w:rPr>
          <w:spacing w:val="-75"/>
        </w:rPr>
        <w:t> </w:t>
      </w:r>
      <w:r>
        <w:rPr>
          <w:spacing w:val="-75"/>
        </w:rPr>
      </w:r>
      <w:r>
        <w:rPr>
          <w:spacing w:val="-2"/>
        </w:rPr>
        <w:t>竞争力也增加了对物流及供应链贸易服务的需求；第三是政府的激励措施也刺激了中国现代物流及供应链贸易服务市场的发</w:t>
      </w:r>
      <w:r>
        <w:rPr>
          <w:spacing w:val="-53"/>
        </w:rPr>
        <w:t> </w:t>
      </w:r>
      <w:r>
        <w:rPr>
          <w:spacing w:val="-53"/>
        </w:rPr>
      </w:r>
      <w:r>
        <w:rPr/>
        <w:t>展。目前来看，国内企业对专业化供应链服务的需求正日益强烈，国内也有越来越多的企业开始向物流及供应链外包发展， </w:t>
      </w:r>
      <w:r>
        <w:rPr>
          <w:spacing w:val="-2"/>
        </w:rPr>
        <w:t>并已经开始在内部供应链管理体系不断优化的基础上尝试使用专业化的供应链服务。可见，目前我国企业对专业化供应链服</w:t>
      </w:r>
    </w:p>
    <w:p>
      <w:pPr>
        <w:pStyle w:val="BodyText"/>
        <w:spacing w:line="304" w:lineRule="auto" w:before="42"/>
        <w:ind w:right="1149"/>
        <w:jc w:val="left"/>
      </w:pPr>
      <w:r>
        <w:rPr/>
        <w:t>务的需求己日见显，专业化供应链服务具有较为广阔的发展前景。据《</w:t>
      </w:r>
      <w:r>
        <w:rPr>
          <w:rFonts w:ascii="Times New Roman" w:hAnsi="Times New Roman" w:cs="Times New Roman" w:eastAsia="Times New Roman" w:hint="default"/>
        </w:rPr>
        <w:t>2017-2022</w:t>
      </w:r>
      <w:r>
        <w:rPr/>
        <w:t>年中国供应链物流行业全景调研与发展战</w:t>
      </w:r>
      <w:r>
        <w:rPr>
          <w:spacing w:val="-84"/>
        </w:rPr>
        <w:t> </w:t>
      </w:r>
      <w:r>
        <w:rPr/>
        <w:t>略研究报告》，预计</w:t>
      </w:r>
      <w:r>
        <w:rPr>
          <w:rFonts w:ascii="Times New Roman" w:hAnsi="Times New Roman" w:cs="Times New Roman" w:eastAsia="Times New Roman" w:hint="default"/>
        </w:rPr>
        <w:t>2020</w:t>
      </w:r>
      <w:r>
        <w:rPr/>
        <w:t>年我国供应链管理市场规模将达到</w:t>
      </w:r>
      <w:r>
        <w:rPr>
          <w:rFonts w:ascii="Times New Roman" w:hAnsi="Times New Roman" w:cs="Times New Roman" w:eastAsia="Times New Roman" w:hint="default"/>
        </w:rPr>
        <w:t>3.1</w:t>
      </w:r>
      <w:r>
        <w:rPr/>
        <w:t>万亿美元。</w:t>
      </w:r>
    </w:p>
    <w:p>
      <w:pPr>
        <w:pStyle w:val="BodyText"/>
        <w:spacing w:line="240" w:lineRule="auto" w:before="12"/>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ICT</w:t>
      </w:r>
      <w:r>
        <w:rPr/>
        <w:t>行业</w:t>
      </w:r>
    </w:p>
    <w:p>
      <w:pPr>
        <w:pStyle w:val="BodyText"/>
        <w:spacing w:line="288" w:lineRule="auto" w:before="66"/>
        <w:ind w:right="1126" w:firstLine="360"/>
        <w:jc w:val="both"/>
      </w:pPr>
      <w:r>
        <w:rPr/>
        <w:t>近年来，随着移动网络与各行各业的融合应用，形态各异的移动终端如</w:t>
      </w:r>
      <w:r>
        <w:rPr>
          <w:rFonts w:ascii="Times New Roman" w:hAnsi="Times New Roman" w:cs="Times New Roman" w:eastAsia="Times New Roman" w:hint="default"/>
        </w:rPr>
        <w:t>VR/AR</w:t>
      </w:r>
      <w:r>
        <w:rPr/>
        <w:t>眼镜、智能手表、智能手环等可穿戴设 备及无人机、机器人、各类摄像头、传感器、汽车等，在各种无线移动场景的成功应用不断给用户带来惊喜。随着</w:t>
      </w:r>
      <w:r>
        <w:rPr>
          <w:rFonts w:ascii="Times New Roman" w:hAnsi="Times New Roman" w:cs="Times New Roman" w:eastAsia="Times New Roman" w:hint="default"/>
        </w:rPr>
        <w:t>5G</w:t>
      </w:r>
      <w:r>
        <w:rPr/>
        <w:t>技术</w:t>
      </w:r>
      <w:r>
        <w:rPr>
          <w:spacing w:val="-75"/>
        </w:rPr>
        <w:t> </w:t>
      </w:r>
      <w:r>
        <w:rPr/>
        <w:t>的快速成熟，智能移动终端也将迎来更新换代浪潮。</w:t>
      </w:r>
    </w:p>
    <w:p>
      <w:pPr>
        <w:pStyle w:val="BodyText"/>
        <w:spacing w:line="302" w:lineRule="auto" w:before="58"/>
        <w:ind w:right="1113"/>
        <w:jc w:val="both"/>
      </w:pPr>
      <w:r>
        <w:rPr/>
        <w:t>根据中国国际经济交流中心和中国信息通信研究院联合编写的《中国</w:t>
      </w:r>
      <w:r>
        <w:rPr>
          <w:rFonts w:ascii="Times New Roman" w:hAnsi="Times New Roman" w:cs="Times New Roman" w:eastAsia="Times New Roman" w:hint="default"/>
        </w:rPr>
        <w:t>5G</w:t>
      </w:r>
      <w:r>
        <w:rPr/>
        <w:t>经济报告</w:t>
      </w:r>
      <w:r>
        <w:rPr>
          <w:rFonts w:ascii="Times New Roman" w:hAnsi="Times New Roman" w:cs="Times New Roman" w:eastAsia="Times New Roman" w:hint="default"/>
        </w:rPr>
        <w:t>2020</w:t>
      </w:r>
      <w:r>
        <w:rPr/>
        <w:t>》指出，现阶段</w:t>
      </w:r>
      <w:r>
        <w:rPr>
          <w:rFonts w:ascii="Times New Roman" w:hAnsi="Times New Roman" w:cs="Times New Roman" w:eastAsia="Times New Roman" w:hint="default"/>
        </w:rPr>
        <w:t>5G</w:t>
      </w:r>
      <w:r>
        <w:rPr/>
        <w:t>移动终端主要以手</w:t>
      </w:r>
      <w:r>
        <w:rPr>
          <w:spacing w:val="-73"/>
        </w:rPr>
        <w:t> </w:t>
      </w:r>
      <w:r>
        <w:rPr/>
        <w:t>机、</w:t>
      </w:r>
      <w:r>
        <w:rPr>
          <w:rFonts w:ascii="Times New Roman" w:hAnsi="Times New Roman" w:cs="Times New Roman" w:eastAsia="Times New Roman" w:hint="default"/>
        </w:rPr>
        <w:t>CPE</w:t>
      </w:r>
      <w:r>
        <w:rPr/>
        <w:t>为主。由于当前适用于各类终端的</w:t>
      </w:r>
      <w:r>
        <w:rPr>
          <w:rFonts w:ascii="Times New Roman" w:hAnsi="Times New Roman" w:cs="Times New Roman" w:eastAsia="Times New Roman" w:hint="default"/>
        </w:rPr>
        <w:t>5G</w:t>
      </w:r>
      <w:r>
        <w:rPr/>
        <w:t>通信模组尚在制作样片或试用阶段，大多类型的移动终端尚且依靠</w:t>
      </w:r>
      <w:r>
        <w:rPr>
          <w:rFonts w:ascii="Times New Roman" w:hAnsi="Times New Roman" w:cs="Times New Roman" w:eastAsia="Times New Roman" w:hint="default"/>
        </w:rPr>
        <w:t>5G CPE</w:t>
      </w:r>
      <w:r>
        <w:rPr/>
        <w:t>接</w:t>
      </w:r>
      <w:r>
        <w:rPr>
          <w:spacing w:val="-76"/>
        </w:rPr>
        <w:t> </w:t>
      </w:r>
      <w:r>
        <w:rPr/>
        <w:t>入</w:t>
      </w:r>
      <w:r>
        <w:rPr>
          <w:rFonts w:ascii="Times New Roman" w:hAnsi="Times New Roman" w:cs="Times New Roman" w:eastAsia="Times New Roman" w:hint="default"/>
        </w:rPr>
        <w:t>5G</w:t>
      </w:r>
      <w:r>
        <w:rPr/>
        <w:t>网络，因此在</w:t>
      </w:r>
      <w:r>
        <w:rPr>
          <w:rFonts w:ascii="Times New Roman" w:hAnsi="Times New Roman" w:cs="Times New Roman" w:eastAsia="Times New Roman" w:hint="default"/>
        </w:rPr>
        <w:t>5G</w:t>
      </w:r>
      <w:r>
        <w:rPr/>
        <w:t>商用初期，设备技术成熟的</w:t>
      </w:r>
      <w:r>
        <w:rPr>
          <w:rFonts w:ascii="Times New Roman" w:hAnsi="Times New Roman" w:cs="Times New Roman" w:eastAsia="Times New Roman" w:hint="default"/>
        </w:rPr>
        <w:t>5G</w:t>
      </w:r>
      <w:r>
        <w:rPr/>
        <w:t>手机和</w:t>
      </w:r>
      <w:r>
        <w:rPr>
          <w:rFonts w:ascii="Times New Roman" w:hAnsi="Times New Roman" w:cs="Times New Roman" w:eastAsia="Times New Roman" w:hint="default"/>
        </w:rPr>
        <w:t>CPE</w:t>
      </w:r>
      <w:r>
        <w:rPr/>
        <w:t>将继续成为最常见的移动终端以满足增强移动宽带的场景。</w:t>
      </w:r>
      <w:r>
        <w:rPr>
          <w:spacing w:val="-73"/>
        </w:rPr>
        <w:t> </w:t>
      </w:r>
      <w:r>
        <w:rPr/>
        <w:t>未来</w:t>
      </w:r>
      <w:r>
        <w:rPr>
          <w:rFonts w:ascii="Times New Roman" w:hAnsi="Times New Roman" w:cs="Times New Roman" w:eastAsia="Times New Roman" w:hint="default"/>
        </w:rPr>
        <w:t>5G</w:t>
      </w:r>
      <w:r>
        <w:rPr/>
        <w:t>移动终端的形态有无限可能，也将更多应用在相关行业。</w:t>
      </w:r>
      <w:r>
        <w:rPr>
          <w:rFonts w:ascii="Times New Roman" w:hAnsi="Times New Roman" w:cs="Times New Roman" w:eastAsia="Times New Roman" w:hint="default"/>
        </w:rPr>
        <w:t>5G</w:t>
      </w:r>
      <w:r>
        <w:rPr/>
        <w:t>模组成熟后，智能穿戴设备、无人机、机器人等会在各</w:t>
      </w:r>
      <w:r>
        <w:rPr>
          <w:spacing w:val="-75"/>
        </w:rPr>
        <w:t> </w:t>
      </w:r>
      <w:r>
        <w:rPr/>
        <w:t>种应用场景变为主流。就市场而言，通信电子产品将首先直接受益，智能手机以流量入口地位成为</w:t>
      </w:r>
      <w:r>
        <w:rPr>
          <w:rFonts w:ascii="Times New Roman" w:hAnsi="Times New Roman" w:cs="Times New Roman" w:eastAsia="Times New Roman" w:hint="default"/>
        </w:rPr>
        <w:t>5G</w:t>
      </w:r>
      <w:r>
        <w:rPr/>
        <w:t>商用的利好平台，根</w:t>
      </w:r>
      <w:r>
        <w:rPr>
          <w:spacing w:val="-77"/>
        </w:rPr>
        <w:t> </w:t>
      </w:r>
      <w:r>
        <w:rPr/>
        <w:t>据</w:t>
      </w:r>
      <w:r>
        <w:rPr>
          <w:rFonts w:ascii="Times New Roman" w:hAnsi="Times New Roman" w:cs="Times New Roman" w:eastAsia="Times New Roman" w:hint="default"/>
        </w:rPr>
        <w:t>IDC</w:t>
      </w:r>
      <w:r>
        <w:rPr/>
        <w:t>预测数据，到</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5G</w:t>
      </w:r>
      <w:r>
        <w:rPr/>
        <w:t>手机出货量将达到</w:t>
      </w:r>
      <w:r>
        <w:rPr>
          <w:rFonts w:ascii="Times New Roman" w:hAnsi="Times New Roman" w:cs="Times New Roman" w:eastAsia="Times New Roman" w:hint="default"/>
        </w:rPr>
        <w:t>4</w:t>
      </w:r>
      <w:r>
        <w:rPr/>
        <w:t>亿台，占全球整体手机出货量的</w:t>
      </w:r>
      <w:r>
        <w:rPr>
          <w:rFonts w:ascii="Times New Roman" w:hAnsi="Times New Roman" w:cs="Times New Roman" w:eastAsia="Times New Roman" w:hint="default"/>
        </w:rPr>
        <w:t>26%</w:t>
      </w:r>
      <w:r>
        <w:rPr/>
        <w:t>。并且，</w:t>
      </w:r>
      <w:r>
        <w:rPr>
          <w:rFonts w:ascii="Times New Roman" w:hAnsi="Times New Roman" w:cs="Times New Roman" w:eastAsia="Times New Roman" w:hint="default"/>
        </w:rPr>
        <w:t>5G</w:t>
      </w:r>
      <w:r>
        <w:rPr/>
        <w:t>手机将进一步带动产业</w:t>
      </w:r>
      <w:r>
        <w:rPr>
          <w:spacing w:val="-70"/>
        </w:rPr>
        <w:t> </w:t>
      </w:r>
      <w:r>
        <w:rPr/>
        <w:t>链上下游发展，上游的元器件制造商、中游的通信设备商和下游的终端厂商都将获益，预计</w:t>
      </w:r>
      <w:r>
        <w:rPr>
          <w:rFonts w:ascii="Times New Roman" w:hAnsi="Times New Roman" w:cs="Times New Roman" w:eastAsia="Times New Roman" w:hint="default"/>
        </w:rPr>
        <w:t>2025</w:t>
      </w:r>
      <w:r>
        <w:rPr/>
        <w:t>年</w:t>
      </w:r>
      <w:r>
        <w:rPr>
          <w:rFonts w:ascii="Times New Roman" w:hAnsi="Times New Roman" w:cs="Times New Roman" w:eastAsia="Times New Roman" w:hint="default"/>
        </w:rPr>
        <w:t>5G</w:t>
      </w:r>
      <w:r>
        <w:rPr/>
        <w:t>相关产品和服务市场</w:t>
      </w:r>
      <w:r>
        <w:rPr>
          <w:spacing w:val="-78"/>
        </w:rPr>
        <w:t> </w:t>
      </w:r>
      <w:r>
        <w:rPr/>
        <w:t>规模将达到</w:t>
      </w:r>
      <w:r>
        <w:rPr>
          <w:rFonts w:ascii="Times New Roman" w:hAnsi="Times New Roman" w:cs="Times New Roman" w:eastAsia="Times New Roman" w:hint="default"/>
        </w:rPr>
        <w:t>1.15</w:t>
      </w:r>
      <w:r>
        <w:rPr/>
        <w:t>万亿元。</w:t>
      </w:r>
    </w:p>
    <w:p>
      <w:pPr>
        <w:pStyle w:val="BodyText"/>
        <w:spacing w:line="249" w:lineRule="exact" w:before="0"/>
        <w:ind w:right="0"/>
        <w:jc w:val="left"/>
      </w:pPr>
      <w:r>
        <w:rPr>
          <w:rFonts w:ascii="Times New Roman" w:hAnsi="Times New Roman" w:cs="Times New Roman" w:eastAsia="Times New Roman" w:hint="default"/>
        </w:rPr>
        <w:t>3</w:t>
      </w:r>
      <w:r>
        <w:rPr/>
        <w:t>、医疗器械行业</w:t>
      </w:r>
    </w:p>
    <w:p>
      <w:pPr>
        <w:pStyle w:val="BodyText"/>
        <w:spacing w:line="300" w:lineRule="auto" w:before="66"/>
        <w:ind w:right="1098" w:firstLine="360"/>
        <w:jc w:val="both"/>
      </w:pPr>
      <w:r>
        <w:rPr/>
        <w:t>根据艾媒《</w:t>
      </w:r>
      <w:r>
        <w:rPr>
          <w:rFonts w:ascii="Times New Roman" w:hAnsi="Times New Roman" w:cs="Times New Roman" w:eastAsia="Times New Roman" w:hint="default"/>
        </w:rPr>
        <w:t>2019-2022</w:t>
      </w:r>
      <w:r>
        <w:rPr/>
        <w:t>中国医疗器械市场大数据及标杆企业运行监测报告》，目前中国医疗器械中的高端产品主要依赖 进口，中国医疗器械高端产品市场中，外资品牌占据绝大部分，尤其是在医学影像设备如</w:t>
      </w:r>
      <w:r>
        <w:rPr>
          <w:rFonts w:ascii="Times New Roman" w:hAnsi="Times New Roman" w:cs="Times New Roman" w:eastAsia="Times New Roman" w:hint="default"/>
        </w:rPr>
        <w:t>CT</w:t>
      </w:r>
      <w:r>
        <w:rPr/>
        <w:t>机、磁共振设备、超声波仪器</w:t>
      </w:r>
      <w:r>
        <w:rPr>
          <w:spacing w:val="-73"/>
        </w:rPr>
        <w:t> </w:t>
      </w:r>
      <w:r>
        <w:rPr/>
        <w:t>等技术壁垒较高的领域，这些外资品牌的平均市场占有率超过</w:t>
      </w:r>
      <w:r>
        <w:rPr>
          <w:rFonts w:ascii="Times New Roman" w:hAnsi="Times New Roman" w:cs="Times New Roman" w:eastAsia="Times New Roman" w:hint="default"/>
        </w:rPr>
        <w:t>80%</w:t>
      </w:r>
      <w:r>
        <w:rPr/>
        <w:t>。截至</w:t>
      </w:r>
      <w:r>
        <w:rPr>
          <w:rFonts w:ascii="Times New Roman" w:hAnsi="Times New Roman" w:cs="Times New Roman" w:eastAsia="Times New Roman" w:hint="default"/>
        </w:rPr>
        <w:t>2018</w:t>
      </w:r>
      <w:r>
        <w:rPr/>
        <w:t>年，中国老年人口数量超过</w:t>
      </w:r>
      <w:r>
        <w:rPr>
          <w:rFonts w:ascii="Times New Roman" w:hAnsi="Times New Roman" w:cs="Times New Roman" w:eastAsia="Times New Roman" w:hint="default"/>
        </w:rPr>
        <w:t>1.6</w:t>
      </w:r>
      <w:r>
        <w:rPr/>
        <w:t>亿人，老龄人</w:t>
      </w:r>
      <w:r>
        <w:rPr>
          <w:spacing w:val="-82"/>
        </w:rPr>
        <w:t> </w:t>
      </w:r>
      <w:r>
        <w:rPr>
          <w:spacing w:val="-1"/>
        </w:rPr>
        <w:t>口的增加将不断扩大对医疗器械的需求。中国药品监督管理研究会发布的《</w:t>
      </w:r>
      <w:r>
        <w:rPr>
          <w:rFonts w:ascii="Times New Roman" w:hAnsi="Times New Roman" w:cs="Times New Roman" w:eastAsia="Times New Roman" w:hint="default"/>
          <w:spacing w:val="-1"/>
        </w:rPr>
        <w:t>2017</w:t>
      </w:r>
      <w:r>
        <w:rPr>
          <w:spacing w:val="-1"/>
        </w:rPr>
        <w:t>年中国医疗器械行业发展蓝皮书》指出，医</w:t>
      </w:r>
      <w:r>
        <w:rPr>
          <w:spacing w:val="-87"/>
        </w:rPr>
        <w:t> </w:t>
      </w:r>
      <w:r>
        <w:rPr>
          <w:spacing w:val="-87"/>
        </w:rPr>
      </w:r>
      <w:r>
        <w:rPr>
          <w:spacing w:val="-2"/>
        </w:rPr>
        <w:t>疗器械行业的市场将持续扩大，到</w:t>
      </w:r>
      <w:r>
        <w:rPr>
          <w:rFonts w:ascii="Times New Roman" w:hAnsi="Times New Roman" w:cs="Times New Roman" w:eastAsia="Times New Roman" w:hint="default"/>
          <w:spacing w:val="-2"/>
        </w:rPr>
        <w:t>2020</w:t>
      </w:r>
      <w:r>
        <w:rPr>
          <w:spacing w:val="-2"/>
        </w:rPr>
        <w:t>年我国医疗器械的年销售总额预计将超过</w:t>
      </w:r>
      <w:r>
        <w:rPr>
          <w:rFonts w:ascii="Times New Roman" w:hAnsi="Times New Roman" w:cs="Times New Roman" w:eastAsia="Times New Roman" w:hint="default"/>
          <w:spacing w:val="-2"/>
        </w:rPr>
        <w:t>7000</w:t>
      </w:r>
      <w:r>
        <w:rPr>
          <w:spacing w:val="-2"/>
        </w:rPr>
        <w:t>亿元人民币，未来</w:t>
      </w:r>
      <w:r>
        <w:rPr>
          <w:rFonts w:ascii="Times New Roman" w:hAnsi="Times New Roman" w:cs="Times New Roman" w:eastAsia="Times New Roman" w:hint="default"/>
          <w:spacing w:val="-2"/>
        </w:rPr>
        <w:t>10</w:t>
      </w:r>
      <w:r>
        <w:rPr>
          <w:spacing w:val="-2"/>
        </w:rPr>
        <w:t>年我国医疗器械行</w:t>
      </w:r>
      <w:r>
        <w:rPr>
          <w:spacing w:val="-54"/>
        </w:rPr>
        <w:t> </w:t>
      </w:r>
      <w:r>
        <w:rPr/>
        <w:t>业发展速度将继续保持在年均</w:t>
      </w:r>
      <w:r>
        <w:rPr>
          <w:rFonts w:ascii="Times New Roman" w:hAnsi="Times New Roman" w:cs="Times New Roman" w:eastAsia="Times New Roman" w:hint="default"/>
        </w:rPr>
        <w:t>10%</w:t>
      </w:r>
      <w:r>
        <w:rPr/>
        <w:t>以上的增幅。</w:t>
      </w:r>
    </w:p>
    <w:p>
      <w:pPr>
        <w:pStyle w:val="BodyText"/>
        <w:spacing w:line="288" w:lineRule="auto" w:before="16"/>
        <w:ind w:left="501" w:right="1133" w:hanging="361"/>
        <w:jc w:val="left"/>
      </w:pPr>
      <w:r>
        <w:rPr>
          <w:rFonts w:ascii="Times New Roman" w:hAnsi="Times New Roman" w:cs="Times New Roman" w:eastAsia="Times New Roman" w:hint="default"/>
        </w:rPr>
        <w:t>4</w:t>
      </w:r>
      <w:r>
        <w:rPr/>
        <w:t>、医疗器械融资租赁 </w:t>
      </w:r>
      <w:r>
        <w:rPr>
          <w:spacing w:val="-2"/>
        </w:rPr>
        <w:t>医疗设备融资租赁业务符合国家政策导向和医疗领域的发展需求，有望更多地在实践中采用，能有力地推动医疗服务快</w:t>
      </w:r>
    </w:p>
    <w:p>
      <w:pPr>
        <w:pStyle w:val="BodyText"/>
        <w:spacing w:line="316" w:lineRule="auto"/>
        <w:ind w:right="1046"/>
        <w:jc w:val="left"/>
      </w:pPr>
      <w:r>
        <w:rPr/>
        <w:t>速发展，国家出台了一系列利好政策推动医疗融资租赁业务步入快速发展轨道：在《关于加快融资租赁业发展的指导意见》 </w:t>
      </w:r>
      <w:r>
        <w:rPr>
          <w:spacing w:val="-2"/>
        </w:rPr>
        <w:t>和《关于促进医药产业健康发展的指导意见》中，国家肯定了融资租赁在各类所有制医疗机构采购大型医疗设备业务中的积</w:t>
      </w:r>
      <w:r>
        <w:rPr>
          <w:spacing w:val="-75"/>
        </w:rPr>
        <w:t> </w:t>
      </w:r>
      <w:r>
        <w:rPr>
          <w:spacing w:val="-75"/>
        </w:rPr>
      </w:r>
      <w:r>
        <w:rPr>
          <w:spacing w:val="-2"/>
        </w:rPr>
        <w:t>极作用，支持医疗设备生产企业、医疗机构与租赁公司的合作，支持通过融资租赁方式引进国外先进设备，扩大高端设备进</w:t>
      </w:r>
      <w:r>
        <w:rPr>
          <w:spacing w:val="-39"/>
        </w:rPr>
        <w:t> </w:t>
      </w:r>
      <w:r>
        <w:rPr>
          <w:spacing w:val="-39"/>
        </w:rPr>
      </w:r>
      <w:r>
        <w:rPr/>
        <w:t>口，提升国内技术装备水平。根据中投顾问产业研究中心对</w:t>
      </w:r>
      <w:r>
        <w:rPr>
          <w:rFonts w:ascii="Times New Roman" w:hAnsi="Times New Roman" w:cs="Times New Roman" w:eastAsia="Times New Roman" w:hint="default"/>
        </w:rPr>
        <w:t>2018-2022</w:t>
      </w:r>
      <w:r>
        <w:rPr/>
        <w:t>年中国医疗设备融资租赁市场规模预测，预计未来五</w:t>
      </w:r>
      <w:r>
        <w:rPr>
          <w:spacing w:val="-84"/>
        </w:rPr>
        <w:t> </w:t>
      </w:r>
      <w:r>
        <w:rPr/>
        <w:t>年（</w:t>
      </w:r>
      <w:r>
        <w:rPr>
          <w:rFonts w:ascii="Times New Roman" w:hAnsi="Times New Roman" w:cs="Times New Roman" w:eastAsia="Times New Roman" w:hint="default"/>
        </w:rPr>
        <w:t>2018-2022</w:t>
      </w:r>
      <w:r>
        <w:rPr/>
        <w:t>）年均复合增长率约为</w:t>
      </w:r>
      <w:r>
        <w:rPr>
          <w:rFonts w:ascii="Times New Roman" w:hAnsi="Times New Roman" w:cs="Times New Roman" w:eastAsia="Times New Roman" w:hint="default"/>
        </w:rPr>
        <w:t>15.92%</w:t>
      </w:r>
      <w:r>
        <w:rPr/>
        <w:t>，</w:t>
      </w:r>
      <w:r>
        <w:rPr>
          <w:rFonts w:ascii="Times New Roman" w:hAnsi="Times New Roman" w:cs="Times New Roman" w:eastAsia="Times New Roman" w:hint="default"/>
        </w:rPr>
        <w:t>2022</w:t>
      </w:r>
      <w:r>
        <w:rPr/>
        <w:t>年中国医疗设备融资租赁市场规模将达到</w:t>
      </w:r>
      <w:r>
        <w:rPr>
          <w:rFonts w:ascii="Times New Roman" w:hAnsi="Times New Roman" w:cs="Times New Roman" w:eastAsia="Times New Roman" w:hint="default"/>
        </w:rPr>
        <w:t>2322</w:t>
      </w:r>
      <w:r>
        <w:rPr/>
        <w:t>亿元。</w:t>
      </w:r>
    </w:p>
    <w:p>
      <w:pPr>
        <w:pStyle w:val="BodyText"/>
        <w:spacing w:line="240" w:lineRule="auto" w:before="2"/>
        <w:ind w:right="0"/>
        <w:jc w:val="left"/>
      </w:pPr>
      <w:r>
        <w:rPr>
          <w:rFonts w:ascii="Times New Roman" w:hAnsi="Times New Roman" w:cs="Times New Roman" w:eastAsia="Times New Roman" w:hint="default"/>
        </w:rPr>
        <w:t>5</w:t>
      </w:r>
      <w:r>
        <w:rPr/>
        <w:t>、跨境电商</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0" w:lineRule="auto"/>
        <w:ind w:right="0" w:firstLine="360"/>
        <w:jc w:val="left"/>
      </w:pPr>
      <w:r>
        <w:rPr/>
        <w:t>根据艾媒《</w:t>
      </w:r>
      <w:r>
        <w:rPr>
          <w:rFonts w:ascii="Times New Roman" w:hAnsi="Times New Roman" w:cs="Times New Roman" w:eastAsia="Times New Roman" w:hint="default"/>
        </w:rPr>
        <w:t>2019</w:t>
      </w:r>
      <w:r>
        <w:rPr/>
        <w:t>中国跨境电商发展趋势专题研究报告》数据显示，中国跨境电商交易规模增长迅速，预计在</w:t>
      </w:r>
      <w:r>
        <w:rPr>
          <w:rFonts w:ascii="Times New Roman" w:hAnsi="Times New Roman" w:cs="Times New Roman" w:eastAsia="Times New Roman" w:hint="default"/>
        </w:rPr>
        <w:t>2019</w:t>
      </w:r>
      <w:r>
        <w:rPr/>
        <w:t>年达到 </w:t>
      </w:r>
      <w:r>
        <w:rPr>
          <w:rFonts w:ascii="Times New Roman" w:hAnsi="Times New Roman" w:cs="Times New Roman" w:eastAsia="Times New Roman" w:hint="default"/>
          <w:spacing w:val="-1"/>
        </w:rPr>
        <w:t>10.8</w:t>
      </w:r>
      <w:r>
        <w:rPr>
          <w:spacing w:val="-1"/>
        </w:rPr>
        <w:t>万亿元，在</w:t>
      </w:r>
      <w:r>
        <w:rPr>
          <w:rFonts w:ascii="Times New Roman" w:hAnsi="Times New Roman" w:cs="Times New Roman" w:eastAsia="Times New Roman" w:hint="default"/>
          <w:spacing w:val="-1"/>
        </w:rPr>
        <w:t>2020</w:t>
      </w:r>
      <w:r>
        <w:rPr>
          <w:spacing w:val="-1"/>
        </w:rPr>
        <w:t>年将达到</w:t>
      </w:r>
      <w:r>
        <w:rPr>
          <w:rFonts w:ascii="Times New Roman" w:hAnsi="Times New Roman" w:cs="Times New Roman" w:eastAsia="Times New Roman" w:hint="default"/>
          <w:spacing w:val="-1"/>
        </w:rPr>
        <w:t>12.7</w:t>
      </w:r>
      <w:r>
        <w:rPr>
          <w:spacing w:val="-1"/>
        </w:rPr>
        <w:t>万亿元。目前越来越多商户和平台关注跨境电商领域，行业有望沿</w:t>
      </w:r>
      <w:r>
        <w:rPr>
          <w:rFonts w:ascii="Times New Roman" w:hAnsi="Times New Roman" w:cs="Times New Roman" w:eastAsia="Times New Roman" w:hint="default"/>
          <w:spacing w:val="-1"/>
        </w:rPr>
        <w:t>B2C</w:t>
      </w:r>
      <w:r>
        <w:rPr>
          <w:spacing w:val="-1"/>
        </w:rPr>
        <w:t>电商早期发展轨迹，</w:t>
      </w:r>
      <w:r>
        <w:rPr>
          <w:spacing w:val="-69"/>
        </w:rPr>
        <w:t> </w:t>
      </w:r>
      <w:r>
        <w:rPr>
          <w:spacing w:val="-2"/>
        </w:rPr>
        <w:t>进入快速增长期。随着相关政策法规的完善、市场监管趋严，商家在供应链升级、产品质量保障方面不断进步，跨境电商的</w:t>
      </w:r>
      <w:r>
        <w:rPr>
          <w:spacing w:val="-57"/>
        </w:rPr>
        <w:t> </w:t>
      </w:r>
      <w:r>
        <w:rPr>
          <w:spacing w:val="-57"/>
        </w:rPr>
      </w:r>
      <w:r>
        <w:rPr/>
        <w:t>市场将继续扩大，未来行业仍然保持高速发展的态势。</w:t>
      </w:r>
    </w:p>
    <w:p>
      <w:pPr>
        <w:pStyle w:val="BodyText"/>
        <w:spacing w:line="240" w:lineRule="auto" w:before="34"/>
        <w:ind w:right="0"/>
        <w:jc w:val="left"/>
      </w:pPr>
      <w:r>
        <w:rPr/>
        <w:t>（二）、公司发展战略</w:t>
      </w:r>
    </w:p>
    <w:p>
      <w:pPr>
        <w:pStyle w:val="BodyText"/>
        <w:spacing w:line="309" w:lineRule="auto" w:before="95"/>
        <w:ind w:right="1049" w:firstLine="360"/>
        <w:jc w:val="left"/>
      </w:pPr>
      <w:r>
        <w:rPr/>
        <w:t>公司将根据国家发展战略、产业政策、行业形势以及自身情况，始终坚持</w:t>
      </w:r>
      <w:r>
        <w:rPr>
          <w:rFonts w:ascii="Times New Roman" w:hAnsi="Times New Roman" w:cs="Times New Roman" w:eastAsia="Times New Roman" w:hint="default"/>
        </w:rPr>
        <w:t>“</w:t>
      </w:r>
      <w:r>
        <w:rPr/>
        <w:t>做最贴近客户的供应链管理服务商</w:t>
      </w:r>
      <w:r>
        <w:rPr>
          <w:rFonts w:ascii="Times New Roman" w:hAnsi="Times New Roman" w:cs="Times New Roman" w:eastAsia="Times New Roman" w:hint="default"/>
        </w:rPr>
        <w:t>”</w:t>
      </w:r>
      <w:r>
        <w:rPr/>
        <w:t>的理念， </w:t>
      </w:r>
      <w:r>
        <w:rPr>
          <w:spacing w:val="-2"/>
        </w:rPr>
        <w:t>针对客户痛点，满足客户需求，整合优质资源，为客户创造供应链价值，实现合作共赢；鉴于公司控股股东绿色金控作为集</w:t>
      </w:r>
      <w:r>
        <w:rPr>
          <w:spacing w:val="-57"/>
        </w:rPr>
        <w:t> </w:t>
      </w:r>
      <w:r>
        <w:rPr>
          <w:spacing w:val="-57"/>
        </w:rPr>
      </w:r>
      <w:r>
        <w:rPr>
          <w:spacing w:val="-2"/>
        </w:rPr>
        <w:t>融资和投资于一体、政策性和商业性互补的新型金融服务集团，未来公司将结合控股股东的平台优势及资本市场的平台，通</w:t>
      </w:r>
      <w:r>
        <w:rPr>
          <w:spacing w:val="-68"/>
        </w:rPr>
        <w:t> </w:t>
      </w:r>
      <w:r>
        <w:rPr>
          <w:spacing w:val="-68"/>
        </w:rPr>
      </w:r>
      <w:r>
        <w:rPr>
          <w:spacing w:val="-2"/>
        </w:rPr>
        <w:t>过投资并购、多元化融资等方式，提升市场占有，扩展业务与资源，将供应链管理服务的经验发挥到更多领域，增强公司核</w:t>
      </w:r>
      <w:r>
        <w:rPr>
          <w:spacing w:val="-57"/>
        </w:rPr>
        <w:t> </w:t>
      </w:r>
      <w:r>
        <w:rPr>
          <w:spacing w:val="-57"/>
        </w:rPr>
      </w:r>
      <w:r>
        <w:rPr/>
        <w:t>心竞争力。</w:t>
      </w:r>
    </w:p>
    <w:p>
      <w:pPr>
        <w:pStyle w:val="BodyText"/>
        <w:spacing w:line="240" w:lineRule="auto" w:before="42"/>
        <w:ind w:right="0"/>
        <w:jc w:val="left"/>
      </w:pPr>
      <w:r>
        <w:rPr/>
        <w:t>（三）、公司</w:t>
      </w:r>
      <w:r>
        <w:rPr>
          <w:rFonts w:ascii="Times New Roman" w:hAnsi="Times New Roman" w:cs="Times New Roman" w:eastAsia="Times New Roman" w:hint="default"/>
        </w:rPr>
        <w:t>2020</w:t>
      </w:r>
      <w:r>
        <w:rPr/>
        <w:t>年度经营计划</w:t>
      </w:r>
    </w:p>
    <w:p>
      <w:pPr>
        <w:pStyle w:val="BodyText"/>
        <w:spacing w:line="240" w:lineRule="auto" w:before="66"/>
        <w:ind w:right="0"/>
        <w:jc w:val="left"/>
      </w:pPr>
      <w:r>
        <w:rPr>
          <w:rFonts w:ascii="Times New Roman" w:hAnsi="Times New Roman" w:cs="Times New Roman" w:eastAsia="Times New Roman" w:hint="default"/>
        </w:rPr>
        <w:t>2020</w:t>
      </w:r>
      <w:r>
        <w:rPr/>
        <w:t>年公司各业务板块将延续既定的战略发展目标，保持持续稳健的经营，经营计划主要包括以下内容：</w:t>
      </w:r>
    </w:p>
    <w:p>
      <w:pPr>
        <w:pStyle w:val="BodyText"/>
        <w:spacing w:line="240" w:lineRule="auto" w:before="66"/>
        <w:ind w:right="0"/>
        <w:jc w:val="left"/>
      </w:pPr>
      <w:r>
        <w:rPr>
          <w:rFonts w:ascii="Times New Roman" w:hAnsi="Times New Roman" w:cs="Times New Roman" w:eastAsia="Times New Roman" w:hint="default"/>
        </w:rPr>
        <w:t>1</w:t>
      </w:r>
      <w:r>
        <w:rPr/>
        <w:t>、坚持专业化经营</w:t>
      </w:r>
      <w:r>
        <w:rPr>
          <w:rFonts w:ascii="Times New Roman" w:hAnsi="Times New Roman" w:cs="Times New Roman" w:eastAsia="Times New Roman" w:hint="default"/>
        </w:rPr>
        <w:t>ICT</w:t>
      </w:r>
      <w:r>
        <w:rPr/>
        <w:t>及医疗事业供应链服务，促进核心业务做大做强</w:t>
      </w:r>
    </w:p>
    <w:p>
      <w:pPr>
        <w:pStyle w:val="BodyText"/>
        <w:spacing w:line="300" w:lineRule="auto" w:before="51"/>
        <w:ind w:right="1142" w:firstLine="360"/>
        <w:jc w:val="both"/>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ICT</w:t>
      </w:r>
      <w:r>
        <w:rPr/>
        <w:t>行业供应链管理业务目前主要专注于移动智能终端、互联网设备、</w:t>
      </w:r>
      <w:r>
        <w:rPr>
          <w:rFonts w:ascii="Times New Roman" w:hAnsi="Times New Roman" w:cs="Times New Roman" w:eastAsia="Times New Roman" w:hint="default"/>
        </w:rPr>
        <w:t>PC</w:t>
      </w:r>
      <w:r>
        <w:rPr/>
        <w:t>及其周边产品等，主要服务的产 品类型集中在智能手机、智能电视、智能硬件、可穿戴设备、安防监控等领域。</w:t>
      </w:r>
      <w:r>
        <w:rPr>
          <w:rFonts w:ascii="Times New Roman" w:hAnsi="Times New Roman" w:cs="Times New Roman" w:eastAsia="Times New Roman" w:hint="default"/>
        </w:rPr>
        <w:t>5G</w:t>
      </w:r>
      <w:r>
        <w:rPr/>
        <w:t>开启的万物互联新时代，将带来众多应</w:t>
      </w:r>
      <w:r>
        <w:rPr>
          <w:spacing w:val="-79"/>
        </w:rPr>
        <w:t> </w:t>
      </w:r>
      <w:r>
        <w:rPr/>
        <w:t>用终端更迭的需求，成为</w:t>
      </w:r>
      <w:r>
        <w:rPr>
          <w:rFonts w:ascii="Times New Roman" w:hAnsi="Times New Roman" w:cs="Times New Roman" w:eastAsia="Times New Roman" w:hint="default"/>
        </w:rPr>
        <w:t>ICT</w:t>
      </w:r>
      <w:r>
        <w:rPr/>
        <w:t>行业长期增长引擎，未来市场前景广阔。公司作为</w:t>
      </w:r>
      <w:r>
        <w:rPr>
          <w:rFonts w:ascii="Times New Roman" w:hAnsi="Times New Roman" w:cs="Times New Roman" w:eastAsia="Times New Roman" w:hint="default"/>
        </w:rPr>
        <w:t>ICT</w:t>
      </w:r>
      <w:r>
        <w:rPr/>
        <w:t>领域供应链的优质整合者，将凭借专业</w:t>
      </w:r>
      <w:r>
        <w:rPr>
          <w:spacing w:val="-65"/>
        </w:rPr>
        <w:t> </w:t>
      </w:r>
      <w:r>
        <w:rPr/>
        <w:t>的供应链管理服务优势，面对行业的变革，抓住市场机遇，推动公司业务实现强劲的内生增长。</w:t>
      </w:r>
    </w:p>
    <w:p>
      <w:pPr>
        <w:pStyle w:val="BodyText"/>
        <w:spacing w:line="300" w:lineRule="auto" w:before="49"/>
        <w:ind w:right="1102" w:firstLine="360"/>
        <w:jc w:val="both"/>
      </w:pPr>
      <w:r>
        <w:rPr/>
        <w:t>（</w:t>
      </w:r>
      <w:r>
        <w:rPr>
          <w:rFonts w:ascii="Times New Roman" w:hAnsi="Times New Roman" w:cs="Times New Roman" w:eastAsia="Times New Roman" w:hint="default"/>
        </w:rPr>
        <w:t>2</w:t>
      </w:r>
      <w:r>
        <w:rPr/>
        <w:t>）、公司目前已与众多名列前茅的国际知名医疗器械厂商建立了战略的合作关系，并凭借着这一重要服务优势成功 </w:t>
      </w:r>
      <w:r>
        <w:rPr>
          <w:spacing w:val="-1"/>
        </w:rPr>
        <w:t>开拓了医疗器械领域的供应链管理服务。随着</w:t>
      </w:r>
      <w:r>
        <w:rPr>
          <w:rFonts w:ascii="Times New Roman" w:hAnsi="Times New Roman" w:cs="Times New Roman" w:eastAsia="Times New Roman" w:hint="default"/>
          <w:spacing w:val="-1"/>
        </w:rPr>
        <w:t>“</w:t>
      </w:r>
      <w:r>
        <w:rPr>
          <w:spacing w:val="-1"/>
        </w:rPr>
        <w:t>两票制</w:t>
      </w:r>
      <w:r>
        <w:rPr>
          <w:rFonts w:ascii="Times New Roman" w:hAnsi="Times New Roman" w:cs="Times New Roman" w:eastAsia="Times New Roman" w:hint="default"/>
          <w:spacing w:val="-1"/>
        </w:rPr>
        <w:t>”</w:t>
      </w:r>
      <w:r>
        <w:rPr>
          <w:spacing w:val="-1"/>
        </w:rPr>
        <w:t>的推行，医疗器械流通环节势必将变革为核心的产业链上下游的相互</w:t>
      </w:r>
      <w:r>
        <w:rPr>
          <w:spacing w:val="-88"/>
        </w:rPr>
        <w:t> </w:t>
      </w:r>
      <w:r>
        <w:rPr>
          <w:spacing w:val="-88"/>
        </w:rPr>
      </w:r>
      <w:r>
        <w:rPr>
          <w:spacing w:val="-2"/>
        </w:rPr>
        <w:t>延伸、渗透，供应链管理的价值也将会更加凸显。在新的政策环境和行业变革下，公司将以多年在医疗器械行业供应链管理</w:t>
      </w:r>
      <w:r>
        <w:rPr>
          <w:spacing w:val="-39"/>
        </w:rPr>
        <w:t> </w:t>
      </w:r>
      <w:r>
        <w:rPr>
          <w:spacing w:val="-39"/>
        </w:rPr>
      </w:r>
      <w:r>
        <w:rPr/>
        <w:t>积累的经验及优势，有效整合市场资源，加大力度拓展国内医疗器械行业市场份额。</w:t>
      </w:r>
    </w:p>
    <w:p>
      <w:pPr>
        <w:pStyle w:val="BodyText"/>
        <w:spacing w:line="290" w:lineRule="auto" w:before="49"/>
        <w:ind w:left="501" w:right="0" w:hanging="361"/>
        <w:jc w:val="left"/>
      </w:pPr>
      <w:r>
        <w:rPr>
          <w:rFonts w:ascii="Times New Roman" w:hAnsi="Times New Roman" w:cs="Times New Roman" w:eastAsia="Times New Roman" w:hint="default"/>
        </w:rPr>
        <w:t>2</w:t>
      </w:r>
      <w:r>
        <w:rPr/>
        <w:t>、逐步推进医疗器械融资租赁领域布局，提升融资租赁业务规模 </w:t>
      </w:r>
      <w:r>
        <w:rPr>
          <w:spacing w:val="-2"/>
        </w:rPr>
        <w:t>随着国内大型医疗器械更新换代的速度加快，更多的医院、诊所、诊疗中心等医疗构的资金压力日益加大，融资需求更</w:t>
      </w:r>
    </w:p>
    <w:p>
      <w:pPr>
        <w:pStyle w:val="BodyText"/>
        <w:spacing w:line="326" w:lineRule="auto" w:before="27"/>
        <w:ind w:right="0"/>
        <w:jc w:val="left"/>
      </w:pPr>
      <w:r>
        <w:rPr>
          <w:spacing w:val="-2"/>
        </w:rPr>
        <w:t>为迫切，而医疗器械的融资租赁解决了医疗机构急需引进医疗设备而苦于短期资金缺乏的棘手问题，合理配置了医疗机构资</w:t>
      </w:r>
      <w:r>
        <w:rPr>
          <w:spacing w:val="-72"/>
        </w:rPr>
        <w:t> </w:t>
      </w:r>
      <w:r>
        <w:rPr>
          <w:spacing w:val="-72"/>
        </w:rPr>
      </w:r>
      <w:r>
        <w:rPr>
          <w:spacing w:val="-2"/>
        </w:rPr>
        <w:t>金资源，公司看好医疗器械融资租赁的行业前景。在当前金融监管环境趋严且竞争加剧情况下，公司通过重新组建融资租赁</w:t>
      </w:r>
      <w:r>
        <w:rPr>
          <w:spacing w:val="-65"/>
        </w:rPr>
        <w:t> </w:t>
      </w:r>
      <w:r>
        <w:rPr>
          <w:spacing w:val="-65"/>
        </w:rPr>
      </w:r>
      <w:r>
        <w:rPr/>
        <w:t>团队，引进高素质人才，增强运营能力，将风险把控严格落实到全流程各环节，稳步推进融资租赁的发展步伐。 </w:t>
      </w:r>
      <w:r>
        <w:rPr>
          <w:rFonts w:ascii="Times New Roman" w:hAnsi="Times New Roman" w:cs="Times New Roman" w:eastAsia="Times New Roman" w:hint="default"/>
        </w:rPr>
        <w:t>3</w:t>
      </w:r>
      <w:r>
        <w:rPr/>
        <w:t>、深耕跨境电商业务，稳步推进跨境电商服务平台建设</w:t>
      </w:r>
    </w:p>
    <w:p>
      <w:pPr>
        <w:pStyle w:val="BodyText"/>
        <w:spacing w:line="215" w:lineRule="exact" w:before="0"/>
        <w:ind w:left="501" w:right="0"/>
        <w:jc w:val="left"/>
      </w:pPr>
      <w:r>
        <w:rPr>
          <w:spacing w:val="-4"/>
        </w:rPr>
        <w:t>未来公司将发挥进出口业务的专业优势，顺应跨境电商发展趋势，继续深耕境内外重点客户，持续推动业务体量的增长，</w:t>
      </w:r>
    </w:p>
    <w:p>
      <w:pPr>
        <w:pStyle w:val="BodyText"/>
        <w:spacing w:line="240" w:lineRule="auto" w:before="64"/>
        <w:ind w:right="0"/>
        <w:jc w:val="left"/>
      </w:pPr>
      <w:r>
        <w:rPr/>
        <w:t>实现跨境电商业务的稳步增长，并加强内部体系和业务的精细化管理，稳步推进跨境电商服务平台建设。</w:t>
      </w:r>
    </w:p>
    <w:p>
      <w:pPr>
        <w:pStyle w:val="BodyText"/>
        <w:spacing w:line="288" w:lineRule="auto" w:before="95"/>
        <w:ind w:left="501" w:right="1081" w:hanging="361"/>
        <w:jc w:val="left"/>
      </w:pPr>
      <w:r>
        <w:rPr>
          <w:rFonts w:ascii="Times New Roman" w:hAnsi="Times New Roman" w:cs="Times New Roman" w:eastAsia="Times New Roman" w:hint="default"/>
        </w:rPr>
        <w:t>4</w:t>
      </w:r>
      <w:r>
        <w:rPr/>
        <w:t>、借助国有平台拓展业务空间，提升公司整体业务规模 </w:t>
      </w:r>
      <w:r>
        <w:rPr>
          <w:spacing w:val="-1"/>
        </w:rPr>
        <w:t>公司控股股东绿色金控主营业务为投资、基金管理、保理和资产管理等。在法律许可和业务独立的基础上，绿色金控将</w:t>
      </w:r>
    </w:p>
    <w:p>
      <w:pPr>
        <w:pStyle w:val="BodyText"/>
        <w:spacing w:line="316" w:lineRule="auto"/>
        <w:ind w:right="1106"/>
        <w:jc w:val="both"/>
      </w:pPr>
      <w:r>
        <w:rPr>
          <w:spacing w:val="-2"/>
        </w:rPr>
        <w:t>为公司在资金及业务规模等方面提供强大支持。借助及整合国有资本平台的资源优势，公司的授信规模及融资能力将得到大</w:t>
      </w:r>
      <w:r>
        <w:rPr>
          <w:spacing w:val="-72"/>
        </w:rPr>
        <w:t> </w:t>
      </w:r>
      <w:r>
        <w:rPr>
          <w:spacing w:val="-72"/>
        </w:rPr>
      </w:r>
      <w:r>
        <w:rPr>
          <w:spacing w:val="-2"/>
        </w:rPr>
        <w:t>幅提升；公司也将依托绿色金控的产业资源，优势互补，积极拓展供应链管理外包业务，公司子公司广州普路通已与广州市</w:t>
      </w:r>
      <w:r>
        <w:rPr>
          <w:spacing w:val="-42"/>
        </w:rPr>
        <w:t> </w:t>
      </w:r>
      <w:r>
        <w:rPr>
          <w:spacing w:val="-42"/>
        </w:rPr>
      </w:r>
      <w:r>
        <w:rPr>
          <w:spacing w:val="-2"/>
        </w:rPr>
        <w:t>广百物流有限公司等客户开展国内供应链管理业务；依托绿色金控的产业优势，结合公司自身业务需求，积极探索及开展供</w:t>
      </w:r>
      <w:r>
        <w:rPr>
          <w:spacing w:val="-75"/>
        </w:rPr>
        <w:t> </w:t>
      </w:r>
      <w:r>
        <w:rPr>
          <w:spacing w:val="-75"/>
        </w:rPr>
      </w:r>
      <w:r>
        <w:rPr/>
        <w:t>应链金融服务，提升公司盈利能力。</w:t>
      </w:r>
    </w:p>
    <w:p>
      <w:pPr>
        <w:pStyle w:val="BodyText"/>
        <w:spacing w:line="240" w:lineRule="auto" w:before="37"/>
        <w:ind w:right="0"/>
        <w:jc w:val="left"/>
        <w:rPr>
          <w:rFonts w:ascii="Times New Roman" w:hAnsi="Times New Roman" w:cs="Times New Roman" w:eastAsia="Times New Roman" w:hint="default"/>
        </w:rPr>
      </w:pPr>
      <w:r>
        <w:rPr>
          <w:rFonts w:ascii="Times New Roman" w:hAnsi="Times New Roman" w:cs="Times New Roman" w:eastAsia="Times New Roman" w:hint="default"/>
        </w:rPr>
        <w:t>5</w:t>
      </w:r>
      <w:r>
        <w:rPr/>
        <w:t>、整个资源构建全球化体系，持续推进全球交付平台的布局，实现</w:t>
      </w:r>
      <w:r>
        <w:rPr>
          <w:rFonts w:ascii="Times New Roman" w:hAnsi="Times New Roman" w:cs="Times New Roman" w:eastAsia="Times New Roman" w:hint="default"/>
        </w:rPr>
        <w:t>“</w:t>
      </w:r>
      <w:r>
        <w:rPr/>
        <w:t>没有做不到的交付</w:t>
      </w:r>
      <w:r>
        <w:rPr>
          <w:rFonts w:ascii="Times New Roman" w:hAnsi="Times New Roman" w:cs="Times New Roman" w:eastAsia="Times New Roman" w:hint="default"/>
        </w:rPr>
        <w:t>”</w:t>
      </w:r>
    </w:p>
    <w:p>
      <w:pPr>
        <w:pStyle w:val="BodyText"/>
        <w:spacing w:line="321" w:lineRule="auto" w:before="51"/>
        <w:ind w:right="1106" w:firstLine="360"/>
        <w:jc w:val="both"/>
      </w:pPr>
      <w:r>
        <w:rPr>
          <w:spacing w:val="-2"/>
        </w:rPr>
        <w:t>全球交付平台作为公司长远战略规划中的重要一环，公司将在保持业务稳健经营的情况下，逐步实施全国范围内交付中</w:t>
      </w:r>
      <w:r>
        <w:rPr/>
        <w:t> </w:t>
      </w:r>
      <w:r>
        <w:rPr>
          <w:spacing w:val="-2"/>
        </w:rPr>
        <w:t>心的建立，同时也将随大客户国际化的发展脚步，在国外建立交付中心，向大客户提供服务的同时，拓展和延伸当地的资源</w:t>
      </w:r>
      <w:r>
        <w:rPr>
          <w:spacing w:val="-42"/>
        </w:rPr>
        <w:t> </w:t>
      </w:r>
      <w:r>
        <w:rPr>
          <w:spacing w:val="-42"/>
        </w:rPr>
      </w:r>
      <w:r>
        <w:rPr/>
        <w:t>及客户，并逐步复制成熟的行业经验，最终完善全球交付的战略布局，实现</w:t>
      </w:r>
      <w:r>
        <w:rPr>
          <w:rFonts w:ascii="Times New Roman" w:hAnsi="Times New Roman" w:cs="Times New Roman" w:eastAsia="Times New Roman" w:hint="default"/>
        </w:rPr>
        <w:t>“</w:t>
      </w:r>
      <w:r>
        <w:rPr/>
        <w:t>没有做不到的交付</w:t>
      </w:r>
      <w:r>
        <w:rPr>
          <w:rFonts w:ascii="Times New Roman" w:hAnsi="Times New Roman" w:cs="Times New Roman" w:eastAsia="Times New Roman" w:hint="default"/>
        </w:rPr>
        <w:t>”</w:t>
      </w:r>
      <w:r>
        <w:rPr/>
        <w:t>。</w:t>
      </w:r>
    </w:p>
    <w:p>
      <w:pPr>
        <w:pStyle w:val="BodyText"/>
        <w:spacing w:line="219" w:lineRule="exact" w:before="0"/>
        <w:ind w:right="0"/>
        <w:jc w:val="left"/>
      </w:pPr>
      <w:r>
        <w:rPr/>
        <w:t>（四）、可能面对的风险</w:t>
      </w:r>
    </w:p>
    <w:p>
      <w:pPr>
        <w:pStyle w:val="BodyText"/>
        <w:spacing w:line="240" w:lineRule="auto" w:before="95"/>
        <w:ind w:right="0"/>
        <w:jc w:val="left"/>
      </w:pPr>
      <w:r>
        <w:rPr>
          <w:rFonts w:ascii="Times New Roman" w:hAnsi="Times New Roman" w:cs="Times New Roman" w:eastAsia="Times New Roman" w:hint="default"/>
        </w:rPr>
        <w:t>1</w:t>
      </w:r>
      <w:r>
        <w:rPr/>
        <w:t>、宏观经济风险</w:t>
      </w:r>
    </w:p>
    <w:p>
      <w:pPr>
        <w:pStyle w:val="BodyText"/>
        <w:spacing w:line="297" w:lineRule="auto" w:before="66"/>
        <w:ind w:right="0" w:firstLine="360"/>
        <w:jc w:val="left"/>
      </w:pPr>
      <w:r>
        <w:rPr>
          <w:rFonts w:ascii="Times New Roman" w:hAnsi="Times New Roman" w:cs="Times New Roman" w:eastAsia="Times New Roman" w:hint="default"/>
          <w:spacing w:val="-2"/>
        </w:rPr>
        <w:t>2020</w:t>
      </w:r>
      <w:r>
        <w:rPr>
          <w:spacing w:val="-2"/>
        </w:rPr>
        <w:t>年初新型冠状病毒肺炎疫情爆发以来，疫情形势扩散严峻，疫情期间全球需求阶段性下降，且疫情结束后社会经济</w:t>
      </w:r>
      <w:r>
        <w:rPr/>
        <w:t> </w:t>
      </w:r>
      <w:r>
        <w:rPr>
          <w:spacing w:val="-4"/>
        </w:rPr>
        <w:t>活动的恢复情况无法预计。公司面临因客户需求递延或减少而导致业务量下降的风险。公司将积极应对疫情带来的不利影响，</w:t>
      </w:r>
      <w:r>
        <w:rPr>
          <w:spacing w:val="-50"/>
        </w:rPr>
        <w:t> </w:t>
      </w:r>
      <w:r>
        <w:rPr>
          <w:spacing w:val="-50"/>
        </w:rPr>
      </w:r>
      <w:r>
        <w:rPr/>
        <w:t>全力做好客户维护，优化内部管理，降低运营成本，尽力降低疫情对公司的影响。</w:t>
      </w:r>
    </w:p>
    <w:p>
      <w:pPr>
        <w:spacing w:after="0" w:line="297"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ind w:left="501" w:right="0" w:hanging="361"/>
        <w:jc w:val="left"/>
      </w:pPr>
      <w:r>
        <w:rPr>
          <w:rFonts w:ascii="Times New Roman" w:hAnsi="Times New Roman" w:cs="Times New Roman" w:eastAsia="Times New Roman" w:hint="default"/>
        </w:rPr>
        <w:t>2</w:t>
      </w:r>
      <w:r>
        <w:rPr/>
        <w:t>、对</w:t>
      </w:r>
      <w:r>
        <w:rPr>
          <w:rFonts w:ascii="Times New Roman" w:hAnsi="Times New Roman" w:cs="Times New Roman" w:eastAsia="Times New Roman" w:hint="default"/>
        </w:rPr>
        <w:t>ICT</w:t>
      </w:r>
      <w:r>
        <w:rPr/>
        <w:t>行业的依赖的风险</w:t>
      </w:r>
      <w:r>
        <w:rPr>
          <w:spacing w:val="-80"/>
        </w:rPr>
        <w:t> </w:t>
      </w:r>
      <w:r>
        <w:rPr>
          <w:spacing w:val="-2"/>
        </w:rPr>
        <w:t>公司作为第三方服务平台，接受客户的委托，为其提供定向、定量、定价进行采购或销售的供应链管理服务，不承担库</w:t>
      </w:r>
    </w:p>
    <w:p>
      <w:pPr>
        <w:pStyle w:val="BodyText"/>
        <w:spacing w:line="321" w:lineRule="auto"/>
        <w:ind w:right="0"/>
        <w:jc w:val="left"/>
      </w:pPr>
      <w:r>
        <w:rPr>
          <w:spacing w:val="-4"/>
        </w:rPr>
        <w:t>存风险、跌价风险、质量风险、由汇率波动因素导致的风险。所以公司有轻资产、快周转的服务属性，属于风险较低的行业，</w:t>
      </w:r>
      <w:r>
        <w:rPr>
          <w:spacing w:val="-56"/>
        </w:rPr>
        <w:t> </w:t>
      </w:r>
      <w:r>
        <w:rPr>
          <w:spacing w:val="-56"/>
        </w:rPr>
      </w:r>
      <w:r>
        <w:rPr/>
        <w:t>但仍存在因</w:t>
      </w:r>
      <w:r>
        <w:rPr>
          <w:rFonts w:ascii="Times New Roman" w:hAnsi="Times New Roman" w:cs="Times New Roman" w:eastAsia="Times New Roman" w:hint="default"/>
        </w:rPr>
        <w:t>ICT</w:t>
      </w:r>
      <w:r>
        <w:rPr/>
        <w:t>行业景气程度波动而对公司盈利造成影响的风险。</w:t>
      </w:r>
    </w:p>
    <w:p>
      <w:pPr>
        <w:pStyle w:val="BodyText"/>
        <w:spacing w:line="290" w:lineRule="auto" w:before="0"/>
        <w:ind w:left="501" w:right="1133" w:hanging="361"/>
        <w:jc w:val="left"/>
      </w:pPr>
      <w:r>
        <w:rPr>
          <w:rFonts w:ascii="Times New Roman" w:hAnsi="Times New Roman" w:cs="Times New Roman" w:eastAsia="Times New Roman" w:hint="default"/>
        </w:rPr>
        <w:t>3</w:t>
      </w:r>
      <w:r>
        <w:rPr/>
        <w:t>、汇率波动风险 </w:t>
      </w:r>
      <w:r>
        <w:rPr>
          <w:spacing w:val="-2"/>
        </w:rPr>
        <w:t>公司在为客户提供供应链管理服务时，涉及大量境外采购的外汇支付业务，存在汇率波动风险，因此公司通过购买银行</w:t>
      </w:r>
    </w:p>
    <w:p>
      <w:pPr>
        <w:pStyle w:val="BodyText"/>
        <w:spacing w:line="321" w:lineRule="auto" w:before="41"/>
        <w:ind w:right="0"/>
        <w:jc w:val="left"/>
      </w:pPr>
      <w:r>
        <w:rPr>
          <w:spacing w:val="-2"/>
        </w:rPr>
        <w:t>推出的无风险、固定收益的组合售汇产品完成外币货款支付。组合售汇产品在公司签订远期外汇合约进行汇率锁定情况下并</w:t>
      </w:r>
      <w:r>
        <w:rPr>
          <w:spacing w:val="-70"/>
        </w:rPr>
        <w:t> </w:t>
      </w:r>
      <w:r>
        <w:rPr>
          <w:spacing w:val="-70"/>
        </w:rPr>
      </w:r>
      <w:r>
        <w:rPr/>
        <w:t>不存在亏损风险，但仍然存在极端市场情况下交易流动性不足、法律法规变化等风险。</w:t>
      </w:r>
    </w:p>
    <w:p>
      <w:pPr>
        <w:pStyle w:val="BodyText"/>
        <w:spacing w:line="290" w:lineRule="auto" w:before="18"/>
        <w:ind w:left="501" w:right="1091" w:hanging="361"/>
        <w:jc w:val="left"/>
      </w:pPr>
      <w:r>
        <w:rPr>
          <w:rFonts w:ascii="Times New Roman" w:hAnsi="Times New Roman" w:cs="Times New Roman" w:eastAsia="Times New Roman" w:hint="default"/>
        </w:rPr>
        <w:t>4</w:t>
      </w:r>
      <w:r>
        <w:rPr/>
        <w:t>、应收账款的风险 </w:t>
      </w:r>
      <w:r>
        <w:rPr>
          <w:spacing w:val="-2"/>
        </w:rPr>
        <w:t>公司作为轻资产公司，虽然为客户提供了定向、定量、定价采购或销售服务，但一般并不会为客户垫付货款。公司集中</w:t>
      </w:r>
    </w:p>
    <w:p>
      <w:pPr>
        <w:pStyle w:val="BodyText"/>
        <w:spacing w:line="321" w:lineRule="auto" w:before="41"/>
        <w:ind w:right="0"/>
        <w:jc w:val="left"/>
      </w:pPr>
      <w:r>
        <w:rPr>
          <w:spacing w:val="-2"/>
        </w:rPr>
        <w:t>精力发展的客户均是上市公司或行业的龙头企业，其需求往往是对供应链的改善、效率的提高、成本的降低等。但仍存在因</w:t>
      </w:r>
      <w:r>
        <w:rPr>
          <w:spacing w:val="-42"/>
        </w:rPr>
        <w:t> </w:t>
      </w:r>
      <w:r>
        <w:rPr>
          <w:spacing w:val="-42"/>
        </w:rPr>
      </w:r>
      <w:r>
        <w:rPr/>
        <w:t>客户自身经营不善，应收账款无法收回的风险。</w:t>
      </w:r>
    </w:p>
    <w:p>
      <w:pPr>
        <w:pStyle w:val="BodyText"/>
        <w:spacing w:line="273" w:lineRule="auto" w:before="34"/>
        <w:ind w:left="501" w:right="1091" w:hanging="361"/>
        <w:jc w:val="left"/>
      </w:pPr>
      <w:r>
        <w:rPr>
          <w:rFonts w:ascii="Times New Roman" w:hAnsi="Times New Roman" w:cs="Times New Roman" w:eastAsia="Times New Roman" w:hint="default"/>
        </w:rPr>
        <w:t>5</w:t>
      </w:r>
      <w:r>
        <w:rPr/>
        <w:t>、人才流失的风险 </w:t>
      </w:r>
      <w:r>
        <w:rPr>
          <w:spacing w:val="-2"/>
        </w:rPr>
        <w:t>公司作为专业的供应链管理服务公司，整合知识与资源、设计出最好的供应链服务方案是公司的专业性所在，因此核心</w:t>
      </w:r>
    </w:p>
    <w:p>
      <w:pPr>
        <w:pStyle w:val="BodyText"/>
        <w:spacing w:line="321" w:lineRule="auto" w:before="55"/>
        <w:ind w:right="0"/>
        <w:jc w:val="left"/>
      </w:pPr>
      <w:r>
        <w:rPr>
          <w:spacing w:val="-2"/>
        </w:rPr>
        <w:t>技术人员和管理人员也是公司最重要的资源之一。如果公司不能建立长期稳定、持续进步的人才体系，公司仍然存在因人才</w:t>
      </w:r>
      <w:r>
        <w:rPr>
          <w:spacing w:val="-75"/>
        </w:rPr>
        <w:t> </w:t>
      </w:r>
      <w:r>
        <w:rPr>
          <w:spacing w:val="-75"/>
        </w:rPr>
      </w:r>
      <w:r>
        <w:rPr/>
        <w:t>流失而影响导公司经营业绩的风险。</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公司报告期内未发生接待调研、沟通、采访等活动。</w:t>
      </w:r>
    </w:p>
    <w:p>
      <w:pPr>
        <w:spacing w:after="0" w:line="319"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871" w:right="2854"/>
        <w:jc w:val="center"/>
        <w:rPr>
          <w:b w:val="0"/>
          <w:bCs w:val="0"/>
        </w:rPr>
      </w:pPr>
      <w:bookmarkStart w:name="第五节重要事项" w:id="59"/>
      <w:bookmarkEnd w:id="59"/>
      <w:r>
        <w:rPr>
          <w:b w:val="0"/>
          <w:bCs w:val="0"/>
        </w:rPr>
      </w:r>
      <w:bookmarkStart w:name="_bookmark4" w:id="60"/>
      <w:bookmarkEnd w:id="60"/>
      <w:r>
        <w:rPr>
          <w:b w:val="0"/>
          <w:bCs w:val="0"/>
        </w:rPr>
      </w:r>
      <w:r>
        <w:rPr>
          <w:spacing w:val="5"/>
        </w:rPr>
        <w:t>第五节重要事项</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both"/>
      </w:pPr>
      <w:r>
        <w:rPr/>
        <w:t>报告期内普通股利润分配政策，特别是现金分红政策的制定、执行或调整情况</w:t>
      </w:r>
    </w:p>
    <w:p>
      <w:pPr>
        <w:pStyle w:val="BodyText"/>
        <w:spacing w:line="240" w:lineRule="auto" w:before="12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02" w:lineRule="auto" w:before="111"/>
        <w:ind w:right="1098"/>
        <w:jc w:val="both"/>
      </w:pPr>
      <w:r>
        <w:rPr/>
        <w:t>公司根据相关法律法规要求，结合公司实际情况，制定了《公司三年（</w:t>
      </w:r>
      <w:r>
        <w:rPr>
          <w:rFonts w:ascii="Times New Roman" w:hAnsi="Times New Roman" w:cs="Times New Roman" w:eastAsia="Times New Roman" w:hint="default"/>
        </w:rPr>
        <w:t>2018-2020</w:t>
      </w:r>
      <w:r>
        <w:rPr>
          <w:rFonts w:ascii="Times New Roman" w:hAnsi="Times New Roman" w:cs="Times New Roman" w:eastAsia="Times New Roman" w:hint="default"/>
          <w:spacing w:val="21"/>
        </w:rPr>
        <w:t> </w:t>
      </w:r>
      <w:r>
        <w:rPr/>
        <w:t>年）股东回报规划》，该规划已经公司第 四届董事会第三次会议、第四届监事会第三次会议及公司</w:t>
      </w:r>
      <w:r>
        <w:rPr>
          <w:rFonts w:ascii="Times New Roman" w:hAnsi="Times New Roman" w:cs="Times New Roman" w:eastAsia="Times New Roman" w:hint="default"/>
        </w:rPr>
        <w:t>2019</w:t>
      </w:r>
      <w:r>
        <w:rPr/>
        <w:t>年第一次临时股东大会审议通过，具体内容详见公司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35"/>
        </w:rPr>
        <w:t> </w:t>
      </w:r>
      <w:r>
        <w:rPr/>
        <w:t>月</w:t>
      </w:r>
      <w:r>
        <w:rPr>
          <w:rFonts w:ascii="Times New Roman" w:hAnsi="Times New Roman" w:cs="Times New Roman" w:eastAsia="Times New Roman" w:hint="default"/>
        </w:rPr>
        <w:t>11</w:t>
      </w:r>
      <w:r>
        <w:rPr/>
        <w:t>日刊登于巨潮资讯网（</w:t>
      </w:r>
      <w:hyperlink r:id="rId11">
        <w:r>
          <w:rPr>
            <w:rFonts w:ascii="Times New Roman" w:hAnsi="Times New Roman" w:cs="Times New Roman" w:eastAsia="Times New Roman" w:hint="default"/>
          </w:rPr>
          <w:t>www.cninfo.com.cn</w:t>
        </w:r>
      </w:hyperlink>
      <w:r>
        <w:rPr/>
        <w:t>）的《公司三年（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年）股东回报规划》。</w:t>
      </w: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398"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23"/>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13"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29"/>
              <w:ind w:left="7"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29"/>
              <w:ind w:left="7"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ind w:right="0"/>
        <w:jc w:val="left"/>
      </w:pPr>
      <w:r>
        <w:rPr/>
        <w:t>公司近</w:t>
      </w:r>
      <w:r>
        <w:rPr>
          <w:spacing w:val="-45"/>
        </w:rPr>
        <w:t> </w:t>
      </w:r>
      <w:r>
        <w:rPr>
          <w:rFonts w:ascii="Times New Roman" w:hAnsi="Times New Roman" w:cs="Times New Roman" w:eastAsia="Times New Roman" w:hint="default"/>
        </w:rPr>
        <w:t>3 </w:t>
      </w:r>
      <w:r>
        <w:rPr/>
        <w:t>年（包括本报告期）的普通股股利分配方案（预案</w:t>
      </w:r>
      <w:r>
        <w:rPr>
          <w:spacing w:val="-90"/>
        </w:rPr>
        <w:t>）</w:t>
      </w:r>
      <w:r>
        <w:rPr/>
        <w:t>、资本公积金转增股本方案（预案）情况</w:t>
      </w:r>
    </w:p>
    <w:p>
      <w:pPr>
        <w:pStyle w:val="BodyText"/>
        <w:spacing w:line="240" w:lineRule="auto" w:before="96"/>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年度利润分配方案为：以公司现有总股本</w:t>
      </w:r>
      <w:r>
        <w:rPr>
          <w:rFonts w:ascii="Times New Roman" w:hAnsi="Times New Roman" w:cs="Times New Roman" w:eastAsia="Times New Roman" w:hint="default"/>
        </w:rPr>
        <w:t>376,513,608</w:t>
      </w:r>
      <w:r>
        <w:rPr/>
        <w:t>股为基数，向全体股东每</w:t>
      </w:r>
      <w:r>
        <w:rPr>
          <w:rFonts w:ascii="Times New Roman" w:hAnsi="Times New Roman" w:cs="Times New Roman" w:eastAsia="Times New Roman" w:hint="default"/>
        </w:rPr>
        <w:t>10</w:t>
      </w:r>
      <w:r>
        <w:rPr/>
        <w:t>股派发</w:t>
      </w:r>
      <w:r>
        <w:rPr>
          <w:rFonts w:ascii="Times New Roman" w:hAnsi="Times New Roman" w:cs="Times New Roman" w:eastAsia="Times New Roman" w:hint="default"/>
        </w:rPr>
        <w:t>0.33</w:t>
      </w:r>
      <w:r>
        <w:rPr/>
        <w:t>元人民币现金（含税）。</w:t>
      </w:r>
    </w:p>
    <w:p>
      <w:pPr>
        <w:pStyle w:val="BodyText"/>
        <w:spacing w:line="240" w:lineRule="auto" w:before="66"/>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年度利润分配预案为：以公司现有总股本</w:t>
      </w:r>
      <w:r>
        <w:rPr>
          <w:rFonts w:ascii="Times New Roman" w:hAnsi="Times New Roman" w:cs="Times New Roman" w:eastAsia="Times New Roman" w:hint="default"/>
        </w:rPr>
        <w:t>373,318,054</w:t>
      </w:r>
      <w:r>
        <w:rPr/>
        <w:t>股为基数，向全体股东每</w:t>
      </w:r>
      <w:r>
        <w:rPr>
          <w:rFonts w:ascii="Times New Roman" w:hAnsi="Times New Roman" w:cs="Times New Roman" w:eastAsia="Times New Roman" w:hint="default"/>
        </w:rPr>
        <w:t>10</w:t>
      </w:r>
      <w:r>
        <w:rPr/>
        <w:t>股派发</w:t>
      </w:r>
      <w:r>
        <w:rPr>
          <w:rFonts w:ascii="Times New Roman" w:hAnsi="Times New Roman" w:cs="Times New Roman" w:eastAsia="Times New Roman" w:hint="default"/>
        </w:rPr>
        <w:t>0.47</w:t>
      </w:r>
      <w:r>
        <w:rPr/>
        <w:t>元人民币现金（含税）。</w:t>
      </w:r>
    </w:p>
    <w:p>
      <w:pPr>
        <w:pStyle w:val="BodyText"/>
        <w:spacing w:line="333" w:lineRule="auto" w:before="66"/>
        <w:ind w:right="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年度利润分配预案为：以公司现有总股本</w:t>
      </w:r>
      <w:r>
        <w:rPr>
          <w:rFonts w:ascii="Times New Roman" w:hAnsi="Times New Roman" w:cs="Times New Roman" w:eastAsia="Times New Roman" w:hint="default"/>
          <w:spacing w:val="-1"/>
        </w:rPr>
        <w:t>373,318,054</w:t>
      </w:r>
      <w:r>
        <w:rPr>
          <w:spacing w:val="-1"/>
        </w:rPr>
        <w:t>股为基数，向全体股东每</w:t>
      </w:r>
      <w:r>
        <w:rPr>
          <w:rFonts w:ascii="Times New Roman" w:hAnsi="Times New Roman" w:cs="Times New Roman" w:eastAsia="Times New Roman" w:hint="default"/>
          <w:spacing w:val="-1"/>
        </w:rPr>
        <w:t>10</w:t>
      </w:r>
      <w:r>
        <w:rPr>
          <w:spacing w:val="-1"/>
        </w:rPr>
        <w:t>股派发</w:t>
      </w:r>
      <w:r>
        <w:rPr>
          <w:rFonts w:ascii="Times New Roman" w:hAnsi="Times New Roman" w:cs="Times New Roman" w:eastAsia="Times New Roman" w:hint="default"/>
          <w:spacing w:val="-1"/>
        </w:rPr>
        <w:t>0.18</w:t>
      </w:r>
      <w:r>
        <w:rPr>
          <w:spacing w:val="-1"/>
        </w:rPr>
        <w:t>元人民币现金（含税）。</w:t>
      </w:r>
      <w:r>
        <w:rPr>
          <w:spacing w:val="-32"/>
        </w:rPr>
        <w:t> </w:t>
      </w:r>
      <w:r>
        <w:rPr>
          <w:spacing w:val="-32"/>
        </w:rPr>
      </w:r>
      <w:r>
        <w:rPr/>
        <w:t>公司近三年（包括本报告期）普通股现金分红情况表</w:t>
      </w:r>
    </w:p>
    <w:p>
      <w:pPr>
        <w:pStyle w:val="BodyText"/>
        <w:spacing w:line="240" w:lineRule="auto" w:before="39"/>
        <w:ind w:left="0" w:right="1110"/>
        <w:jc w:val="right"/>
      </w:pPr>
      <w:r>
        <w:rPr/>
        <w:t>单位：元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79"/>
        <w:gridCol w:w="1224"/>
        <w:gridCol w:w="1179"/>
      </w:tblGrid>
      <w:tr>
        <w:trPr>
          <w:trHeight w:val="157"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87" w:type="dxa"/>
            <w:vMerge w:val="restart"/>
            <w:tcBorders>
              <w:top w:val="single" w:sz="6" w:space="0" w:color="000000"/>
              <w:left w:val="single" w:sz="6" w:space="0" w:color="000000"/>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17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24" w:type="dxa"/>
            <w:vMerge w:val="restart"/>
            <w:tcBorders>
              <w:top w:val="single" w:sz="6" w:space="0" w:color="000000"/>
              <w:left w:val="single" w:sz="6" w:space="0" w:color="000000"/>
              <w:right w:val="single" w:sz="6" w:space="0" w:color="000000"/>
            </w:tcBorders>
            <w:shd w:val="clear" w:color="auto" w:fill="D2D2D2"/>
          </w:tcPr>
          <w:p>
            <w:pPr/>
          </w:p>
        </w:tc>
        <w:tc>
          <w:tcPr>
            <w:tcW w:w="117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65"/>
              <w:ind w:left="45" w:right="36"/>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4"/>
              <w:ind w:left="60" w:right="44"/>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1" w:type="dxa"/>
            <w:vMerge/>
            <w:tcBorders>
              <w:left w:val="single" w:sz="6" w:space="0" w:color="000000"/>
              <w:right w:val="single" w:sz="6" w:space="0" w:color="000000"/>
            </w:tcBorders>
            <w:shd w:val="clear" w:color="auto" w:fill="D2D2D2"/>
          </w:tcPr>
          <w:p>
            <w:pPr/>
          </w:p>
        </w:tc>
        <w:tc>
          <w:tcPr>
            <w:tcW w:w="1179"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4"/>
              <w:ind w:left="45" w:right="36"/>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60" w:right="44"/>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4" w:lineRule="auto" w:before="80"/>
              <w:ind w:left="45" w:right="59"/>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7"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65"/>
              <w:ind w:left="428" w:right="149" w:hanging="271"/>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9" w:type="dxa"/>
            <w:vMerge/>
            <w:tcBorders>
              <w:left w:val="single" w:sz="6" w:space="0" w:color="000000"/>
              <w:right w:val="single" w:sz="6" w:space="0" w:color="000000"/>
            </w:tcBorders>
            <w:shd w:val="clear" w:color="auto" w:fill="D2D2D2"/>
          </w:tcPr>
          <w:p>
            <w:pPr/>
          </w:p>
        </w:tc>
      </w:tr>
      <w:tr>
        <w:trPr>
          <w:trHeight w:val="706" w:hRule="exact"/>
        </w:trPr>
        <w:tc>
          <w:tcPr>
            <w:tcW w:w="1202" w:type="dxa"/>
            <w:vMerge/>
            <w:tcBorders>
              <w:left w:val="single" w:sz="6" w:space="0" w:color="000000"/>
              <w:right w:val="single" w:sz="6" w:space="0" w:color="000000"/>
            </w:tcBorders>
            <w:shd w:val="clear" w:color="auto" w:fill="D2D2D2"/>
          </w:tcPr>
          <w:p>
            <w:pPr/>
          </w:p>
        </w:tc>
        <w:tc>
          <w:tcPr>
            <w:tcW w:w="118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val="restart"/>
            <w:tcBorders>
              <w:top w:val="nil" w:sz="6" w:space="0" w:color="auto"/>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bottom w:val="nil" w:sz="6" w:space="0" w:color="auto"/>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8"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7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24" w:type="dxa"/>
            <w:vMerge/>
            <w:tcBorders>
              <w:left w:val="single" w:sz="6" w:space="0" w:color="000000"/>
              <w:bottom w:val="single" w:sz="6" w:space="0" w:color="000000"/>
              <w:right w:val="single" w:sz="6" w:space="0" w:color="000000"/>
            </w:tcBorders>
            <w:shd w:val="clear" w:color="auto" w:fill="D2D2D2"/>
          </w:tcPr>
          <w:p>
            <w:pPr/>
          </w:p>
        </w:tc>
        <w:tc>
          <w:tcPr>
            <w:tcW w:w="1179"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6,719,724.97</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62,942,762.72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6,719,724.97</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10.68%</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17,545,948.54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102,112,535.47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17.18%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17,545,948.54</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Times New Roman" w:hAnsi="Times New Roman" w:cs="Times New Roman" w:eastAsia="Times New Roman" w:hint="default"/>
                <w:sz w:val="18"/>
                <w:szCs w:val="18"/>
              </w:rPr>
            </w:pPr>
            <w:r>
              <w:rPr>
                <w:rFonts w:ascii="Times New Roman"/>
                <w:sz w:val="18"/>
              </w:rPr>
              <w:t>17.18%</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12,424,949.06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68,247,002.58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18.21%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12,424,949.06</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Times New Roman" w:hAnsi="Times New Roman" w:cs="Times New Roman" w:eastAsia="Times New Roman" w:hint="default"/>
                <w:sz w:val="18"/>
                <w:szCs w:val="18"/>
              </w:rPr>
            </w:pPr>
            <w:r>
              <w:rPr>
                <w:rFonts w:ascii="Times New Roman"/>
                <w:sz w:val="18"/>
              </w:rPr>
              <w:t>18.21%</w:t>
            </w:r>
          </w:p>
        </w:tc>
      </w:tr>
    </w:tbl>
    <w:p>
      <w:pPr>
        <w:pStyle w:val="BodyText"/>
        <w:spacing w:line="240" w:lineRule="auto" w:before="45"/>
        <w:ind w:right="0"/>
        <w:jc w:val="left"/>
      </w:pPr>
      <w:r>
        <w:rPr/>
        <w:t>公司报告期内盈利且母公司可供普通股股东分配利润为正但未提出普通股现金红利分配预案</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二、本报告期利润分配及资本公积金转增股本情况" w:id="62"/>
      <w:bookmarkEnd w:id="62"/>
      <w:r>
        <w:rPr>
          <w:b w:val="0"/>
          <w:bCs w:val="0"/>
        </w:rPr>
      </w:r>
      <w:r>
        <w:rPr/>
        <w:t>二、本报告期利润分配及资本公积金转增股本情况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800"/>
        <w:gridCol w:w="5782"/>
      </w:tblGrid>
      <w:tr>
        <w:trPr>
          <w:trHeight w:val="405" w:hRule="exact"/>
        </w:trPr>
        <w:tc>
          <w:tcPr>
            <w:tcW w:w="3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股送红股数（股）</w:t>
            </w:r>
          </w:p>
        </w:tc>
        <w:tc>
          <w:tcPr>
            <w:tcW w:w="57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3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0.18</w:t>
            </w:r>
          </w:p>
        </w:tc>
      </w:tr>
      <w:tr>
        <w:trPr>
          <w:trHeight w:val="405" w:hRule="exact"/>
        </w:trPr>
        <w:tc>
          <w:tcPr>
            <w:tcW w:w="3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股转增数（股）</w:t>
            </w:r>
          </w:p>
        </w:tc>
        <w:tc>
          <w:tcPr>
            <w:tcW w:w="57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706" w:hRule="exact"/>
        </w:trPr>
        <w:tc>
          <w:tcPr>
            <w:tcW w:w="3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373,318,054</w:t>
            </w:r>
          </w:p>
        </w:tc>
      </w:tr>
      <w:tr>
        <w:trPr>
          <w:trHeight w:val="405" w:hRule="exact"/>
        </w:trPr>
        <w:tc>
          <w:tcPr>
            <w:tcW w:w="3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6,719,724.97</w:t>
            </w:r>
          </w:p>
        </w:tc>
      </w:tr>
      <w:tr>
        <w:trPr>
          <w:trHeight w:val="405" w:hRule="exact"/>
        </w:trPr>
        <w:tc>
          <w:tcPr>
            <w:tcW w:w="3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11"/>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3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6,719,724.97</w:t>
            </w:r>
          </w:p>
        </w:tc>
      </w:tr>
      <w:tr>
        <w:trPr>
          <w:trHeight w:val="391" w:hRule="exact"/>
        </w:trPr>
        <w:tc>
          <w:tcPr>
            <w:tcW w:w="3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33,516,523.78</w:t>
            </w:r>
          </w:p>
        </w:tc>
      </w:tr>
      <w:tr>
        <w:trPr>
          <w:trHeight w:val="720" w:hRule="exact"/>
        </w:trPr>
        <w:tc>
          <w:tcPr>
            <w:tcW w:w="3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7"/>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比例</w:t>
            </w:r>
          </w:p>
        </w:tc>
        <w:tc>
          <w:tcPr>
            <w:tcW w:w="57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6"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4"/>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90"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83"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7"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left="15" w:right="29" w:firstLine="360"/>
              <w:jc w:val="left"/>
              <w:rPr>
                <w:rFonts w:ascii="宋体" w:hAnsi="宋体" w:cs="宋体" w:eastAsia="宋体" w:hint="default"/>
                <w:sz w:val="18"/>
                <w:szCs w:val="18"/>
              </w:rPr>
            </w:pPr>
            <w:r>
              <w:rPr>
                <w:rFonts w:ascii="宋体" w:hAnsi="宋体" w:cs="宋体" w:eastAsia="宋体" w:hint="default"/>
                <w:sz w:val="18"/>
                <w:szCs w:val="18"/>
              </w:rPr>
              <w:t>经大华会计师事务所（特殊普通合伙）审计，</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年度公司实现归属于上市公司股东的净利润</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62,942,762.72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 公司实现净利润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37,240,581.98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元。根据《公司章程》的规定，按母公司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年度实现净利润的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p>
          <w:p>
            <w:pPr>
              <w:pStyle w:val="TableParagraph"/>
              <w:spacing w:line="240" w:lineRule="auto" w:before="26"/>
              <w:ind w:left="15" w:right="0"/>
              <w:jc w:val="left"/>
              <w:rPr>
                <w:rFonts w:ascii="宋体" w:hAnsi="宋体" w:cs="宋体" w:eastAsia="宋体" w:hint="default"/>
                <w:sz w:val="18"/>
                <w:szCs w:val="18"/>
              </w:rPr>
            </w:pPr>
            <w:r>
              <w:rPr>
                <w:rFonts w:ascii="宋体" w:hAnsi="宋体" w:cs="宋体" w:eastAsia="宋体" w:hint="default"/>
                <w:sz w:val="18"/>
                <w:szCs w:val="18"/>
              </w:rPr>
              <w:t>后，截止报告期末母公司当年实现可供股东分配利润</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33,516,523.78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元。遵照中国证监会、深圳证券交易所及公司《三年</w:t>
            </w:r>
          </w:p>
          <w:p>
            <w:pPr>
              <w:pStyle w:val="TableParagraph"/>
              <w:spacing w:line="302" w:lineRule="auto" w:before="66"/>
              <w:ind w:left="15"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2018-2020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年）股东回报规划》的相关规定，在符合利润分配原则、保证公司正常经营的前提下，拟提出公司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 利润分配预案为以公司现有总股本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373,318,054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0.18 </w:t>
            </w:r>
            <w:r>
              <w:rPr>
                <w:rFonts w:ascii="宋体" w:hAnsi="宋体" w:cs="宋体" w:eastAsia="宋体" w:hint="default"/>
                <w:spacing w:val="-6"/>
                <w:sz w:val="18"/>
                <w:szCs w:val="18"/>
              </w:rPr>
              <w:t>元（含税），不送红股，不以公积金</w:t>
            </w:r>
          </w:p>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转增股本，总计派发现金红利</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6,719,724.97 </w:t>
            </w:r>
            <w:r>
              <w:rPr>
                <w:rFonts w:ascii="宋体" w:hAnsi="宋体" w:cs="宋体" w:eastAsia="宋体" w:hint="default"/>
                <w:sz w:val="18"/>
                <w:szCs w:val="18"/>
              </w:rPr>
              <w:t>元。该方案尚需获得公司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年年度股东大会通过。</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9"/>
        <w:rPr>
          <w:rFonts w:ascii="宋体" w:hAnsi="宋体" w:cs="宋体" w:eastAsia="宋体" w:hint="default"/>
          <w:b/>
          <w:bCs/>
          <w:sz w:val="25"/>
          <w:szCs w:val="25"/>
        </w:rPr>
      </w:pPr>
    </w:p>
    <w:p>
      <w:pPr>
        <w:pStyle w:val="Heading3"/>
        <w:spacing w:line="247"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53"/>
        </w:rPr>
        <w:t> </w:t>
      </w:r>
      <w:r>
        <w:rPr>
          <w:spacing w:val="-53"/>
        </w:rPr>
      </w:r>
      <w:r>
        <w:rPr/>
        <w:t>尚未履行完毕的承诺事项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405"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94"/>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6"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7" w:type="dxa"/>
            <w:tcBorders>
              <w:top w:val="single" w:sz="6" w:space="0" w:color="000000"/>
              <w:left w:val="single" w:sz="12"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2222"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04" w:lineRule="auto"/>
              <w:ind w:left="15" w:right="106"/>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04" w:lineRule="auto"/>
              <w:ind w:left="22" w:right="14"/>
              <w:jc w:val="left"/>
              <w:rPr>
                <w:rFonts w:ascii="宋体" w:hAnsi="宋体" w:cs="宋体" w:eastAsia="宋体" w:hint="default"/>
                <w:sz w:val="18"/>
                <w:szCs w:val="18"/>
              </w:rPr>
            </w:pPr>
            <w:r>
              <w:rPr>
                <w:rFonts w:ascii="宋体" w:hAnsi="宋体" w:cs="宋体" w:eastAsia="宋体" w:hint="default"/>
                <w:spacing w:val="-3"/>
                <w:sz w:val="18"/>
                <w:szCs w:val="18"/>
              </w:rPr>
              <w:t>绿色金控；广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州金控</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9"/>
              <w:ind w:left="29" w:right="179"/>
              <w:jc w:val="both"/>
              <w:rPr>
                <w:rFonts w:ascii="宋体" w:hAnsi="宋体" w:cs="宋体" w:eastAsia="宋体" w:hint="default"/>
                <w:sz w:val="18"/>
                <w:szCs w:val="18"/>
              </w:rPr>
            </w:pPr>
            <w:r>
              <w:rPr>
                <w:rFonts w:ascii="宋体" w:hAnsi="宋体" w:cs="宋体" w:eastAsia="宋体" w:hint="default"/>
                <w:sz w:val="18"/>
                <w:szCs w:val="18"/>
              </w:rPr>
              <w:t>保持上市公 司独立性的 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30" w:right="13"/>
              <w:jc w:val="left"/>
              <w:rPr>
                <w:rFonts w:ascii="宋体" w:hAnsi="宋体" w:cs="宋体" w:eastAsia="宋体" w:hint="default"/>
                <w:sz w:val="18"/>
                <w:szCs w:val="18"/>
              </w:rPr>
            </w:pPr>
            <w:r>
              <w:rPr>
                <w:rFonts w:ascii="宋体" w:hAnsi="宋体" w:cs="宋体" w:eastAsia="宋体" w:hint="default"/>
                <w:spacing w:val="-3"/>
                <w:sz w:val="18"/>
                <w:szCs w:val="18"/>
              </w:rPr>
              <w:t>（一）保证普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路通人员独 </w:t>
            </w:r>
            <w:r>
              <w:rPr>
                <w:rFonts w:ascii="宋体" w:hAnsi="宋体" w:cs="宋体" w:eastAsia="宋体" w:hint="default"/>
                <w:spacing w:val="-3"/>
                <w:sz w:val="18"/>
                <w:szCs w:val="18"/>
              </w:rPr>
              <w:t>立：本公司承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诺与普路通 保证人员独 </w:t>
            </w:r>
            <w:r>
              <w:rPr>
                <w:rFonts w:ascii="宋体" w:hAnsi="宋体" w:cs="宋体" w:eastAsia="宋体" w:hint="default"/>
                <w:spacing w:val="-3"/>
                <w:sz w:val="18"/>
                <w:szCs w:val="18"/>
              </w:rPr>
              <w:t>立，普路通的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总经理、副总</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361.950012pt;margin-top:72.824997pt;width:62.35pt;height:686.85pt;mso-position-horizontal-relative:page;mso-position-vertical-relative:page;z-index:-11017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w:t>
                  </w:r>
                </w:p>
              </w:txbxContent>
            </v:textbox>
            <w10:wrap type="none"/>
          </v:shape>
        </w:pict>
      </w:r>
      <w:r>
        <w:rPr/>
        <w:pict>
          <v:group style="position:absolute;margin-left:367.950012pt;margin-top:72.824997pt;width:56.35pt;height:686.85pt;mso-position-horizontal-relative:page;mso-position-vertical-relative:page;z-index:-1101688" coordorigin="7359,1456" coordsize="1127,13737">
            <v:shape style="position:absolute;left:7359;top:1456;width:1127;height:13737" coordorigin="7359,1456" coordsize="1127,13737" path="m7359,15193l8486,15193,8486,1456,7359,1456,7359,15193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pacing w:val="-3"/>
                <w:sz w:val="18"/>
                <w:szCs w:val="18"/>
              </w:rPr>
              <w:t>经理、财务负</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责人和董事</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会秘书等高</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不会在本公</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司及本公司</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pacing w:val="-3"/>
                <w:sz w:val="18"/>
                <w:szCs w:val="18"/>
              </w:rPr>
              <w:t>下属全资、控</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股或其他具</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有实际控制</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权的企业（以</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30"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下属</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1"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30"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担任除</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pacing w:val="-3"/>
                <w:sz w:val="18"/>
                <w:szCs w:val="18"/>
              </w:rPr>
              <w:t>董事、监事以</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外的职务，不</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会在本公司</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及本公司下</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属企业领薪。</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普路通的财</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务人员不会</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在本公司及</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本公司下属</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企业兼职。</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（二）保证普</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路通资产独</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30" w:right="0"/>
              <w:jc w:val="left"/>
              <w:rPr>
                <w:rFonts w:ascii="宋体" w:hAnsi="宋体" w:cs="宋体" w:eastAsia="宋体" w:hint="default"/>
                <w:sz w:val="18"/>
                <w:szCs w:val="18"/>
              </w:rPr>
            </w:pPr>
            <w:r>
              <w:rPr>
                <w:rFonts w:ascii="宋体" w:hAnsi="宋体" w:cs="宋体" w:eastAsia="宋体" w:hint="default"/>
                <w:sz w:val="18"/>
                <w:szCs w:val="18"/>
              </w:rPr>
              <w:t>立完整：</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保证普路通</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具有独立完</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3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整的资产。</w:t>
            </w:r>
            <w:r>
              <w:rPr>
                <w:rFonts w:ascii="Times New Roman" w:hAnsi="Times New Roman" w:cs="Times New Roman" w:eastAsia="Times New Roman" w:hint="default"/>
                <w:spacing w:val="-3"/>
                <w:sz w:val="18"/>
                <w:szCs w:val="18"/>
              </w:rPr>
              <w:t>2</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保证普路通</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不存在资金、</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资产被本公</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司及本公司</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下属企业占</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用的情形。</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（三）保证普</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路通的财务</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证普路通建</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立独立的财</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务部门和独</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立的财务核</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算体系。</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保证普路通</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具有规范、独</w:t>
            </w: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361.950012pt;margin-top:72.824997pt;width:62.35pt;height:686.85pt;mso-position-horizontal-relative:page;mso-position-vertical-relative:page;z-index:-1101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2"/>
                      <w:szCs w:val="22"/>
                    </w:rPr>
                  </w:pPr>
                </w:p>
                <w:p>
                  <w:pPr>
                    <w:pStyle w:val="BodyText"/>
                    <w:spacing w:line="240" w:lineRule="auto" w:before="0"/>
                    <w:ind w:left="0" w:right="0"/>
                    <w:jc w:val="left"/>
                  </w:pPr>
                  <w:r>
                    <w:rPr/>
                    <w:t>、</w:t>
                  </w:r>
                </w:p>
              </w:txbxContent>
            </v:textbox>
            <w10:wrap type="none"/>
          </v:shape>
        </w:pict>
      </w:r>
      <w:r>
        <w:rPr/>
        <w:pict>
          <v:group style="position:absolute;margin-left:367.950012pt;margin-top:72.824997pt;width:56.35pt;height:686.85pt;mso-position-horizontal-relative:page;mso-position-vertical-relative:page;z-index:-1101640" coordorigin="7359,1456" coordsize="1127,13737">
            <v:shape style="position:absolute;left:7359;top:1456;width:1127;height:13737" coordorigin="7359,1456" coordsize="1127,13737" path="m7359,15193l8486,15193,8486,1456,7359,1456,7359,15193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10"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立的财务会</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计制度。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保证普路通</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独立在银行</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开户，不与本</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公司共用一</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个银行账户。</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、保证普路</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通的财务人</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员不在本公</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司及本公司</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下属企业兼</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30" w:right="0"/>
              <w:jc w:val="left"/>
              <w:rPr>
                <w:rFonts w:ascii="宋体" w:hAnsi="宋体" w:cs="宋体" w:eastAsia="宋体" w:hint="default"/>
                <w:sz w:val="18"/>
                <w:szCs w:val="18"/>
              </w:rPr>
            </w:pPr>
            <w:r>
              <w:rPr>
                <w:rFonts w:ascii="宋体" w:hAnsi="宋体" w:cs="宋体" w:eastAsia="宋体" w:hint="default"/>
                <w:sz w:val="18"/>
                <w:szCs w:val="18"/>
              </w:rPr>
              <w:t>职。</w:t>
            </w:r>
            <w:r>
              <w:rPr>
                <w:rFonts w:ascii="Times New Roman" w:hAnsi="Times New Roman" w:cs="Times New Roman" w:eastAsia="Times New Roman" w:hint="default"/>
                <w:sz w:val="18"/>
                <w:szCs w:val="18"/>
              </w:rPr>
              <w:t>5</w:t>
            </w:r>
            <w:r>
              <w:rPr>
                <w:rFonts w:ascii="宋体" w:hAnsi="宋体" w:cs="宋体" w:eastAsia="宋体" w:hint="default"/>
                <w:sz w:val="18"/>
                <w:szCs w:val="18"/>
              </w:rPr>
              <w:t>、保证</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普路通能够</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独立作出财</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务决策，本公</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司不干预普</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路通的资金</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保证普路通</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3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机构独立：</w:t>
            </w:r>
            <w:r>
              <w:rPr>
                <w:rFonts w:ascii="Times New Roman" w:hAnsi="Times New Roman" w:cs="Times New Roman" w:eastAsia="Times New Roman" w:hint="default"/>
                <w:spacing w:val="-3"/>
                <w:sz w:val="18"/>
                <w:szCs w:val="18"/>
              </w:rPr>
              <w:t>1</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保证普路通</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拥有独立、完</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整的组织机</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构，并能独立</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自主地运作。</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、保证普路</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通办公机构</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和生产经营</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场所与本公</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30" w:right="0"/>
              <w:jc w:val="left"/>
              <w:rPr>
                <w:rFonts w:ascii="宋体" w:hAnsi="宋体" w:cs="宋体" w:eastAsia="宋体" w:hint="default"/>
                <w:sz w:val="18"/>
                <w:szCs w:val="18"/>
              </w:rPr>
            </w:pPr>
            <w:r>
              <w:rPr>
                <w:rFonts w:ascii="宋体" w:hAnsi="宋体" w:cs="宋体" w:eastAsia="宋体" w:hint="default"/>
                <w:sz w:val="18"/>
                <w:szCs w:val="18"/>
              </w:rPr>
              <w:t>司分开。</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6"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保证普路通</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董事会、监事</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会以及各职</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能部门独立</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运作，不存在</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与本公司职</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能部门之间</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的从属关系。</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（五）保证普</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路通业务独</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1"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普路通业务</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7"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9"/>
              <w:ind w:left="30" w:right="0"/>
              <w:jc w:val="left"/>
              <w:rPr>
                <w:rFonts w:ascii="宋体" w:hAnsi="宋体" w:cs="宋体" w:eastAsia="宋体" w:hint="default"/>
                <w:sz w:val="18"/>
                <w:szCs w:val="18"/>
              </w:rPr>
            </w:pPr>
            <w:r>
              <w:rPr>
                <w:rFonts w:ascii="宋体" w:hAnsi="宋体" w:cs="宋体" w:eastAsia="宋体" w:hint="default"/>
                <w:sz w:val="18"/>
                <w:szCs w:val="18"/>
              </w:rPr>
              <w:t>独立。</w:t>
            </w:r>
            <w:r>
              <w:rPr>
                <w:rFonts w:ascii="Times New Roman" w:hAnsi="Times New Roman" w:cs="Times New Roman" w:eastAsia="Times New Roman" w:hint="default"/>
                <w:sz w:val="18"/>
                <w:szCs w:val="18"/>
              </w:rPr>
              <w:t>2</w:t>
            </w:r>
            <w:r>
              <w:rPr>
                <w:rFonts w:ascii="宋体" w:hAnsi="宋体" w:cs="宋体" w:eastAsia="宋体" w:hint="default"/>
                <w:sz w:val="18"/>
                <w:szCs w:val="18"/>
              </w:rPr>
              <w:t>、保</w:t>
            </w: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2552"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0"/>
              <w:jc w:val="left"/>
              <w:rPr>
                <w:rFonts w:ascii="宋体" w:hAnsi="宋体" w:cs="宋体" w:eastAsia="宋体" w:hint="default"/>
                <w:sz w:val="18"/>
                <w:szCs w:val="18"/>
              </w:rPr>
            </w:pPr>
            <w:r>
              <w:rPr>
                <w:rFonts w:ascii="宋体" w:hAnsi="宋体" w:cs="宋体" w:eastAsia="宋体" w:hint="default"/>
                <w:sz w:val="18"/>
                <w:szCs w:val="18"/>
              </w:rPr>
              <w:t>证普路通拥 有独立开展 经营活动的 资产、人员、 资质和能力， 具有面向市 场自主经营 的能力。</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11290"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5"/>
              <w:ind w:left="30" w:right="14"/>
              <w:jc w:val="left"/>
              <w:rPr>
                <w:rFonts w:ascii="宋体" w:hAnsi="宋体" w:cs="宋体" w:eastAsia="宋体" w:hint="default"/>
                <w:sz w:val="18"/>
                <w:szCs w:val="18"/>
              </w:rPr>
            </w:pPr>
            <w:r>
              <w:rPr>
                <w:rFonts w:ascii="宋体" w:hAnsi="宋体" w:cs="宋体" w:eastAsia="宋体" w:hint="default"/>
                <w:spacing w:val="-3"/>
                <w:sz w:val="18"/>
                <w:szCs w:val="18"/>
              </w:rPr>
              <w:t>绿色金控；广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州金控</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21" w:lineRule="auto"/>
              <w:ind w:left="29" w:right="179"/>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6" w:space="0" w:color="000000"/>
              <w:left w:val="single" w:sz="6" w:space="0" w:color="000000"/>
              <w:bottom w:val="single" w:sz="6" w:space="0" w:color="000000"/>
              <w:right w:val="single" w:sz="12" w:space="0" w:color="FFFFFF"/>
            </w:tcBorders>
          </w:tcPr>
          <w:p>
            <w:pPr>
              <w:pStyle w:val="TableParagraph"/>
              <w:spacing w:line="312" w:lineRule="auto" w:before="45"/>
              <w:ind w:left="30"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、本公司将 采取积极措 施避免发生 与普路通及 其附属企业 主营业务有</w:t>
            </w:r>
          </w:p>
          <w:p>
            <w:pPr>
              <w:pStyle w:val="TableParagraph"/>
              <w:spacing w:line="319" w:lineRule="auto" w:before="26"/>
              <w:ind w:left="30" w:right="-53"/>
              <w:jc w:val="left"/>
              <w:rPr>
                <w:rFonts w:ascii="宋体" w:hAnsi="宋体" w:cs="宋体" w:eastAsia="宋体" w:hint="default"/>
                <w:sz w:val="18"/>
                <w:szCs w:val="18"/>
              </w:rPr>
            </w:pPr>
            <w:r>
              <w:rPr>
                <w:rFonts w:ascii="宋体" w:hAnsi="宋体" w:cs="宋体" w:eastAsia="宋体" w:hint="default"/>
                <w:sz w:val="18"/>
                <w:szCs w:val="18"/>
              </w:rPr>
              <w:t>竞争或可能 构成竞争的 业务或活动， 并促使本公 司控制企业 避免发生与 普路通及其 附属企业主 营业务有竞 争或可能构 成竞争的业</w:t>
            </w:r>
          </w:p>
          <w:p>
            <w:pPr>
              <w:pStyle w:val="TableParagraph"/>
              <w:spacing w:line="297" w:lineRule="auto" w:before="35"/>
              <w:ind w:left="30" w:right="-53"/>
              <w:jc w:val="left"/>
              <w:rPr>
                <w:rFonts w:ascii="宋体" w:hAnsi="宋体" w:cs="宋体" w:eastAsia="宋体" w:hint="default"/>
                <w:sz w:val="18"/>
                <w:szCs w:val="18"/>
              </w:rPr>
            </w:pPr>
            <w:r>
              <w:rPr>
                <w:rFonts w:ascii="宋体" w:hAnsi="宋体" w:cs="宋体" w:eastAsia="宋体" w:hint="default"/>
                <w:spacing w:val="-7"/>
                <w:sz w:val="18"/>
                <w:szCs w:val="18"/>
              </w:rPr>
              <w:t>务或活动。</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如本公司及</w:t>
            </w:r>
            <w:r>
              <w:rPr>
                <w:rFonts w:ascii="宋体" w:hAnsi="宋体" w:cs="宋体" w:eastAsia="宋体" w:hint="default"/>
                <w:sz w:val="18"/>
                <w:szCs w:val="18"/>
              </w:rPr>
              <w:t> 本公司控制</w:t>
            </w:r>
          </w:p>
          <w:p>
            <w:pPr>
              <w:pStyle w:val="TableParagraph"/>
              <w:spacing w:line="319" w:lineRule="auto" w:before="36"/>
              <w:ind w:left="30" w:right="-7"/>
              <w:jc w:val="left"/>
              <w:rPr>
                <w:rFonts w:ascii="宋体" w:hAnsi="宋体" w:cs="宋体" w:eastAsia="宋体" w:hint="default"/>
                <w:sz w:val="18"/>
                <w:szCs w:val="18"/>
              </w:rPr>
            </w:pPr>
            <w:r>
              <w:rPr>
                <w:rFonts w:ascii="宋体" w:hAnsi="宋体" w:cs="宋体" w:eastAsia="宋体" w:hint="default"/>
                <w:sz w:val="18"/>
                <w:szCs w:val="18"/>
              </w:rPr>
              <w:t>企业获得从 事新业务的 </w:t>
            </w:r>
            <w:r>
              <w:rPr>
                <w:rFonts w:ascii="宋体" w:hAnsi="宋体" w:cs="宋体" w:eastAsia="宋体" w:hint="default"/>
                <w:spacing w:val="-3"/>
                <w:sz w:val="18"/>
                <w:szCs w:val="18"/>
              </w:rPr>
              <w:t>机会，而该等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业务与普路 通及其附属 企业主营业 务构成或可 能构成同业 </w:t>
            </w:r>
            <w:r>
              <w:rPr>
                <w:rFonts w:ascii="宋体" w:hAnsi="宋体" w:cs="宋体" w:eastAsia="宋体" w:hint="default"/>
                <w:spacing w:val="-3"/>
                <w:sz w:val="18"/>
                <w:szCs w:val="18"/>
              </w:rPr>
              <w:t>竞争时，本公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司将在条件 许可的前提 </w:t>
            </w:r>
            <w:r>
              <w:rPr>
                <w:rFonts w:ascii="宋体" w:hAnsi="宋体" w:cs="宋体" w:eastAsia="宋体" w:hint="default"/>
                <w:spacing w:val="-3"/>
                <w:sz w:val="18"/>
                <w:szCs w:val="18"/>
              </w:rPr>
              <w:t>下，以有利于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上市公司的 利益为原则， 将尽最大努 力促使该业</w:t>
            </w:r>
          </w:p>
        </w:tc>
        <w:tc>
          <w:tcPr>
            <w:tcW w:w="1126" w:type="dxa"/>
            <w:tcBorders>
              <w:top w:val="single" w:sz="6" w:space="0" w:color="000000"/>
              <w:left w:val="single" w:sz="12" w:space="0" w:color="FFFFFF"/>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45" w:lineRule="exact"/>
              <w:ind w:left="22" w:right="-3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3.35pt;height:17.3pt;mso-position-horizontal-relative:char;mso-position-vertical-relative:line" coordorigin="0,0" coordsize="1067,346">
                  <v:group style="position:absolute;left:0;top:0;width:1067;height:346" coordorigin="0,0" coordsize="1067,346">
                    <v:shape style="position:absolute;left:0;top:0;width:1067;height:346" coordorigin="0,0" coordsize="1067,346" path="m0,345l1066,345,1066,0,0,0,0,345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1921"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ind w:left="30" w:right="180"/>
              <w:jc w:val="both"/>
              <w:rPr>
                <w:rFonts w:ascii="宋体" w:hAnsi="宋体" w:cs="宋体" w:eastAsia="宋体" w:hint="default"/>
                <w:sz w:val="18"/>
                <w:szCs w:val="18"/>
              </w:rPr>
            </w:pPr>
            <w:r>
              <w:rPr>
                <w:rFonts w:ascii="宋体" w:hAnsi="宋体" w:cs="宋体" w:eastAsia="宋体" w:hint="default"/>
                <w:sz w:val="18"/>
                <w:szCs w:val="18"/>
              </w:rPr>
              <w:t>务机会按合 理和公平的 条款和条件 首先提供给 普路通或其 附属企业。</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9774" w:hRule="exact"/>
        </w:trPr>
        <w:tc>
          <w:tcPr>
            <w:tcW w:w="2839" w:type="dxa"/>
            <w:vMerge/>
            <w:tcBorders>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广州金控</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4" w:lineRule="auto"/>
              <w:ind w:left="29" w:right="179"/>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4"/>
              <w:ind w:left="30" w:right="13"/>
              <w:jc w:val="left"/>
              <w:rPr>
                <w:rFonts w:ascii="宋体" w:hAnsi="宋体" w:cs="宋体" w:eastAsia="宋体" w:hint="default"/>
                <w:sz w:val="18"/>
                <w:szCs w:val="18"/>
              </w:rPr>
            </w:pPr>
            <w:r>
              <w:rPr>
                <w:rFonts w:ascii="宋体" w:hAnsi="宋体" w:cs="宋体" w:eastAsia="宋体" w:hint="default"/>
                <w:sz w:val="18"/>
                <w:szCs w:val="18"/>
              </w:rPr>
              <w:t>就目前存在 同业竞争的 </w:t>
            </w:r>
            <w:r>
              <w:rPr>
                <w:rFonts w:ascii="宋体" w:hAnsi="宋体" w:cs="宋体" w:eastAsia="宋体" w:hint="default"/>
                <w:spacing w:val="-3"/>
                <w:sz w:val="18"/>
                <w:szCs w:val="18"/>
              </w:rPr>
              <w:t>业务，本公司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承诺将在本 公司成为普 路通间接控 股股东之日 起 </w:t>
            </w:r>
            <w:r>
              <w:rPr>
                <w:rFonts w:ascii="Times New Roman" w:hAnsi="Times New Roman" w:cs="Times New Roman" w:eastAsia="Times New Roman" w:hint="default"/>
                <w:sz w:val="18"/>
                <w:szCs w:val="18"/>
              </w:rPr>
              <w:t>5  </w:t>
            </w:r>
            <w:r>
              <w:rPr>
                <w:rFonts w:ascii="宋体" w:hAnsi="宋体" w:cs="宋体" w:eastAsia="宋体" w:hint="default"/>
                <w:sz w:val="18"/>
                <w:szCs w:val="18"/>
              </w:rPr>
              <w:t>年内，</w:t>
            </w:r>
          </w:p>
          <w:p>
            <w:pPr>
              <w:pStyle w:val="TableParagraph"/>
              <w:spacing w:line="221" w:lineRule="exact"/>
              <w:ind w:left="30" w:right="0"/>
              <w:jc w:val="left"/>
              <w:rPr>
                <w:rFonts w:ascii="宋体" w:hAnsi="宋体" w:cs="宋体" w:eastAsia="宋体" w:hint="default"/>
                <w:sz w:val="18"/>
                <w:szCs w:val="18"/>
              </w:rPr>
            </w:pPr>
            <w:r>
              <w:rPr>
                <w:rFonts w:ascii="宋体" w:hAnsi="宋体" w:cs="宋体" w:eastAsia="宋体" w:hint="default"/>
                <w:sz w:val="18"/>
                <w:szCs w:val="18"/>
              </w:rPr>
              <w:t>按照相关法</w:t>
            </w:r>
          </w:p>
          <w:p>
            <w:pPr>
              <w:pStyle w:val="TableParagraph"/>
              <w:spacing w:line="316" w:lineRule="auto" w:before="79"/>
              <w:ind w:left="30" w:right="13"/>
              <w:jc w:val="left"/>
              <w:rPr>
                <w:rFonts w:ascii="宋体" w:hAnsi="宋体" w:cs="宋体" w:eastAsia="宋体" w:hint="default"/>
                <w:sz w:val="18"/>
                <w:szCs w:val="18"/>
              </w:rPr>
            </w:pPr>
            <w:r>
              <w:rPr>
                <w:rFonts w:ascii="宋体" w:hAnsi="宋体" w:cs="宋体" w:eastAsia="宋体" w:hint="default"/>
                <w:sz w:val="18"/>
                <w:szCs w:val="18"/>
              </w:rPr>
              <w:t>律法规促使 立根融资租 赁有限公司 将符合境内 上市要求的 与普路通业 务相关的资 产按照届时 确定的合法 </w:t>
            </w:r>
            <w:r>
              <w:rPr>
                <w:rFonts w:ascii="宋体" w:hAnsi="宋体" w:cs="宋体" w:eastAsia="宋体" w:hint="default"/>
                <w:spacing w:val="-3"/>
                <w:sz w:val="18"/>
                <w:szCs w:val="18"/>
              </w:rPr>
              <w:t>方式（包括但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不限于现金 或发行股份 </w:t>
            </w:r>
            <w:r>
              <w:rPr>
                <w:rFonts w:ascii="宋体" w:hAnsi="宋体" w:cs="宋体" w:eastAsia="宋体" w:hint="default"/>
                <w:spacing w:val="-3"/>
                <w:sz w:val="18"/>
                <w:szCs w:val="18"/>
              </w:rPr>
              <w:t>的方式）并以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届时确定的 公允价格注 </w:t>
            </w:r>
            <w:r>
              <w:rPr>
                <w:rFonts w:ascii="宋体" w:hAnsi="宋体" w:cs="宋体" w:eastAsia="宋体" w:hint="default"/>
                <w:spacing w:val="-3"/>
                <w:sz w:val="18"/>
                <w:szCs w:val="18"/>
              </w:rPr>
              <w:t>入普路通，或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采取向无关 联关系的第 三方转让等 其他方式解 决同业竞争 问题。</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37"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21" w:lineRule="auto"/>
              <w:ind w:left="30" w:right="14"/>
              <w:jc w:val="left"/>
              <w:rPr>
                <w:rFonts w:ascii="宋体" w:hAnsi="宋体" w:cs="宋体" w:eastAsia="宋体" w:hint="default"/>
                <w:sz w:val="18"/>
                <w:szCs w:val="18"/>
              </w:rPr>
            </w:pPr>
            <w:r>
              <w:rPr>
                <w:rFonts w:ascii="宋体" w:hAnsi="宋体" w:cs="宋体" w:eastAsia="宋体" w:hint="default"/>
                <w:spacing w:val="-3"/>
                <w:sz w:val="18"/>
                <w:szCs w:val="18"/>
              </w:rPr>
              <w:t>绿色金控；广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州金控</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4" w:lineRule="auto"/>
              <w:ind w:left="29" w:right="179"/>
              <w:jc w:val="both"/>
              <w:rPr>
                <w:rFonts w:ascii="宋体" w:hAnsi="宋体" w:cs="宋体" w:eastAsia="宋体" w:hint="default"/>
                <w:sz w:val="18"/>
                <w:szCs w:val="18"/>
              </w:rPr>
            </w:pPr>
            <w:r>
              <w:rPr>
                <w:rFonts w:ascii="宋体" w:hAnsi="宋体" w:cs="宋体" w:eastAsia="宋体" w:hint="default"/>
                <w:sz w:val="18"/>
                <w:szCs w:val="18"/>
              </w:rPr>
              <w:t>关于减少和 规范关联交 易的承诺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30"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、本公司将 尽量减少本 公司及本公</w:t>
            </w:r>
          </w:p>
          <w:p>
            <w:pPr>
              <w:pStyle w:val="TableParagraph"/>
              <w:spacing w:line="316" w:lineRule="auto" w:before="36"/>
              <w:ind w:left="30" w:right="180"/>
              <w:jc w:val="both"/>
              <w:rPr>
                <w:rFonts w:ascii="宋体" w:hAnsi="宋体" w:cs="宋体" w:eastAsia="宋体" w:hint="default"/>
                <w:sz w:val="18"/>
                <w:szCs w:val="18"/>
              </w:rPr>
            </w:pPr>
            <w:r>
              <w:rPr>
                <w:rFonts w:ascii="宋体" w:hAnsi="宋体" w:cs="宋体" w:eastAsia="宋体" w:hint="default"/>
                <w:sz w:val="18"/>
                <w:szCs w:val="18"/>
              </w:rPr>
              <w:t>司控制的企 业与普路通 及其附属企 业之间的关</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5"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12851"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30" w:right="89"/>
              <w:jc w:val="left"/>
              <w:rPr>
                <w:rFonts w:ascii="宋体" w:hAnsi="宋体" w:cs="宋体" w:eastAsia="宋体" w:hint="default"/>
                <w:sz w:val="18"/>
                <w:szCs w:val="18"/>
              </w:rPr>
            </w:pPr>
            <w:r>
              <w:rPr>
                <w:rFonts w:ascii="宋体" w:hAnsi="宋体" w:cs="宋体" w:eastAsia="宋体" w:hint="default"/>
                <w:sz w:val="18"/>
                <w:szCs w:val="18"/>
              </w:rPr>
              <w:t>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 对于无法避 免或者合理</w:t>
            </w:r>
          </w:p>
          <w:p>
            <w:pPr>
              <w:pStyle w:val="TableParagraph"/>
              <w:spacing w:line="319" w:lineRule="auto" w:before="36"/>
              <w:ind w:left="30" w:right="13"/>
              <w:jc w:val="left"/>
              <w:rPr>
                <w:rFonts w:ascii="宋体" w:hAnsi="宋体" w:cs="宋体" w:eastAsia="宋体" w:hint="default"/>
                <w:sz w:val="18"/>
                <w:szCs w:val="18"/>
              </w:rPr>
            </w:pPr>
            <w:r>
              <w:rPr>
                <w:rFonts w:ascii="宋体" w:hAnsi="宋体" w:cs="宋体" w:eastAsia="宋体" w:hint="default"/>
                <w:sz w:val="18"/>
                <w:szCs w:val="18"/>
              </w:rPr>
              <w:t>存在的关联 </w:t>
            </w:r>
            <w:r>
              <w:rPr>
                <w:rFonts w:ascii="宋体" w:hAnsi="宋体" w:cs="宋体" w:eastAsia="宋体" w:hint="default"/>
                <w:spacing w:val="-3"/>
                <w:sz w:val="18"/>
                <w:szCs w:val="18"/>
              </w:rPr>
              <w:t>交易，本公司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及本公司控 制的企业将 与上市公司 签订规范的 关联交易协 </w:t>
            </w:r>
            <w:r>
              <w:rPr>
                <w:rFonts w:ascii="宋体" w:hAnsi="宋体" w:cs="宋体" w:eastAsia="宋体" w:hint="default"/>
                <w:spacing w:val="-3"/>
                <w:sz w:val="18"/>
                <w:szCs w:val="18"/>
              </w:rPr>
              <w:t>议，并按照有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关法律、法 </w:t>
            </w:r>
            <w:r>
              <w:rPr>
                <w:rFonts w:ascii="宋体" w:hAnsi="宋体" w:cs="宋体" w:eastAsia="宋体" w:hint="default"/>
                <w:spacing w:val="-3"/>
                <w:sz w:val="18"/>
                <w:szCs w:val="18"/>
              </w:rPr>
              <w:t>规、规章及规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范性文件和 公司章程的 规定履行批</w:t>
            </w:r>
          </w:p>
          <w:p>
            <w:pPr>
              <w:pStyle w:val="TableParagraph"/>
              <w:spacing w:line="309" w:lineRule="auto" w:before="20"/>
              <w:ind w:left="30" w:right="89"/>
              <w:jc w:val="left"/>
              <w:rPr>
                <w:rFonts w:ascii="宋体" w:hAnsi="宋体" w:cs="宋体" w:eastAsia="宋体" w:hint="default"/>
                <w:sz w:val="18"/>
                <w:szCs w:val="18"/>
              </w:rPr>
            </w:pPr>
            <w:r>
              <w:rPr>
                <w:rFonts w:ascii="宋体" w:hAnsi="宋体" w:cs="宋体" w:eastAsia="宋体" w:hint="default"/>
                <w:sz w:val="18"/>
                <w:szCs w:val="18"/>
              </w:rPr>
              <w:t>准程序。</w:t>
            </w:r>
            <w:r>
              <w:rPr>
                <w:rFonts w:ascii="Times New Roman" w:hAnsi="Times New Roman" w:cs="Times New Roman" w:eastAsia="Times New Roman" w:hint="default"/>
                <w:sz w:val="18"/>
                <w:szCs w:val="18"/>
              </w:rPr>
              <w:t>3</w:t>
            </w:r>
            <w:r>
              <w:rPr>
                <w:rFonts w:ascii="宋体" w:hAnsi="宋体" w:cs="宋体" w:eastAsia="宋体" w:hint="default"/>
                <w:sz w:val="18"/>
                <w:szCs w:val="18"/>
              </w:rPr>
              <w:t>、 关联交易按 照公平的市 场原则和正</w:t>
            </w:r>
          </w:p>
          <w:p>
            <w:pPr>
              <w:pStyle w:val="TableParagraph"/>
              <w:spacing w:line="319" w:lineRule="auto" w:before="27"/>
              <w:ind w:left="30" w:right="0"/>
              <w:jc w:val="left"/>
              <w:rPr>
                <w:rFonts w:ascii="宋体" w:hAnsi="宋体" w:cs="宋体" w:eastAsia="宋体" w:hint="default"/>
                <w:sz w:val="18"/>
                <w:szCs w:val="18"/>
              </w:rPr>
            </w:pPr>
            <w:r>
              <w:rPr>
                <w:rFonts w:ascii="宋体" w:hAnsi="宋体" w:cs="宋体" w:eastAsia="宋体" w:hint="default"/>
                <w:sz w:val="18"/>
                <w:szCs w:val="18"/>
              </w:rPr>
              <w:t>常的商业条 </w:t>
            </w:r>
            <w:r>
              <w:rPr>
                <w:rFonts w:ascii="宋体" w:hAnsi="宋体" w:cs="宋体" w:eastAsia="宋体" w:hint="default"/>
                <w:spacing w:val="-3"/>
                <w:sz w:val="18"/>
                <w:szCs w:val="18"/>
              </w:rPr>
              <w:t>件进行，保证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关联交易价 格的公允性， 保证按照有 关法律、法 </w:t>
            </w:r>
            <w:r>
              <w:rPr>
                <w:rFonts w:ascii="宋体" w:hAnsi="宋体" w:cs="宋体" w:eastAsia="宋体" w:hint="default"/>
                <w:spacing w:val="-3"/>
                <w:sz w:val="18"/>
                <w:szCs w:val="18"/>
              </w:rPr>
              <w:t>规、规章及规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范性文件和 公司章程的 规定履行关 联交易的信 息披露义务。 </w:t>
            </w:r>
            <w:r>
              <w:rPr>
                <w:rFonts w:ascii="Times New Roman" w:hAnsi="Times New Roman" w:cs="Times New Roman" w:eastAsia="Times New Roman" w:hint="default"/>
                <w:sz w:val="18"/>
                <w:szCs w:val="18"/>
              </w:rPr>
              <w:t>4</w:t>
            </w:r>
            <w:r>
              <w:rPr>
                <w:rFonts w:ascii="宋体" w:hAnsi="宋体" w:cs="宋体" w:eastAsia="宋体" w:hint="default"/>
                <w:sz w:val="18"/>
                <w:szCs w:val="18"/>
              </w:rPr>
              <w:t>、不利用关</w:t>
            </w:r>
          </w:p>
          <w:p>
            <w:pPr>
              <w:pStyle w:val="TableParagraph"/>
              <w:spacing w:line="221" w:lineRule="exact"/>
              <w:ind w:left="30" w:right="0"/>
              <w:jc w:val="left"/>
              <w:rPr>
                <w:rFonts w:ascii="宋体" w:hAnsi="宋体" w:cs="宋体" w:eastAsia="宋体" w:hint="default"/>
                <w:sz w:val="18"/>
                <w:szCs w:val="18"/>
              </w:rPr>
            </w:pPr>
            <w:r>
              <w:rPr>
                <w:rFonts w:ascii="宋体" w:hAnsi="宋体" w:cs="宋体" w:eastAsia="宋体" w:hint="default"/>
                <w:sz w:val="18"/>
                <w:szCs w:val="18"/>
              </w:rPr>
              <w:t>联交易非法</w:t>
            </w:r>
          </w:p>
          <w:p>
            <w:pPr>
              <w:pStyle w:val="TableParagraph"/>
              <w:spacing w:line="319" w:lineRule="auto" w:before="80"/>
              <w:ind w:left="30" w:right="13"/>
              <w:jc w:val="left"/>
              <w:rPr>
                <w:rFonts w:ascii="宋体" w:hAnsi="宋体" w:cs="宋体" w:eastAsia="宋体" w:hint="default"/>
                <w:sz w:val="18"/>
                <w:szCs w:val="18"/>
              </w:rPr>
            </w:pPr>
            <w:r>
              <w:rPr>
                <w:rFonts w:ascii="宋体" w:hAnsi="宋体" w:cs="宋体" w:eastAsia="宋体" w:hint="default"/>
                <w:sz w:val="18"/>
                <w:szCs w:val="18"/>
              </w:rPr>
              <w:t>转移上市公 司资金、利 </w:t>
            </w:r>
            <w:r>
              <w:rPr>
                <w:rFonts w:ascii="宋体" w:hAnsi="宋体" w:cs="宋体" w:eastAsia="宋体" w:hint="default"/>
                <w:spacing w:val="-3"/>
                <w:sz w:val="18"/>
                <w:szCs w:val="18"/>
              </w:rPr>
              <w:t>润，不利用关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联交易损害 上市公司及 非关联股东 的利益。</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675"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4"/>
              <w:jc w:val="left"/>
              <w:rPr>
                <w:rFonts w:ascii="宋体" w:hAnsi="宋体" w:cs="宋体" w:eastAsia="宋体" w:hint="default"/>
                <w:sz w:val="18"/>
                <w:szCs w:val="18"/>
              </w:rPr>
            </w:pPr>
            <w:r>
              <w:rPr>
                <w:rFonts w:ascii="宋体" w:hAnsi="宋体" w:cs="宋体" w:eastAsia="宋体" w:hint="default"/>
                <w:spacing w:val="-3"/>
                <w:sz w:val="18"/>
                <w:szCs w:val="18"/>
              </w:rPr>
              <w:t>陈书智；深圳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市聚智通信</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股份减持承</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80"/>
              <w:jc w:val="left"/>
              <w:rPr>
                <w:rFonts w:ascii="宋体" w:hAnsi="宋体" w:cs="宋体" w:eastAsia="宋体" w:hint="default"/>
                <w:sz w:val="18"/>
                <w:szCs w:val="18"/>
              </w:rPr>
            </w:pPr>
            <w:r>
              <w:rPr>
                <w:rFonts w:ascii="宋体" w:hAnsi="宋体" w:cs="宋体" w:eastAsia="宋体" w:hint="default"/>
                <w:sz w:val="18"/>
                <w:szCs w:val="18"/>
              </w:rPr>
              <w:t>自普路通首 次公开发行</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8797"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30" w:right="179"/>
              <w:jc w:val="left"/>
              <w:rPr>
                <w:rFonts w:ascii="宋体" w:hAnsi="宋体" w:cs="宋体" w:eastAsia="宋体" w:hint="default"/>
                <w:sz w:val="18"/>
                <w:szCs w:val="18"/>
              </w:rPr>
            </w:pPr>
            <w:r>
              <w:rPr>
                <w:rFonts w:ascii="宋体" w:hAnsi="宋体" w:cs="宋体" w:eastAsia="宋体" w:hint="default"/>
                <w:sz w:val="18"/>
                <w:szCs w:val="18"/>
              </w:rPr>
              <w:t>息技术有限 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0"/>
              <w:jc w:val="left"/>
              <w:rPr>
                <w:rFonts w:ascii="宋体" w:hAnsi="宋体" w:cs="宋体" w:eastAsia="宋体" w:hint="default"/>
                <w:sz w:val="18"/>
                <w:szCs w:val="18"/>
              </w:rPr>
            </w:pPr>
            <w:r>
              <w:rPr>
                <w:rFonts w:ascii="宋体" w:hAnsi="宋体" w:cs="宋体" w:eastAsia="宋体" w:hint="default"/>
                <w:sz w:val="18"/>
                <w:szCs w:val="18"/>
              </w:rPr>
              <w:t>的股票在证 券交易所上 市之日起三 十六个月内， 不转让或者 委托他人管 理其在本次 发行前直接 或间接已持 有的普路通 </w:t>
            </w:r>
            <w:r>
              <w:rPr>
                <w:rFonts w:ascii="宋体" w:hAnsi="宋体" w:cs="宋体" w:eastAsia="宋体" w:hint="default"/>
                <w:spacing w:val="-3"/>
                <w:sz w:val="18"/>
                <w:szCs w:val="18"/>
              </w:rPr>
              <w:t>股份，也不由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普路通回购 该部分股份； 所持普路通 股票在锁定 期满后两年 </w:t>
            </w:r>
            <w:r>
              <w:rPr>
                <w:rFonts w:ascii="宋体" w:hAnsi="宋体" w:cs="宋体" w:eastAsia="宋体" w:hint="default"/>
                <w:spacing w:val="-3"/>
                <w:sz w:val="18"/>
                <w:szCs w:val="18"/>
              </w:rPr>
              <w:t>内减持的，减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持价格不低 </w:t>
            </w:r>
            <w:r>
              <w:rPr>
                <w:rFonts w:ascii="宋体" w:hAnsi="宋体" w:cs="宋体" w:eastAsia="宋体" w:hint="default"/>
                <w:spacing w:val="-3"/>
                <w:sz w:val="18"/>
                <w:szCs w:val="18"/>
              </w:rPr>
              <w:t>于发行价。上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述减持价格 和股份锁定 承诺不因本 人不再作为 普路通控股 </w:t>
            </w:r>
            <w:r>
              <w:rPr>
                <w:rFonts w:ascii="宋体" w:hAnsi="宋体" w:cs="宋体" w:eastAsia="宋体" w:hint="default"/>
                <w:spacing w:val="-3"/>
                <w:sz w:val="18"/>
                <w:szCs w:val="18"/>
              </w:rPr>
              <w:t>股东、一致行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动人或者职 </w:t>
            </w:r>
            <w:r>
              <w:rPr>
                <w:rFonts w:ascii="宋体" w:hAnsi="宋体" w:cs="宋体" w:eastAsia="宋体" w:hint="default"/>
                <w:spacing w:val="-3"/>
                <w:sz w:val="18"/>
                <w:szCs w:val="18"/>
              </w:rPr>
              <w:t>务变更、离职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而终止。</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504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7"/>
              <w:ind w:left="30" w:right="1"/>
              <w:jc w:val="left"/>
              <w:rPr>
                <w:rFonts w:ascii="宋体" w:hAnsi="宋体" w:cs="宋体" w:eastAsia="宋体" w:hint="default"/>
                <w:sz w:val="18"/>
                <w:szCs w:val="18"/>
              </w:rPr>
            </w:pPr>
            <w:r>
              <w:rPr>
                <w:rFonts w:ascii="宋体" w:hAnsi="宋体" w:cs="宋体" w:eastAsia="宋体" w:hint="default"/>
                <w:sz w:val="18"/>
                <w:szCs w:val="18"/>
              </w:rPr>
              <w:t>陈书智；张 云；赵野；何 </w:t>
            </w:r>
            <w:r>
              <w:rPr>
                <w:rFonts w:ascii="宋体" w:hAnsi="宋体" w:cs="宋体" w:eastAsia="宋体" w:hint="default"/>
                <w:spacing w:val="-3"/>
                <w:sz w:val="18"/>
                <w:szCs w:val="18"/>
              </w:rPr>
              <w:t>帆；深圳市聚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智通信息技 术有限公司； 邹勇</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37"/>
              <w:ind w:left="29" w:right="17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根据中国证 </w:t>
            </w:r>
            <w:r>
              <w:rPr>
                <w:rFonts w:ascii="宋体" w:hAnsi="宋体" w:cs="宋体" w:eastAsia="宋体" w:hint="default"/>
                <w:spacing w:val="-3"/>
                <w:sz w:val="18"/>
                <w:szCs w:val="18"/>
              </w:rPr>
              <w:t>监会、证券交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易所有关法 </w:t>
            </w:r>
            <w:r>
              <w:rPr>
                <w:rFonts w:ascii="宋体" w:hAnsi="宋体" w:cs="宋体" w:eastAsia="宋体" w:hint="default"/>
                <w:spacing w:val="-3"/>
                <w:sz w:val="18"/>
                <w:szCs w:val="18"/>
              </w:rPr>
              <w:t>律、法规的相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关规定进行 </w:t>
            </w:r>
            <w:r>
              <w:rPr>
                <w:rFonts w:ascii="宋体" w:hAnsi="宋体" w:cs="宋体" w:eastAsia="宋体" w:hint="default"/>
                <w:spacing w:val="-3"/>
                <w:sz w:val="18"/>
                <w:szCs w:val="18"/>
              </w:rPr>
              <w:t>减持，并提前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三个交易日 </w:t>
            </w:r>
            <w:r>
              <w:rPr>
                <w:rFonts w:ascii="宋体" w:hAnsi="宋体" w:cs="宋体" w:eastAsia="宋体" w:hint="default"/>
                <w:spacing w:val="-3"/>
                <w:sz w:val="18"/>
                <w:szCs w:val="18"/>
              </w:rPr>
              <w:t>公告，但减持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时持有公司 股份低于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p>
            <w:pPr>
              <w:pStyle w:val="TableParagraph"/>
              <w:spacing w:line="221" w:lineRule="exact"/>
              <w:ind w:left="30" w:right="0"/>
              <w:jc w:val="left"/>
              <w:rPr>
                <w:rFonts w:ascii="宋体" w:hAnsi="宋体" w:cs="宋体" w:eastAsia="宋体" w:hint="default"/>
                <w:sz w:val="18"/>
                <w:szCs w:val="18"/>
              </w:rPr>
            </w:pPr>
            <w:r>
              <w:rPr>
                <w:rFonts w:ascii="宋体" w:hAnsi="宋体" w:cs="宋体" w:eastAsia="宋体" w:hint="default"/>
                <w:sz w:val="18"/>
                <w:szCs w:val="18"/>
              </w:rPr>
              <w:t>以下时除外。</w:t>
            </w:r>
          </w:p>
          <w:p>
            <w:pPr>
              <w:pStyle w:val="TableParagraph"/>
              <w:spacing w:line="316"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如未履行上 </w:t>
            </w:r>
            <w:r>
              <w:rPr>
                <w:rFonts w:ascii="宋体" w:hAnsi="宋体" w:cs="宋体" w:eastAsia="宋体" w:hint="default"/>
                <w:spacing w:val="-3"/>
                <w:sz w:val="18"/>
                <w:szCs w:val="18"/>
              </w:rPr>
              <w:t>述承诺，由此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取得收益的， 将所取得的 收益上缴普</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2867"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13"/>
              <w:jc w:val="left"/>
              <w:rPr>
                <w:rFonts w:ascii="宋体" w:hAnsi="宋体" w:cs="宋体" w:eastAsia="宋体" w:hint="default"/>
                <w:sz w:val="18"/>
                <w:szCs w:val="18"/>
              </w:rPr>
            </w:pPr>
            <w:r>
              <w:rPr>
                <w:rFonts w:ascii="宋体" w:hAnsi="宋体" w:cs="宋体" w:eastAsia="宋体" w:hint="default"/>
                <w:spacing w:val="-3"/>
                <w:sz w:val="18"/>
                <w:szCs w:val="18"/>
              </w:rPr>
              <w:t>路通所有；由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此给普路通 或者其他投 资者造成损 </w:t>
            </w:r>
            <w:r>
              <w:rPr>
                <w:rFonts w:ascii="宋体" w:hAnsi="宋体" w:cs="宋体" w:eastAsia="宋体" w:hint="default"/>
                <w:spacing w:val="-3"/>
                <w:sz w:val="18"/>
                <w:szCs w:val="18"/>
              </w:rPr>
              <w:t>失的，将向普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路通或者其 他投资者依 法承担赔偿 责任。</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9758" w:hRule="exact"/>
        </w:trPr>
        <w:tc>
          <w:tcPr>
            <w:tcW w:w="2839" w:type="dxa"/>
            <w:vMerge/>
            <w:tcBorders>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12"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04" w:lineRule="auto"/>
              <w:ind w:left="30" w:right="-52"/>
              <w:jc w:val="both"/>
              <w:rPr>
                <w:rFonts w:ascii="宋体" w:hAnsi="宋体" w:cs="宋体" w:eastAsia="宋体" w:hint="default"/>
                <w:sz w:val="18"/>
                <w:szCs w:val="18"/>
              </w:rPr>
            </w:pPr>
            <w:r>
              <w:rPr>
                <w:rFonts w:ascii="宋体" w:hAnsi="宋体" w:cs="宋体" w:eastAsia="宋体" w:hint="default"/>
                <w:sz w:val="18"/>
                <w:szCs w:val="18"/>
              </w:rPr>
              <w:t>陈书智</w:t>
            </w:r>
            <w:r>
              <w:rPr>
                <w:rFonts w:ascii="Times New Roman" w:hAnsi="Times New Roman" w:cs="Times New Roman" w:eastAsia="Times New Roman" w:hint="default"/>
                <w:sz w:val="18"/>
                <w:szCs w:val="18"/>
              </w:rPr>
              <w:t>;</w:t>
            </w:r>
            <w:r>
              <w:rPr>
                <w:rFonts w:ascii="宋体" w:hAnsi="宋体" w:cs="宋体" w:eastAsia="宋体" w:hint="default"/>
                <w:sz w:val="18"/>
                <w:szCs w:val="18"/>
              </w:rPr>
              <w:t>张云； 赵野；何帆； 邹勇</w:t>
            </w:r>
          </w:p>
        </w:tc>
        <w:tc>
          <w:tcPr>
            <w:tcW w:w="1126" w:type="dxa"/>
            <w:tcBorders>
              <w:top w:val="single" w:sz="6" w:space="0" w:color="000000"/>
              <w:left w:val="single" w:sz="12" w:space="0" w:color="FFFFFF"/>
              <w:bottom w:val="single" w:sz="6" w:space="0" w:color="000000"/>
              <w:right w:val="single" w:sz="6" w:space="0" w:color="000000"/>
            </w:tcBorders>
          </w:tcPr>
          <w:p>
            <w:pPr>
              <w:pStyle w:val="TableParagraph"/>
              <w:spacing w:line="4534"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0"/>
                <w:sz w:val="20"/>
                <w:szCs w:val="20"/>
              </w:rPr>
              <w:pict>
                <v:group style="width:55.6pt;height:226.7pt;mso-position-horizontal-relative:char;mso-position-vertical-relative:line" coordorigin="0,0" coordsize="1112,4534">
                  <v:group style="position:absolute;left:0;top:0;width:1112;height:4534" coordorigin="0,0" coordsize="1112,4534">
                    <v:shape style="position:absolute;left:0;top:0;width:1112;height:4534" coordorigin="0,0" coordsize="1112,4534" path="m0,4534l1112,4534,1112,0,0,0,0,4534xe" filled="true" fillcolor="#ffffff" stroked="false">
                      <v:path arrowok="t"/>
                      <v:fill type="solid"/>
                    </v:shape>
                  </v:group>
                </v:group>
              </w:pict>
            </w:r>
            <w:r>
              <w:rPr>
                <w:rFonts w:ascii="Times New Roman" w:hAnsi="Times New Roman" w:cs="Times New Roman" w:eastAsia="Times New Roman" w:hint="default"/>
                <w:position w:val="-90"/>
                <w:sz w:val="20"/>
                <w:szCs w:val="20"/>
              </w:rPr>
            </w:r>
          </w:p>
          <w:p>
            <w:pPr>
              <w:pStyle w:val="TableParagraph"/>
              <w:spacing w:line="307" w:lineRule="auto" w:before="44"/>
              <w:ind w:left="22" w:right="17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股份锁定期 </w:t>
            </w:r>
            <w:r>
              <w:rPr>
                <w:rFonts w:ascii="宋体" w:hAnsi="宋体" w:cs="宋体" w:eastAsia="宋体" w:hint="default"/>
                <w:spacing w:val="-3"/>
                <w:sz w:val="18"/>
                <w:szCs w:val="18"/>
              </w:rPr>
              <w:t>届满后，在其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任职期间每 年转让的股 份不超过其 直接或者间 接持有的普 路通股份总</w:t>
            </w:r>
          </w:p>
          <w:p>
            <w:pPr>
              <w:pStyle w:val="TableParagraph"/>
              <w:spacing w:line="314"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；离</w:t>
            </w:r>
            <w:r>
              <w:rPr>
                <w:rFonts w:ascii="宋体" w:hAnsi="宋体" w:cs="宋体" w:eastAsia="宋体" w:hint="default"/>
                <w:sz w:val="18"/>
                <w:szCs w:val="18"/>
              </w:rPr>
              <w:t> 职后半年内， 不转让其直 接或者间接 持有的普路 </w:t>
            </w:r>
            <w:r>
              <w:rPr>
                <w:rFonts w:ascii="宋体" w:hAnsi="宋体" w:cs="宋体" w:eastAsia="宋体" w:hint="default"/>
                <w:spacing w:val="-3"/>
                <w:sz w:val="18"/>
                <w:szCs w:val="18"/>
              </w:rPr>
              <w:t>通股份；申报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离职半年后</w:t>
            </w:r>
          </w:p>
          <w:p>
            <w:pPr>
              <w:pStyle w:val="TableParagraph"/>
              <w:spacing w:line="312" w:lineRule="auto" w:before="38"/>
              <w:ind w:left="30" w:right="88"/>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 通过深圳证 券交易所挂 牌出售所持 股份的比例 不超过其所</w:t>
            </w:r>
          </w:p>
          <w:p>
            <w:pPr>
              <w:pStyle w:val="TableParagraph"/>
              <w:spacing w:line="314" w:lineRule="auto" w:before="26"/>
              <w:ind w:left="30" w:right="43"/>
              <w:jc w:val="left"/>
              <w:rPr>
                <w:rFonts w:ascii="宋体" w:hAnsi="宋体" w:cs="宋体" w:eastAsia="宋体" w:hint="default"/>
                <w:sz w:val="18"/>
                <w:szCs w:val="18"/>
              </w:rPr>
            </w:pPr>
            <w:r>
              <w:rPr>
                <w:rFonts w:ascii="宋体" w:hAnsi="宋体" w:cs="宋体" w:eastAsia="宋体" w:hint="default"/>
                <w:sz w:val="18"/>
                <w:szCs w:val="18"/>
              </w:rPr>
              <w:t>持普路通股 份的</w:t>
            </w:r>
            <w:r>
              <w:rPr>
                <w:rFonts w:ascii="宋体" w:hAnsi="宋体" w:cs="宋体" w:eastAsia="宋体" w:hint="default"/>
                <w:spacing w:val="-45"/>
                <w:sz w:val="18"/>
                <w:szCs w:val="18"/>
              </w:rPr>
              <w:t> </w:t>
            </w:r>
            <w:r>
              <w:rPr>
                <w:rFonts w:ascii="Times New Roman" w:hAnsi="Times New Roman" w:cs="Times New Roman" w:eastAsia="Times New Roman" w:hint="default"/>
                <w:spacing w:val="-12"/>
                <w:sz w:val="18"/>
                <w:szCs w:val="18"/>
              </w:rPr>
              <w:t>50%</w:t>
            </w:r>
            <w:r>
              <w:rPr>
                <w:rFonts w:ascii="宋体" w:hAnsi="宋体" w:cs="宋体" w:eastAsia="宋体" w:hint="default"/>
                <w:spacing w:val="-12"/>
                <w:sz w:val="18"/>
                <w:szCs w:val="18"/>
              </w:rPr>
              <w:t>。上</w:t>
            </w:r>
            <w:r>
              <w:rPr>
                <w:rFonts w:ascii="宋体" w:hAnsi="宋体" w:cs="宋体" w:eastAsia="宋体" w:hint="default"/>
                <w:spacing w:val="-30"/>
                <w:sz w:val="18"/>
                <w:szCs w:val="18"/>
              </w:rPr>
              <w:t> </w:t>
            </w:r>
            <w:r>
              <w:rPr>
                <w:rFonts w:ascii="宋体" w:hAnsi="宋体" w:cs="宋体" w:eastAsia="宋体" w:hint="default"/>
                <w:sz w:val="18"/>
                <w:szCs w:val="18"/>
              </w:rPr>
              <w:t>述减持价格</w:t>
            </w:r>
            <w:r>
              <w:rPr>
                <w:rFonts w:ascii="宋体" w:hAnsi="宋体" w:cs="宋体" w:eastAsia="宋体" w:hint="default"/>
                <w:sz w:val="18"/>
                <w:szCs w:val="18"/>
              </w:rPr>
              <w:t> 和股份锁定 承诺不因其</w:t>
            </w:r>
          </w:p>
          <w:p>
            <w:pPr>
              <w:pStyle w:val="TableParagraph"/>
              <w:spacing w:line="316" w:lineRule="auto" w:before="23"/>
              <w:ind w:left="30" w:right="13"/>
              <w:jc w:val="left"/>
              <w:rPr>
                <w:rFonts w:ascii="宋体" w:hAnsi="宋体" w:cs="宋体" w:eastAsia="宋体" w:hint="default"/>
                <w:sz w:val="18"/>
                <w:szCs w:val="18"/>
              </w:rPr>
            </w:pPr>
            <w:r>
              <w:rPr>
                <w:rFonts w:ascii="宋体" w:hAnsi="宋体" w:cs="宋体" w:eastAsia="宋体" w:hint="default"/>
                <w:sz w:val="18"/>
                <w:szCs w:val="18"/>
              </w:rPr>
              <w:t>不再作为普 路通控股股 东或者职务 </w:t>
            </w:r>
            <w:r>
              <w:rPr>
                <w:rFonts w:ascii="宋体" w:hAnsi="宋体" w:cs="宋体" w:eastAsia="宋体" w:hint="default"/>
                <w:spacing w:val="-3"/>
                <w:sz w:val="18"/>
                <w:szCs w:val="18"/>
              </w:rPr>
              <w:t>变更、离职而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终止。</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5"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306"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4" w:lineRule="auto"/>
              <w:ind w:left="29" w:right="179"/>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3"/>
              <w:jc w:val="left"/>
              <w:rPr>
                <w:rFonts w:ascii="宋体" w:hAnsi="宋体" w:cs="宋体" w:eastAsia="宋体" w:hint="default"/>
                <w:sz w:val="18"/>
                <w:szCs w:val="18"/>
              </w:rPr>
            </w:pPr>
            <w:r>
              <w:rPr>
                <w:rFonts w:ascii="宋体" w:hAnsi="宋体" w:cs="宋体" w:eastAsia="宋体" w:hint="default"/>
                <w:spacing w:val="-3"/>
                <w:sz w:val="18"/>
                <w:szCs w:val="18"/>
              </w:rPr>
              <w:t>一、本人目前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不存在自营 或者为他人 经营与普路</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通相同的业</w:t>
            </w: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pacing w:val="-3"/>
                <w:sz w:val="18"/>
                <w:szCs w:val="18"/>
              </w:rPr>
              <w:t>务，也不会以</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任何方式直</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接或者间接</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从事普路通</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现在和将来</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主营业务相</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同、相似或构</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成实质竞争</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的业务；二、</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本人将不经</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营或投资与</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普路通相同</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或相类似的</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产品，以避免</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对普路通的</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生产经营构</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成直接或间</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接的竞争；并</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保证本人及</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与本人关系</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密切的家庭</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成员不直接</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参与或进行</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与普路通的</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pacing w:val="-3"/>
                <w:sz w:val="18"/>
                <w:szCs w:val="18"/>
              </w:rPr>
              <w:t>生产、经营相</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竞争的任何</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三、本人将不</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利用对普路</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通的控股及</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实际控制关</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系进行损害</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普路通及普</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路通其他股</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东利益的经</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营活动；四、</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本人将忠实</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履行承诺并</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保证确认的</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pacing w:val="-3"/>
                <w:sz w:val="18"/>
                <w:szCs w:val="18"/>
              </w:rPr>
              <w:t>真实性，如果</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违反上述承</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诺或者确认</w:t>
            </w: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1306"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13"/>
              <w:jc w:val="left"/>
              <w:rPr>
                <w:rFonts w:ascii="宋体" w:hAnsi="宋体" w:cs="宋体" w:eastAsia="宋体" w:hint="default"/>
                <w:sz w:val="18"/>
                <w:szCs w:val="18"/>
              </w:rPr>
            </w:pPr>
            <w:r>
              <w:rPr>
                <w:rFonts w:ascii="宋体" w:hAnsi="宋体" w:cs="宋体" w:eastAsia="宋体" w:hint="default"/>
                <w:spacing w:val="-3"/>
                <w:sz w:val="18"/>
                <w:szCs w:val="18"/>
              </w:rPr>
              <w:t>不真实，本人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将承担由此 引发的一切 法律责任。</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7582" w:hRule="exact"/>
        </w:trPr>
        <w:tc>
          <w:tcPr>
            <w:tcW w:w="2839" w:type="dxa"/>
            <w:vMerge/>
            <w:tcBorders>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30" w:right="179"/>
              <w:jc w:val="both"/>
              <w:rPr>
                <w:rFonts w:ascii="宋体" w:hAnsi="宋体" w:cs="宋体" w:eastAsia="宋体" w:hint="default"/>
                <w:sz w:val="18"/>
                <w:szCs w:val="18"/>
              </w:rPr>
            </w:pPr>
            <w:r>
              <w:rPr>
                <w:rFonts w:ascii="宋体" w:hAnsi="宋体" w:cs="宋体" w:eastAsia="宋体" w:hint="default"/>
                <w:sz w:val="18"/>
                <w:szCs w:val="18"/>
              </w:rPr>
              <w:t>深圳市聚智 通信息技术 有限公司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29" w:right="179"/>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本公司现时 及将来均不 会以任何方 </w:t>
            </w:r>
            <w:r>
              <w:rPr>
                <w:rFonts w:ascii="宋体" w:hAnsi="宋体" w:cs="宋体" w:eastAsia="宋体" w:hint="default"/>
                <w:spacing w:val="-3"/>
                <w:sz w:val="18"/>
                <w:szCs w:val="18"/>
              </w:rPr>
              <w:t>式（包括但不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限于直接或 间接地进行 </w:t>
            </w:r>
            <w:r>
              <w:rPr>
                <w:rFonts w:ascii="宋体" w:hAnsi="宋体" w:cs="宋体" w:eastAsia="宋体" w:hint="default"/>
                <w:spacing w:val="-3"/>
                <w:sz w:val="18"/>
                <w:szCs w:val="18"/>
              </w:rPr>
              <w:t>独资经营、合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资经营和拥 有在其他公 司或企业的 股票或权益） 从事与普路 通股份的业 务有竞争或 可能构成竞 争的业务或 </w:t>
            </w:r>
            <w:r>
              <w:rPr>
                <w:rFonts w:ascii="宋体" w:hAnsi="宋体" w:cs="宋体" w:eastAsia="宋体" w:hint="default"/>
                <w:spacing w:val="-3"/>
                <w:sz w:val="18"/>
                <w:szCs w:val="18"/>
              </w:rPr>
              <w:t>活动，若因本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公司违背了 上述承诺致 使普路通股 份产生的一 切经济损失， 均由公司承 担。</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504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21" w:lineRule="auto"/>
              <w:ind w:left="29" w:right="179"/>
              <w:jc w:val="both"/>
              <w:rPr>
                <w:rFonts w:ascii="宋体" w:hAnsi="宋体" w:cs="宋体" w:eastAsia="宋体" w:hint="default"/>
                <w:sz w:val="18"/>
                <w:szCs w:val="18"/>
              </w:rPr>
            </w:pPr>
            <w:r>
              <w:rPr>
                <w:rFonts w:ascii="宋体" w:hAnsi="宋体" w:cs="宋体" w:eastAsia="宋体" w:hint="default"/>
                <w:sz w:val="18"/>
                <w:szCs w:val="18"/>
              </w:rPr>
              <w:t>关于规范与 普路通关联 交易的承诺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30" w:right="0"/>
              <w:jc w:val="left"/>
              <w:rPr>
                <w:rFonts w:ascii="宋体" w:hAnsi="宋体" w:cs="宋体" w:eastAsia="宋体" w:hint="default"/>
                <w:sz w:val="18"/>
                <w:szCs w:val="18"/>
              </w:rPr>
            </w:pPr>
            <w:r>
              <w:rPr>
                <w:rFonts w:ascii="宋体" w:hAnsi="宋体" w:cs="宋体" w:eastAsia="宋体" w:hint="default"/>
                <w:spacing w:val="-3"/>
                <w:sz w:val="18"/>
                <w:szCs w:val="18"/>
              </w:rPr>
              <w:t>一、本人将严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格按照《公司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法》等法律法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规以及普路 </w:t>
            </w:r>
            <w:r>
              <w:rPr>
                <w:rFonts w:ascii="宋体" w:hAnsi="宋体" w:cs="宋体" w:eastAsia="宋体" w:hint="default"/>
                <w:spacing w:val="-3"/>
                <w:sz w:val="18"/>
                <w:szCs w:val="18"/>
              </w:rPr>
              <w:t>通的《公司章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8"/>
                <w:sz w:val="18"/>
                <w:szCs w:val="18"/>
              </w:rPr>
              <w:t>程》、《关联交</w:t>
            </w:r>
            <w:r>
              <w:rPr>
                <w:rFonts w:ascii="宋体" w:hAnsi="宋体" w:cs="宋体" w:eastAsia="宋体" w:hint="default"/>
                <w:sz w:val="18"/>
                <w:szCs w:val="18"/>
              </w:rPr>
              <w:t> 易决策制度》 等有关规定 行使股东或 董事权利并 履行股东或 董事的义务， 在股东大会 以及董事会 对有关涉及 本人及所控</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业与普路通</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进行表决时，</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履行回避表</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决的义务。</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pacing w:val="-3"/>
                <w:sz w:val="18"/>
                <w:szCs w:val="18"/>
              </w:rPr>
              <w:t>二、本人及所</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企业与普路</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通发生的关</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联交易确有</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必要且无法</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规避时，承诺</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将继续遵循</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公正、公平、</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公开的一般</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pacing w:val="-3"/>
                <w:sz w:val="18"/>
                <w:szCs w:val="18"/>
              </w:rPr>
              <w:t>商业原则，按</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照有关法律、</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法规、规范性</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文件和普路</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通的《公司章</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《关联交</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易决策制度》</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等规定履行</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合法程序，依</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法签订协议，</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保证交易价</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格的透明、公</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允、合理，并</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督促普路通</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及时履行信</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息披露义务，</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保证不通过</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关联交易损</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害普路通及</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其他股东特</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别是中小股</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东的利益。</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pacing w:val="-3"/>
                <w:sz w:val="18"/>
                <w:szCs w:val="18"/>
              </w:rPr>
              <w:t>三、如果本人</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及所控制的</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其他企业违</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反本函所作</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承诺及保证，</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将依法承担</w:t>
            </w: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2867"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13"/>
              <w:jc w:val="left"/>
              <w:rPr>
                <w:rFonts w:ascii="宋体" w:hAnsi="宋体" w:cs="宋体" w:eastAsia="宋体" w:hint="default"/>
                <w:sz w:val="18"/>
                <w:szCs w:val="18"/>
              </w:rPr>
            </w:pPr>
            <w:r>
              <w:rPr>
                <w:rFonts w:ascii="宋体" w:hAnsi="宋体" w:cs="宋体" w:eastAsia="宋体" w:hint="default"/>
                <w:spacing w:val="-3"/>
                <w:sz w:val="18"/>
                <w:szCs w:val="18"/>
              </w:rPr>
              <w:t>全部责任，并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对由此造成 普路通及除 本人所控制 的其他企业 以外其他股 东的损失承 担连带赔偿 责任。</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1"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06"/>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2"/>
          <w:szCs w:val="22"/>
        </w:rPr>
      </w:pPr>
    </w:p>
    <w:p>
      <w:pPr>
        <w:pStyle w:val="Heading3"/>
        <w:spacing w:line="247"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53"/>
        </w:rPr>
        <w:t> </w:t>
      </w:r>
      <w:r>
        <w:rPr>
          <w:spacing w:val="-53"/>
        </w:rPr>
      </w:r>
      <w:r>
        <w:rPr/>
        <w:t>其原因做出说明</w:t>
      </w:r>
      <w:r>
        <w:rPr>
          <w:b w:val="0"/>
          <w:bCs w:val="0"/>
        </w:rPr>
      </w:r>
    </w:p>
    <w:p>
      <w:pPr>
        <w:spacing w:line="240" w:lineRule="auto" w:before="3"/>
        <w:rPr>
          <w:rFonts w:ascii="宋体" w:hAnsi="宋体" w:cs="宋体" w:eastAsia="宋体" w:hint="default"/>
          <w:b/>
          <w:bCs/>
          <w:sz w:val="28"/>
          <w:szCs w:val="2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1"/>
        <w:rPr>
          <w:rFonts w:ascii="宋体" w:hAnsi="宋体" w:cs="宋体" w:eastAsia="宋体" w:hint="default"/>
          <w:b/>
          <w:bCs/>
          <w:sz w:val="26"/>
          <w:szCs w:val="26"/>
        </w:rPr>
      </w:pPr>
    </w:p>
    <w:p>
      <w:pPr>
        <w:pStyle w:val="BodyText"/>
        <w:spacing w:line="333" w:lineRule="auto" w:before="0"/>
        <w:ind w:right="49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公司报告期不存在控股股东及其关联方对上市公司的非经营性占用资金。</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2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9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75"/>
              <w:ind w:right="17"/>
              <w:jc w:val="left"/>
              <w:rPr>
                <w:rFonts w:ascii="宋体" w:hAnsi="宋体" w:cs="宋体" w:eastAsia="宋体" w:hint="default"/>
                <w:sz w:val="18"/>
                <w:szCs w:val="18"/>
              </w:rPr>
            </w:pPr>
            <w:r>
              <w:rPr>
                <w:rFonts w:ascii="宋体" w:hAnsi="宋体" w:cs="宋体" w:eastAsia="宋体" w:hint="default"/>
                <w:sz w:val="18"/>
                <w:szCs w:val="18"/>
              </w:rPr>
              <w:t>本公司自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日起执行财政部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年修订的《企业会计准则第</w:t>
            </w:r>
            <w:r>
              <w:rPr>
                <w:rFonts w:ascii="Times New Roman" w:hAnsi="Times New Roman" w:cs="Times New Roman" w:eastAsia="Times New Roman" w:hint="default"/>
                <w:sz w:val="18"/>
                <w:szCs w:val="18"/>
              </w:rPr>
              <w:t>22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 </w:t>
            </w:r>
            <w:r>
              <w:rPr>
                <w:rFonts w:ascii="宋体" w:hAnsi="宋体" w:cs="宋体" w:eastAsia="宋体" w:hint="default"/>
                <w:spacing w:val="-5"/>
                <w:sz w:val="18"/>
                <w:szCs w:val="18"/>
              </w:rPr>
              <w:t>融工具确认和计量》、《企业会计准则第</w:t>
            </w:r>
          </w:p>
          <w:p>
            <w:pPr>
              <w:pStyle w:val="TableParagraph"/>
              <w:spacing w:line="304" w:lineRule="auto" w:before="58"/>
              <w:ind w:right="61"/>
              <w:jc w:val="both"/>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金融资产转移》和《企业会计准则 第</w:t>
            </w:r>
            <w:r>
              <w:rPr>
                <w:rFonts w:ascii="Times New Roman" w:hAnsi="Times New Roman" w:cs="Times New Roman" w:eastAsia="Times New Roman" w:hint="default"/>
                <w:sz w:val="18"/>
                <w:szCs w:val="18"/>
              </w:rPr>
              <w:t>24</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套期会计》、《企业会计准则第 </w:t>
            </w:r>
            <w:r>
              <w:rPr>
                <w:rFonts w:ascii="Times New Roman" w:hAnsi="Times New Roman" w:cs="Times New Roman" w:eastAsia="Times New Roman" w:hint="default"/>
                <w:sz w:val="18"/>
                <w:szCs w:val="18"/>
              </w:rPr>
              <w:t>37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75"/>
              <w:ind w:left="-1" w:right="1"/>
              <w:jc w:val="both"/>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日召开的第四届董事 </w:t>
            </w:r>
            <w:r>
              <w:rPr>
                <w:rFonts w:ascii="宋体" w:hAnsi="宋体" w:cs="宋体" w:eastAsia="宋体" w:hint="default"/>
                <w:spacing w:val="-5"/>
                <w:sz w:val="18"/>
                <w:szCs w:val="18"/>
              </w:rPr>
              <w:t>会第五次会议、第四届监事会第五次会议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审议通过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bl>
    <w:p>
      <w:pPr>
        <w:pStyle w:val="BodyText"/>
        <w:spacing w:line="290" w:lineRule="auto" w:before="14"/>
        <w:ind w:right="1094"/>
        <w:jc w:val="left"/>
      </w:pP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日起执行财政部</w:t>
      </w:r>
      <w:r>
        <w:rPr>
          <w:rFonts w:ascii="Times New Roman" w:hAnsi="Times New Roman" w:cs="Times New Roman" w:eastAsia="Times New Roman" w:hint="default"/>
        </w:rPr>
        <w:t>2017</w:t>
      </w:r>
      <w:r>
        <w:rPr/>
        <w:t>年修订的《企业会计准则第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金融工具列报》（以上四项统称</w:t>
      </w:r>
      <w:r>
        <w:rPr>
          <w:rFonts w:ascii="Times New Roman" w:hAnsi="Times New Roman" w:cs="Times New Roman" w:eastAsia="Times New Roman" w:hint="default"/>
        </w:rPr>
        <w:t>&lt;</w:t>
      </w:r>
      <w:r>
        <w:rPr/>
        <w:t>新金融工</w:t>
      </w:r>
    </w:p>
    <w:p>
      <w:pPr>
        <w:spacing w:after="0" w:line="29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4" w:lineRule="auto"/>
        <w:ind w:right="0"/>
        <w:jc w:val="left"/>
      </w:pPr>
      <w:r>
        <w:rPr/>
        <w:t>具准则</w:t>
      </w:r>
      <w:r>
        <w:rPr>
          <w:rFonts w:ascii="Times New Roman" w:hAnsi="Times New Roman" w:cs="Times New Roman" w:eastAsia="Times New Roman" w:hint="default"/>
        </w:rPr>
        <w:t>&gt;</w:t>
      </w:r>
      <w:r>
        <w:rPr/>
        <w:t>），变更后的会计政策详见附注四。</w:t>
      </w:r>
      <w:r>
        <w:rPr>
          <w:spacing w:val="-87"/>
        </w:rPr>
        <w:t> </w:t>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日之前的金融工具确认和计量与新金融工具准则要求不一致的，本公司按照新金融工具准则的要求进行衔接调</w:t>
      </w:r>
      <w:r>
        <w:rPr>
          <w:spacing w:val="-53"/>
        </w:rPr>
        <w:t> </w:t>
      </w:r>
      <w:r>
        <w:rPr>
          <w:spacing w:val="-53"/>
        </w:rPr>
      </w:r>
      <w:r>
        <w:rPr>
          <w:spacing w:val="-2"/>
        </w:rPr>
        <w:t>整。涉及前期比较财务报表数据与新金融工具准则要求不一致的，本公司未调整可比期间信息。金融工具原账面价值和新金</w:t>
      </w:r>
      <w:r>
        <w:rPr>
          <w:spacing w:val="-66"/>
        </w:rPr>
        <w:t> </w:t>
      </w:r>
      <w:r>
        <w:rPr>
          <w:spacing w:val="-66"/>
        </w:rPr>
      </w:r>
      <w:r>
        <w:rPr/>
        <w:t>融工具准则施行日的新账面价值之间的差额，计入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日留存收益或其他综合收益。</w:t>
      </w:r>
    </w:p>
    <w:p>
      <w:pPr>
        <w:spacing w:line="240" w:lineRule="auto" w:before="12"/>
        <w:rPr>
          <w:rFonts w:ascii="宋体" w:hAnsi="宋体" w:cs="宋体" w:eastAsia="宋体" w:hint="default"/>
          <w:sz w:val="23"/>
          <w:szCs w:val="23"/>
        </w:rPr>
      </w:pPr>
    </w:p>
    <w:p>
      <w:pPr>
        <w:pStyle w:val="BodyText"/>
        <w:spacing w:line="240" w:lineRule="auto" w:before="0"/>
        <w:ind w:right="0"/>
        <w:jc w:val="left"/>
      </w:pPr>
      <w:r>
        <w:rPr/>
        <w:t>执行新金融工具准则对本期期初资产负债表相关项目的影响列示如下：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1847"/>
        <w:gridCol w:w="1637"/>
        <w:gridCol w:w="1502"/>
        <w:gridCol w:w="1412"/>
        <w:gridCol w:w="1426"/>
        <w:gridCol w:w="1847"/>
      </w:tblGrid>
      <w:tr>
        <w:trPr>
          <w:trHeight w:val="420" w:hRule="exact"/>
        </w:trPr>
        <w:tc>
          <w:tcPr>
            <w:tcW w:w="1847"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75"/>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34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847" w:type="dxa"/>
            <w:vMerge w:val="restart"/>
            <w:tcBorders>
              <w:top w:val="single" w:sz="6" w:space="0" w:color="000000"/>
              <w:left w:val="single" w:sz="6" w:space="0" w:color="000000"/>
              <w:right w:val="single" w:sz="6" w:space="0" w:color="000000"/>
            </w:tcBorders>
          </w:tcPr>
          <w:p>
            <w:pPr>
              <w:pStyle w:val="TableParagraph"/>
              <w:spacing w:line="240" w:lineRule="auto" w:before="7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796" w:hRule="exact"/>
        </w:trPr>
        <w:tc>
          <w:tcPr>
            <w:tcW w:w="1847" w:type="dxa"/>
            <w:vMerge/>
            <w:tcBorders>
              <w:left w:val="single" w:sz="6" w:space="0" w:color="000000"/>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367" w:lineRule="auto" w:before="60"/>
              <w:ind w:left="390" w:right="375" w:firstLine="90"/>
              <w:jc w:val="left"/>
              <w:rPr>
                <w:rFonts w:ascii="宋体" w:hAnsi="宋体" w:cs="宋体" w:eastAsia="宋体" w:hint="default"/>
                <w:sz w:val="18"/>
                <w:szCs w:val="18"/>
              </w:rPr>
            </w:pPr>
            <w:r>
              <w:rPr>
                <w:rFonts w:ascii="宋体" w:hAnsi="宋体" w:cs="宋体" w:eastAsia="宋体" w:hint="default"/>
                <w:sz w:val="18"/>
                <w:szCs w:val="18"/>
              </w:rPr>
              <w:t>分类和 计量影响</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67" w:lineRule="auto" w:before="60"/>
              <w:ind w:left="330" w:right="344"/>
              <w:jc w:val="left"/>
              <w:rPr>
                <w:rFonts w:ascii="宋体" w:hAnsi="宋体" w:cs="宋体" w:eastAsia="宋体" w:hint="default"/>
                <w:sz w:val="18"/>
                <w:szCs w:val="18"/>
              </w:rPr>
            </w:pPr>
            <w:r>
              <w:rPr>
                <w:rFonts w:ascii="宋体" w:hAnsi="宋体" w:cs="宋体" w:eastAsia="宋体" w:hint="default"/>
                <w:sz w:val="18"/>
                <w:szCs w:val="18"/>
              </w:rPr>
              <w:t>金融资产 减值影响</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847" w:type="dxa"/>
            <w:vMerge/>
            <w:tcBorders>
              <w:left w:val="single" w:sz="6" w:space="0" w:color="000000"/>
              <w:bottom w:val="single" w:sz="6" w:space="0" w:color="000000"/>
              <w:right w:val="single" w:sz="6" w:space="0" w:color="000000"/>
            </w:tcBorders>
          </w:tcPr>
          <w:p>
            <w:pPr/>
          </w:p>
        </w:tc>
      </w:tr>
      <w:tr>
        <w:trPr>
          <w:trHeight w:val="42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9,049,082,286.64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138,079,907.15</w:t>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138,079,907.15</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9,187,162,193.79</w:t>
            </w:r>
          </w:p>
        </w:tc>
      </w:tr>
      <w:tr>
        <w:trPr>
          <w:trHeight w:val="43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37"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48,312,859.81</w:t>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48,312,859.81</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48,312,859.81</w:t>
            </w:r>
          </w:p>
        </w:tc>
      </w:tr>
      <w:tr>
        <w:trPr>
          <w:trHeight w:val="106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0"/>
              <w:ind w:right="15"/>
              <w:jc w:val="both"/>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动计入当期损益的金融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资产</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48,312,859.81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-48,312,859.81</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-48,312,859.81</w:t>
            </w:r>
            <w:r>
              <w:rPr>
                <w:rFonts w:ascii="Times New Roman"/>
                <w:sz w:val="18"/>
              </w:rPr>
            </w: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42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374,221,560.07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5"/>
                <w:sz w:val="18"/>
              </w:rPr>
              <w:t>-138,079,907.15</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-138,079,907.15</w:t>
            </w:r>
            <w:r>
              <w:rPr>
                <w:rFonts w:ascii="Times New Roman"/>
                <w:sz w:val="18"/>
              </w:rPr>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236,141,652.92</w:t>
            </w:r>
          </w:p>
        </w:tc>
      </w:tr>
      <w:tr>
        <w:trPr>
          <w:trHeight w:val="43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136,446,676.00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5"/>
                <w:sz w:val="18"/>
              </w:rPr>
              <w:t>-136,446,676.00</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-136,446,676.00</w:t>
            </w:r>
            <w:r>
              <w:rPr>
                <w:rFonts w:ascii="Times New Roman"/>
                <w:sz w:val="18"/>
              </w:rPr>
            </w: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43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637"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136,446,676.00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136,446,676.00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136,446,676.00</w:t>
            </w:r>
          </w:p>
        </w:tc>
      </w:tr>
      <w:tr>
        <w:trPr>
          <w:trHeight w:val="43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8,688,694,672.15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117,126,066.27</w:t>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117,126,066.27</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8,805,820,738.42</w:t>
            </w:r>
          </w:p>
        </w:tc>
      </w:tr>
      <w:tr>
        <w:trPr>
          <w:trHeight w:val="43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37"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50,354,479.87</w:t>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50,354,479.87</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50,354,479.87</w:t>
            </w:r>
          </w:p>
        </w:tc>
      </w:tr>
      <w:tr>
        <w:trPr>
          <w:trHeight w:val="105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9"/>
              <w:ind w:right="15"/>
              <w:jc w:val="both"/>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动计入当期损益的金融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负债</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50,354,479.87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-50,354,479.87</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-50,354,479.87</w:t>
            </w:r>
            <w:r>
              <w:rPr>
                <w:rFonts w:ascii="Times New Roman"/>
                <w:sz w:val="18"/>
              </w:rPr>
            </w: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43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201,296,326.22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5"/>
                <w:sz w:val="18"/>
              </w:rPr>
              <w:t>-117,613,899.31</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-117,613,899.31</w:t>
            </w:r>
            <w:r>
              <w:rPr>
                <w:rFonts w:ascii="Times New Roman"/>
                <w:sz w:val="18"/>
              </w:rPr>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83,682,426.91</w:t>
            </w:r>
          </w:p>
        </w:tc>
      </w:tr>
      <w:tr>
        <w:trPr>
          <w:trHeight w:val="43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367,447,868.06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487,833.04</w:t>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487,833.04</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367,935,701.10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1"/>
        <w:rPr>
          <w:rFonts w:ascii="宋体" w:hAnsi="宋体" w:cs="宋体" w:eastAsia="宋体" w:hint="default"/>
          <w:b/>
          <w:bCs/>
          <w:sz w:val="26"/>
          <w:szCs w:val="26"/>
        </w:rPr>
      </w:pPr>
    </w:p>
    <w:p>
      <w:pPr>
        <w:pStyle w:val="BodyText"/>
        <w:spacing w:line="333" w:lineRule="auto" w:before="0"/>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公司报告期无重大会计差错更正需追溯重述的情况。</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1"/>
        <w:rPr>
          <w:rFonts w:ascii="宋体" w:hAnsi="宋体" w:cs="宋体" w:eastAsia="宋体" w:hint="default"/>
          <w:b/>
          <w:bCs/>
          <w:sz w:val="26"/>
          <w:szCs w:val="26"/>
        </w:rPr>
      </w:pPr>
    </w:p>
    <w:p>
      <w:pPr>
        <w:pStyle w:val="BodyText"/>
        <w:spacing w:line="348" w:lineRule="auto" w:before="0"/>
        <w:ind w:left="501" w:right="5889" w:hanging="361"/>
        <w:jc w:val="left"/>
      </w:pPr>
      <w:r>
        <w:rPr/>
        <w:pict>
          <v:shape style="position:absolute;margin-left:56.325001pt;margin-top:33.041725pt;width:428.4pt;height:18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5"/>
                    <w:gridCol w:w="1262"/>
                    <w:gridCol w:w="721"/>
                    <w:gridCol w:w="1516"/>
                    <w:gridCol w:w="1532"/>
                  </w:tblGrid>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5"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5"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本期纳入合并财务报表范围的子公司共</w:t>
      </w:r>
      <w:r>
        <w:rPr>
          <w:rFonts w:ascii="Times New Roman" w:hAnsi="Times New Roman" w:cs="Times New Roman" w:eastAsia="Times New Roman" w:hint="default"/>
        </w:rPr>
        <w:t>29</w:t>
      </w:r>
      <w:r>
        <w:rPr/>
        <w:t>户，具体包括：</w:t>
      </w:r>
    </w:p>
    <w:p>
      <w:pPr>
        <w:spacing w:after="0" w:line="348"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515"/>
        <w:gridCol w:w="1262"/>
        <w:gridCol w:w="721"/>
        <w:gridCol w:w="1516"/>
        <w:gridCol w:w="1532"/>
      </w:tblGrid>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深圳市前海瑞智供应链管理有限公司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深圳市丝路纪元供应链科技有限公司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普路通全球物流（深圳）有限公司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676"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77"/>
              <w:jc w:val="left"/>
              <w:rPr>
                <w:rFonts w:ascii="宋体" w:hAnsi="宋体" w:cs="宋体" w:eastAsia="宋体" w:hint="default"/>
                <w:sz w:val="18"/>
                <w:szCs w:val="18"/>
              </w:rPr>
            </w:pPr>
            <w:r>
              <w:rPr>
                <w:rFonts w:ascii="宋体" w:hAnsi="宋体" w:cs="宋体" w:eastAsia="宋体" w:hint="default"/>
                <w:sz w:val="18"/>
                <w:szCs w:val="18"/>
              </w:rPr>
              <w:t>深圳市前海普路通电子商务综合服务有限公 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深圳市联动量子股权投资管理有限公司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广州市普路通供应链管理有限公司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珠海市普路通供应链管理有限公司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武汉市瑞亿通供应链管理有限公司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荆门市普路通供应链管理有限公司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荆门市赢洲电子商务有限公司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6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77"/>
              <w:jc w:val="left"/>
              <w:rPr>
                <w:rFonts w:ascii="宋体" w:hAnsi="宋体" w:cs="宋体" w:eastAsia="宋体" w:hint="default"/>
                <w:sz w:val="18"/>
                <w:szCs w:val="18"/>
              </w:rPr>
            </w:pPr>
            <w:r>
              <w:rPr>
                <w:rFonts w:ascii="宋体" w:hAnsi="宋体" w:cs="宋体" w:eastAsia="宋体" w:hint="default"/>
                <w:sz w:val="18"/>
                <w:szCs w:val="18"/>
              </w:rPr>
              <w:t>荆门保税物流中心普路通供应链管理有限公 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重庆市普路通供应链管理有限公司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厦门市普路通供应链管理有限公司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广西慧通供应链管理有限公司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香港智慧云国际有限公司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香港云泰国际有限公司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香港雪梨小姐国际有限公司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51.00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51.00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香港坎普国际贸易科技有限公司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三级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三级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14"/>
        <w:ind w:left="501" w:right="0"/>
        <w:jc w:val="left"/>
      </w:pPr>
      <w:r>
        <w:rPr/>
        <w:t>本期纳入合并财务报表范围的主体较上期相比，增加</w:t>
      </w:r>
      <w:r>
        <w:rPr>
          <w:rFonts w:ascii="Times New Roman" w:hAnsi="Times New Roman" w:cs="Times New Roman" w:eastAsia="Times New Roman" w:hint="default"/>
        </w:rPr>
        <w:t>2</w:t>
      </w:r>
      <w:r>
        <w:rPr/>
        <w:t>户，减少</w:t>
      </w:r>
      <w:r>
        <w:rPr>
          <w:rFonts w:ascii="Times New Roman" w:hAnsi="Times New Roman" w:cs="Times New Roman" w:eastAsia="Times New Roman" w:hint="default"/>
        </w:rPr>
        <w:t>1</w:t>
      </w:r>
      <w:r>
        <w:rPr/>
        <w:t>户，其中：</w:t>
      </w:r>
    </w:p>
    <w:p>
      <w:pPr>
        <w:pStyle w:val="BodyText"/>
        <w:spacing w:line="240" w:lineRule="auto" w:before="51"/>
        <w:ind w:right="0"/>
        <w:jc w:val="left"/>
      </w:pPr>
      <w:r>
        <w:rPr>
          <w:rFonts w:ascii="宋体" w:hAnsi="宋体" w:cs="宋体" w:eastAsia="宋体" w:hint="default"/>
        </w:rPr>
        <w:t>1.  </w:t>
      </w:r>
      <w:r>
        <w:rPr/>
        <w:t>本期新纳入合并范围的子公司、特殊目的主体、通过受托经营或承租等方式形成控制权的经营实体</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379"/>
        <w:gridCol w:w="5166"/>
      </w:tblGrid>
      <w:tr>
        <w:trPr>
          <w:trHeight w:val="360"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7"/>
              <w:jc w:val="center"/>
              <w:rPr>
                <w:rFonts w:ascii="宋体" w:hAnsi="宋体" w:cs="宋体" w:eastAsia="宋体" w:hint="default"/>
                <w:sz w:val="18"/>
                <w:szCs w:val="18"/>
              </w:rPr>
            </w:pPr>
            <w:r>
              <w:rPr>
                <w:rFonts w:ascii="宋体" w:hAnsi="宋体" w:cs="宋体" w:eastAsia="宋体" w:hint="default"/>
                <w:sz w:val="18"/>
                <w:szCs w:val="18"/>
              </w:rPr>
              <w:t>名称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5"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广州市普路通供应链管理有限公司</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871"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20"/>
              <w:ind w:right="120"/>
              <w:jc w:val="left"/>
              <w:rPr>
                <w:rFonts w:ascii="宋体" w:hAnsi="宋体" w:cs="宋体" w:eastAsia="宋体" w:hint="default"/>
                <w:sz w:val="18"/>
                <w:szCs w:val="18"/>
              </w:rPr>
            </w:pPr>
            <w:r>
              <w:rPr>
                <w:rFonts w:ascii="宋体" w:hAnsi="宋体" w:cs="宋体" w:eastAsia="宋体" w:hint="default"/>
                <w:sz w:val="18"/>
                <w:szCs w:val="18"/>
              </w:rPr>
              <w:t>荆门保税物流中心普路通供应链管理有限 公司</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3"/>
        <w:rPr>
          <w:rFonts w:ascii="宋体" w:hAnsi="宋体" w:cs="宋体" w:eastAsia="宋体" w:hint="default"/>
          <w:sz w:val="9"/>
          <w:szCs w:val="9"/>
        </w:rPr>
      </w:pPr>
    </w:p>
    <w:p>
      <w:pPr>
        <w:pStyle w:val="BodyText"/>
        <w:spacing w:line="240" w:lineRule="auto"/>
        <w:ind w:right="0"/>
        <w:jc w:val="left"/>
      </w:pPr>
      <w:r>
        <w:rPr>
          <w:rFonts w:ascii="宋体" w:hAnsi="宋体" w:cs="宋体" w:eastAsia="宋体" w:hint="default"/>
        </w:rPr>
        <w:t>1.  </w:t>
      </w:r>
      <w:r>
        <w:rPr/>
        <w:t>本期不再纳入合并范围的子公司、特殊目的主体、通过委托经营或出租等方式丧失控制权的经营实体</w:t>
      </w:r>
    </w:p>
    <w:p>
      <w:pPr>
        <w:spacing w:line="240" w:lineRule="auto" w:before="12"/>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3379"/>
        <w:gridCol w:w="5166"/>
      </w:tblGrid>
      <w:tr>
        <w:trPr>
          <w:trHeight w:val="360"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7"/>
              <w:jc w:val="center"/>
              <w:rPr>
                <w:rFonts w:ascii="宋体" w:hAnsi="宋体" w:cs="宋体" w:eastAsia="宋体" w:hint="default"/>
                <w:sz w:val="18"/>
                <w:szCs w:val="18"/>
              </w:rPr>
            </w:pPr>
            <w:r>
              <w:rPr>
                <w:rFonts w:ascii="宋体" w:hAnsi="宋体" w:cs="宋体" w:eastAsia="宋体" w:hint="default"/>
                <w:sz w:val="18"/>
                <w:szCs w:val="18"/>
              </w:rPr>
              <w:t>名称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变更原因</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10"/>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3379"/>
        <w:gridCol w:w="5166"/>
      </w:tblGrid>
      <w:tr>
        <w:trPr>
          <w:trHeight w:val="331" w:hRule="exact"/>
        </w:trPr>
        <w:tc>
          <w:tcPr>
            <w:tcW w:w="3379" w:type="dxa"/>
            <w:tcBorders>
              <w:top w:val="nil" w:sz="6" w:space="0" w:color="auto"/>
              <w:left w:val="nil" w:sz="6" w:space="0" w:color="auto"/>
              <w:bottom w:val="single" w:sz="6" w:space="0" w:color="000000"/>
              <w:right w:val="nil" w:sz="6" w:space="0" w:color="auto"/>
            </w:tcBorders>
          </w:tcPr>
          <w:p>
            <w:pPr/>
          </w:p>
        </w:tc>
        <w:tc>
          <w:tcPr>
            <w:tcW w:w="5166" w:type="dxa"/>
            <w:tcBorders>
              <w:top w:val="nil" w:sz="6" w:space="0" w:color="auto"/>
              <w:left w:val="nil" w:sz="6" w:space="0" w:color="auto"/>
              <w:bottom w:val="single" w:sz="6" w:space="0" w:color="000000"/>
              <w:right w:val="nil" w:sz="6" w:space="0" w:color="auto"/>
            </w:tcBorders>
          </w:tcPr>
          <w:p>
            <w:pPr/>
          </w:p>
        </w:tc>
      </w:tr>
      <w:tr>
        <w:trPr>
          <w:trHeight w:val="555"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郑州市普路通供应链管理有限公司</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11"/>
        <w:rPr>
          <w:rFonts w:ascii="宋体" w:hAnsi="宋体" w:cs="宋体" w:eastAsia="宋体" w:hint="default"/>
          <w:sz w:val="21"/>
          <w:szCs w:val="21"/>
        </w:rPr>
      </w:pPr>
    </w:p>
    <w:p>
      <w:pPr>
        <w:pStyle w:val="BodyText"/>
        <w:spacing w:line="240" w:lineRule="auto"/>
        <w:ind w:right="0"/>
        <w:jc w:val="left"/>
        <w:rPr>
          <w:rFonts w:ascii="Times New Roman" w:hAnsi="Times New Roman" w:cs="Times New Roman" w:eastAsia="Times New Roman" w:hint="default"/>
        </w:rPr>
      </w:pPr>
      <w:r>
        <w:rPr/>
        <w:pict>
          <v:group style="position:absolute;margin-left:55.575001pt;margin-top:-58.963257pt;width:485.85pt;height:.1pt;mso-position-horizontal-relative:page;mso-position-vertical-relative:paragraph;z-index:-1101544" coordorigin="1112,-1179" coordsize="9717,2">
            <v:shape style="position:absolute;left:1112;top:-1179;width:9717;height:2" coordorigin="1112,-1179" coordsize="9717,0" path="m1112,-1179l10829,-1179e" filled="false" stroked="true" strokeweight=".75pt" strokecolor="#000000">
              <v:path arrowok="t"/>
            </v:shape>
            <w10:wrap type="none"/>
          </v:group>
        </w:pict>
      </w:r>
      <w:r>
        <w:rPr/>
        <w:t>详情参见</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8"/>
          <w:szCs w:val="18"/>
        </w:rPr>
      </w:pPr>
    </w:p>
    <w:p>
      <w:pPr>
        <w:pStyle w:val="Heading2"/>
        <w:spacing w:line="240" w:lineRule="auto"/>
        <w:ind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0"/>
        <w:jc w:val="left"/>
      </w:pPr>
      <w:r>
        <w:rPr/>
        <w:t>现聘任的会计师事务所</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陈勇、吕红涛</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陈勇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年，吕红涛</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r>
    </w:tbl>
    <w:p>
      <w:pPr>
        <w:pStyle w:val="BodyText"/>
        <w:spacing w:line="240" w:lineRule="auto"/>
        <w:ind w:right="0"/>
        <w:jc w:val="both"/>
      </w:pPr>
      <w:r>
        <w:rPr/>
        <w:t>当期是否改聘会计师事务所</w:t>
      </w:r>
    </w:p>
    <w:p>
      <w:pPr>
        <w:pStyle w:val="BodyText"/>
        <w:spacing w:line="319" w:lineRule="auto" w:before="125"/>
        <w:ind w:right="80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是否在审计期间改聘会计师事务所</w:t>
      </w:r>
    </w:p>
    <w:p>
      <w:pPr>
        <w:pStyle w:val="BodyText"/>
        <w:spacing w:line="319" w:lineRule="auto" w:before="80"/>
        <w:ind w:right="78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更换会计师事务所是否履行审批程序</w:t>
      </w:r>
    </w:p>
    <w:p>
      <w:pPr>
        <w:pStyle w:val="BodyText"/>
        <w:spacing w:line="316" w:lineRule="auto" w:before="80"/>
        <w:ind w:right="73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对改聘、变更会计师事务所情况的详细说明</w:t>
      </w:r>
    </w:p>
    <w:p>
      <w:pPr>
        <w:spacing w:line="336" w:lineRule="auto" w:before="52"/>
        <w:ind w:left="561" w:right="0" w:firstLine="0"/>
        <w:jc w:val="left"/>
        <w:rPr>
          <w:rFonts w:ascii="宋体" w:hAnsi="宋体" w:cs="宋体" w:eastAsia="宋体" w:hint="default"/>
          <w:sz w:val="18"/>
          <w:szCs w:val="18"/>
        </w:rPr>
      </w:pPr>
      <w:r>
        <w:rPr>
          <w:rFonts w:ascii="宋体" w:hAnsi="宋体" w:cs="宋体" w:eastAsia="宋体" w:hint="default"/>
          <w:b/>
          <w:bCs/>
          <w:sz w:val="18"/>
          <w:szCs w:val="18"/>
        </w:rPr>
        <w:t>一、更换会计师事务所的情况说明</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1"/>
          <w:sz w:val="18"/>
          <w:szCs w:val="18"/>
        </w:rPr>
        <w:t>公司于</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日召开的</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年年度股东大会审议通过了《关于续聘公司</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年度审计机构的议案》，同意续聘立</w:t>
      </w:r>
    </w:p>
    <w:p>
      <w:pPr>
        <w:pStyle w:val="BodyText"/>
        <w:spacing w:line="236" w:lineRule="exact" w:before="0"/>
        <w:ind w:right="0"/>
        <w:jc w:val="both"/>
      </w:pPr>
      <w:r>
        <w:rPr/>
        <w:t>信会计师事务所</w:t>
      </w:r>
      <w:r>
        <w:rPr>
          <w:rFonts w:ascii="Times New Roman" w:hAnsi="Times New Roman" w:cs="Times New Roman" w:eastAsia="Times New Roman" w:hint="default"/>
        </w:rPr>
        <w:t>(</w:t>
      </w:r>
      <w:r>
        <w:rPr/>
        <w:t>特殊普通合伙）（以下简称</w:t>
      </w:r>
      <w:r>
        <w:rPr>
          <w:rFonts w:ascii="Times New Roman" w:hAnsi="Times New Roman" w:cs="Times New Roman" w:eastAsia="Times New Roman" w:hint="default"/>
        </w:rPr>
        <w:t>“</w:t>
      </w:r>
      <w:r>
        <w:rPr/>
        <w:t>立信会计师事务所</w:t>
      </w:r>
      <w:r>
        <w:rPr>
          <w:rFonts w:ascii="Times New Roman" w:hAnsi="Times New Roman" w:cs="Times New Roman" w:eastAsia="Times New Roman" w:hint="default"/>
        </w:rPr>
        <w:t>”</w:t>
      </w:r>
      <w:r>
        <w:rPr/>
        <w:t>）为公司</w:t>
      </w:r>
      <w:r>
        <w:rPr>
          <w:rFonts w:ascii="Times New Roman" w:hAnsi="Times New Roman" w:cs="Times New Roman" w:eastAsia="Times New Roman" w:hint="default"/>
        </w:rPr>
        <w:t>2019</w:t>
      </w:r>
      <w:r>
        <w:rPr/>
        <w:t>年度审计机构，聘期一年，自公司股东大会</w:t>
      </w:r>
    </w:p>
    <w:p>
      <w:pPr>
        <w:pStyle w:val="BodyText"/>
        <w:spacing w:line="240" w:lineRule="auto" w:before="51"/>
        <w:ind w:right="0"/>
        <w:jc w:val="both"/>
      </w:pPr>
      <w:r>
        <w:rPr/>
        <w:t>审议通过之日起生效。</w:t>
      </w:r>
    </w:p>
    <w:p>
      <w:pPr>
        <w:pStyle w:val="BodyText"/>
        <w:spacing w:line="297" w:lineRule="auto" w:before="95"/>
        <w:ind w:right="1128" w:firstLine="420"/>
        <w:jc w:val="both"/>
      </w:pPr>
      <w:r>
        <w:rPr/>
        <w:t>公司收到大华会计师事务所（特殊普通合伙）（以下简称</w:t>
      </w:r>
      <w:r>
        <w:rPr>
          <w:rFonts w:ascii="Times New Roman" w:hAnsi="Times New Roman" w:cs="Times New Roman" w:eastAsia="Times New Roman" w:hint="default"/>
        </w:rPr>
        <w:t>“</w:t>
      </w:r>
      <w:r>
        <w:rPr/>
        <w:t>大华会计师事务所</w:t>
      </w:r>
      <w:r>
        <w:rPr>
          <w:rFonts w:ascii="Times New Roman" w:hAnsi="Times New Roman" w:cs="Times New Roman" w:eastAsia="Times New Roman" w:hint="default"/>
        </w:rPr>
        <w:t>”</w:t>
      </w:r>
      <w:r>
        <w:rPr/>
        <w:t>）《关于提请变更审计机构的函》：根 </w:t>
      </w:r>
      <w:r>
        <w:rPr>
          <w:spacing w:val="-2"/>
        </w:rPr>
        <w:t>据大华会计师事务所与立信会计师事务所签订的《协议书》，立信会计师事务所原负责公司审计业务的团队整体转入大华会</w:t>
      </w:r>
      <w:r>
        <w:rPr>
          <w:spacing w:val="-75"/>
        </w:rPr>
        <w:t> </w:t>
      </w:r>
      <w:r>
        <w:rPr>
          <w:spacing w:val="-75"/>
        </w:rPr>
      </w:r>
      <w:r>
        <w:rPr>
          <w:spacing w:val="-2"/>
        </w:rPr>
        <w:t>计师事务所，该业务团队执行的相关审计业务项目一并由大华会计师事务所承接。鉴于该审计团队已连续多年为公司提供审</w:t>
      </w:r>
    </w:p>
    <w:p>
      <w:pPr>
        <w:pStyle w:val="BodyText"/>
        <w:spacing w:line="312" w:lineRule="auto" w:before="37"/>
        <w:ind w:right="1128"/>
        <w:jc w:val="both"/>
      </w:pPr>
      <w:r>
        <w:rPr>
          <w:spacing w:val="-2"/>
        </w:rPr>
        <w:t>计服务，在执业过程中坚持独立审计原则，勤勉尽职，公允独立地发表审计意见，客观、公正、准确地反映公司财务报表及</w:t>
      </w:r>
      <w:r>
        <w:rPr>
          <w:spacing w:val="-72"/>
        </w:rPr>
        <w:t> </w:t>
      </w:r>
      <w:r>
        <w:rPr>
          <w:spacing w:val="-72"/>
        </w:rPr>
      </w:r>
      <w:r>
        <w:rPr>
          <w:spacing w:val="-2"/>
        </w:rPr>
        <w:t>内部控制情况，切实履行了审计机构的职责。为保证公司审计工作的连续性和稳定性，公司拟将</w:t>
      </w:r>
      <w:r>
        <w:rPr>
          <w:rFonts w:ascii="Times New Roman" w:hAnsi="Times New Roman" w:cs="Times New Roman" w:eastAsia="Times New Roman" w:hint="default"/>
          <w:spacing w:val="-2"/>
        </w:rPr>
        <w:t>2019</w:t>
      </w:r>
      <w:r>
        <w:rPr>
          <w:spacing w:val="-2"/>
        </w:rPr>
        <w:t>年度审计机构更换为大</w:t>
      </w:r>
      <w:r>
        <w:rPr>
          <w:spacing w:val="-62"/>
        </w:rPr>
        <w:t> </w:t>
      </w:r>
      <w:r>
        <w:rPr/>
        <w:t>华会计师事务所，并提请公司股东大会授权管理层根据市场行情等因素协商确定具体审计费用并签署相关协议。</w:t>
      </w:r>
    </w:p>
    <w:p>
      <w:pPr>
        <w:spacing w:line="321" w:lineRule="auto" w:before="10"/>
        <w:ind w:left="561" w:right="6549" w:firstLine="0"/>
        <w:jc w:val="left"/>
        <w:rPr>
          <w:rFonts w:ascii="宋体" w:hAnsi="宋体" w:cs="宋体" w:eastAsia="宋体" w:hint="default"/>
          <w:sz w:val="18"/>
          <w:szCs w:val="18"/>
        </w:rPr>
      </w:pPr>
      <w:r>
        <w:rPr>
          <w:rFonts w:ascii="宋体" w:hAnsi="宋体" w:cs="宋体" w:eastAsia="宋体" w:hint="default"/>
          <w:b/>
          <w:bCs/>
          <w:sz w:val="18"/>
          <w:szCs w:val="18"/>
        </w:rPr>
        <w:t>二、拟更换会计师事务所的基本情况</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z w:val="18"/>
          <w:szCs w:val="18"/>
        </w:rPr>
        <w:t>企业名称：大华会计师事务所（特殊普通合伙）</w:t>
      </w:r>
    </w:p>
    <w:p>
      <w:pPr>
        <w:pStyle w:val="BodyText"/>
        <w:spacing w:line="309" w:lineRule="auto" w:before="33"/>
        <w:ind w:left="561" w:right="7049"/>
        <w:jc w:val="left"/>
      </w:pPr>
      <w:r>
        <w:rPr/>
        <w:t>统一社会信用代码：</w:t>
      </w:r>
      <w:r>
        <w:rPr>
          <w:rFonts w:ascii="Times New Roman" w:hAnsi="Times New Roman" w:cs="Times New Roman" w:eastAsia="Times New Roman" w:hint="default"/>
        </w:rPr>
        <w:t>91110108590676050Q </w:t>
      </w:r>
      <w:r>
        <w:rPr/>
        <w:t>类型：特殊普通合伙企业 执行事务合伙人：梁春 成立日期：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w:t>
      </w:r>
    </w:p>
    <w:p>
      <w:pPr>
        <w:pStyle w:val="BodyText"/>
        <w:spacing w:line="288" w:lineRule="auto" w:before="8"/>
        <w:ind w:left="561" w:right="1110"/>
        <w:jc w:val="left"/>
      </w:pPr>
      <w:r>
        <w:rPr/>
        <w:t>经营场所：北京市海淀区西四环中路</w:t>
      </w:r>
      <w:r>
        <w:rPr>
          <w:rFonts w:ascii="Times New Roman" w:hAnsi="Times New Roman" w:cs="Times New Roman" w:eastAsia="Times New Roman" w:hint="default"/>
        </w:rPr>
        <w:t>16</w:t>
      </w:r>
      <w:r>
        <w:rPr/>
        <w:t>号院</w:t>
      </w:r>
      <w:r>
        <w:rPr>
          <w:rFonts w:ascii="Times New Roman" w:hAnsi="Times New Roman" w:cs="Times New Roman" w:eastAsia="Times New Roman" w:hint="default"/>
        </w:rPr>
        <w:t>7</w:t>
      </w:r>
      <w:r>
        <w:rPr/>
        <w:t>号楼</w:t>
      </w:r>
      <w:r>
        <w:rPr>
          <w:rFonts w:ascii="Times New Roman" w:hAnsi="Times New Roman" w:cs="Times New Roman" w:eastAsia="Times New Roman" w:hint="default"/>
        </w:rPr>
        <w:t>1101</w:t>
      </w:r>
      <w:r>
        <w:rPr>
          <w:rFonts w:ascii="Times New Roman" w:hAnsi="Times New Roman" w:cs="Times New Roman" w:eastAsia="Times New Roman" w:hint="default"/>
          <w:spacing w:val="-42"/>
        </w:rPr>
        <w:t> </w:t>
      </w:r>
      <w:r>
        <w:rPr/>
        <w:t>经营范围：审查企业会计报表，出具审计报告；验证企业资本，出具验资报告；办理企业合并、分立</w:t>
      </w:r>
      <w:r>
        <w:rPr>
          <w:spacing w:val="-51"/>
        </w:rPr>
        <w:t> </w:t>
      </w:r>
      <w:r>
        <w:rPr/>
        <w:t>、清算事宜中的</w:t>
      </w:r>
    </w:p>
    <w:p>
      <w:pPr>
        <w:pStyle w:val="BodyText"/>
        <w:spacing w:line="314" w:lineRule="auto"/>
        <w:ind w:right="1121"/>
        <w:jc w:val="both"/>
      </w:pPr>
      <w:r>
        <w:rPr>
          <w:spacing w:val="-2"/>
        </w:rPr>
        <w:t>审计业务，出具有关报告；基本建设年度财务决算审计；代理记帐；会计咨询、税务咨询、管理咨询、会计培训；法律、法</w:t>
      </w:r>
      <w:r>
        <w:rPr>
          <w:spacing w:val="-76"/>
        </w:rPr>
        <w:t> </w:t>
      </w:r>
      <w:r>
        <w:rPr>
          <w:spacing w:val="-76"/>
        </w:rPr>
      </w:r>
      <w:r>
        <w:rPr>
          <w:spacing w:val="-2"/>
        </w:rPr>
        <w:t>规规定的其他业务；无（企业依法自主选择经营项目，开展经营活动；依法须经批准的项目，经相关部门批准后依批准的内</w:t>
      </w:r>
      <w:r>
        <w:rPr>
          <w:spacing w:val="-57"/>
        </w:rPr>
        <w:t> </w:t>
      </w:r>
      <w:r>
        <w:rPr>
          <w:spacing w:val="-57"/>
        </w:rPr>
      </w:r>
      <w:r>
        <w:rPr/>
        <w:t>容开展经营活动；不得从事本市产业政策禁止和限制类项目的经营活动。）</w:t>
      </w:r>
    </w:p>
    <w:p>
      <w:pPr>
        <w:spacing w:after="0" w:line="314" w:lineRule="auto"/>
        <w:jc w:val="both"/>
        <w:sectPr>
          <w:pgSz w:w="11910" w:h="16850"/>
          <w:pgMar w:header="731" w:footer="981" w:top="1040" w:bottom="1180" w:left="1000" w:right="0"/>
        </w:sectPr>
      </w:pPr>
    </w:p>
    <w:p>
      <w:pPr>
        <w:spacing w:line="240" w:lineRule="auto" w:before="2"/>
        <w:rPr>
          <w:rFonts w:ascii="宋体" w:hAnsi="宋体" w:cs="宋体" w:eastAsia="宋体" w:hint="default"/>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spacing w:before="44"/>
        <w:ind w:left="561" w:right="0" w:firstLine="0"/>
        <w:jc w:val="left"/>
        <w:rPr>
          <w:rFonts w:ascii="宋体" w:hAnsi="宋体" w:cs="宋体" w:eastAsia="宋体" w:hint="default"/>
          <w:sz w:val="18"/>
          <w:szCs w:val="18"/>
        </w:rPr>
      </w:pPr>
      <w:r>
        <w:rPr>
          <w:rFonts w:ascii="宋体" w:hAnsi="宋体" w:cs="宋体" w:eastAsia="宋体" w:hint="default"/>
          <w:b/>
          <w:bCs/>
          <w:sz w:val="18"/>
          <w:szCs w:val="18"/>
        </w:rPr>
        <w:t>三、更换会计师事务所履行的程序</w:t>
      </w:r>
      <w:r>
        <w:rPr>
          <w:rFonts w:ascii="宋体" w:hAnsi="宋体" w:cs="宋体" w:eastAsia="宋体" w:hint="default"/>
          <w:sz w:val="18"/>
          <w:szCs w:val="18"/>
        </w:rPr>
      </w:r>
    </w:p>
    <w:p>
      <w:pPr>
        <w:pStyle w:val="BodyText"/>
        <w:spacing w:line="240" w:lineRule="auto" w:before="94"/>
        <w:ind w:left="561" w:right="0"/>
        <w:jc w:val="left"/>
      </w:pPr>
      <w:r>
        <w:rPr>
          <w:rFonts w:ascii="Times New Roman" w:hAnsi="Times New Roman" w:cs="Times New Roman" w:eastAsia="Times New Roman" w:hint="default"/>
        </w:rPr>
        <w:t>1</w:t>
      </w:r>
      <w:r>
        <w:rPr/>
        <w:t>、公司董事会已提前与原审计机构就更换会计师事务所进行了沟通，并征得其理解和支持。</w:t>
      </w:r>
    </w:p>
    <w:p>
      <w:pPr>
        <w:pStyle w:val="BodyText"/>
        <w:spacing w:line="288" w:lineRule="auto" w:before="66"/>
        <w:ind w:right="1096" w:firstLine="420"/>
        <w:jc w:val="both"/>
      </w:pPr>
      <w:r>
        <w:rPr>
          <w:rFonts w:ascii="Times New Roman" w:hAnsi="Times New Roman" w:cs="Times New Roman" w:eastAsia="Times New Roman" w:hint="default"/>
          <w:spacing w:val="-1"/>
        </w:rPr>
        <w:t>2</w:t>
      </w:r>
      <w:r>
        <w:rPr>
          <w:spacing w:val="-1"/>
        </w:rPr>
        <w:t>、公司董事会审计委员会对大华会计师事务所的资质进行了审查，认为大华会计师事务所具有证券、期货等相关业务</w:t>
      </w:r>
      <w:r>
        <w:rPr/>
        <w:t> </w:t>
      </w:r>
      <w:r>
        <w:rPr>
          <w:spacing w:val="-1"/>
        </w:rPr>
        <w:t>执业资格，具备为上市公司提供服务的经验与能力，满足公司年度审计工作的要求，将不会影响公司</w:t>
      </w:r>
      <w:r>
        <w:rPr>
          <w:rFonts w:ascii="Times New Roman" w:hAnsi="Times New Roman" w:cs="Times New Roman" w:eastAsia="Times New Roman" w:hint="default"/>
          <w:spacing w:val="-1"/>
        </w:rPr>
        <w:t>2019</w:t>
      </w:r>
      <w:r>
        <w:rPr>
          <w:spacing w:val="-1"/>
        </w:rPr>
        <w:t>年度审计工作，并</w:t>
      </w:r>
      <w:r>
        <w:rPr>
          <w:spacing w:val="-85"/>
        </w:rPr>
        <w:t> </w:t>
      </w:r>
      <w:r>
        <w:rPr>
          <w:spacing w:val="-85"/>
        </w:rPr>
      </w:r>
      <w:r>
        <w:rPr/>
        <w:t>同意将该事项提交至公司董事会审议。</w:t>
      </w:r>
    </w:p>
    <w:p>
      <w:pPr>
        <w:pStyle w:val="BodyText"/>
        <w:spacing w:line="240" w:lineRule="auto" w:before="59"/>
        <w:ind w:left="561" w:right="0"/>
        <w:jc w:val="left"/>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日召开的第四届董事会第十次会议审议通过了《关于更换会计师事务所的议案》，同意公司将</w:t>
      </w:r>
    </w:p>
    <w:p>
      <w:pPr>
        <w:pStyle w:val="BodyText"/>
        <w:spacing w:line="240" w:lineRule="auto" w:before="66"/>
        <w:ind w:right="0"/>
        <w:jc w:val="left"/>
      </w:pPr>
      <w:r>
        <w:rPr>
          <w:rFonts w:ascii="Times New Roman" w:hAnsi="Times New Roman" w:cs="Times New Roman" w:eastAsia="Times New Roman" w:hint="default"/>
        </w:rPr>
        <w:t>2019</w:t>
      </w:r>
      <w:r>
        <w:rPr/>
        <w:t>年度审计机构更换为大华会计师事务所，并将该事项提交至公司股东大会审议。</w:t>
      </w:r>
    </w:p>
    <w:p>
      <w:pPr>
        <w:pStyle w:val="BodyText"/>
        <w:spacing w:line="273" w:lineRule="auto" w:before="66"/>
        <w:ind w:right="0" w:firstLine="420"/>
        <w:jc w:val="left"/>
      </w:pPr>
      <w:r>
        <w:rPr>
          <w:rFonts w:ascii="Times New Roman" w:hAnsi="Times New Roman" w:cs="Times New Roman" w:eastAsia="Times New Roman" w:hint="default"/>
          <w:spacing w:val="-3"/>
        </w:rPr>
        <w:t>4</w:t>
      </w:r>
      <w:r>
        <w:rPr>
          <w:spacing w:val="-3"/>
        </w:rPr>
        <w:t>、公司独立董事对公司更换会计师事务所事项进行了事前审查，对该事项予以认可，并同意将其提交公司董事会审议。</w:t>
      </w:r>
      <w:r>
        <w:rPr/>
        <w:t> 同时，发表如下独立意见：</w:t>
      </w:r>
    </w:p>
    <w:p>
      <w:pPr>
        <w:pStyle w:val="BodyText"/>
        <w:spacing w:line="328" w:lineRule="auto" w:before="55"/>
        <w:ind w:right="0" w:firstLine="420"/>
        <w:jc w:val="left"/>
      </w:pPr>
      <w:r>
        <w:rPr/>
        <w:t>鉴于公司本次更换会计师事务所是由于立信会计师事务所原负责公司审计业务的团队整体转入大华会计师事务所，该 </w:t>
      </w:r>
      <w:r>
        <w:rPr>
          <w:spacing w:val="-4"/>
        </w:rPr>
        <w:t>业务团队执行的相关审计业务项目一并由大华会计师事务所承接。经核查，大华会计师事务所具有证券、期货从业执业资格，</w:t>
      </w:r>
      <w:r>
        <w:rPr>
          <w:spacing w:val="-50"/>
        </w:rPr>
        <w:t> </w:t>
      </w:r>
      <w:r>
        <w:rPr>
          <w:spacing w:val="-50"/>
        </w:rPr>
      </w:r>
      <w:r>
        <w:rPr>
          <w:spacing w:val="-2"/>
        </w:rPr>
        <w:t>并具备为上市公司提供服务的经验与能力，满足公司</w:t>
      </w:r>
      <w:r>
        <w:rPr>
          <w:rFonts w:ascii="Times New Roman" w:hAnsi="Times New Roman" w:cs="Times New Roman" w:eastAsia="Times New Roman" w:hint="default"/>
          <w:spacing w:val="-2"/>
        </w:rPr>
        <w:t>2019</w:t>
      </w:r>
      <w:r>
        <w:rPr>
          <w:spacing w:val="-2"/>
        </w:rPr>
        <w:t>年度审计工作的要求。本次更换会计师事务所的决策程序符合相关</w:t>
      </w:r>
    </w:p>
    <w:p>
      <w:pPr>
        <w:pStyle w:val="BodyText"/>
        <w:spacing w:line="273" w:lineRule="auto" w:before="0"/>
        <w:ind w:right="0"/>
        <w:jc w:val="left"/>
      </w:pPr>
      <w:r>
        <w:rPr>
          <w:spacing w:val="-2"/>
        </w:rPr>
        <w:t>法律、法规和《公司章程》的有关规定，不存在损害公司及公司全体股东利益的情形。我们同意将公司</w:t>
      </w:r>
      <w:r>
        <w:rPr>
          <w:rFonts w:ascii="Times New Roman" w:hAnsi="Times New Roman" w:cs="Times New Roman" w:eastAsia="Times New Roman" w:hint="default"/>
          <w:spacing w:val="-2"/>
        </w:rPr>
        <w:t>2019</w:t>
      </w:r>
      <w:r>
        <w:rPr>
          <w:spacing w:val="-2"/>
        </w:rPr>
        <w:t>年度审计机构更</w:t>
      </w:r>
      <w:r>
        <w:rPr>
          <w:spacing w:val="-44"/>
        </w:rPr>
        <w:t> </w:t>
      </w:r>
      <w:r>
        <w:rPr/>
        <w:t>换为大华会计师事务所，并同意将该事项提交至公司股东大会审议。</w:t>
      </w:r>
    </w:p>
    <w:p>
      <w:pPr>
        <w:pStyle w:val="BodyText"/>
        <w:spacing w:line="240" w:lineRule="auto" w:before="100"/>
        <w:ind w:right="0"/>
        <w:jc w:val="left"/>
      </w:pPr>
      <w:r>
        <w:rPr/>
        <w:t>聘请内部控制审计会计师事务所、财务顾问或保荐人情况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3"/>
        <w:rPr>
          <w:rFonts w:ascii="宋体" w:hAnsi="宋体" w:cs="宋体" w:eastAsia="宋体" w:hint="default"/>
          <w:b/>
          <w:bCs/>
          <w:sz w:val="27"/>
          <w:szCs w:val="27"/>
        </w:rPr>
      </w:pPr>
    </w:p>
    <w:p>
      <w:pPr>
        <w:pStyle w:val="BodyText"/>
        <w:spacing w:line="316" w:lineRule="auto" w:before="0"/>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公司报告期未发生破产重整相关事项。</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562"/>
        <w:gridCol w:w="1066"/>
        <w:gridCol w:w="1262"/>
        <w:gridCol w:w="931"/>
        <w:gridCol w:w="1381"/>
        <w:gridCol w:w="1246"/>
        <w:gridCol w:w="1067"/>
        <w:gridCol w:w="1066"/>
      </w:tblGrid>
      <w:tr>
        <w:trPr>
          <w:trHeight w:val="720"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676" w:right="8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45" w:right="13" w:hanging="331"/>
              <w:jc w:val="left"/>
              <w:rPr>
                <w:rFonts w:ascii="宋体" w:hAnsi="宋体" w:cs="宋体" w:eastAsia="宋体" w:hint="default"/>
                <w:sz w:val="18"/>
                <w:szCs w:val="18"/>
              </w:rPr>
            </w:pPr>
            <w:r>
              <w:rPr>
                <w:rFonts w:ascii="宋体" w:hAnsi="宋体" w:cs="宋体" w:eastAsia="宋体" w:hint="default"/>
                <w:spacing w:val="-10"/>
                <w:sz w:val="18"/>
                <w:szCs w:val="18"/>
              </w:rPr>
              <w:t>涉案金额（万</w:t>
            </w:r>
            <w:r>
              <w:rPr>
                <w:rFonts w:ascii="宋体" w:hAnsi="宋体" w:cs="宋体" w:eastAsia="宋体" w:hint="default"/>
                <w:sz w:val="18"/>
                <w:szCs w:val="18"/>
              </w:rPr>
              <w:t> 元）</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89"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269"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240" w:right="73"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0" w:right="119"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74"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5" w:right="90"/>
              <w:jc w:val="both"/>
              <w:rPr>
                <w:rFonts w:ascii="宋体" w:hAnsi="宋体" w:cs="宋体" w:eastAsia="宋体" w:hint="default"/>
                <w:sz w:val="18"/>
                <w:szCs w:val="18"/>
              </w:rPr>
            </w:pPr>
            <w:r>
              <w:rPr>
                <w:rFonts w:ascii="宋体" w:hAnsi="宋体" w:cs="宋体" w:eastAsia="宋体" w:hint="default"/>
                <w:sz w:val="18"/>
                <w:szCs w:val="18"/>
              </w:rPr>
              <w:t>超联科技（国际） 有限公司、超联科 技集团有限公司诉 本公司、香港瑞通 国际有限公司合同 纠纷案。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1,956.33</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 w:right="0"/>
              <w:jc w:val="left"/>
              <w:rPr>
                <w:rFonts w:ascii="宋体" w:hAnsi="宋体" w:cs="宋体" w:eastAsia="宋体" w:hint="default"/>
                <w:sz w:val="18"/>
                <w:szCs w:val="18"/>
              </w:rPr>
            </w:pPr>
            <w:r>
              <w:rPr>
                <w:rFonts w:ascii="宋体" w:hAnsi="宋体" w:cs="宋体" w:eastAsia="宋体" w:hint="default"/>
                <w:sz w:val="18"/>
                <w:szCs w:val="18"/>
              </w:rPr>
              <w:t>已完结</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321" w:lineRule="auto"/>
              <w:ind w:left="30" w:right="73"/>
              <w:jc w:val="both"/>
              <w:rPr>
                <w:rFonts w:ascii="Times New Roman" w:hAnsi="Times New Roman" w:cs="Times New Roman" w:eastAsia="Times New Roman" w:hint="default"/>
                <w:sz w:val="18"/>
                <w:szCs w:val="18"/>
              </w:rPr>
            </w:pPr>
            <w:r>
              <w:rPr>
                <w:rFonts w:ascii="宋体" w:hAnsi="宋体" w:cs="宋体" w:eastAsia="宋体" w:hint="default"/>
                <w:sz w:val="18"/>
                <w:szCs w:val="18"/>
              </w:rPr>
              <w:t>终审判决本公司 向超联科技、超 联集团支付人民 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19,563,308.20</w:t>
            </w:r>
          </w:p>
          <w:p>
            <w:pPr>
              <w:pStyle w:val="TableParagraph"/>
              <w:spacing w:line="219" w:lineRule="exact"/>
              <w:ind w:left="30" w:right="0"/>
              <w:jc w:val="both"/>
              <w:rPr>
                <w:rFonts w:ascii="宋体" w:hAnsi="宋体" w:cs="宋体" w:eastAsia="宋体" w:hint="default"/>
                <w:sz w:val="18"/>
                <w:szCs w:val="18"/>
              </w:rPr>
            </w:pPr>
            <w:r>
              <w:rPr>
                <w:rFonts w:ascii="宋体" w:hAnsi="宋体" w:cs="宋体" w:eastAsia="宋体" w:hint="default"/>
                <w:sz w:val="18"/>
                <w:szCs w:val="18"/>
              </w:rPr>
              <w:t>元及其利息。</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07" w:lineRule="auto"/>
              <w:ind w:left="15" w:right="134"/>
              <w:jc w:val="left"/>
              <w:rPr>
                <w:rFonts w:ascii="宋体" w:hAnsi="宋体" w:cs="宋体" w:eastAsia="宋体" w:hint="default"/>
                <w:sz w:val="18"/>
                <w:szCs w:val="18"/>
              </w:rPr>
            </w:pPr>
            <w:r>
              <w:rPr>
                <w:rFonts w:ascii="宋体" w:hAnsi="宋体" w:cs="宋体" w:eastAsia="宋体" w:hint="default"/>
                <w:sz w:val="18"/>
                <w:szCs w:val="18"/>
              </w:rPr>
              <w:t>判决已执行完 毕。</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28"/>
              <w:jc w:val="left"/>
              <w:rPr>
                <w:rFonts w:ascii="宋体" w:hAnsi="宋体" w:cs="宋体" w:eastAsia="宋体" w:hint="default"/>
                <w:sz w:val="18"/>
                <w:szCs w:val="18"/>
              </w:rPr>
            </w:pPr>
            <w:r>
              <w:rPr>
                <w:rFonts w:ascii="宋体" w:hAnsi="宋体" w:cs="宋体" w:eastAsia="宋体" w:hint="default"/>
                <w:sz w:val="18"/>
                <w:szCs w:val="18"/>
              </w:rPr>
              <w:t>公告披露网 </w:t>
            </w:r>
            <w:r>
              <w:rPr>
                <w:rFonts w:ascii="宋体" w:hAnsi="宋体" w:cs="宋体" w:eastAsia="宋体" w:hint="default"/>
                <w:spacing w:val="-13"/>
                <w:sz w:val="18"/>
                <w:szCs w:val="18"/>
              </w:rPr>
              <w:t>站：巨潮资讯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网（</w:t>
            </w:r>
            <w:r>
              <w:rPr>
                <w:rFonts w:ascii="Times New Roman" w:hAnsi="Times New Roman" w:cs="Times New Roman" w:eastAsia="Times New Roman" w:hint="default"/>
                <w:sz w:val="18"/>
                <w:szCs w:val="18"/>
              </w:rPr>
              <w:t>http://</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z w:val="18"/>
                <w:szCs w:val="18"/>
              </w:rPr>
              <w:t>www.cninfo.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com.cn</w:t>
            </w:r>
            <w:r>
              <w:rPr>
                <w:rFonts w:ascii="宋体" w:hAnsi="宋体" w:cs="宋体" w:eastAsia="宋体" w:hint="default"/>
                <w:spacing w:val="-12"/>
                <w:sz w:val="18"/>
                <w:szCs w:val="18"/>
              </w:rPr>
              <w:t>）；详</w:t>
            </w:r>
          </w:p>
          <w:p>
            <w:pPr>
              <w:pStyle w:val="TableParagraph"/>
              <w:spacing w:line="312" w:lineRule="auto"/>
              <w:ind w:left="15" w:right="-44"/>
              <w:jc w:val="left"/>
              <w:rPr>
                <w:rFonts w:ascii="宋体" w:hAnsi="宋体" w:cs="宋体" w:eastAsia="宋体" w:hint="default"/>
                <w:sz w:val="18"/>
                <w:szCs w:val="18"/>
              </w:rPr>
            </w:pPr>
            <w:r>
              <w:rPr>
                <w:rFonts w:ascii="宋体" w:hAnsi="宋体" w:cs="宋体" w:eastAsia="宋体" w:hint="default"/>
                <w:spacing w:val="-10"/>
                <w:sz w:val="18"/>
                <w:szCs w:val="18"/>
              </w:rPr>
              <w:t>见公司《</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年年度报告》 第五节重要 事项中的重 </w:t>
            </w:r>
            <w:r>
              <w:rPr>
                <w:rFonts w:ascii="宋体" w:hAnsi="宋体" w:cs="宋体" w:eastAsia="宋体" w:hint="default"/>
                <w:spacing w:val="-13"/>
                <w:sz w:val="18"/>
                <w:szCs w:val="18"/>
              </w:rPr>
              <w:t>大诉讼、仲裁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事项。</w:t>
            </w:r>
          </w:p>
        </w:tc>
      </w:tr>
    </w:tbl>
    <w:p>
      <w:pPr>
        <w:spacing w:after="0" w:line="312"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62"/>
        <w:gridCol w:w="1066"/>
        <w:gridCol w:w="1262"/>
        <w:gridCol w:w="931"/>
        <w:gridCol w:w="1381"/>
        <w:gridCol w:w="1246"/>
        <w:gridCol w:w="1067"/>
        <w:gridCol w:w="1066"/>
      </w:tblGrid>
      <w:tr>
        <w:trPr>
          <w:trHeight w:val="3528"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8"/>
              <w:ind w:left="15" w:right="90"/>
              <w:jc w:val="left"/>
              <w:rPr>
                <w:rFonts w:ascii="宋体" w:hAnsi="宋体" w:cs="宋体" w:eastAsia="宋体" w:hint="default"/>
                <w:sz w:val="18"/>
                <w:szCs w:val="18"/>
              </w:rPr>
            </w:pPr>
            <w:r>
              <w:rPr>
                <w:rFonts w:ascii="宋体" w:hAnsi="宋体" w:cs="宋体" w:eastAsia="宋体" w:hint="default"/>
                <w:sz w:val="18"/>
                <w:szCs w:val="18"/>
              </w:rPr>
              <w:t>本公司诉乐视移动 智能信息技术（北 京）有限公司、乐 视控股（北京）有 限公司合同纠纷 案。</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21,393.17</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21" w:lineRule="auto"/>
              <w:ind w:left="15" w:right="13"/>
              <w:jc w:val="left"/>
              <w:rPr>
                <w:rFonts w:ascii="宋体" w:hAnsi="宋体" w:cs="宋体" w:eastAsia="宋体" w:hint="default"/>
                <w:sz w:val="18"/>
                <w:szCs w:val="18"/>
              </w:rPr>
            </w:pPr>
            <w:r>
              <w:rPr>
                <w:rFonts w:ascii="宋体" w:hAnsi="宋体" w:cs="宋体" w:eastAsia="宋体" w:hint="default"/>
                <w:spacing w:val="-3"/>
                <w:sz w:val="18"/>
                <w:szCs w:val="18"/>
              </w:rPr>
              <w:t>已判决，未</w:t>
            </w:r>
            <w:r>
              <w:rPr>
                <w:rFonts w:ascii="宋体" w:hAnsi="宋体" w:cs="宋体" w:eastAsia="宋体" w:hint="default"/>
                <w:sz w:val="18"/>
                <w:szCs w:val="18"/>
              </w:rPr>
              <w:t> 执行</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30" w:right="74"/>
              <w:jc w:val="both"/>
              <w:rPr>
                <w:rFonts w:ascii="宋体" w:hAnsi="宋体" w:cs="宋体" w:eastAsia="宋体" w:hint="default"/>
                <w:sz w:val="18"/>
                <w:szCs w:val="18"/>
              </w:rPr>
            </w:pPr>
            <w:r>
              <w:rPr>
                <w:rFonts w:ascii="宋体" w:hAnsi="宋体" w:cs="宋体" w:eastAsia="宋体" w:hint="default"/>
                <w:sz w:val="18"/>
                <w:szCs w:val="18"/>
              </w:rPr>
              <w:t>判决乐视移动向 本公司支付欠款 及利息，由乐视 控股承担保证责 任。</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5"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309" w:lineRule="auto" w:before="51"/>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日向法</w:t>
            </w:r>
            <w:r>
              <w:rPr>
                <w:rFonts w:ascii="宋体" w:hAnsi="宋体" w:cs="宋体" w:eastAsia="宋体" w:hint="default"/>
                <w:sz w:val="18"/>
                <w:szCs w:val="18"/>
              </w:rPr>
              <w:t> 院申请恢复执 </w:t>
            </w:r>
            <w:r>
              <w:rPr>
                <w:rFonts w:ascii="宋体" w:hAnsi="宋体" w:cs="宋体" w:eastAsia="宋体" w:hint="default"/>
                <w:spacing w:val="-11"/>
                <w:sz w:val="18"/>
                <w:szCs w:val="18"/>
              </w:rPr>
              <w:t>行判决。截止目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前公司未收到 回款。</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44"/>
              <w:ind w:left="15" w:right="28"/>
              <w:jc w:val="left"/>
              <w:rPr>
                <w:rFonts w:ascii="宋体" w:hAnsi="宋体" w:cs="宋体" w:eastAsia="宋体" w:hint="default"/>
                <w:sz w:val="18"/>
                <w:szCs w:val="18"/>
              </w:rPr>
            </w:pPr>
            <w:r>
              <w:rPr>
                <w:rFonts w:ascii="宋体" w:hAnsi="宋体" w:cs="宋体" w:eastAsia="宋体" w:hint="default"/>
                <w:sz w:val="18"/>
                <w:szCs w:val="18"/>
              </w:rPr>
              <w:t>公告披露网 </w:t>
            </w:r>
            <w:r>
              <w:rPr>
                <w:rFonts w:ascii="宋体" w:hAnsi="宋体" w:cs="宋体" w:eastAsia="宋体" w:hint="default"/>
                <w:spacing w:val="-13"/>
                <w:sz w:val="18"/>
                <w:szCs w:val="18"/>
              </w:rPr>
              <w:t>站：巨潮资讯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网（</w:t>
            </w:r>
            <w:r>
              <w:rPr>
                <w:rFonts w:ascii="Times New Roman" w:hAnsi="Times New Roman" w:cs="Times New Roman" w:eastAsia="Times New Roman" w:hint="default"/>
                <w:sz w:val="18"/>
                <w:szCs w:val="18"/>
              </w:rPr>
              <w:t>http://</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z w:val="18"/>
                <w:szCs w:val="18"/>
              </w:rPr>
              <w:t>www.cninfo.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com.cn</w:t>
            </w:r>
            <w:r>
              <w:rPr>
                <w:rFonts w:ascii="宋体" w:hAnsi="宋体" w:cs="宋体" w:eastAsia="宋体" w:hint="default"/>
                <w:spacing w:val="-12"/>
                <w:sz w:val="18"/>
                <w:szCs w:val="18"/>
              </w:rPr>
              <w:t>）；详</w:t>
            </w:r>
          </w:p>
          <w:p>
            <w:pPr>
              <w:pStyle w:val="TableParagraph"/>
              <w:spacing w:line="229" w:lineRule="exact"/>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见公</w:t>
            </w:r>
            <w:r>
              <w:rPr>
                <w:rFonts w:ascii="宋体" w:hAnsi="宋体" w:cs="宋体" w:eastAsia="宋体" w:hint="default"/>
                <w:spacing w:val="-76"/>
                <w:sz w:val="18"/>
                <w:szCs w:val="18"/>
              </w:rPr>
              <w:t>司</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2019</w:t>
            </w:r>
          </w:p>
          <w:p>
            <w:pPr>
              <w:pStyle w:val="TableParagraph"/>
              <w:spacing w:line="316" w:lineRule="auto" w:before="51"/>
              <w:ind w:left="15" w:right="29"/>
              <w:jc w:val="left"/>
              <w:rPr>
                <w:rFonts w:ascii="宋体" w:hAnsi="宋体" w:cs="宋体" w:eastAsia="宋体" w:hint="default"/>
                <w:sz w:val="18"/>
                <w:szCs w:val="18"/>
              </w:rPr>
            </w:pPr>
            <w:r>
              <w:rPr>
                <w:rFonts w:ascii="宋体" w:hAnsi="宋体" w:cs="宋体" w:eastAsia="宋体" w:hint="default"/>
                <w:sz w:val="18"/>
                <w:szCs w:val="18"/>
              </w:rPr>
              <w:t>年半年度报 </w:t>
            </w:r>
            <w:r>
              <w:rPr>
                <w:rFonts w:ascii="宋体" w:hAnsi="宋体" w:cs="宋体" w:eastAsia="宋体" w:hint="default"/>
                <w:spacing w:val="-13"/>
                <w:sz w:val="18"/>
                <w:szCs w:val="18"/>
              </w:rPr>
              <w:t>告》第五节重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要事项中的 重大诉讼仲 裁事项。</w:t>
            </w:r>
          </w:p>
        </w:tc>
      </w:tr>
      <w:tr>
        <w:trPr>
          <w:trHeight w:val="2898"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4" w:lineRule="auto"/>
              <w:ind w:left="15" w:right="90"/>
              <w:jc w:val="both"/>
              <w:rPr>
                <w:rFonts w:ascii="宋体" w:hAnsi="宋体" w:cs="宋体" w:eastAsia="宋体" w:hint="default"/>
                <w:sz w:val="18"/>
                <w:szCs w:val="18"/>
              </w:rPr>
            </w:pPr>
            <w:r>
              <w:rPr>
                <w:rFonts w:ascii="宋体" w:hAnsi="宋体" w:cs="宋体" w:eastAsia="宋体" w:hint="default"/>
                <w:sz w:val="18"/>
                <w:szCs w:val="18"/>
              </w:rPr>
              <w:t>累计未达到重大诉 讼披露标准的其他 诉讼事项</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5,486.1</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80"/>
              <w:jc w:val="left"/>
              <w:rPr>
                <w:rFonts w:ascii="宋体" w:hAnsi="宋体" w:cs="宋体" w:eastAsia="宋体" w:hint="default"/>
                <w:sz w:val="18"/>
                <w:szCs w:val="18"/>
              </w:rPr>
            </w:pPr>
            <w:r>
              <w:rPr>
                <w:rFonts w:ascii="宋体" w:hAnsi="宋体" w:cs="宋体" w:eastAsia="宋体" w:hint="default"/>
                <w:sz w:val="18"/>
                <w:szCs w:val="18"/>
              </w:rPr>
              <w:t>其中累计 金额为</w:t>
            </w:r>
          </w:p>
          <w:p>
            <w:pPr>
              <w:pStyle w:val="TableParagraph"/>
              <w:spacing w:line="314" w:lineRule="auto" w:before="33"/>
              <w:ind w:left="15"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799.55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 的案件已 </w:t>
            </w:r>
            <w:r>
              <w:rPr>
                <w:rFonts w:ascii="宋体" w:hAnsi="宋体" w:cs="宋体" w:eastAsia="宋体" w:hint="default"/>
                <w:spacing w:val="-3"/>
                <w:sz w:val="18"/>
                <w:szCs w:val="18"/>
              </w:rPr>
              <w:t>结案；其他</w:t>
            </w:r>
            <w:r>
              <w:rPr>
                <w:rFonts w:ascii="宋体" w:hAnsi="宋体" w:cs="宋体" w:eastAsia="宋体" w:hint="default"/>
                <w:sz w:val="18"/>
                <w:szCs w:val="18"/>
              </w:rPr>
              <w:t> 案件尚在 执行判决 或审理阶 段。</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before="0"/>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公司报告期不存在处罚及整改情况。</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1"/>
        <w:rPr>
          <w:rFonts w:ascii="宋体" w:hAnsi="宋体" w:cs="宋体" w:eastAsia="宋体" w:hint="default"/>
          <w:b/>
          <w:bCs/>
          <w:sz w:val="26"/>
          <w:szCs w:val="26"/>
        </w:rPr>
      </w:pPr>
    </w:p>
    <w:p>
      <w:pPr>
        <w:pStyle w:val="BodyText"/>
        <w:spacing w:line="331" w:lineRule="auto" w:before="0"/>
        <w:ind w:right="44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公司报告期无股权激励计划、员工持股计划或其他员工激励措施及其实施情况。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宋体" w:hAnsi="宋体" w:cs="宋体" w:eastAsia="宋体" w:hint="default"/>
          <w:b/>
          <w:bCs/>
          <w:sz w:val="25"/>
          <w:szCs w:val="25"/>
        </w:rPr>
      </w:pPr>
    </w:p>
    <w:p>
      <w:pPr>
        <w:pStyle w:val="BodyText"/>
        <w:spacing w:line="333" w:lineRule="auto" w:before="0"/>
        <w:ind w:right="69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公司报告期未发生与日常经营相关的关联交易。</w:t>
      </w:r>
    </w:p>
    <w:p>
      <w:pPr>
        <w:spacing w:after="0" w:line="333"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3"/>
        <w:rPr>
          <w:rFonts w:ascii="宋体" w:hAnsi="宋体" w:cs="宋体" w:eastAsia="宋体" w:hint="default"/>
          <w:b/>
          <w:bCs/>
          <w:sz w:val="25"/>
          <w:szCs w:val="25"/>
        </w:rPr>
      </w:pPr>
    </w:p>
    <w:p>
      <w:pPr>
        <w:pStyle w:val="BodyText"/>
        <w:spacing w:line="319" w:lineRule="auto" w:before="0"/>
        <w:ind w:right="64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公司报告期未发生资产或股权收购、出售的关联交易。</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3"/>
        <w:rPr>
          <w:rFonts w:ascii="宋体" w:hAnsi="宋体" w:cs="宋体" w:eastAsia="宋体" w:hint="default"/>
          <w:b/>
          <w:bCs/>
          <w:sz w:val="25"/>
          <w:szCs w:val="25"/>
        </w:rPr>
      </w:pPr>
    </w:p>
    <w:p>
      <w:pPr>
        <w:pStyle w:val="BodyText"/>
        <w:spacing w:line="331" w:lineRule="auto" w:before="0"/>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公司报告期未发生共同对外投资的关联交易。</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宋体" w:hAnsi="宋体" w:cs="宋体" w:eastAsia="宋体" w:hint="default"/>
          <w:b/>
          <w:bCs/>
          <w:sz w:val="25"/>
          <w:szCs w:val="25"/>
        </w:rPr>
      </w:pPr>
    </w:p>
    <w:p>
      <w:pPr>
        <w:pStyle w:val="BodyText"/>
        <w:spacing w:line="331" w:lineRule="auto" w:before="0"/>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公司报告期不存在关联债权债务往来。</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333"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right="0"/>
        <w:jc w:val="left"/>
      </w:pPr>
      <w:r>
        <w:rPr/>
        <w:t>单位：</w:t>
      </w:r>
      <w:r>
        <w:rPr>
          <w:spacing w:val="-15"/>
        </w:rPr>
        <w:t> </w:t>
      </w:r>
      <w:r>
        <w:rPr/>
        <w:t>元</w:t>
      </w:r>
    </w:p>
    <w:p>
      <w:pPr>
        <w:spacing w:after="0" w:line="240" w:lineRule="auto"/>
        <w:jc w:val="left"/>
        <w:sectPr>
          <w:type w:val="continuous"/>
          <w:pgSz w:w="11910" w:h="16850"/>
          <w:pgMar w:top="1040" w:bottom="1180" w:left="1000" w:right="0"/>
          <w:cols w:num="2" w:equalWidth="0">
            <w:col w:w="1762" w:space="7099"/>
            <w:col w:w="2049"/>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06"/>
        <w:gridCol w:w="2839"/>
        <w:gridCol w:w="1998"/>
        <w:gridCol w:w="1832"/>
        <w:gridCol w:w="1848"/>
        <w:gridCol w:w="1142"/>
      </w:tblGrid>
      <w:tr>
        <w:trPr>
          <w:trHeight w:val="735" w:hRule="exact"/>
        </w:trPr>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3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5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210" w:right="14" w:hanging="180"/>
              <w:jc w:val="left"/>
              <w:rPr>
                <w:rFonts w:ascii="宋体" w:hAnsi="宋体" w:cs="宋体" w:eastAsia="宋体" w:hint="default"/>
                <w:sz w:val="18"/>
                <w:szCs w:val="18"/>
              </w:rPr>
            </w:pPr>
            <w:r>
              <w:rPr>
                <w:rFonts w:ascii="宋体" w:hAnsi="宋体" w:cs="宋体" w:eastAsia="宋体" w:hint="default"/>
                <w:sz w:val="18"/>
                <w:szCs w:val="18"/>
              </w:rPr>
              <w:t>担保是否已经 履行完毕</w:t>
            </w:r>
          </w:p>
        </w:tc>
      </w:tr>
      <w:tr>
        <w:trPr>
          <w:trHeight w:val="421"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150,000,000.00</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36"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100,000,000.00</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right"/>
              <w:rPr>
                <w:rFonts w:ascii="Times New Roman" w:hAnsi="Times New Roman" w:cs="Times New Roman" w:eastAsia="Times New Roman" w:hint="default"/>
                <w:sz w:val="18"/>
                <w:szCs w:val="18"/>
              </w:rPr>
            </w:pPr>
            <w:r>
              <w:rPr>
                <w:rFonts w:ascii="Times New Roman"/>
                <w:sz w:val="18"/>
              </w:rPr>
              <w:t>100,000,000.00</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3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270,000,000.00</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1"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1,200,000,000.00</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3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right"/>
              <w:rPr>
                <w:rFonts w:ascii="Times New Roman" w:hAnsi="Times New Roman" w:cs="Times New Roman" w:eastAsia="Times New Roman" w:hint="default"/>
                <w:sz w:val="18"/>
                <w:szCs w:val="18"/>
              </w:rPr>
            </w:pPr>
            <w:r>
              <w:rPr>
                <w:rFonts w:ascii="Times New Roman"/>
                <w:sz w:val="18"/>
              </w:rPr>
              <w:t>1,340,000,000.00</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400,000,000.00</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36"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100,000,000.00</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300,000,000.00</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ind w:right="0"/>
        <w:jc w:val="left"/>
      </w:pPr>
      <w:r>
        <w:rPr/>
        <w:t>关联担保情况说明</w:t>
      </w:r>
    </w:p>
    <w:p>
      <w:pPr>
        <w:pStyle w:val="BodyText"/>
        <w:spacing w:line="295" w:lineRule="auto" w:before="125"/>
        <w:ind w:right="1125"/>
        <w:jc w:val="both"/>
      </w:pPr>
      <w:r>
        <w:rPr/>
        <w:t>（</w:t>
      </w:r>
      <w:r>
        <w:rPr>
          <w:rFonts w:ascii="Times New Roman" w:hAnsi="Times New Roman" w:cs="Times New Roman" w:eastAsia="Times New Roman" w:hint="default"/>
        </w:rPr>
        <w:t>1</w:t>
      </w:r>
      <w:r>
        <w:rPr/>
        <w:t>）深圳市聚智通信息技术有限公司为本公司与广发银行深圳分行签署的编号为（</w:t>
      </w:r>
      <w:r>
        <w:rPr>
          <w:rFonts w:ascii="Times New Roman" w:hAnsi="Times New Roman" w:cs="Times New Roman" w:eastAsia="Times New Roman" w:hint="default"/>
        </w:rPr>
        <w:t>2018</w:t>
      </w:r>
      <w:r>
        <w:rPr/>
        <w:t>）深银综授额字第</w:t>
      </w:r>
      <w:r>
        <w:rPr>
          <w:rFonts w:ascii="Times New Roman" w:hAnsi="Times New Roman" w:cs="Times New Roman" w:eastAsia="Times New Roman" w:hint="default"/>
        </w:rPr>
        <w:t>000020</w:t>
      </w:r>
      <w:r>
        <w:rPr/>
        <w:t>号《授信</w:t>
      </w:r>
      <w:r>
        <w:rPr>
          <w:spacing w:val="-81"/>
        </w:rPr>
        <w:t> </w:t>
      </w:r>
      <w:r>
        <w:rPr/>
        <w:t>额度合同》项下不超过人民币</w:t>
      </w:r>
      <w:r>
        <w:rPr>
          <w:rFonts w:ascii="Times New Roman" w:hAnsi="Times New Roman" w:cs="Times New Roman" w:eastAsia="Times New Roman" w:hint="default"/>
        </w:rPr>
        <w:t>15000</w:t>
      </w:r>
      <w:r>
        <w:rPr/>
        <w:t>万元本金及利息、罚息、复利、违约金、损害赔偿金、为实现债权而发生的费用（包括</w:t>
      </w:r>
      <w:r>
        <w:rPr>
          <w:spacing w:val="-81"/>
        </w:rPr>
        <w:t> </w:t>
      </w:r>
      <w:r>
        <w:rPr>
          <w:spacing w:val="-81"/>
        </w:rPr>
      </w:r>
      <w:r>
        <w:rPr>
          <w:spacing w:val="-2"/>
        </w:rPr>
        <w:t>但不限于诉讼费，仲裁费，律师费，差旅费，执行费。保全费，评估费，拍卖或变卖费，过户费，公告费等）和其他所有应</w:t>
      </w:r>
    </w:p>
    <w:p>
      <w:pPr>
        <w:pStyle w:val="BodyText"/>
        <w:spacing w:line="240" w:lineRule="auto" w:before="53"/>
        <w:ind w:right="0"/>
        <w:jc w:val="left"/>
      </w:pPr>
      <w:r>
        <w:rPr/>
        <w:t>付费用向广发银行股份有限公司深圳分行提供连带保证责任，额度有效期为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16</w:t>
      </w:r>
      <w:r>
        <w:rPr/>
        <w:t>日。</w:t>
      </w:r>
    </w:p>
    <w:p>
      <w:pPr>
        <w:pStyle w:val="BodyText"/>
        <w:spacing w:line="300" w:lineRule="auto" w:before="66"/>
        <w:ind w:right="1119"/>
        <w:jc w:val="left"/>
      </w:pPr>
      <w:r>
        <w:rPr/>
        <w:t>（</w:t>
      </w:r>
      <w:r>
        <w:rPr>
          <w:rFonts w:ascii="Times New Roman" w:hAnsi="Times New Roman" w:cs="Times New Roman" w:eastAsia="Times New Roman" w:hint="default"/>
        </w:rPr>
        <w:t>2</w:t>
      </w:r>
      <w:r>
        <w:rPr/>
        <w:t>）深圳市聚智通信息技术有限公司为本公司与宁波银行深圳分行签署的编号为</w:t>
      </w:r>
      <w:r>
        <w:rPr>
          <w:rFonts w:ascii="Times New Roman" w:hAnsi="Times New Roman" w:cs="Times New Roman" w:eastAsia="Times New Roman" w:hint="default"/>
        </w:rPr>
        <w:t>07300JC20188004</w:t>
      </w:r>
      <w:r>
        <w:rPr/>
        <w:t>《进出口融资总协议》</w:t>
      </w:r>
      <w:r>
        <w:rPr>
          <w:spacing w:val="-79"/>
        </w:rPr>
        <w:t> </w:t>
      </w:r>
      <w:r>
        <w:rPr/>
        <w:t>项下不超过人民币</w:t>
      </w:r>
      <w:r>
        <w:rPr>
          <w:rFonts w:ascii="Times New Roman" w:hAnsi="Times New Roman" w:cs="Times New Roman" w:eastAsia="Times New Roman" w:hint="default"/>
        </w:rPr>
        <w:t>10000</w:t>
      </w:r>
      <w:r>
        <w:rPr/>
        <w:t>万元本金及利息、逾期利息、复利、罚息、违约金、损害赔偿金和诉讼费、保全费、执行费、律师 费、差旅费等实现债权的费用和所有其他应付的一切费用向宁波银行深圳分行提供连带担保，额度有效期为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w:t>
      </w:r>
      <w:r>
        <w:rPr>
          <w:spacing w:val="-81"/>
        </w:rPr>
        <w:t> </w:t>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w:t>
      </w:r>
    </w:p>
    <w:p>
      <w:pPr>
        <w:spacing w:after="0" w:line="300" w:lineRule="auto"/>
        <w:jc w:val="left"/>
        <w:sectPr>
          <w:type w:val="continuous"/>
          <w:pgSz w:w="11910" w:h="16850"/>
          <w:pgMar w:top="1040" w:bottom="1180" w:left="1000" w:right="0"/>
        </w:sectPr>
      </w:pPr>
    </w:p>
    <w:p>
      <w:pPr>
        <w:spacing w:line="240" w:lineRule="auto" w:before="2"/>
        <w:rPr>
          <w:rFonts w:ascii="宋体" w:hAnsi="宋体" w:cs="宋体" w:eastAsia="宋体" w:hint="default"/>
          <w:sz w:val="27"/>
          <w:szCs w:val="27"/>
        </w:rPr>
      </w:pPr>
    </w:p>
    <w:p>
      <w:pPr>
        <w:pStyle w:val="BodyText"/>
        <w:spacing w:line="300" w:lineRule="auto"/>
        <w:ind w:right="1016"/>
        <w:jc w:val="left"/>
      </w:pPr>
      <w:r>
        <w:rPr>
          <w:spacing w:val="-2"/>
        </w:rPr>
        <w:t>（</w:t>
      </w:r>
      <w:r>
        <w:rPr>
          <w:rFonts w:ascii="Times New Roman" w:hAnsi="Times New Roman" w:cs="Times New Roman" w:eastAsia="Times New Roman" w:hint="default"/>
          <w:spacing w:val="-2"/>
        </w:rPr>
        <w:t>3</w:t>
      </w:r>
      <w:r>
        <w:rPr>
          <w:spacing w:val="-2"/>
        </w:rPr>
        <w:t>）深圳市聚智通信息技术有限公司为本公司与光大银行深圳分行签署的编号为</w:t>
      </w:r>
      <w:r>
        <w:rPr>
          <w:rFonts w:ascii="Times New Roman" w:hAnsi="Times New Roman" w:cs="Times New Roman" w:eastAsia="Times New Roman" w:hint="default"/>
          <w:spacing w:val="-2"/>
        </w:rPr>
        <w:t>ZM</w:t>
      </w:r>
      <w:r>
        <w:rPr>
          <w:rFonts w:ascii="Times New Roman" w:hAnsi="Times New Roman" w:cs="Times New Roman" w:eastAsia="Times New Roman" w:hint="default"/>
        </w:rPr>
        <w:t> </w:t>
      </w:r>
      <w:r>
        <w:rPr>
          <w:rFonts w:ascii="Times New Roman" w:hAnsi="Times New Roman" w:cs="Times New Roman" w:eastAsia="Times New Roman" w:hint="default"/>
          <w:spacing w:val="-2"/>
        </w:rPr>
        <w:t>78211803002</w:t>
      </w:r>
      <w:r>
        <w:rPr>
          <w:spacing w:val="-2"/>
        </w:rPr>
        <w:t>《贸易融资综合授信协议》</w:t>
      </w:r>
      <w:r>
        <w:rPr>
          <w:spacing w:val="-81"/>
        </w:rPr>
        <w:t> </w:t>
      </w:r>
      <w:r>
        <w:rPr/>
        <w:t>项下不超过人民币</w:t>
      </w:r>
      <w:r>
        <w:rPr>
          <w:rFonts w:ascii="Times New Roman" w:hAnsi="Times New Roman" w:cs="Times New Roman" w:eastAsia="Times New Roman" w:hint="default"/>
        </w:rPr>
        <w:t>10000</w:t>
      </w:r>
      <w:r>
        <w:rPr/>
        <w:t>万元本金及利息、逾期利息、复利、罚息、违约金、损害赔偿金和诉讼费、保全费、执行费、律师 费、差旅费等实现债权的费用和所有其他应付的一切费用向光大银行深圳分行提供连带担保，额度有效期为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r>
        <w:rPr>
          <w:spacing w:val="-80"/>
        </w:rPr>
        <w:t> </w:t>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p>
    <w:p>
      <w:pPr>
        <w:pStyle w:val="BodyText"/>
        <w:spacing w:line="304" w:lineRule="auto" w:before="16"/>
        <w:ind w:right="1128"/>
        <w:jc w:val="both"/>
      </w:pPr>
      <w:r>
        <w:rPr/>
        <w:t>（</w:t>
      </w:r>
      <w:r>
        <w:rPr>
          <w:rFonts w:ascii="Times New Roman" w:hAnsi="Times New Roman" w:cs="Times New Roman" w:eastAsia="Times New Roman" w:hint="default"/>
        </w:rPr>
        <w:t>4</w:t>
      </w:r>
      <w:r>
        <w:rPr/>
        <w:t>）深圳市聚智通信息技术有限公司为本公司与中信银行深圳分行签署</w:t>
      </w:r>
      <w:r>
        <w:rPr>
          <w:rFonts w:ascii="Times New Roman" w:hAnsi="Times New Roman" w:cs="Times New Roman" w:eastAsia="Times New Roman" w:hint="default"/>
        </w:rPr>
        <w:t>2018</w:t>
      </w:r>
      <w:r>
        <w:rPr/>
        <w:t>深银大鹏综字第</w:t>
      </w:r>
      <w:r>
        <w:rPr>
          <w:rFonts w:ascii="Times New Roman" w:hAnsi="Times New Roman" w:cs="Times New Roman" w:eastAsia="Times New Roman" w:hint="default"/>
        </w:rPr>
        <w:t>0001</w:t>
      </w:r>
      <w:r>
        <w:rPr/>
        <w:t>号《综合授信合同》项下</w:t>
      </w:r>
      <w:r>
        <w:rPr>
          <w:spacing w:val="-84"/>
        </w:rPr>
        <w:t> </w:t>
      </w:r>
      <w:r>
        <w:rPr/>
        <w:t>不超过人民币</w:t>
      </w:r>
      <w:r>
        <w:rPr>
          <w:rFonts w:ascii="Times New Roman" w:hAnsi="Times New Roman" w:cs="Times New Roman" w:eastAsia="Times New Roman" w:hint="default"/>
        </w:rPr>
        <w:t>27000</w:t>
      </w:r>
      <w:r>
        <w:rPr/>
        <w:t>万元本金，利息，罚息，违约金，损害赔偿金及为实现债权与担保权而发生的一切费用向中信银行深圳 分行提供连带担保责任。额度有效期为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09</w:t>
      </w:r>
      <w:r>
        <w:rPr/>
        <w:t>日。</w:t>
      </w:r>
    </w:p>
    <w:p>
      <w:pPr>
        <w:pStyle w:val="BodyText"/>
        <w:spacing w:line="297" w:lineRule="auto" w:before="12"/>
        <w:ind w:right="1101"/>
        <w:jc w:val="both"/>
      </w:pPr>
      <w:r>
        <w:rPr>
          <w:spacing w:val="-2"/>
        </w:rPr>
        <w:t>（</w:t>
      </w:r>
      <w:r>
        <w:rPr>
          <w:rFonts w:ascii="Times New Roman" w:hAnsi="Times New Roman" w:cs="Times New Roman" w:eastAsia="Times New Roman" w:hint="default"/>
          <w:spacing w:val="-2"/>
        </w:rPr>
        <w:t>5</w:t>
      </w:r>
      <w:r>
        <w:rPr>
          <w:spacing w:val="-2"/>
        </w:rPr>
        <w:t>）深圳市聚智通信息技术有限公司为本公司与中国银行股份有限公司深圳罗湖支行签署的</w:t>
      </w:r>
      <w:r>
        <w:rPr>
          <w:rFonts w:ascii="Times New Roman" w:hAnsi="Times New Roman" w:cs="Times New Roman" w:eastAsia="Times New Roman" w:hint="default"/>
          <w:spacing w:val="-2"/>
        </w:rPr>
        <w:t>2018</w:t>
      </w:r>
      <w:r>
        <w:rPr>
          <w:spacing w:val="-2"/>
        </w:rPr>
        <w:t>圳中银罗额协字第</w:t>
      </w:r>
      <w:r>
        <w:rPr>
          <w:rFonts w:ascii="Times New Roman" w:hAnsi="Times New Roman" w:cs="Times New Roman" w:eastAsia="Times New Roman" w:hint="default"/>
          <w:spacing w:val="-2"/>
        </w:rPr>
        <w:t>0000018</w:t>
      </w:r>
      <w:r>
        <w:rPr>
          <w:rFonts w:ascii="Times New Roman" w:hAnsi="Times New Roman" w:cs="Times New Roman" w:eastAsia="Times New Roman" w:hint="default"/>
          <w:spacing w:val="8"/>
        </w:rPr>
        <w:t> </w:t>
      </w:r>
      <w:r>
        <w:rPr>
          <w:spacing w:val="-1"/>
        </w:rPr>
        <w:t>号《授信额度协议》项下不超过人民币</w:t>
      </w:r>
      <w:r>
        <w:rPr>
          <w:rFonts w:ascii="Times New Roman" w:hAnsi="Times New Roman" w:cs="Times New Roman" w:eastAsia="Times New Roman" w:hint="default"/>
          <w:spacing w:val="-1"/>
        </w:rPr>
        <w:t>120000</w:t>
      </w:r>
      <w:r>
        <w:rPr>
          <w:spacing w:val="-1"/>
        </w:rPr>
        <w:t>万元本金及利息、违约金等向中国银行深圳罗湖支行提供连带责任保证，额度</w:t>
      </w:r>
      <w:r>
        <w:rPr/>
        <w:t> 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w:t>
      </w:r>
    </w:p>
    <w:p>
      <w:pPr>
        <w:pStyle w:val="BodyText"/>
        <w:spacing w:line="304" w:lineRule="auto" w:before="18"/>
        <w:ind w:right="1028"/>
        <w:jc w:val="left"/>
      </w:pPr>
      <w:r>
        <w:rPr>
          <w:spacing w:val="-2"/>
        </w:rPr>
        <w:t>（</w:t>
      </w:r>
      <w:r>
        <w:rPr>
          <w:rFonts w:ascii="Times New Roman" w:hAnsi="Times New Roman" w:cs="Times New Roman" w:eastAsia="Times New Roman" w:hint="default"/>
          <w:spacing w:val="-2"/>
        </w:rPr>
        <w:t>6</w:t>
      </w:r>
      <w:r>
        <w:rPr>
          <w:spacing w:val="-2"/>
        </w:rPr>
        <w:t>）深圳市聚智通信息技术有限公司为本公司与建设银行深圳分行签署的编号为借</w:t>
      </w:r>
      <w:r>
        <w:rPr>
          <w:rFonts w:ascii="Times New Roman" w:hAnsi="Times New Roman" w:cs="Times New Roman" w:eastAsia="Times New Roman" w:hint="default"/>
          <w:spacing w:val="-2"/>
        </w:rPr>
        <w:t>2018</w:t>
      </w:r>
      <w:r>
        <w:rPr>
          <w:spacing w:val="-2"/>
        </w:rPr>
        <w:t>综</w:t>
      </w:r>
      <w:r>
        <w:rPr>
          <w:rFonts w:ascii="Times New Roman" w:hAnsi="Times New Roman" w:cs="Times New Roman" w:eastAsia="Times New Roman" w:hint="default"/>
          <w:spacing w:val="-2"/>
        </w:rPr>
        <w:t>08020</w:t>
      </w:r>
      <w:r>
        <w:rPr>
          <w:spacing w:val="-2"/>
        </w:rPr>
        <w:t>宝安</w:t>
      </w:r>
      <w:r>
        <w:rPr>
          <w:rFonts w:ascii="Times New Roman" w:hAnsi="Times New Roman" w:cs="Times New Roman" w:eastAsia="Times New Roman" w:hint="default"/>
          <w:spacing w:val="-2"/>
        </w:rPr>
        <w:t>R</w:t>
      </w:r>
      <w:r>
        <w:rPr>
          <w:spacing w:val="-2"/>
        </w:rPr>
        <w:t>《综合融资额度合同》</w:t>
      </w:r>
      <w:r>
        <w:rPr>
          <w:spacing w:val="-83"/>
        </w:rPr>
        <w:t> </w:t>
      </w:r>
      <w:r>
        <w:rPr>
          <w:spacing w:val="-1"/>
        </w:rPr>
        <w:t>项下不超过人民币</w:t>
      </w:r>
      <w:r>
        <w:rPr>
          <w:rFonts w:ascii="Times New Roman" w:hAnsi="Times New Roman" w:cs="Times New Roman" w:eastAsia="Times New Roman" w:hint="default"/>
          <w:spacing w:val="-1"/>
        </w:rPr>
        <w:t>134000</w:t>
      </w:r>
      <w:r>
        <w:rPr>
          <w:spacing w:val="-1"/>
        </w:rPr>
        <w:t>万本金、利息、违约金、赔偿金、以及债权人为实现债权与担保权而发生的一切费用向建设银行深</w:t>
      </w:r>
      <w:r>
        <w:rPr/>
        <w:t> 圳分行提供连带担保，额度有效期为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w:t>
      </w:r>
    </w:p>
    <w:p>
      <w:pPr>
        <w:pStyle w:val="BodyText"/>
        <w:spacing w:line="304" w:lineRule="auto" w:before="0"/>
        <w:ind w:right="1124"/>
        <w:jc w:val="both"/>
      </w:pPr>
      <w:r>
        <w:rPr>
          <w:spacing w:val="-4"/>
          <w:w w:val="99"/>
        </w:rPr>
        <w:t>（</w:t>
      </w:r>
      <w:r>
        <w:rPr>
          <w:rFonts w:ascii="Times New Roman" w:hAnsi="Times New Roman" w:cs="Times New Roman" w:eastAsia="Times New Roman" w:hint="default"/>
          <w:spacing w:val="-4"/>
          <w:w w:val="99"/>
        </w:rPr>
        <w:t>7</w:t>
      </w:r>
      <w:r>
        <w:rPr>
          <w:spacing w:val="-4"/>
          <w:w w:val="99"/>
        </w:rPr>
        <w:t>）深圳市聚智通信息技术有限公司为本公司与平安银行深圳分行签署的编号为平银（深圳）综第</w:t>
      </w:r>
      <w:r>
        <w:rPr>
          <w:rFonts w:ascii="Times New Roman" w:hAnsi="Times New Roman" w:cs="Times New Roman" w:eastAsia="Times New Roman" w:hint="default"/>
          <w:spacing w:val="-4"/>
          <w:w w:val="99"/>
        </w:rPr>
        <w:t>A021201805070001</w:t>
      </w:r>
      <w:r>
        <w:rPr>
          <w:spacing w:val="-4"/>
          <w:w w:val="99"/>
        </w:rPr>
        <w:t>号《综</w:t>
      </w:r>
      <w:r>
        <w:rPr>
          <w:spacing w:val="-50"/>
          <w:w w:val="99"/>
        </w:rPr>
        <w:t> </w:t>
      </w:r>
      <w:r>
        <w:rPr>
          <w:spacing w:val="-50"/>
          <w:w w:val="99"/>
        </w:rPr>
      </w:r>
      <w:r>
        <w:rPr/>
        <w:t>合授信额度合同》项下不超过人民币</w:t>
      </w:r>
      <w:r>
        <w:rPr>
          <w:rFonts w:ascii="Times New Roman" w:hAnsi="Times New Roman" w:cs="Times New Roman" w:eastAsia="Times New Roman" w:hint="default"/>
        </w:rPr>
        <w:t>40000</w:t>
      </w:r>
      <w:r>
        <w:rPr/>
        <w:t>万本金、利息、复利、及罚息、实现债权的费用等向平安银行深圳分行提供连带</w:t>
      </w:r>
      <w:r>
        <w:rPr>
          <w:spacing w:val="-87"/>
        </w:rPr>
        <w:t> </w:t>
      </w:r>
      <w:r>
        <w:rPr/>
        <w:t>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05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04</w:t>
      </w:r>
      <w:r>
        <w:rPr/>
        <w:t>日。</w:t>
      </w:r>
    </w:p>
    <w:p>
      <w:pPr>
        <w:pStyle w:val="BodyText"/>
        <w:spacing w:line="240" w:lineRule="auto" w:before="12"/>
        <w:ind w:right="0"/>
        <w:jc w:val="both"/>
      </w:pPr>
      <w:r>
        <w:rPr/>
        <w:t>（</w:t>
      </w:r>
      <w:r>
        <w:rPr>
          <w:rFonts w:ascii="Times New Roman" w:hAnsi="Times New Roman" w:cs="Times New Roman" w:eastAsia="Times New Roman" w:hint="default"/>
        </w:rPr>
        <w:t>8</w:t>
      </w:r>
      <w:r>
        <w:rPr/>
        <w:t>）深圳市聚智通信息技术有限公司为本公司与南洋商业银行（中国）有限公司深圳分行签署的编号为</w:t>
      </w:r>
    </w:p>
    <w:p>
      <w:pPr>
        <w:pStyle w:val="BodyText"/>
        <w:spacing w:line="290" w:lineRule="auto" w:before="66"/>
        <w:ind w:right="1101"/>
        <w:jc w:val="both"/>
      </w:pPr>
      <w:r>
        <w:rPr>
          <w:rFonts w:ascii="Times New Roman" w:hAnsi="Times New Roman" w:cs="Times New Roman" w:eastAsia="Times New Roman" w:hint="default"/>
        </w:rPr>
        <w:t>043-905-18-400004C000</w:t>
      </w:r>
      <w:r>
        <w:rPr/>
        <w:t>号《授信额度协议》项下不超过人民币</w:t>
      </w:r>
      <w:r>
        <w:rPr>
          <w:rFonts w:ascii="Times New Roman" w:hAnsi="Times New Roman" w:cs="Times New Roman" w:eastAsia="Times New Roman" w:hint="default"/>
        </w:rPr>
        <w:t>10000</w:t>
      </w:r>
      <w:r>
        <w:rPr/>
        <w:t>万本金、利息、复利、及罚息、实现债权的费用等向南</w:t>
      </w:r>
      <w:r>
        <w:rPr>
          <w:spacing w:val="-86"/>
        </w:rPr>
        <w:t> </w:t>
      </w:r>
      <w:r>
        <w:rPr/>
        <w:t>洋商业银行（中国）有限公司深圳分行提供连带担保责任。额度有效期为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06</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04</w:t>
      </w:r>
      <w:r>
        <w:rPr/>
        <w:t>日。</w:t>
      </w:r>
    </w:p>
    <w:p>
      <w:pPr>
        <w:pStyle w:val="BodyText"/>
        <w:spacing w:line="304" w:lineRule="auto" w:before="24"/>
        <w:ind w:right="1111"/>
        <w:jc w:val="both"/>
      </w:pPr>
      <w:r>
        <w:rPr>
          <w:spacing w:val="-1"/>
        </w:rPr>
        <w:t>（</w:t>
      </w:r>
      <w:r>
        <w:rPr>
          <w:rFonts w:ascii="Times New Roman" w:hAnsi="Times New Roman" w:cs="Times New Roman" w:eastAsia="Times New Roman" w:hint="default"/>
          <w:spacing w:val="-1"/>
        </w:rPr>
        <w:t>9</w:t>
      </w:r>
      <w:r>
        <w:rPr>
          <w:spacing w:val="-1"/>
        </w:rPr>
        <w:t>）深圳市聚智通信息技术有限公司为本公司与浦发银行深圳分行签署编号为</w:t>
      </w:r>
      <w:r>
        <w:rPr>
          <w:rFonts w:ascii="Times New Roman" w:hAnsi="Times New Roman" w:cs="Times New Roman" w:eastAsia="Times New Roman" w:hint="default"/>
          <w:spacing w:val="-1"/>
        </w:rPr>
        <w:t>BC2018083000000075</w:t>
      </w:r>
      <w:r>
        <w:rPr>
          <w:spacing w:val="-1"/>
        </w:rPr>
        <w:t>《融资额度协议》项下</w:t>
      </w:r>
      <w:r>
        <w:rPr>
          <w:spacing w:val="-79"/>
        </w:rPr>
        <w:t> </w:t>
      </w:r>
      <w:r>
        <w:rPr>
          <w:spacing w:val="-79"/>
        </w:rPr>
      </w:r>
      <w:r>
        <w:rPr/>
        <w:t>不超过人民币</w:t>
      </w:r>
      <w:r>
        <w:rPr>
          <w:rFonts w:ascii="Times New Roman" w:hAnsi="Times New Roman" w:cs="Times New Roman" w:eastAsia="Times New Roman" w:hint="default"/>
        </w:rPr>
        <w:t>30000</w:t>
      </w:r>
      <w:r>
        <w:rPr/>
        <w:t>万元本金、利息（含罚息、复利）、违约金、损害赔偿金、债权人实现债权的费用等向浦发银行深圳分 行提供连带担保责任。额度有效期为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w:t>
      </w:r>
    </w:p>
    <w:p>
      <w:pPr>
        <w:spacing w:line="240" w:lineRule="auto" w:before="3"/>
        <w:rPr>
          <w:rFonts w:ascii="宋体" w:hAnsi="宋体" w:cs="宋体" w:eastAsia="宋体" w:hint="default"/>
          <w:sz w:val="26"/>
          <w:szCs w:val="26"/>
        </w:rPr>
      </w:pPr>
    </w:p>
    <w:p>
      <w:pPr>
        <w:pStyle w:val="BodyText"/>
        <w:spacing w:line="240" w:lineRule="auto" w:before="0"/>
        <w:ind w:right="0"/>
        <w:jc w:val="both"/>
      </w:pPr>
      <w:r>
        <w:rPr/>
        <w:t>重大关联交易临时报告披露网站相关查询</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454"/>
        <w:gridCol w:w="2658"/>
        <w:gridCol w:w="3469"/>
      </w:tblGrid>
      <w:tr>
        <w:trPr>
          <w:trHeight w:val="391"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82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公司报告期不存在托管情况。</w:t>
      </w:r>
    </w:p>
    <w:p>
      <w:pPr>
        <w:spacing w:line="240" w:lineRule="auto" w:before="6"/>
        <w:rPr>
          <w:rFonts w:ascii="宋体" w:hAnsi="宋体" w:cs="宋体" w:eastAsia="宋体" w:hint="default"/>
          <w:sz w:val="25"/>
          <w:szCs w:val="25"/>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公司报告期不存在承包情况。</w:t>
      </w:r>
    </w:p>
    <w:p>
      <w:pPr>
        <w:spacing w:line="240" w:lineRule="auto" w:before="5"/>
        <w:rPr>
          <w:rFonts w:ascii="宋体" w:hAnsi="宋体" w:cs="宋体" w:eastAsia="宋体" w:hint="default"/>
          <w:sz w:val="25"/>
          <w:szCs w:val="25"/>
        </w:rPr>
      </w:pPr>
    </w:p>
    <w:p>
      <w:pPr>
        <w:pStyle w:val="Heading3"/>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公司报告期不存在租赁情况。</w:t>
      </w:r>
    </w:p>
    <w:p>
      <w:pPr>
        <w:spacing w:after="0" w:line="319"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715"/>
        <w:gridCol w:w="914"/>
        <w:gridCol w:w="926"/>
        <w:gridCol w:w="1315"/>
        <w:gridCol w:w="1050"/>
        <w:gridCol w:w="1045"/>
        <w:gridCol w:w="1048"/>
        <w:gridCol w:w="786"/>
        <w:gridCol w:w="783"/>
      </w:tblGrid>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2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1" w:hRule="exact"/>
        </w:trPr>
        <w:tc>
          <w:tcPr>
            <w:tcW w:w="17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87"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16" w:right="76"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02"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2"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6"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5"/>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1" w:hRule="exact"/>
        </w:trPr>
        <w:tc>
          <w:tcPr>
            <w:tcW w:w="17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87"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16" w:right="76"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2"/>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02"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2"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21" w:hRule="exact"/>
        </w:trPr>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62"/>
              <w:jc w:val="left"/>
              <w:rPr>
                <w:rFonts w:ascii="宋体" w:hAnsi="宋体" w:cs="宋体" w:eastAsia="宋体" w:hint="default"/>
                <w:sz w:val="18"/>
                <w:szCs w:val="18"/>
              </w:rPr>
            </w:pPr>
            <w:r>
              <w:rPr>
                <w:rFonts w:ascii="宋体" w:hAnsi="宋体" w:cs="宋体" w:eastAsia="宋体" w:hint="default"/>
                <w:sz w:val="18"/>
                <w:szCs w:val="18"/>
              </w:rPr>
              <w:t>香港瑞通国际有限公 司</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10,194.6</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27"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2"/>
              <w:jc w:val="left"/>
              <w:rPr>
                <w:rFonts w:ascii="宋体" w:hAnsi="宋体" w:cs="宋体" w:eastAsia="宋体" w:hint="default"/>
                <w:sz w:val="18"/>
                <w:szCs w:val="18"/>
              </w:rPr>
            </w:pPr>
            <w:r>
              <w:rPr>
                <w:rFonts w:ascii="宋体" w:hAnsi="宋体" w:cs="宋体" w:eastAsia="宋体" w:hint="default"/>
                <w:sz w:val="18"/>
                <w:szCs w:val="18"/>
              </w:rPr>
              <w:t>香港瑞通国际有限公 司</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5,000</w:t>
            </w:r>
          </w:p>
        </w:tc>
        <w:tc>
          <w:tcPr>
            <w:tcW w:w="131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27"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2"/>
              <w:jc w:val="left"/>
              <w:rPr>
                <w:rFonts w:ascii="宋体" w:hAnsi="宋体" w:cs="宋体" w:eastAsia="宋体" w:hint="default"/>
                <w:sz w:val="18"/>
                <w:szCs w:val="18"/>
              </w:rPr>
            </w:pPr>
            <w:r>
              <w:rPr>
                <w:rFonts w:ascii="宋体" w:hAnsi="宋体" w:cs="宋体" w:eastAsia="宋体" w:hint="default"/>
                <w:sz w:val="18"/>
                <w:szCs w:val="18"/>
              </w:rPr>
              <w:t>香港瑞通国际有限公 司</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5,000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27"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个月</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2"/>
              <w:jc w:val="left"/>
              <w:rPr>
                <w:rFonts w:ascii="宋体" w:hAnsi="宋体" w:cs="宋体" w:eastAsia="宋体" w:hint="default"/>
                <w:sz w:val="18"/>
                <w:szCs w:val="18"/>
              </w:rPr>
            </w:pPr>
            <w:r>
              <w:rPr>
                <w:rFonts w:ascii="宋体" w:hAnsi="宋体" w:cs="宋体" w:eastAsia="宋体" w:hint="default"/>
                <w:sz w:val="18"/>
                <w:szCs w:val="18"/>
              </w:rPr>
              <w:t>珠海市普路通供应链 管理有限公司</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40,000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36"/>
              <w:ind w:left="3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27"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2"/>
              <w:jc w:val="left"/>
              <w:rPr>
                <w:rFonts w:ascii="宋体" w:hAnsi="宋体" w:cs="宋体" w:eastAsia="宋体" w:hint="default"/>
                <w:sz w:val="18"/>
                <w:szCs w:val="18"/>
              </w:rPr>
            </w:pPr>
            <w:r>
              <w:rPr>
                <w:rFonts w:ascii="宋体" w:hAnsi="宋体" w:cs="宋体" w:eastAsia="宋体" w:hint="default"/>
                <w:sz w:val="18"/>
                <w:szCs w:val="18"/>
              </w:rPr>
              <w:t>香港瑞通国际有限公 司</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13,500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3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27"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2"/>
              <w:jc w:val="left"/>
              <w:rPr>
                <w:rFonts w:ascii="宋体" w:hAnsi="宋体" w:cs="宋体" w:eastAsia="宋体" w:hint="default"/>
                <w:sz w:val="18"/>
                <w:szCs w:val="18"/>
              </w:rPr>
            </w:pPr>
            <w:r>
              <w:rPr>
                <w:rFonts w:ascii="宋体" w:hAnsi="宋体" w:cs="宋体" w:eastAsia="宋体" w:hint="default"/>
                <w:sz w:val="18"/>
                <w:szCs w:val="18"/>
              </w:rPr>
              <w:t>香港瑞通国际有限公 司</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10,000</w:t>
            </w:r>
          </w:p>
        </w:tc>
        <w:tc>
          <w:tcPr>
            <w:tcW w:w="131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27"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26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76"/>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2"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23,500</w:t>
            </w:r>
          </w:p>
        </w:tc>
        <w:tc>
          <w:tcPr>
            <w:tcW w:w="209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1" w:right="86"/>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7"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18,759.84</w:t>
            </w:r>
          </w:p>
        </w:tc>
      </w:tr>
      <w:tr>
        <w:trPr>
          <w:trHeight w:val="714" w:hRule="exact"/>
        </w:trPr>
        <w:tc>
          <w:tcPr>
            <w:tcW w:w="26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5" w:right="76"/>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2"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28,500</w:t>
            </w:r>
          </w:p>
        </w:tc>
        <w:tc>
          <w:tcPr>
            <w:tcW w:w="209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1" w:right="86"/>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15"/>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57" w:hRule="exact"/>
        </w:trPr>
        <w:tc>
          <w:tcPr>
            <w:tcW w:w="17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72" w:right="10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vMerge w:val="restart"/>
            <w:tcBorders>
              <w:top w:val="single" w:sz="6" w:space="0" w:color="000000"/>
              <w:left w:val="single" w:sz="6" w:space="0" w:color="000000"/>
              <w:right w:val="single" w:sz="6" w:space="0" w:color="000000"/>
            </w:tcBorders>
            <w:shd w:val="clear" w:color="auto" w:fill="D2D2D2"/>
          </w:tcPr>
          <w:p>
            <w:pPr/>
          </w:p>
        </w:tc>
        <w:tc>
          <w:tcPr>
            <w:tcW w:w="1315" w:type="dxa"/>
            <w:vMerge w:val="restart"/>
            <w:tcBorders>
              <w:top w:val="single" w:sz="6" w:space="0" w:color="000000"/>
              <w:left w:val="single" w:sz="6" w:space="0" w:color="000000"/>
              <w:right w:val="single" w:sz="6" w:space="0" w:color="000000"/>
            </w:tcBorders>
            <w:shd w:val="clear" w:color="auto" w:fill="D2D2D2"/>
          </w:tcPr>
          <w:p>
            <w:pPr/>
          </w:p>
        </w:tc>
        <w:tc>
          <w:tcPr>
            <w:tcW w:w="1050" w:type="dxa"/>
            <w:tcBorders>
              <w:top w:val="single" w:sz="6" w:space="0" w:color="000000"/>
              <w:left w:val="single" w:sz="6" w:space="0" w:color="000000"/>
              <w:bottom w:val="nil" w:sz="6" w:space="0" w:color="auto"/>
              <w:right w:val="single" w:sz="6" w:space="0" w:color="000000"/>
            </w:tcBorders>
            <w:shd w:val="clear" w:color="auto" w:fill="D2D2D2"/>
          </w:tcPr>
          <w:p>
            <w:pPr/>
          </w:p>
        </w:tc>
        <w:tc>
          <w:tcPr>
            <w:tcW w:w="1045" w:type="dxa"/>
            <w:vMerge w:val="restart"/>
            <w:tcBorders>
              <w:top w:val="single" w:sz="6" w:space="0" w:color="000000"/>
              <w:left w:val="single" w:sz="6" w:space="0" w:color="000000"/>
              <w:right w:val="single" w:sz="6" w:space="0" w:color="000000"/>
            </w:tcBorders>
            <w:shd w:val="clear" w:color="auto" w:fill="D2D2D2"/>
          </w:tcPr>
          <w:p>
            <w:pPr/>
          </w:p>
        </w:tc>
        <w:tc>
          <w:tcPr>
            <w:tcW w:w="1048" w:type="dxa"/>
            <w:vMerge w:val="restart"/>
            <w:tcBorders>
              <w:top w:val="single" w:sz="6" w:space="0" w:color="000000"/>
              <w:left w:val="single" w:sz="6" w:space="0" w:color="000000"/>
              <w:right w:val="single" w:sz="6" w:space="0" w:color="000000"/>
            </w:tcBorders>
            <w:shd w:val="clear" w:color="auto" w:fill="D2D2D2"/>
          </w:tcPr>
          <w:p>
            <w:pPr/>
          </w:p>
        </w:tc>
        <w:tc>
          <w:tcPr>
            <w:tcW w:w="786" w:type="dxa"/>
            <w:tcBorders>
              <w:top w:val="single" w:sz="6" w:space="0" w:color="000000"/>
              <w:left w:val="single" w:sz="6" w:space="0" w:color="000000"/>
              <w:bottom w:val="nil" w:sz="6" w:space="0" w:color="auto"/>
              <w:right w:val="single" w:sz="6" w:space="0" w:color="000000"/>
            </w:tcBorders>
            <w:shd w:val="clear" w:color="auto" w:fill="D2D2D2"/>
          </w:tcPr>
          <w:p>
            <w:pPr/>
          </w:p>
        </w:tc>
        <w:tc>
          <w:tcPr>
            <w:tcW w:w="783"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66" w:hRule="exact"/>
        </w:trPr>
        <w:tc>
          <w:tcPr>
            <w:tcW w:w="1715" w:type="dxa"/>
            <w:vMerge/>
            <w:tcBorders>
              <w:left w:val="single" w:sz="6" w:space="0" w:color="000000"/>
              <w:right w:val="single" w:sz="6" w:space="0" w:color="000000"/>
            </w:tcBorders>
            <w:shd w:val="clear" w:color="auto" w:fill="D2D2D2"/>
          </w:tcPr>
          <w:p>
            <w:pPr/>
          </w:p>
        </w:tc>
        <w:tc>
          <w:tcPr>
            <w:tcW w:w="914" w:type="dxa"/>
            <w:vMerge/>
            <w:tcBorders>
              <w:left w:val="single" w:sz="6" w:space="0" w:color="000000"/>
              <w:right w:val="single" w:sz="6" w:space="0" w:color="000000"/>
            </w:tcBorders>
            <w:shd w:val="clear" w:color="auto" w:fill="D2D2D2"/>
          </w:tcPr>
          <w:p>
            <w:pPr/>
          </w:p>
        </w:tc>
        <w:tc>
          <w:tcPr>
            <w:tcW w:w="926" w:type="dxa"/>
            <w:vMerge/>
            <w:tcBorders>
              <w:left w:val="single" w:sz="6" w:space="0" w:color="000000"/>
              <w:bottom w:val="nil" w:sz="6" w:space="0" w:color="auto"/>
              <w:right w:val="single" w:sz="6" w:space="0" w:color="000000"/>
            </w:tcBorders>
            <w:shd w:val="clear" w:color="auto" w:fill="D2D2D2"/>
          </w:tcPr>
          <w:p>
            <w:pPr/>
          </w:p>
        </w:tc>
        <w:tc>
          <w:tcPr>
            <w:tcW w:w="1315" w:type="dxa"/>
            <w:vMerge/>
            <w:tcBorders>
              <w:left w:val="single" w:sz="6" w:space="0" w:color="000000"/>
              <w:bottom w:val="nil" w:sz="6" w:space="0" w:color="auto"/>
              <w:right w:val="single" w:sz="6" w:space="0" w:color="000000"/>
            </w:tcBorders>
            <w:shd w:val="clear" w:color="auto" w:fill="D2D2D2"/>
          </w:tcPr>
          <w:p>
            <w:pPr/>
          </w:p>
        </w:tc>
        <w:tc>
          <w:tcPr>
            <w:tcW w:w="1050"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416" w:right="76"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vMerge/>
            <w:tcBorders>
              <w:left w:val="single" w:sz="6" w:space="0" w:color="000000"/>
              <w:bottom w:val="nil" w:sz="6" w:space="0" w:color="auto"/>
              <w:right w:val="single" w:sz="6" w:space="0" w:color="000000"/>
            </w:tcBorders>
            <w:shd w:val="clear" w:color="auto" w:fill="D2D2D2"/>
          </w:tcPr>
          <w:p>
            <w:pPr/>
          </w:p>
        </w:tc>
        <w:tc>
          <w:tcPr>
            <w:tcW w:w="1048" w:type="dxa"/>
            <w:vMerge/>
            <w:tcBorders>
              <w:left w:val="single" w:sz="6" w:space="0" w:color="000000"/>
              <w:bottom w:val="nil" w:sz="6" w:space="0" w:color="auto"/>
              <w:right w:val="single" w:sz="6" w:space="0" w:color="000000"/>
            </w:tcBorders>
            <w:shd w:val="clear" w:color="auto" w:fill="D2D2D2"/>
          </w:tcPr>
          <w:p>
            <w:pPr/>
          </w:p>
        </w:tc>
        <w:tc>
          <w:tcPr>
            <w:tcW w:w="78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202"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17" w:right="2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0" w:hRule="exact"/>
        </w:trPr>
        <w:tc>
          <w:tcPr>
            <w:tcW w:w="1715" w:type="dxa"/>
            <w:vMerge/>
            <w:tcBorders>
              <w:left w:val="single" w:sz="6" w:space="0" w:color="000000"/>
              <w:right w:val="single" w:sz="6" w:space="0" w:color="000000"/>
            </w:tcBorders>
            <w:shd w:val="clear" w:color="auto" w:fill="D2D2D2"/>
          </w:tcPr>
          <w:p>
            <w:pPr/>
          </w:p>
        </w:tc>
        <w:tc>
          <w:tcPr>
            <w:tcW w:w="914" w:type="dxa"/>
            <w:vMerge/>
            <w:tcBorders>
              <w:left w:val="single" w:sz="6" w:space="0" w:color="000000"/>
              <w:right w:val="single" w:sz="6" w:space="0" w:color="000000"/>
            </w:tcBorders>
            <w:shd w:val="clear" w:color="auto" w:fill="D2D2D2"/>
          </w:tcPr>
          <w:p>
            <w:pPr/>
          </w:p>
        </w:tc>
        <w:tc>
          <w:tcPr>
            <w:tcW w:w="9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7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0" w:type="dxa"/>
            <w:vMerge/>
            <w:tcBorders>
              <w:left w:val="single" w:sz="6" w:space="0" w:color="000000"/>
              <w:right w:val="single" w:sz="6" w:space="0" w:color="000000"/>
            </w:tcBorders>
            <w:shd w:val="clear" w:color="auto" w:fill="D2D2D2"/>
          </w:tcPr>
          <w:p>
            <w:pPr/>
          </w:p>
        </w:tc>
        <w:tc>
          <w:tcPr>
            <w:tcW w:w="104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24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6" w:space="0" w:color="000000"/>
              <w:right w:val="single" w:sz="6" w:space="0" w:color="000000"/>
            </w:tcBorders>
            <w:shd w:val="clear" w:color="auto" w:fill="D2D2D2"/>
          </w:tcPr>
          <w:p>
            <w:pPr/>
          </w:p>
        </w:tc>
        <w:tc>
          <w:tcPr>
            <w:tcW w:w="783" w:type="dxa"/>
            <w:vMerge/>
            <w:tcBorders>
              <w:left w:val="single" w:sz="6" w:space="0" w:color="000000"/>
              <w:right w:val="single" w:sz="6" w:space="0" w:color="000000"/>
            </w:tcBorders>
            <w:shd w:val="clear" w:color="auto" w:fill="D2D2D2"/>
          </w:tcPr>
          <w:p>
            <w:pPr/>
          </w:p>
        </w:tc>
      </w:tr>
      <w:tr>
        <w:trPr>
          <w:trHeight w:val="150" w:hRule="exact"/>
        </w:trPr>
        <w:tc>
          <w:tcPr>
            <w:tcW w:w="1715" w:type="dxa"/>
            <w:vMerge/>
            <w:tcBorders>
              <w:left w:val="single" w:sz="6" w:space="0" w:color="000000"/>
              <w:right w:val="single" w:sz="6" w:space="0" w:color="000000"/>
            </w:tcBorders>
            <w:shd w:val="clear" w:color="auto" w:fill="D2D2D2"/>
          </w:tcPr>
          <w:p>
            <w:pPr/>
          </w:p>
        </w:tc>
        <w:tc>
          <w:tcPr>
            <w:tcW w:w="914" w:type="dxa"/>
            <w:vMerge/>
            <w:tcBorders>
              <w:left w:val="single" w:sz="6" w:space="0" w:color="000000"/>
              <w:right w:val="single" w:sz="6" w:space="0" w:color="000000"/>
            </w:tcBorders>
            <w:shd w:val="clear" w:color="auto" w:fill="D2D2D2"/>
          </w:tcPr>
          <w:p>
            <w:pPr/>
          </w:p>
        </w:tc>
        <w:tc>
          <w:tcPr>
            <w:tcW w:w="926" w:type="dxa"/>
            <w:vMerge/>
            <w:tcBorders>
              <w:left w:val="single" w:sz="6" w:space="0" w:color="000000"/>
              <w:right w:val="single" w:sz="6" w:space="0" w:color="000000"/>
            </w:tcBorders>
            <w:shd w:val="clear" w:color="auto" w:fill="D2D2D2"/>
          </w:tcPr>
          <w:p>
            <w:pPr/>
          </w:p>
        </w:tc>
        <w:tc>
          <w:tcPr>
            <w:tcW w:w="1315" w:type="dxa"/>
            <w:vMerge w:val="restart"/>
            <w:tcBorders>
              <w:top w:val="nil" w:sz="6" w:space="0" w:color="auto"/>
              <w:left w:val="single" w:sz="6" w:space="0" w:color="000000"/>
              <w:right w:val="single" w:sz="6" w:space="0" w:color="000000"/>
            </w:tcBorders>
            <w:shd w:val="clear" w:color="auto" w:fill="D2D2D2"/>
          </w:tcPr>
          <w:p>
            <w:pPr/>
          </w:p>
        </w:tc>
        <w:tc>
          <w:tcPr>
            <w:tcW w:w="1050" w:type="dxa"/>
            <w:vMerge/>
            <w:tcBorders>
              <w:left w:val="single" w:sz="6" w:space="0" w:color="000000"/>
              <w:bottom w:val="nil" w:sz="6" w:space="0" w:color="auto"/>
              <w:right w:val="single" w:sz="6" w:space="0" w:color="000000"/>
            </w:tcBorders>
            <w:shd w:val="clear" w:color="auto" w:fill="D2D2D2"/>
          </w:tcPr>
          <w:p>
            <w:pPr/>
          </w:p>
        </w:tc>
        <w:tc>
          <w:tcPr>
            <w:tcW w:w="1045" w:type="dxa"/>
            <w:vMerge w:val="restart"/>
            <w:tcBorders>
              <w:top w:val="nil" w:sz="6" w:space="0" w:color="auto"/>
              <w:left w:val="single" w:sz="6" w:space="0" w:color="000000"/>
              <w:right w:val="single" w:sz="6" w:space="0" w:color="000000"/>
            </w:tcBorders>
            <w:shd w:val="clear" w:color="auto" w:fill="D2D2D2"/>
          </w:tcPr>
          <w:p>
            <w:pPr/>
          </w:p>
        </w:tc>
        <w:tc>
          <w:tcPr>
            <w:tcW w:w="1048" w:type="dxa"/>
            <w:vMerge w:val="restart"/>
            <w:tcBorders>
              <w:top w:val="nil" w:sz="6" w:space="0" w:color="auto"/>
              <w:left w:val="single" w:sz="6" w:space="0" w:color="000000"/>
              <w:right w:val="single" w:sz="6" w:space="0" w:color="000000"/>
            </w:tcBorders>
            <w:shd w:val="clear" w:color="auto" w:fill="D2D2D2"/>
          </w:tcPr>
          <w:p>
            <w:pPr/>
          </w:p>
        </w:tc>
        <w:tc>
          <w:tcPr>
            <w:tcW w:w="786" w:type="dxa"/>
            <w:vMerge/>
            <w:tcBorders>
              <w:left w:val="single" w:sz="6" w:space="0" w:color="000000"/>
              <w:bottom w:val="nil" w:sz="6" w:space="0" w:color="auto"/>
              <w:right w:val="single" w:sz="6" w:space="0" w:color="000000"/>
            </w:tcBorders>
            <w:shd w:val="clear" w:color="auto" w:fill="D2D2D2"/>
          </w:tcPr>
          <w:p>
            <w:pPr/>
          </w:p>
        </w:tc>
        <w:tc>
          <w:tcPr>
            <w:tcW w:w="783" w:type="dxa"/>
            <w:vMerge/>
            <w:tcBorders>
              <w:left w:val="single" w:sz="6" w:space="0" w:color="000000"/>
              <w:right w:val="single" w:sz="6" w:space="0" w:color="000000"/>
            </w:tcBorders>
            <w:shd w:val="clear" w:color="auto" w:fill="D2D2D2"/>
          </w:tcPr>
          <w:p>
            <w:pPr/>
          </w:p>
        </w:tc>
      </w:tr>
      <w:tr>
        <w:trPr>
          <w:trHeight w:val="158" w:hRule="exact"/>
        </w:trPr>
        <w:tc>
          <w:tcPr>
            <w:tcW w:w="1715" w:type="dxa"/>
            <w:vMerge/>
            <w:tcBorders>
              <w:left w:val="single" w:sz="6" w:space="0" w:color="000000"/>
              <w:bottom w:val="single" w:sz="6" w:space="0" w:color="000000"/>
              <w:right w:val="single" w:sz="6" w:space="0" w:color="000000"/>
            </w:tcBorders>
            <w:shd w:val="clear" w:color="auto" w:fill="D2D2D2"/>
          </w:tcPr>
          <w:p>
            <w:pPr/>
          </w:p>
        </w:tc>
        <w:tc>
          <w:tcPr>
            <w:tcW w:w="914" w:type="dxa"/>
            <w:vMerge/>
            <w:tcBorders>
              <w:left w:val="single" w:sz="6" w:space="0" w:color="000000"/>
              <w:bottom w:val="single" w:sz="6" w:space="0" w:color="000000"/>
              <w:right w:val="single" w:sz="6" w:space="0" w:color="000000"/>
            </w:tcBorders>
            <w:shd w:val="clear" w:color="auto" w:fill="D2D2D2"/>
          </w:tcPr>
          <w:p>
            <w:pPr/>
          </w:p>
        </w:tc>
        <w:tc>
          <w:tcPr>
            <w:tcW w:w="926" w:type="dxa"/>
            <w:vMerge/>
            <w:tcBorders>
              <w:left w:val="single" w:sz="6" w:space="0" w:color="000000"/>
              <w:bottom w:val="single" w:sz="6" w:space="0" w:color="000000"/>
              <w:right w:val="single" w:sz="6" w:space="0" w:color="000000"/>
            </w:tcBorders>
            <w:shd w:val="clear" w:color="auto" w:fill="D2D2D2"/>
          </w:tcPr>
          <w:p>
            <w:pPr/>
          </w:p>
        </w:tc>
        <w:tc>
          <w:tcPr>
            <w:tcW w:w="1315" w:type="dxa"/>
            <w:vMerge/>
            <w:tcBorders>
              <w:left w:val="single" w:sz="6" w:space="0" w:color="000000"/>
              <w:bottom w:val="single" w:sz="6" w:space="0" w:color="000000"/>
              <w:right w:val="single" w:sz="6" w:space="0" w:color="000000"/>
            </w:tcBorders>
            <w:shd w:val="clear" w:color="auto" w:fill="D2D2D2"/>
          </w:tcPr>
          <w:p>
            <w:pPr/>
          </w:p>
        </w:tc>
        <w:tc>
          <w:tcPr>
            <w:tcW w:w="1050" w:type="dxa"/>
            <w:tcBorders>
              <w:top w:val="nil" w:sz="6" w:space="0" w:color="auto"/>
              <w:left w:val="single" w:sz="6" w:space="0" w:color="000000"/>
              <w:bottom w:val="single" w:sz="6" w:space="0" w:color="000000"/>
              <w:right w:val="single" w:sz="6" w:space="0" w:color="000000"/>
            </w:tcBorders>
            <w:shd w:val="clear" w:color="auto" w:fill="D2D2D2"/>
          </w:tcPr>
          <w:p>
            <w:pPr/>
          </w:p>
        </w:tc>
        <w:tc>
          <w:tcPr>
            <w:tcW w:w="1045" w:type="dxa"/>
            <w:vMerge/>
            <w:tcBorders>
              <w:left w:val="single" w:sz="6" w:space="0" w:color="000000"/>
              <w:bottom w:val="single" w:sz="6" w:space="0" w:color="000000"/>
              <w:right w:val="single" w:sz="6" w:space="0" w:color="000000"/>
            </w:tcBorders>
            <w:shd w:val="clear" w:color="auto" w:fill="D2D2D2"/>
          </w:tcPr>
          <w:p>
            <w:pPr/>
          </w:p>
        </w:tc>
        <w:tc>
          <w:tcPr>
            <w:tcW w:w="1048" w:type="dxa"/>
            <w:vMerge/>
            <w:tcBorders>
              <w:left w:val="single" w:sz="6" w:space="0" w:color="000000"/>
              <w:bottom w:val="single" w:sz="6" w:space="0" w:color="000000"/>
              <w:right w:val="single" w:sz="6" w:space="0" w:color="000000"/>
            </w:tcBorders>
            <w:shd w:val="clear" w:color="auto" w:fill="D2D2D2"/>
          </w:tcPr>
          <w:p>
            <w:pPr/>
          </w:p>
        </w:tc>
        <w:tc>
          <w:tcPr>
            <w:tcW w:w="786" w:type="dxa"/>
            <w:tcBorders>
              <w:top w:val="nil" w:sz="6" w:space="0" w:color="auto"/>
              <w:left w:val="single" w:sz="6" w:space="0" w:color="000000"/>
              <w:bottom w:val="single" w:sz="6" w:space="0" w:color="000000"/>
              <w:right w:val="single" w:sz="6" w:space="0" w:color="000000"/>
            </w:tcBorders>
            <w:shd w:val="clear" w:color="auto" w:fill="D2D2D2"/>
          </w:tcPr>
          <w:p>
            <w:pPr/>
          </w:p>
        </w:tc>
        <w:tc>
          <w:tcPr>
            <w:tcW w:w="783"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8" w:hRule="exact"/>
        </w:trPr>
        <w:tc>
          <w:tcPr>
            <w:tcW w:w="26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2"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23,500</w:t>
            </w:r>
          </w:p>
        </w:tc>
        <w:tc>
          <w:tcPr>
            <w:tcW w:w="209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1" w:right="86"/>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7"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18,759.84</w:t>
            </w:r>
          </w:p>
        </w:tc>
      </w:tr>
      <w:tr>
        <w:trPr>
          <w:trHeight w:val="383" w:hRule="exact"/>
        </w:trPr>
        <w:tc>
          <w:tcPr>
            <w:tcW w:w="26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242"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79"/>
              <w:ind w:right="24"/>
              <w:jc w:val="right"/>
              <w:rPr>
                <w:rFonts w:ascii="Times New Roman" w:hAnsi="Times New Roman" w:cs="Times New Roman" w:eastAsia="Times New Roman" w:hint="default"/>
                <w:sz w:val="18"/>
                <w:szCs w:val="18"/>
              </w:rPr>
            </w:pPr>
            <w:r>
              <w:rPr>
                <w:rFonts w:ascii="Times New Roman"/>
                <w:sz w:val="18"/>
              </w:rPr>
              <w:t>28,500</w:t>
            </w:r>
          </w:p>
        </w:tc>
        <w:tc>
          <w:tcPr>
            <w:tcW w:w="209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w:t>
            </w:r>
          </w:p>
        </w:tc>
        <w:tc>
          <w:tcPr>
            <w:tcW w:w="2617"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79"/>
              <w:ind w:right="1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613"/>
        <w:gridCol w:w="2238"/>
        <w:gridCol w:w="2095"/>
        <w:gridCol w:w="2628"/>
      </w:tblGrid>
      <w:tr>
        <w:trPr>
          <w:trHeight w:val="36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8" w:type="dxa"/>
            <w:tcBorders>
              <w:top w:val="single" w:sz="6" w:space="0" w:color="000000"/>
              <w:left w:val="single" w:sz="12" w:space="0" w:color="D2D2D2"/>
              <w:bottom w:val="single" w:sz="6" w:space="0" w:color="000000"/>
              <w:right w:val="single" w:sz="12" w:space="0" w:color="000000"/>
            </w:tcBorders>
          </w:tcPr>
          <w:p>
            <w:pPr/>
          </w:p>
        </w:tc>
        <w:tc>
          <w:tcPr>
            <w:tcW w:w="20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8" w:type="dxa"/>
            <w:tcBorders>
              <w:top w:val="single" w:sz="6" w:space="0" w:color="000000"/>
              <w:left w:val="single" w:sz="18" w:space="0" w:color="D2D2D2"/>
              <w:bottom w:val="single" w:sz="6" w:space="0" w:color="000000"/>
              <w:right w:val="single" w:sz="6" w:space="0" w:color="000000"/>
            </w:tcBorders>
          </w:tcPr>
          <w:p>
            <w:pPr/>
          </w:p>
        </w:tc>
      </w:tr>
      <w:tr>
        <w:trPr>
          <w:trHeight w:val="413" w:hRule="exact"/>
        </w:trPr>
        <w:tc>
          <w:tcPr>
            <w:tcW w:w="485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23"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8" w:hRule="exact"/>
        </w:trPr>
        <w:tc>
          <w:tcPr>
            <w:tcW w:w="957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7"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5" w:hRule="exact"/>
        </w:trPr>
        <w:tc>
          <w:tcPr>
            <w:tcW w:w="485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23"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r>
      <w:tr>
        <w:trPr>
          <w:trHeight w:val="706" w:hRule="exact"/>
        </w:trPr>
        <w:tc>
          <w:tcPr>
            <w:tcW w:w="485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2" w:lineRule="auto" w:before="45"/>
              <w:ind w:left="7" w:right="128"/>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3"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485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23"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485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3"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ind w:right="0"/>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55"/>
        <w:ind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公司报告期无违规对外担保情况。</w:t>
      </w:r>
    </w:p>
    <w:p>
      <w:pPr>
        <w:spacing w:line="240" w:lineRule="auto" w:before="5"/>
        <w:rPr>
          <w:rFonts w:ascii="宋体" w:hAnsi="宋体" w:cs="宋体" w:eastAsia="宋体" w:hint="default"/>
          <w:sz w:val="25"/>
          <w:szCs w:val="25"/>
        </w:rPr>
      </w:pPr>
    </w:p>
    <w:p>
      <w:pPr>
        <w:pStyle w:val="Heading3"/>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公司报告期不存在委托理财。</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公司报告期不存在委托贷款。</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3"/>
        <w:rPr>
          <w:rFonts w:ascii="宋体" w:hAnsi="宋体" w:cs="宋体" w:eastAsia="宋体" w:hint="default"/>
          <w:b/>
          <w:bCs/>
          <w:sz w:val="25"/>
          <w:szCs w:val="25"/>
        </w:rPr>
      </w:pPr>
    </w:p>
    <w:p>
      <w:pPr>
        <w:pStyle w:val="BodyText"/>
        <w:spacing w:line="333" w:lineRule="auto" w:before="0"/>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公司报告期不存在其他重大合同。</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八、社会责任情况" w:id="96"/>
      <w:bookmarkEnd w:id="96"/>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环境保护相关的情况" w:id="98"/>
      <w:bookmarkEnd w:id="98"/>
      <w:r>
        <w:rPr>
          <w:b w:val="0"/>
          <w:bCs w:val="0"/>
        </w:rPr>
      </w:r>
      <w:r>
        <w:rPr>
          <w:rFonts w:ascii="Times New Roman" w:hAnsi="Times New Roman" w:cs="Times New Roman" w:eastAsia="Times New Roman" w:hint="default"/>
        </w:rPr>
        <w:t>2</w:t>
      </w:r>
      <w:r>
        <w:rPr/>
        <w:t>、环境保护相关的情况</w:t>
      </w:r>
      <w:r>
        <w:rPr>
          <w:b w:val="0"/>
          <w:bCs w:val="0"/>
        </w:rPr>
      </w:r>
    </w:p>
    <w:p>
      <w:pPr>
        <w:spacing w:line="240" w:lineRule="auto" w:before="3"/>
        <w:rPr>
          <w:rFonts w:ascii="宋体" w:hAnsi="宋体" w:cs="宋体" w:eastAsia="宋体" w:hint="default"/>
          <w:b/>
          <w:bCs/>
          <w:sz w:val="25"/>
          <w:szCs w:val="25"/>
        </w:rPr>
      </w:pPr>
    </w:p>
    <w:p>
      <w:pPr>
        <w:pStyle w:val="BodyText"/>
        <w:spacing w:line="352" w:lineRule="auto" w:before="0"/>
        <w:ind w:right="5709"/>
        <w:jc w:val="left"/>
      </w:pPr>
      <w:r>
        <w:rPr/>
        <w:t>上市公司及其子公司是否属于环境保护部门公布的重点排污单位 否</w:t>
      </w:r>
    </w:p>
    <w:p>
      <w:pPr>
        <w:spacing w:after="0" w:line="352"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本公司及下属子公司不属于环境保护部门公布的重点排污单位。</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九、其他重大事项的说明" w:id="99"/>
      <w:bookmarkEnd w:id="99"/>
      <w:r>
        <w:rPr>
          <w:b w:val="0"/>
          <w:bCs w:val="0"/>
        </w:rPr>
      </w:r>
      <w:r>
        <w:rPr/>
        <w:t>十九、其他重大事项的说明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14" w:lineRule="auto" w:before="81"/>
        <w:ind w:right="1004"/>
        <w:jc w:val="left"/>
      </w:pPr>
      <w:r>
        <w:rPr/>
        <w:t>（一）控股股东、实际控制人变更事项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日，聚智通办理完成股份变更的工商登记手续，绿色金控通过聚智通间接持有普路通股份</w:t>
      </w:r>
      <w:r>
        <w:rPr>
          <w:rFonts w:ascii="Times New Roman" w:hAnsi="Times New Roman" w:cs="Times New Roman" w:eastAsia="Times New Roman" w:hint="default"/>
        </w:rPr>
        <w:t>19,743,607</w:t>
      </w:r>
      <w:r>
        <w:rPr/>
        <w:t>股，占</w:t>
      </w:r>
      <w:r>
        <w:rPr>
          <w:spacing w:val="-81"/>
        </w:rPr>
        <w:t> </w:t>
      </w:r>
      <w:r>
        <w:rPr/>
        <w:t>上市公司股份总数的</w:t>
      </w:r>
      <w:r>
        <w:rPr>
          <w:rFonts w:ascii="Times New Roman" w:hAnsi="Times New Roman" w:cs="Times New Roman" w:eastAsia="Times New Roman" w:hint="default"/>
        </w:rPr>
        <w:t>5.29%</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日披露了《关于实际控制人</w:t>
      </w:r>
      <w:r>
        <w:rPr>
          <w:rFonts w:ascii="Times New Roman" w:hAnsi="Times New Roman" w:cs="Times New Roman" w:eastAsia="Times New Roman" w:hint="default"/>
        </w:rPr>
        <w:t>,</w:t>
      </w:r>
      <w:r>
        <w:rPr/>
        <w:t>大股东签订</w:t>
      </w:r>
      <w:r>
        <w:rPr>
          <w:rFonts w:ascii="Times New Roman" w:hAnsi="Times New Roman" w:cs="Times New Roman" w:eastAsia="Times New Roman" w:hint="default"/>
        </w:rPr>
        <w:t>&lt;</w:t>
      </w:r>
      <w:r>
        <w:rPr/>
        <w:t>股份转让协议</w:t>
      </w:r>
      <w:r>
        <w:rPr>
          <w:rFonts w:ascii="Times New Roman" w:hAnsi="Times New Roman" w:cs="Times New Roman" w:eastAsia="Times New Roman" w:hint="default"/>
        </w:rPr>
        <w:t>&gt;</w:t>
      </w:r>
      <w:r>
        <w:rPr/>
        <w:t>的公告》（公告编 </w:t>
      </w:r>
      <w:r>
        <w:rPr>
          <w:spacing w:val="-3"/>
        </w:rPr>
        <w:t>号：</w:t>
      </w:r>
      <w:r>
        <w:rPr>
          <w:rFonts w:ascii="Times New Roman" w:hAnsi="Times New Roman" w:cs="Times New Roman" w:eastAsia="Times New Roman" w:hint="default"/>
          <w:spacing w:val="-3"/>
        </w:rPr>
        <w:t>2018-096</w:t>
      </w:r>
      <w:r>
        <w:rPr>
          <w:spacing w:val="-3"/>
        </w:rPr>
        <w:t>号）、</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20</w:t>
      </w:r>
      <w:r>
        <w:rPr>
          <w:spacing w:val="-3"/>
        </w:rPr>
        <w:t>日披露了《关于公司实际控制人、大股东股份转让的进展公告》（公告编号：</w:t>
      </w:r>
      <w:r>
        <w:rPr>
          <w:rFonts w:ascii="Times New Roman" w:hAnsi="Times New Roman" w:cs="Times New Roman" w:eastAsia="Times New Roman" w:hint="default"/>
          <w:spacing w:val="-3"/>
        </w:rPr>
        <w:t>2019-002</w:t>
      </w:r>
      <w:r>
        <w:rPr>
          <w:spacing w:val="-3"/>
        </w:rPr>
        <w:t>号）。</w:t>
      </w:r>
    </w:p>
    <w:p>
      <w:pPr>
        <w:pStyle w:val="BodyText"/>
        <w:spacing w:line="302" w:lineRule="auto" w:before="0"/>
        <w:ind w:right="1035"/>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日，中国结算深圳分公司出具了《证券过户确认登记书》，陈书智先生直接持有的公司</w:t>
      </w:r>
      <w:r>
        <w:rPr>
          <w:rFonts w:ascii="Times New Roman" w:hAnsi="Times New Roman" w:cs="Times New Roman" w:eastAsia="Times New Roman" w:hint="default"/>
          <w:spacing w:val="-2"/>
        </w:rPr>
        <w:t>20,066,931</w:t>
      </w:r>
      <w:r>
        <w:rPr>
          <w:spacing w:val="-2"/>
        </w:rPr>
        <w:t>股股份已全</w:t>
      </w:r>
      <w:r>
        <w:rPr>
          <w:spacing w:val="-31"/>
        </w:rPr>
        <w:t> </w:t>
      </w:r>
      <w:r>
        <w:rPr/>
        <w:t>部过户登记至绿色金控名下，本次股份协议转让所涉及的股份已完成过户登记。公司于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日披露了《关于实际控</w:t>
      </w:r>
      <w:r>
        <w:rPr>
          <w:spacing w:val="-82"/>
        </w:rPr>
        <w:t> </w:t>
      </w:r>
      <w:r>
        <w:rPr/>
        <w:t>制人股权协议转让完成过户登记的公告》（公告编号：</w:t>
      </w:r>
      <w:r>
        <w:rPr>
          <w:rFonts w:ascii="Times New Roman" w:hAnsi="Times New Roman" w:cs="Times New Roman" w:eastAsia="Times New Roman" w:hint="default"/>
        </w:rPr>
        <w:t>2019-006</w:t>
      </w:r>
      <w:r>
        <w:rPr/>
        <w:t>号）。</w:t>
      </w:r>
      <w:r>
        <w:rPr>
          <w:spacing w:val="-85"/>
        </w:rPr>
        <w:t>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日，陈书智先生收到绿色金控支付的《股份转让协议》约定的第二期转让价款，根据《表决权委托协议》约</w:t>
      </w:r>
      <w:r>
        <w:rPr>
          <w:spacing w:val="-58"/>
        </w:rPr>
        <w:t> </w:t>
      </w:r>
      <w:r>
        <w:rPr>
          <w:spacing w:val="-58"/>
        </w:rPr>
      </w:r>
      <w:r>
        <w:rPr/>
        <w:t>定，陈书智先生委托给绿色金控行使的</w:t>
      </w:r>
      <w:r>
        <w:rPr>
          <w:rFonts w:ascii="Times New Roman" w:hAnsi="Times New Roman" w:cs="Times New Roman" w:eastAsia="Times New Roman" w:hint="default"/>
        </w:rPr>
        <w:t>71,559,567</w:t>
      </w:r>
      <w:r>
        <w:rPr/>
        <w:t>股股份（占公司股份总数的</w:t>
      </w:r>
      <w:r>
        <w:rPr>
          <w:rFonts w:ascii="Times New Roman" w:hAnsi="Times New Roman" w:cs="Times New Roman" w:eastAsia="Times New Roman" w:hint="default"/>
        </w:rPr>
        <w:t>19.18%</w:t>
      </w:r>
      <w:r>
        <w:rPr/>
        <w:t>）所对应的全部表决权将自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spacing w:val="-82"/>
        </w:rPr>
        <w:t> </w:t>
      </w:r>
      <w:r>
        <w:rPr>
          <w:rFonts w:ascii="Times New Roman" w:hAnsi="Times New Roman" w:cs="Times New Roman" w:eastAsia="Times New Roman" w:hint="default"/>
          <w:spacing w:val="-2"/>
        </w:rPr>
        <w:t>12</w:t>
      </w:r>
      <w:r>
        <w:rPr>
          <w:spacing w:val="-2"/>
        </w:rPr>
        <w:t>日起生效。控制权变更前，公司控股股东、实际控制人为陈书智先生。控制权变更后，公司控股股东为绿色金控，实际控</w:t>
      </w:r>
      <w:r>
        <w:rPr>
          <w:spacing w:val="-70"/>
        </w:rPr>
        <w:t> </w:t>
      </w:r>
      <w:r>
        <w:rPr>
          <w:spacing w:val="-70"/>
        </w:rPr>
      </w:r>
      <w:r>
        <w:rPr>
          <w:spacing w:val="-4"/>
        </w:rPr>
        <w:t>制人为广州市人民政府。公司于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13</w:t>
      </w:r>
      <w:r>
        <w:rPr>
          <w:spacing w:val="-4"/>
        </w:rPr>
        <w:t>日披露了《关于公司控制权发生变更的提示性公告》（公告编号：</w:t>
      </w:r>
      <w:r>
        <w:rPr>
          <w:rFonts w:ascii="Times New Roman" w:hAnsi="Times New Roman" w:cs="Times New Roman" w:eastAsia="Times New Roman" w:hint="default"/>
          <w:spacing w:val="-4"/>
        </w:rPr>
        <w:t>2019-013</w:t>
      </w:r>
      <w:r>
        <w:rPr>
          <w:spacing w:val="-4"/>
        </w:rPr>
        <w:t>号）。</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二十、公司子公司重大事项" w:id="100"/>
      <w:bookmarkEnd w:id="100"/>
      <w:r>
        <w:rPr>
          <w:b w:val="0"/>
          <w:bCs w:val="0"/>
        </w:rPr>
      </w:r>
      <w:r>
        <w:rPr/>
        <w:t>二十、公司子公司重大事项</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40" w:right="0"/>
        <w:jc w:val="left"/>
        <w:rPr>
          <w:b w:val="0"/>
          <w:bCs w:val="0"/>
        </w:rPr>
      </w:pPr>
      <w:bookmarkStart w:name="第六节股份变动及股东情况" w:id="101"/>
      <w:bookmarkEnd w:id="101"/>
      <w:r>
        <w:rPr>
          <w:b w:val="0"/>
          <w:bCs w:val="0"/>
        </w:rPr>
      </w:r>
      <w:bookmarkStart w:name="_bookmark5" w:id="102"/>
      <w:bookmarkEnd w:id="102"/>
      <w:r>
        <w:rPr>
          <w:b w:val="0"/>
          <w:bCs w:val="0"/>
        </w:rPr>
      </w:r>
      <w:r>
        <w:rPr>
          <w:spacing w:val="5"/>
        </w:rPr>
        <w:t>第六节股份变动及股东情况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207"/>
        <w:gridCol w:w="834"/>
        <w:gridCol w:w="826"/>
        <w:gridCol w:w="826"/>
        <w:gridCol w:w="826"/>
        <w:gridCol w:w="826"/>
        <w:gridCol w:w="811"/>
        <w:gridCol w:w="826"/>
        <w:gridCol w:w="796"/>
        <w:gridCol w:w="796"/>
      </w:tblGrid>
      <w:tr>
        <w:trPr>
          <w:trHeight w:val="405" w:hRule="exact"/>
        </w:trPr>
        <w:tc>
          <w:tcPr>
            <w:tcW w:w="22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8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07" w:type="dxa"/>
            <w:vMerge w:val="restart"/>
            <w:tcBorders>
              <w:top w:val="nil" w:sz="6" w:space="0" w:color="auto"/>
              <w:left w:val="single" w:sz="6" w:space="0" w:color="000000"/>
              <w:right w:val="single" w:sz="6" w:space="0" w:color="000000"/>
            </w:tcBorders>
            <w:shd w:val="clear" w:color="auto" w:fill="D2D2D2"/>
          </w:tcPr>
          <w:p>
            <w:pPr/>
          </w:p>
        </w:tc>
        <w:tc>
          <w:tcPr>
            <w:tcW w:w="834"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99" w:right="5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5" w:hRule="exact"/>
        </w:trPr>
        <w:tc>
          <w:tcPr>
            <w:tcW w:w="2207" w:type="dxa"/>
            <w:vMerge/>
            <w:tcBorders>
              <w:left w:val="single" w:sz="6" w:space="0" w:color="000000"/>
              <w:bottom w:val="nil" w:sz="6" w:space="0" w:color="auto"/>
              <w:right w:val="single" w:sz="6" w:space="0" w:color="000000"/>
            </w:tcBorders>
            <w:shd w:val="clear" w:color="auto" w:fill="D2D2D2"/>
          </w:tcPr>
          <w:p>
            <w:pPr/>
          </w:p>
        </w:tc>
        <w:tc>
          <w:tcPr>
            <w:tcW w:w="8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3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vMerge/>
            <w:tcBorders>
              <w:left w:val="single" w:sz="6" w:space="0" w:color="000000"/>
              <w:right w:val="single" w:sz="6" w:space="0" w:color="000000"/>
            </w:tcBorders>
            <w:shd w:val="clear" w:color="auto" w:fill="D2D2D2"/>
          </w:tcPr>
          <w:p>
            <w:pPr/>
          </w:p>
        </w:tc>
        <w:tc>
          <w:tcPr>
            <w:tcW w:w="81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5" w:hRule="exact"/>
        </w:trPr>
        <w:tc>
          <w:tcPr>
            <w:tcW w:w="2207" w:type="dxa"/>
            <w:vMerge w:val="restart"/>
            <w:tcBorders>
              <w:top w:val="nil" w:sz="6" w:space="0" w:color="auto"/>
              <w:left w:val="single" w:sz="6" w:space="0" w:color="000000"/>
              <w:right w:val="single" w:sz="6" w:space="0" w:color="000000"/>
            </w:tcBorders>
            <w:shd w:val="clear" w:color="auto" w:fill="D2D2D2"/>
          </w:tcPr>
          <w:p>
            <w:pPr/>
          </w:p>
        </w:tc>
        <w:tc>
          <w:tcPr>
            <w:tcW w:w="834"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r>
      <w:tr>
        <w:trPr>
          <w:trHeight w:val="173" w:hRule="exact"/>
        </w:trPr>
        <w:tc>
          <w:tcPr>
            <w:tcW w:w="2207" w:type="dxa"/>
            <w:vMerge/>
            <w:tcBorders>
              <w:left w:val="single" w:sz="6" w:space="0" w:color="000000"/>
              <w:bottom w:val="single" w:sz="6" w:space="0" w:color="000000"/>
              <w:right w:val="single" w:sz="6" w:space="0" w:color="000000"/>
            </w:tcBorders>
            <w:shd w:val="clear" w:color="auto" w:fill="D2D2D2"/>
          </w:tcPr>
          <w:p>
            <w:pPr/>
          </w:p>
        </w:tc>
        <w:tc>
          <w:tcPr>
            <w:tcW w:w="834"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vMerge/>
            <w:tcBorders>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2207" w:type="dxa"/>
            <w:tcBorders>
              <w:top w:val="single" w:sz="6" w:space="0" w:color="000000"/>
              <w:left w:val="single" w:sz="6" w:space="0" w:color="000000"/>
              <w:bottom w:val="nil" w:sz="6" w:space="0" w:color="auto"/>
              <w:right w:val="single" w:sz="6" w:space="0" w:color="000000"/>
            </w:tcBorders>
            <w:shd w:val="clear" w:color="auto" w:fill="D2D2D2"/>
          </w:tcPr>
          <w:p>
            <w:pPr/>
          </w:p>
        </w:tc>
        <w:tc>
          <w:tcPr>
            <w:tcW w:w="834"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128,662,4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34.46%</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-15,027,6</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-15,027,6</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98</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113,634,7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57</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30.44%</w:t>
            </w:r>
          </w:p>
        </w:tc>
      </w:tr>
      <w:tr>
        <w:trPr>
          <w:trHeight w:val="391" w:hRule="exact"/>
        </w:trPr>
        <w:tc>
          <w:tcPr>
            <w:tcW w:w="22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34"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07" w:type="dxa"/>
            <w:tcBorders>
              <w:top w:val="nil" w:sz="6" w:space="0" w:color="auto"/>
              <w:left w:val="single" w:sz="6" w:space="0" w:color="000000"/>
              <w:bottom w:val="single" w:sz="6" w:space="0" w:color="000000"/>
              <w:right w:val="single" w:sz="6" w:space="0" w:color="000000"/>
            </w:tcBorders>
            <w:shd w:val="clear" w:color="auto" w:fill="D2D2D2"/>
          </w:tcPr>
          <w:p>
            <w:pPr/>
          </w:p>
        </w:tc>
        <w:tc>
          <w:tcPr>
            <w:tcW w:w="834"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5"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8" w:hRule="exact"/>
        </w:trPr>
        <w:tc>
          <w:tcPr>
            <w:tcW w:w="2207" w:type="dxa"/>
            <w:tcBorders>
              <w:top w:val="single" w:sz="6" w:space="0" w:color="000000"/>
              <w:left w:val="single" w:sz="6" w:space="0" w:color="000000"/>
              <w:bottom w:val="nil" w:sz="6" w:space="0" w:color="auto"/>
              <w:right w:val="single" w:sz="6" w:space="0" w:color="000000"/>
            </w:tcBorders>
            <w:shd w:val="clear" w:color="auto" w:fill="D2D2D2"/>
          </w:tcPr>
          <w:p>
            <w:pPr/>
          </w:p>
        </w:tc>
        <w:tc>
          <w:tcPr>
            <w:tcW w:w="834"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128,662,4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34.46%</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-15,027,6</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-15,027,6</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98</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113,634,7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57</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30.44%</w:t>
            </w:r>
          </w:p>
        </w:tc>
      </w:tr>
      <w:tr>
        <w:trPr>
          <w:trHeight w:val="390" w:hRule="exact"/>
        </w:trPr>
        <w:tc>
          <w:tcPr>
            <w:tcW w:w="22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34"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07" w:type="dxa"/>
            <w:tcBorders>
              <w:top w:val="nil" w:sz="6" w:space="0" w:color="auto"/>
              <w:left w:val="single" w:sz="6" w:space="0" w:color="000000"/>
              <w:bottom w:val="single" w:sz="6" w:space="0" w:color="000000"/>
              <w:right w:val="single" w:sz="6" w:space="0" w:color="000000"/>
            </w:tcBorders>
            <w:shd w:val="clear" w:color="auto" w:fill="D2D2D2"/>
          </w:tcPr>
          <w:p>
            <w:pPr/>
          </w:p>
        </w:tc>
        <w:tc>
          <w:tcPr>
            <w:tcW w:w="834"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390"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8" w:hRule="exact"/>
        </w:trPr>
        <w:tc>
          <w:tcPr>
            <w:tcW w:w="2207" w:type="dxa"/>
            <w:tcBorders>
              <w:top w:val="single" w:sz="6" w:space="0" w:color="000000"/>
              <w:left w:val="single" w:sz="6" w:space="0" w:color="000000"/>
              <w:bottom w:val="nil" w:sz="6" w:space="0" w:color="auto"/>
              <w:right w:val="single" w:sz="6" w:space="0" w:color="000000"/>
            </w:tcBorders>
            <w:shd w:val="clear" w:color="auto" w:fill="D2D2D2"/>
          </w:tcPr>
          <w:p>
            <w:pPr/>
          </w:p>
        </w:tc>
        <w:tc>
          <w:tcPr>
            <w:tcW w:w="834"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128,662,4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34.46%</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-15,027,6</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-15,027,6</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98</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113,634,7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57</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30.44%</w:t>
            </w:r>
          </w:p>
        </w:tc>
      </w:tr>
      <w:tr>
        <w:trPr>
          <w:trHeight w:val="405" w:hRule="exact"/>
        </w:trPr>
        <w:tc>
          <w:tcPr>
            <w:tcW w:w="22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38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34"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07" w:type="dxa"/>
            <w:tcBorders>
              <w:top w:val="nil" w:sz="6" w:space="0" w:color="auto"/>
              <w:left w:val="single" w:sz="6" w:space="0" w:color="000000"/>
              <w:bottom w:val="single" w:sz="6" w:space="0" w:color="000000"/>
              <w:right w:val="single" w:sz="6" w:space="0" w:color="000000"/>
            </w:tcBorders>
            <w:shd w:val="clear" w:color="auto" w:fill="D2D2D2"/>
          </w:tcPr>
          <w:p>
            <w:pPr/>
          </w:p>
        </w:tc>
        <w:tc>
          <w:tcPr>
            <w:tcW w:w="834"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5"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6"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0"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8" w:hRule="exact"/>
        </w:trPr>
        <w:tc>
          <w:tcPr>
            <w:tcW w:w="2207" w:type="dxa"/>
            <w:tcBorders>
              <w:top w:val="single" w:sz="6" w:space="0" w:color="000000"/>
              <w:left w:val="single" w:sz="6" w:space="0" w:color="000000"/>
              <w:bottom w:val="nil" w:sz="6" w:space="0" w:color="auto"/>
              <w:right w:val="single" w:sz="6" w:space="0" w:color="000000"/>
            </w:tcBorders>
            <w:shd w:val="clear" w:color="auto" w:fill="D2D2D2"/>
          </w:tcPr>
          <w:p>
            <w:pPr/>
          </w:p>
        </w:tc>
        <w:tc>
          <w:tcPr>
            <w:tcW w:w="834"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244,655,5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65.54%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15,027,69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15,027,69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259,683,2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97</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69.56%</w:t>
            </w:r>
          </w:p>
        </w:tc>
      </w:tr>
      <w:tr>
        <w:trPr>
          <w:trHeight w:val="406" w:hRule="exact"/>
        </w:trPr>
        <w:tc>
          <w:tcPr>
            <w:tcW w:w="22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34"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07" w:type="dxa"/>
            <w:tcBorders>
              <w:top w:val="nil" w:sz="6" w:space="0" w:color="auto"/>
              <w:left w:val="single" w:sz="6" w:space="0" w:color="000000"/>
              <w:bottom w:val="single" w:sz="6" w:space="0" w:color="000000"/>
              <w:right w:val="single" w:sz="6" w:space="0" w:color="000000"/>
            </w:tcBorders>
            <w:shd w:val="clear" w:color="auto" w:fill="D2D2D2"/>
          </w:tcPr>
          <w:p>
            <w:pPr/>
          </w:p>
        </w:tc>
        <w:tc>
          <w:tcPr>
            <w:tcW w:w="834"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07" w:type="dxa"/>
            <w:tcBorders>
              <w:top w:val="single" w:sz="6" w:space="0" w:color="000000"/>
              <w:left w:val="single" w:sz="6" w:space="0" w:color="000000"/>
              <w:bottom w:val="nil" w:sz="6" w:space="0" w:color="auto"/>
              <w:right w:val="single" w:sz="6" w:space="0" w:color="000000"/>
            </w:tcBorders>
            <w:shd w:val="clear" w:color="auto" w:fill="D2D2D2"/>
          </w:tcPr>
          <w:p>
            <w:pPr/>
          </w:p>
        </w:tc>
        <w:tc>
          <w:tcPr>
            <w:tcW w:w="834" w:type="dxa"/>
            <w:vMerge w:val="restart"/>
            <w:tcBorders>
              <w:top w:val="single" w:sz="6" w:space="0" w:color="000000"/>
              <w:left w:val="single" w:sz="12" w:space="0" w:color="D2D2D2"/>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244,655,5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65.54%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15,027,69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15,027,69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259,683,2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97</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69.56%</w:t>
            </w:r>
          </w:p>
        </w:tc>
      </w:tr>
      <w:tr>
        <w:trPr>
          <w:trHeight w:val="390" w:hRule="exact"/>
        </w:trPr>
        <w:tc>
          <w:tcPr>
            <w:tcW w:w="22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34"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07" w:type="dxa"/>
            <w:tcBorders>
              <w:top w:val="nil" w:sz="6" w:space="0" w:color="auto"/>
              <w:left w:val="single" w:sz="6" w:space="0" w:color="000000"/>
              <w:bottom w:val="single" w:sz="6" w:space="0" w:color="000000"/>
              <w:right w:val="single" w:sz="6" w:space="0" w:color="000000"/>
            </w:tcBorders>
            <w:shd w:val="clear" w:color="auto" w:fill="D2D2D2"/>
          </w:tcPr>
          <w:p>
            <w:pPr/>
          </w:p>
        </w:tc>
        <w:tc>
          <w:tcPr>
            <w:tcW w:w="834"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391"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8" w:hRule="exact"/>
        </w:trPr>
        <w:tc>
          <w:tcPr>
            <w:tcW w:w="2207" w:type="dxa"/>
            <w:tcBorders>
              <w:top w:val="single" w:sz="6" w:space="0" w:color="000000"/>
              <w:left w:val="single" w:sz="6" w:space="0" w:color="000000"/>
              <w:bottom w:val="nil" w:sz="6" w:space="0" w:color="auto"/>
              <w:right w:val="single" w:sz="6" w:space="0" w:color="000000"/>
            </w:tcBorders>
            <w:shd w:val="clear" w:color="auto" w:fill="D2D2D2"/>
          </w:tcPr>
          <w:p>
            <w:pPr/>
          </w:p>
        </w:tc>
        <w:tc>
          <w:tcPr>
            <w:tcW w:w="834"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373,318,0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373,318,0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r>
      <w:tr>
        <w:trPr>
          <w:trHeight w:val="390" w:hRule="exact"/>
        </w:trPr>
        <w:tc>
          <w:tcPr>
            <w:tcW w:w="22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34"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07" w:type="dxa"/>
            <w:tcBorders>
              <w:top w:val="nil" w:sz="6" w:space="0" w:color="auto"/>
              <w:left w:val="single" w:sz="6" w:space="0" w:color="000000"/>
              <w:bottom w:val="single" w:sz="6" w:space="0" w:color="000000"/>
              <w:right w:val="single" w:sz="6" w:space="0" w:color="000000"/>
            </w:tcBorders>
            <w:shd w:val="clear" w:color="auto" w:fill="D2D2D2"/>
          </w:tcPr>
          <w:p>
            <w:pPr/>
          </w:p>
        </w:tc>
        <w:tc>
          <w:tcPr>
            <w:tcW w:w="834"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bl>
    <w:p>
      <w:pPr>
        <w:pStyle w:val="BodyText"/>
        <w:spacing w:line="240" w:lineRule="auto"/>
        <w:ind w:right="0"/>
        <w:jc w:val="left"/>
      </w:pPr>
      <w:r>
        <w:rPr/>
        <w:t>股份变动的原因</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111"/>
        <w:ind w:right="0"/>
        <w:jc w:val="left"/>
      </w:pPr>
      <w:r>
        <w:rPr>
          <w:rFonts w:ascii="Times New Roman" w:hAnsi="Times New Roman" w:cs="Times New Roman" w:eastAsia="Times New Roman" w:hint="default"/>
        </w:rPr>
        <w:t>1</w:t>
      </w:r>
      <w:r>
        <w:rPr/>
        <w:t>、报告期内，公司原董事长陈书智先生将其直接持有的公司</w:t>
      </w:r>
      <w:r>
        <w:rPr>
          <w:rFonts w:ascii="Times New Roman" w:hAnsi="Times New Roman" w:cs="Times New Roman" w:eastAsia="Times New Roman" w:hint="default"/>
        </w:rPr>
        <w:t>20,066,931</w:t>
      </w:r>
      <w:r>
        <w:rPr/>
        <w:t>股股份转让给绿色金控，其持股数量由报告期初的</w:t>
      </w:r>
    </w:p>
    <w:p>
      <w:pPr>
        <w:pStyle w:val="BodyText"/>
        <w:spacing w:line="273" w:lineRule="auto" w:before="66"/>
        <w:ind w:right="0"/>
        <w:jc w:val="left"/>
      </w:pPr>
      <w:r>
        <w:rPr>
          <w:rFonts w:ascii="Times New Roman" w:hAnsi="Times New Roman" w:cs="Times New Roman" w:eastAsia="Times New Roman" w:hint="default"/>
          <w:spacing w:val="-2"/>
        </w:rPr>
        <w:t>91,666,498</w:t>
      </w:r>
      <w:r>
        <w:rPr>
          <w:spacing w:val="-2"/>
        </w:rPr>
        <w:t>股减少至报告期末的</w:t>
      </w:r>
      <w:r>
        <w:rPr>
          <w:rFonts w:ascii="Times New Roman" w:hAnsi="Times New Roman" w:cs="Times New Roman" w:eastAsia="Times New Roman" w:hint="default"/>
          <w:spacing w:val="-2"/>
        </w:rPr>
        <w:t>71,599,567</w:t>
      </w:r>
      <w:r>
        <w:rPr>
          <w:spacing w:val="-2"/>
        </w:rPr>
        <w:t>股，根据《深圳证券交易所上市公司董事、监事和高级管理人员所持本公司股份及</w:t>
      </w:r>
      <w:r>
        <w:rPr>
          <w:spacing w:val="-43"/>
        </w:rPr>
        <w:t> </w:t>
      </w:r>
      <w:r>
        <w:rPr>
          <w:spacing w:val="-43"/>
        </w:rPr>
      </w:r>
      <w:r>
        <w:rPr>
          <w:spacing w:val="-2"/>
        </w:rPr>
        <w:t>其变动管理业务指引》及《深圳证券交易所上市公司股东及董事、监事、高级管理人员减持股份实施细则》的相关规定，其</w:t>
      </w:r>
    </w:p>
    <w:p>
      <w:pPr>
        <w:pStyle w:val="BodyText"/>
        <w:spacing w:line="240" w:lineRule="auto" w:before="69"/>
        <w:ind w:right="0"/>
        <w:jc w:val="left"/>
      </w:pPr>
      <w:r>
        <w:rPr/>
        <w:t>持有的有限售条件股份由</w:t>
      </w:r>
      <w:r>
        <w:rPr>
          <w:rFonts w:ascii="Times New Roman" w:hAnsi="Times New Roman" w:cs="Times New Roman" w:eastAsia="Times New Roman" w:hint="default"/>
        </w:rPr>
        <w:t>68,749,873</w:t>
      </w:r>
      <w:r>
        <w:rPr/>
        <w:t>股相应减少至</w:t>
      </w:r>
      <w:r>
        <w:rPr>
          <w:rFonts w:ascii="Times New Roman" w:hAnsi="Times New Roman" w:cs="Times New Roman" w:eastAsia="Times New Roman" w:hint="default"/>
        </w:rPr>
        <w:t>53,699,675</w:t>
      </w:r>
      <w:r>
        <w:rPr/>
        <w:t>股，导致有限售条件股份减少</w:t>
      </w:r>
      <w:r>
        <w:rPr>
          <w:rFonts w:ascii="Times New Roman" w:hAnsi="Times New Roman" w:cs="Times New Roman" w:eastAsia="Times New Roman" w:hint="default"/>
        </w:rPr>
        <w:t>15,050,198</w:t>
      </w:r>
      <w:r>
        <w:rPr/>
        <w:t>股。</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0" w:lineRule="auto"/>
        <w:ind w:right="1111"/>
        <w:jc w:val="both"/>
      </w:pPr>
      <w:r>
        <w:rPr>
          <w:rFonts w:ascii="Times New Roman" w:hAnsi="Times New Roman" w:cs="Times New Roman" w:eastAsia="Times New Roman" w:hint="default"/>
        </w:rPr>
        <w:t>2</w:t>
      </w:r>
      <w:r>
        <w:rPr/>
        <w:t>、根据《深圳证券交易所上市公司董事、监事和高级管理人员所持本公司股份及其变动管理业务指引》的相关规定，上市 </w:t>
      </w:r>
      <w:r>
        <w:rPr>
          <w:spacing w:val="-1"/>
        </w:rPr>
        <w:t>已满一年的公司的董事、监事、高级管理人员证券账户内通过二级市场购买年内新增的本公司无限售条件股份，按</w:t>
      </w:r>
      <w:r>
        <w:rPr>
          <w:rFonts w:ascii="Times New Roman" w:hAnsi="Times New Roman" w:cs="Times New Roman" w:eastAsia="Times New Roman" w:hint="default"/>
          <w:spacing w:val="-1"/>
        </w:rPr>
        <w:t>75%</w:t>
      </w:r>
      <w:r>
        <w:rPr>
          <w:spacing w:val="-1"/>
        </w:rPr>
        <w:t>自动</w:t>
      </w:r>
      <w:r>
        <w:rPr>
          <w:spacing w:val="-70"/>
        </w:rPr>
        <w:t> </w:t>
      </w:r>
      <w:r>
        <w:rPr>
          <w:spacing w:val="-1"/>
        </w:rPr>
        <w:t>锁定。报告期内，江虹女士被选举为公司监事，其通过二级市场购买的本公司股份按</w:t>
      </w:r>
      <w:r>
        <w:rPr>
          <w:rFonts w:ascii="Times New Roman" w:hAnsi="Times New Roman" w:cs="Times New Roman" w:eastAsia="Times New Roman" w:hint="default"/>
          <w:spacing w:val="-1"/>
        </w:rPr>
        <w:t>75%</w:t>
      </w:r>
      <w:r>
        <w:rPr>
          <w:spacing w:val="-1"/>
        </w:rPr>
        <w:t>自动锁定，导致有限售条件股份增</w:t>
      </w:r>
      <w:r>
        <w:rPr/>
        <w:t> 加</w:t>
      </w:r>
      <w:r>
        <w:rPr>
          <w:rFonts w:ascii="Times New Roman" w:hAnsi="Times New Roman" w:cs="Times New Roman" w:eastAsia="Times New Roman" w:hint="default"/>
        </w:rPr>
        <w:t>22,500</w:t>
      </w:r>
      <w:r>
        <w:rPr/>
        <w:t>股。</w:t>
      </w:r>
    </w:p>
    <w:p>
      <w:pPr>
        <w:pStyle w:val="BodyText"/>
        <w:spacing w:line="240" w:lineRule="auto" w:before="46"/>
        <w:ind w:right="0"/>
        <w:jc w:val="both"/>
      </w:pPr>
      <w:r>
        <w:rPr/>
        <w:t>股份变动的批准情况</w:t>
      </w:r>
    </w:p>
    <w:p>
      <w:pPr>
        <w:pStyle w:val="BodyText"/>
        <w:spacing w:line="331"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股份变动的过户情况</w:t>
      </w:r>
    </w:p>
    <w:p>
      <w:pPr>
        <w:pStyle w:val="BodyText"/>
        <w:spacing w:line="333" w:lineRule="auto" w:before="56"/>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股份回购的实施进展情况</w:t>
      </w:r>
    </w:p>
    <w:p>
      <w:pPr>
        <w:pStyle w:val="BodyText"/>
        <w:spacing w:line="333" w:lineRule="auto" w:before="54"/>
        <w:ind w:right="69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采用集中竞价方式减持回购股份的实施进展情况</w:t>
      </w:r>
    </w:p>
    <w:p>
      <w:pPr>
        <w:pStyle w:val="BodyText"/>
        <w:spacing w:line="331" w:lineRule="auto" w:before="55"/>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股份变动对最近一年和最近一期基本每股收益和稀释每股收益、归属于公司普通股股东的每股净资产等财务指标的影响</w:t>
      </w:r>
    </w:p>
    <w:p>
      <w:pPr>
        <w:pStyle w:val="BodyText"/>
        <w:spacing w:line="331" w:lineRule="auto" w:before="56"/>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公司认为必要或证券监管机构要求披露的其他内容</w:t>
      </w:r>
    </w:p>
    <w:p>
      <w:pPr>
        <w:pStyle w:val="BodyText"/>
        <w:spacing w:line="240" w:lineRule="auto" w:before="5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单位：股</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585" w:right="59"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571" w:right="61"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898"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68,749,873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15,050,198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53,699,675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5"/>
              <w:ind w:left="15" w:right="59"/>
              <w:jc w:val="both"/>
              <w:rPr>
                <w:rFonts w:ascii="宋体" w:hAnsi="宋体" w:cs="宋体" w:eastAsia="宋体" w:hint="default"/>
                <w:sz w:val="18"/>
                <w:szCs w:val="18"/>
              </w:rPr>
            </w:pPr>
            <w:r>
              <w:rPr>
                <w:rFonts w:ascii="宋体" w:hAnsi="宋体" w:cs="宋体" w:eastAsia="宋体" w:hint="default"/>
                <w:sz w:val="18"/>
                <w:szCs w:val="18"/>
              </w:rPr>
              <w:t>董监高在任期届 满前离职的，应 当在其就任时确 定的任期内和任 期届满后六个月 内，每年转让的 股份不得超过其 所持有本公司股 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5" w:right="74"/>
              <w:jc w:val="both"/>
              <w:rPr>
                <w:rFonts w:ascii="宋体" w:hAnsi="宋体" w:cs="宋体" w:eastAsia="宋体" w:hint="default"/>
                <w:sz w:val="18"/>
                <w:szCs w:val="18"/>
              </w:rPr>
            </w:pPr>
            <w:r>
              <w:rPr>
                <w:rFonts w:ascii="宋体" w:hAnsi="宋体" w:cs="宋体" w:eastAsia="宋体" w:hint="default"/>
                <w:sz w:val="18"/>
                <w:szCs w:val="18"/>
              </w:rPr>
              <w:t>根据大股东减持 股份实施细则的 相关规定解除限 售。</w:t>
            </w:r>
          </w:p>
        </w:tc>
      </w:tr>
      <w:tr>
        <w:trPr>
          <w:trHeight w:val="1967"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江虹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22,500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22,500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董监高在任期 内，每年可转让 的股份不得超过 其所持有本公司 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15" w:right="74"/>
              <w:jc w:val="both"/>
              <w:rPr>
                <w:rFonts w:ascii="宋体" w:hAnsi="宋体" w:cs="宋体" w:eastAsia="宋体" w:hint="default"/>
                <w:sz w:val="18"/>
                <w:szCs w:val="18"/>
              </w:rPr>
            </w:pPr>
            <w:r>
              <w:rPr>
                <w:rFonts w:ascii="宋体" w:hAnsi="宋体" w:cs="宋体" w:eastAsia="宋体" w:hint="default"/>
                <w:sz w:val="18"/>
                <w:szCs w:val="18"/>
              </w:rPr>
              <w:t>根据董监高股份 变动的相关规定 解除限售。</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68,749,873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22,500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15,050,198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53,722,175</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02"/>
        <w:gridCol w:w="270"/>
        <w:gridCol w:w="931"/>
        <w:gridCol w:w="480"/>
        <w:gridCol w:w="699"/>
        <w:gridCol w:w="98"/>
        <w:gridCol w:w="781"/>
        <w:gridCol w:w="338"/>
        <w:gridCol w:w="458"/>
        <w:gridCol w:w="751"/>
        <w:gridCol w:w="871"/>
        <w:gridCol w:w="315"/>
        <w:gridCol w:w="1036"/>
        <w:gridCol w:w="143"/>
        <w:gridCol w:w="1209"/>
      </w:tblGrid>
      <w:tr>
        <w:trPr>
          <w:trHeight w:val="157" w:hRule="exact"/>
        </w:trPr>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202" w:type="dxa"/>
            <w:gridSpan w:val="2"/>
            <w:vMerge w:val="restart"/>
            <w:tcBorders>
              <w:top w:val="single" w:sz="6" w:space="0" w:color="000000"/>
              <w:left w:val="single" w:sz="12" w:space="0" w:color="D2D2D2"/>
              <w:right w:val="single" w:sz="12"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31,820</w:t>
            </w:r>
          </w:p>
        </w:tc>
        <w:tc>
          <w:tcPr>
            <w:tcW w:w="1179" w:type="dxa"/>
            <w:gridSpan w:val="2"/>
            <w:vMerge w:val="restart"/>
            <w:tcBorders>
              <w:top w:val="single" w:sz="6" w:space="0" w:color="000000"/>
              <w:left w:val="single" w:sz="6" w:space="0" w:color="000000"/>
              <w:right w:val="single" w:sz="6" w:space="0" w:color="000000"/>
            </w:tcBorders>
            <w:shd w:val="clear" w:color="auto" w:fill="D2D2D2"/>
          </w:tcPr>
          <w:p>
            <w:pPr/>
          </w:p>
        </w:tc>
        <w:tc>
          <w:tcPr>
            <w:tcW w:w="1217" w:type="dxa"/>
            <w:gridSpan w:val="3"/>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83" w:right="0"/>
              <w:jc w:val="left"/>
              <w:rPr>
                <w:rFonts w:ascii="Times New Roman" w:hAnsi="Times New Roman" w:cs="Times New Roman" w:eastAsia="Times New Roman" w:hint="default"/>
                <w:sz w:val="18"/>
                <w:szCs w:val="18"/>
              </w:rPr>
            </w:pPr>
            <w:r>
              <w:rPr>
                <w:rFonts w:ascii="Times New Roman"/>
                <w:sz w:val="18"/>
              </w:rPr>
              <w:t>28,565</w:t>
            </w:r>
          </w:p>
        </w:tc>
        <w:tc>
          <w:tcPr>
            <w:tcW w:w="1209"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186" w:type="dxa"/>
            <w:gridSpan w:val="2"/>
            <w:vMerge w:val="restart"/>
            <w:tcBorders>
              <w:top w:val="single" w:sz="6" w:space="0" w:color="000000"/>
              <w:left w:val="single" w:sz="12" w:space="0" w:color="D2D2D2"/>
              <w:right w:val="single" w:sz="1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17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15" w:right="6"/>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9"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202" w:type="dxa"/>
            <w:gridSpan w:val="2"/>
            <w:vMerge/>
            <w:tcBorders>
              <w:left w:val="single" w:sz="12" w:space="0" w:color="D2D2D2"/>
              <w:right w:val="single" w:sz="12" w:space="0" w:color="D2D2D2"/>
            </w:tcBorders>
          </w:tcPr>
          <w:p>
            <w:pPr/>
          </w:p>
        </w:tc>
        <w:tc>
          <w:tcPr>
            <w:tcW w:w="1179" w:type="dxa"/>
            <w:gridSpan w:val="2"/>
            <w:vMerge/>
            <w:tcBorders>
              <w:left w:val="single" w:sz="6" w:space="0" w:color="000000"/>
              <w:bottom w:val="nil" w:sz="6" w:space="0" w:color="auto"/>
              <w:right w:val="single" w:sz="6" w:space="0" w:color="000000"/>
            </w:tcBorders>
            <w:shd w:val="clear" w:color="auto" w:fill="D2D2D2"/>
          </w:tcPr>
          <w:p>
            <w:pPr/>
          </w:p>
        </w:tc>
        <w:tc>
          <w:tcPr>
            <w:tcW w:w="1217" w:type="dxa"/>
            <w:gridSpan w:val="3"/>
            <w:vMerge/>
            <w:tcBorders>
              <w:left w:val="single" w:sz="6" w:space="0" w:color="000000"/>
              <w:right w:val="single" w:sz="6" w:space="0" w:color="000000"/>
            </w:tcBorders>
          </w:tcPr>
          <w:p>
            <w:pPr/>
          </w:p>
        </w:tc>
        <w:tc>
          <w:tcPr>
            <w:tcW w:w="1209"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7" w:right="104"/>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36" w:lineRule="auto" w:before="3"/>
              <w:ind w:left="7" w:right="44"/>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vMerge/>
            <w:tcBorders>
              <w:left w:val="single" w:sz="12" w:space="0" w:color="000000"/>
              <w:right w:val="single" w:sz="6" w:space="0" w:color="000000"/>
            </w:tcBorders>
          </w:tcPr>
          <w:p>
            <w:pPr/>
          </w:p>
        </w:tc>
      </w:tr>
      <w:tr>
        <w:trPr>
          <w:trHeight w:val="300" w:hRule="exact"/>
        </w:trPr>
        <w:tc>
          <w:tcPr>
            <w:tcW w:w="1202" w:type="dxa"/>
            <w:vMerge/>
            <w:tcBorders>
              <w:left w:val="single" w:sz="6" w:space="0" w:color="000000"/>
              <w:bottom w:val="nil" w:sz="6" w:space="0" w:color="auto"/>
              <w:right w:val="single" w:sz="6" w:space="0" w:color="000000"/>
            </w:tcBorders>
            <w:shd w:val="clear" w:color="auto" w:fill="D2D2D2"/>
          </w:tcPr>
          <w:p>
            <w:pPr/>
          </w:p>
        </w:tc>
        <w:tc>
          <w:tcPr>
            <w:tcW w:w="1202" w:type="dxa"/>
            <w:gridSpan w:val="2"/>
            <w:vMerge/>
            <w:tcBorders>
              <w:left w:val="single" w:sz="12" w:space="0" w:color="D2D2D2"/>
              <w:right w:val="single" w:sz="12" w:space="0" w:color="D2D2D2"/>
            </w:tcBorders>
          </w:tcPr>
          <w:p>
            <w:pPr/>
          </w:p>
        </w:tc>
        <w:tc>
          <w:tcPr>
            <w:tcW w:w="1179"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15" w:right="66"/>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7" w:type="dxa"/>
            <w:gridSpan w:val="3"/>
            <w:vMerge/>
            <w:tcBorders>
              <w:left w:val="single" w:sz="6" w:space="0" w:color="000000"/>
              <w:right w:val="single" w:sz="6" w:space="0" w:color="000000"/>
            </w:tcBorders>
          </w:tcPr>
          <w:p>
            <w:pPr/>
          </w:p>
        </w:tc>
        <w:tc>
          <w:tcPr>
            <w:tcW w:w="1209" w:type="dxa"/>
            <w:gridSpan w:val="2"/>
            <w:vMerge/>
            <w:tcBorders>
              <w:left w:val="single" w:sz="6" w:space="0" w:color="000000"/>
              <w:right w:val="single" w:sz="6" w:space="0" w:color="000000"/>
            </w:tcBorders>
            <w:shd w:val="clear" w:color="auto" w:fill="D2D2D2"/>
          </w:tcPr>
          <w:p>
            <w:pPr/>
          </w:p>
        </w:tc>
        <w:tc>
          <w:tcPr>
            <w:tcW w:w="118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vMerge/>
            <w:tcBorders>
              <w:left w:val="single" w:sz="12" w:space="0" w:color="000000"/>
              <w:right w:val="single" w:sz="6" w:space="0" w:color="000000"/>
            </w:tcBorders>
          </w:tcPr>
          <w:p>
            <w:pPr/>
          </w:p>
        </w:tc>
      </w:tr>
      <w:tr>
        <w:trPr>
          <w:trHeight w:val="705" w:hRule="exact"/>
        </w:trPr>
        <w:tc>
          <w:tcPr>
            <w:tcW w:w="12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15" w:right="8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2" w:type="dxa"/>
            <w:gridSpan w:val="2"/>
            <w:vMerge/>
            <w:tcBorders>
              <w:left w:val="single" w:sz="12" w:space="0" w:color="D2D2D2"/>
              <w:right w:val="single" w:sz="12"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17" w:type="dxa"/>
            <w:gridSpan w:val="3"/>
            <w:vMerge/>
            <w:tcBorders>
              <w:left w:val="single" w:sz="6" w:space="0" w:color="000000"/>
              <w:right w:val="single" w:sz="6" w:space="0" w:color="000000"/>
            </w:tcBorders>
          </w:tcPr>
          <w:p>
            <w:pPr/>
          </w:p>
        </w:tc>
        <w:tc>
          <w:tcPr>
            <w:tcW w:w="1209" w:type="dxa"/>
            <w:gridSpan w:val="2"/>
            <w:vMerge/>
            <w:tcBorders>
              <w:left w:val="single" w:sz="6" w:space="0" w:color="000000"/>
              <w:right w:val="single" w:sz="6" w:space="0" w:color="000000"/>
            </w:tcBorders>
            <w:shd w:val="clear" w:color="auto" w:fill="D2D2D2"/>
          </w:tcPr>
          <w:p>
            <w:pPr/>
          </w:p>
        </w:tc>
        <w:tc>
          <w:tcPr>
            <w:tcW w:w="118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vMerge/>
            <w:tcBorders>
              <w:left w:val="single" w:sz="12" w:space="0" w:color="000000"/>
              <w:right w:val="single" w:sz="6" w:space="0" w:color="000000"/>
            </w:tcBorders>
          </w:tcPr>
          <w:p>
            <w:pPr/>
          </w:p>
        </w:tc>
      </w:tr>
      <w:tr>
        <w:trPr>
          <w:trHeight w:val="316" w:hRule="exact"/>
        </w:trPr>
        <w:tc>
          <w:tcPr>
            <w:tcW w:w="1202" w:type="dxa"/>
            <w:vMerge w:val="restart"/>
            <w:tcBorders>
              <w:top w:val="nil" w:sz="6" w:space="0" w:color="auto"/>
              <w:left w:val="single" w:sz="6" w:space="0" w:color="000000"/>
              <w:right w:val="single" w:sz="6" w:space="0" w:color="000000"/>
            </w:tcBorders>
            <w:shd w:val="clear" w:color="auto" w:fill="D2D2D2"/>
          </w:tcPr>
          <w:p>
            <w:pPr/>
          </w:p>
        </w:tc>
        <w:tc>
          <w:tcPr>
            <w:tcW w:w="1202" w:type="dxa"/>
            <w:gridSpan w:val="2"/>
            <w:vMerge/>
            <w:tcBorders>
              <w:left w:val="single" w:sz="12" w:space="0" w:color="D2D2D2"/>
              <w:right w:val="single" w:sz="12" w:space="0" w:color="D2D2D2"/>
            </w:tcBorders>
          </w:tcPr>
          <w:p>
            <w:pPr/>
          </w:p>
        </w:tc>
        <w:tc>
          <w:tcPr>
            <w:tcW w:w="1179" w:type="dxa"/>
            <w:gridSpan w:val="2"/>
            <w:vMerge/>
            <w:tcBorders>
              <w:left w:val="single" w:sz="6" w:space="0" w:color="000000"/>
              <w:bottom w:val="nil" w:sz="6" w:space="0" w:color="auto"/>
              <w:right w:val="single" w:sz="6" w:space="0" w:color="000000"/>
            </w:tcBorders>
            <w:shd w:val="clear" w:color="auto" w:fill="D2D2D2"/>
          </w:tcPr>
          <w:p>
            <w:pPr/>
          </w:p>
        </w:tc>
        <w:tc>
          <w:tcPr>
            <w:tcW w:w="1217" w:type="dxa"/>
            <w:gridSpan w:val="3"/>
            <w:vMerge/>
            <w:tcBorders>
              <w:left w:val="single" w:sz="6" w:space="0" w:color="000000"/>
              <w:right w:val="single" w:sz="6" w:space="0" w:color="000000"/>
            </w:tcBorders>
          </w:tcPr>
          <w:p>
            <w:pPr/>
          </w:p>
        </w:tc>
        <w:tc>
          <w:tcPr>
            <w:tcW w:w="1209" w:type="dxa"/>
            <w:gridSpan w:val="2"/>
            <w:vMerge/>
            <w:tcBorders>
              <w:left w:val="single" w:sz="6" w:space="0" w:color="000000"/>
              <w:right w:val="single" w:sz="6" w:space="0" w:color="000000"/>
            </w:tcBorders>
            <w:shd w:val="clear" w:color="auto" w:fill="D2D2D2"/>
          </w:tcPr>
          <w:p>
            <w:pPr/>
          </w:p>
        </w:tc>
        <w:tc>
          <w:tcPr>
            <w:tcW w:w="118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vMerge/>
            <w:tcBorders>
              <w:left w:val="single" w:sz="12" w:space="0" w:color="000000"/>
              <w:right w:val="single" w:sz="6" w:space="0" w:color="000000"/>
            </w:tcBorders>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202" w:type="dxa"/>
            <w:gridSpan w:val="2"/>
            <w:vMerge/>
            <w:tcBorders>
              <w:left w:val="single" w:sz="12" w:space="0" w:color="D2D2D2"/>
              <w:right w:val="single" w:sz="12" w:space="0" w:color="D2D2D2"/>
            </w:tcBorders>
          </w:tcPr>
          <w:p>
            <w:pPr/>
          </w:p>
        </w:tc>
        <w:tc>
          <w:tcPr>
            <w:tcW w:w="1179" w:type="dxa"/>
            <w:gridSpan w:val="2"/>
            <w:vMerge w:val="restart"/>
            <w:tcBorders>
              <w:top w:val="nil" w:sz="6" w:space="0" w:color="auto"/>
              <w:left w:val="single" w:sz="6" w:space="0" w:color="000000"/>
              <w:right w:val="single" w:sz="6" w:space="0" w:color="000000"/>
            </w:tcBorders>
            <w:shd w:val="clear" w:color="auto" w:fill="D2D2D2"/>
          </w:tcPr>
          <w:p>
            <w:pPr/>
          </w:p>
        </w:tc>
        <w:tc>
          <w:tcPr>
            <w:tcW w:w="1217" w:type="dxa"/>
            <w:gridSpan w:val="3"/>
            <w:vMerge/>
            <w:tcBorders>
              <w:left w:val="single" w:sz="6" w:space="0" w:color="000000"/>
              <w:right w:val="single" w:sz="6" w:space="0" w:color="000000"/>
            </w:tcBorders>
          </w:tcPr>
          <w:p>
            <w:pPr/>
          </w:p>
        </w:tc>
        <w:tc>
          <w:tcPr>
            <w:tcW w:w="1209" w:type="dxa"/>
            <w:gridSpan w:val="2"/>
            <w:vMerge/>
            <w:tcBorders>
              <w:left w:val="single" w:sz="6" w:space="0" w:color="000000"/>
              <w:bottom w:val="nil" w:sz="6" w:space="0" w:color="auto"/>
              <w:right w:val="single" w:sz="6" w:space="0" w:color="000000"/>
            </w:tcBorders>
            <w:shd w:val="clear" w:color="auto" w:fill="D2D2D2"/>
          </w:tcPr>
          <w:p>
            <w:pPr/>
          </w:p>
        </w:tc>
        <w:tc>
          <w:tcPr>
            <w:tcW w:w="118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vMerge/>
            <w:tcBorders>
              <w:left w:val="single" w:sz="12" w:space="0" w:color="000000"/>
              <w:right w:val="single" w:sz="6" w:space="0" w:color="000000"/>
            </w:tcBorders>
          </w:tcPr>
          <w:p>
            <w:pPr/>
          </w:p>
        </w:tc>
      </w:tr>
      <w:tr>
        <w:trPr>
          <w:trHeight w:val="165"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202" w:type="dxa"/>
            <w:gridSpan w:val="2"/>
            <w:vMerge/>
            <w:tcBorders>
              <w:left w:val="single" w:sz="12" w:space="0" w:color="D2D2D2"/>
              <w:bottom w:val="single" w:sz="6" w:space="0" w:color="000000"/>
              <w:right w:val="single" w:sz="12" w:space="0" w:color="D2D2D2"/>
            </w:tcBorders>
          </w:tcPr>
          <w:p>
            <w:pPr/>
          </w:p>
        </w:tc>
        <w:tc>
          <w:tcPr>
            <w:tcW w:w="1179" w:type="dxa"/>
            <w:gridSpan w:val="2"/>
            <w:vMerge/>
            <w:tcBorders>
              <w:left w:val="single" w:sz="6" w:space="0" w:color="000000"/>
              <w:bottom w:val="single" w:sz="6" w:space="0" w:color="000000"/>
              <w:right w:val="single" w:sz="6" w:space="0" w:color="000000"/>
            </w:tcBorders>
            <w:shd w:val="clear" w:color="auto" w:fill="D2D2D2"/>
          </w:tcPr>
          <w:p>
            <w:pPr/>
          </w:p>
        </w:tc>
        <w:tc>
          <w:tcPr>
            <w:tcW w:w="1217" w:type="dxa"/>
            <w:gridSpan w:val="3"/>
            <w:vMerge/>
            <w:tcBorders>
              <w:left w:val="single" w:sz="6" w:space="0" w:color="000000"/>
              <w:bottom w:val="single" w:sz="6" w:space="0" w:color="000000"/>
              <w:right w:val="single" w:sz="6" w:space="0" w:color="000000"/>
            </w:tcBorders>
          </w:tcPr>
          <w:p>
            <w:pPr/>
          </w:p>
        </w:tc>
        <w:tc>
          <w:tcPr>
            <w:tcW w:w="1209"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186" w:type="dxa"/>
            <w:gridSpan w:val="2"/>
            <w:vMerge/>
            <w:tcBorders>
              <w:left w:val="single" w:sz="12" w:space="0" w:color="D2D2D2"/>
              <w:bottom w:val="single" w:sz="6" w:space="0" w:color="000000"/>
              <w:right w:val="single" w:sz="18" w:space="0" w:color="D2D2D2"/>
            </w:tcBorders>
          </w:tcPr>
          <w:p>
            <w:pPr/>
          </w:p>
        </w:tc>
        <w:tc>
          <w:tcPr>
            <w:tcW w:w="1179" w:type="dxa"/>
            <w:gridSpan w:val="2"/>
            <w:vMerge/>
            <w:tcBorders>
              <w:left w:val="single" w:sz="6" w:space="0" w:color="000000"/>
              <w:bottom w:val="single" w:sz="6" w:space="0" w:color="000000"/>
              <w:right w:val="single" w:sz="6" w:space="0" w:color="000000"/>
            </w:tcBorders>
            <w:shd w:val="clear" w:color="auto" w:fill="D2D2D2"/>
          </w:tcPr>
          <w:p>
            <w:pPr/>
          </w:p>
        </w:tc>
        <w:tc>
          <w:tcPr>
            <w:tcW w:w="1209" w:type="dxa"/>
            <w:vMerge/>
            <w:tcBorders>
              <w:left w:val="single" w:sz="12" w:space="0" w:color="000000"/>
              <w:bottom w:val="single" w:sz="6" w:space="0" w:color="000000"/>
              <w:right w:val="single" w:sz="6" w:space="0" w:color="000000"/>
            </w:tcBorders>
          </w:tcPr>
          <w:p>
            <w:pPr/>
          </w:p>
        </w:tc>
      </w:tr>
      <w:tr>
        <w:trPr>
          <w:trHeight w:val="398" w:hRule="exact"/>
        </w:trPr>
        <w:tc>
          <w:tcPr>
            <w:tcW w:w="9582"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048"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308" w:hRule="exact"/>
        </w:trPr>
        <w:tc>
          <w:tcPr>
            <w:tcW w:w="1472"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412"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30"/>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5" w:right="45"/>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5" w:right="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90" w:right="4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03" w:type="dxa"/>
            <w:gridSpan w:val="4"/>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7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0" w:hRule="exact"/>
        </w:trPr>
        <w:tc>
          <w:tcPr>
            <w:tcW w:w="1472"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6"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1" w:type="dxa"/>
            <w:vMerge/>
            <w:tcBorders>
              <w:left w:val="single" w:sz="6" w:space="0" w:color="000000"/>
              <w:right w:val="single" w:sz="6" w:space="0" w:color="000000"/>
            </w:tcBorders>
            <w:shd w:val="clear" w:color="auto" w:fill="D2D2D2"/>
          </w:tcPr>
          <w:p>
            <w:pPr/>
          </w:p>
        </w:tc>
        <w:tc>
          <w:tcPr>
            <w:tcW w:w="796" w:type="dxa"/>
            <w:gridSpan w:val="2"/>
            <w:vMerge/>
            <w:tcBorders>
              <w:left w:val="single" w:sz="6" w:space="0" w:color="000000"/>
              <w:right w:val="single" w:sz="6" w:space="0" w:color="000000"/>
            </w:tcBorders>
            <w:shd w:val="clear" w:color="auto" w:fill="D2D2D2"/>
          </w:tcPr>
          <w:p>
            <w:pPr/>
          </w:p>
        </w:tc>
        <w:tc>
          <w:tcPr>
            <w:tcW w:w="751" w:type="dxa"/>
            <w:vMerge/>
            <w:tcBorders>
              <w:left w:val="single" w:sz="6" w:space="0" w:color="000000"/>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c>
          <w:tcPr>
            <w:tcW w:w="2703" w:type="dxa"/>
            <w:gridSpan w:val="4"/>
            <w:vMerge/>
            <w:tcBorders>
              <w:left w:val="single" w:sz="6" w:space="0" w:color="000000"/>
              <w:bottom w:val="single" w:sz="6" w:space="0" w:color="000000"/>
              <w:right w:val="single" w:sz="6" w:space="0" w:color="000000"/>
            </w:tcBorders>
            <w:shd w:val="clear" w:color="auto" w:fill="D2D2D2"/>
          </w:tcPr>
          <w:p>
            <w:pPr/>
          </w:p>
        </w:tc>
      </w:tr>
      <w:tr>
        <w:trPr>
          <w:trHeight w:val="240" w:hRule="exact"/>
        </w:trPr>
        <w:tc>
          <w:tcPr>
            <w:tcW w:w="1472" w:type="dxa"/>
            <w:gridSpan w:val="2"/>
            <w:vMerge/>
            <w:tcBorders>
              <w:left w:val="single" w:sz="6" w:space="0" w:color="000000"/>
              <w:right w:val="single" w:sz="6" w:space="0" w:color="000000"/>
            </w:tcBorders>
            <w:shd w:val="clear" w:color="auto" w:fill="D2D2D2"/>
          </w:tcPr>
          <w:p>
            <w:pPr/>
          </w:p>
        </w:tc>
        <w:tc>
          <w:tcPr>
            <w:tcW w:w="1412" w:type="dxa"/>
            <w:gridSpan w:val="2"/>
            <w:vMerge/>
            <w:tcBorders>
              <w:left w:val="single" w:sz="6" w:space="0" w:color="000000"/>
              <w:right w:val="single" w:sz="6" w:space="0" w:color="000000"/>
            </w:tcBorders>
            <w:shd w:val="clear" w:color="auto" w:fill="D2D2D2"/>
          </w:tcPr>
          <w:p>
            <w:pPr/>
          </w:p>
        </w:tc>
        <w:tc>
          <w:tcPr>
            <w:tcW w:w="796" w:type="dxa"/>
            <w:gridSpan w:val="2"/>
            <w:vMerge/>
            <w:tcBorders>
              <w:left w:val="single" w:sz="6" w:space="0" w:color="000000"/>
              <w:bottom w:val="nil" w:sz="6" w:space="0" w:color="auto"/>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c>
          <w:tcPr>
            <w:tcW w:w="796" w:type="dxa"/>
            <w:gridSpan w:val="2"/>
            <w:vMerge/>
            <w:tcBorders>
              <w:left w:val="single" w:sz="6" w:space="0" w:color="000000"/>
              <w:right w:val="single" w:sz="6" w:space="0" w:color="000000"/>
            </w:tcBorders>
            <w:shd w:val="clear" w:color="auto" w:fill="D2D2D2"/>
          </w:tcPr>
          <w:p>
            <w:pPr/>
          </w:p>
        </w:tc>
        <w:tc>
          <w:tcPr>
            <w:tcW w:w="751" w:type="dxa"/>
            <w:vMerge/>
            <w:tcBorders>
              <w:left w:val="single" w:sz="6" w:space="0" w:color="000000"/>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c>
          <w:tcPr>
            <w:tcW w:w="13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31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1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3" w:hRule="exact"/>
        </w:trPr>
        <w:tc>
          <w:tcPr>
            <w:tcW w:w="1472" w:type="dxa"/>
            <w:gridSpan w:val="2"/>
            <w:vMerge/>
            <w:tcBorders>
              <w:left w:val="single" w:sz="6" w:space="0" w:color="000000"/>
              <w:bottom w:val="single" w:sz="6" w:space="0" w:color="000000"/>
              <w:right w:val="single" w:sz="6" w:space="0" w:color="000000"/>
            </w:tcBorders>
            <w:shd w:val="clear" w:color="auto" w:fill="D2D2D2"/>
          </w:tcPr>
          <w:p>
            <w:pPr/>
          </w:p>
        </w:tc>
        <w:tc>
          <w:tcPr>
            <w:tcW w:w="1412" w:type="dxa"/>
            <w:gridSpan w:val="2"/>
            <w:vMerge/>
            <w:tcBorders>
              <w:left w:val="single" w:sz="6" w:space="0" w:color="000000"/>
              <w:bottom w:val="single" w:sz="6" w:space="0" w:color="000000"/>
              <w:right w:val="single" w:sz="6" w:space="0" w:color="000000"/>
            </w:tcBorders>
            <w:shd w:val="clear" w:color="auto" w:fill="D2D2D2"/>
          </w:tcPr>
          <w:p>
            <w:pPr/>
          </w:p>
        </w:tc>
        <w:tc>
          <w:tcPr>
            <w:tcW w:w="796"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796" w:type="dxa"/>
            <w:gridSpan w:val="2"/>
            <w:vMerge/>
            <w:tcBorders>
              <w:left w:val="single" w:sz="6" w:space="0" w:color="000000"/>
              <w:bottom w:val="single" w:sz="6" w:space="0" w:color="000000"/>
              <w:right w:val="single" w:sz="6" w:space="0" w:color="000000"/>
            </w:tcBorders>
            <w:shd w:val="clear" w:color="auto" w:fill="D2D2D2"/>
          </w:tcPr>
          <w:p>
            <w:pPr/>
          </w:p>
        </w:tc>
        <w:tc>
          <w:tcPr>
            <w:tcW w:w="751" w:type="dxa"/>
            <w:vMerge/>
            <w:tcBorders>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c>
          <w:tcPr>
            <w:tcW w:w="1352" w:type="dxa"/>
            <w:gridSpan w:val="2"/>
            <w:vMerge/>
            <w:tcBorders>
              <w:left w:val="single" w:sz="6" w:space="0" w:color="000000"/>
              <w:bottom w:val="single" w:sz="6" w:space="0" w:color="000000"/>
              <w:right w:val="single" w:sz="6" w:space="0" w:color="000000"/>
            </w:tcBorders>
            <w:shd w:val="clear" w:color="auto" w:fill="D2D2D2"/>
          </w:tcPr>
          <w:p>
            <w:pPr/>
          </w:p>
        </w:tc>
        <w:tc>
          <w:tcPr>
            <w:tcW w:w="1352" w:type="dxa"/>
            <w:gridSpan w:val="2"/>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19.18%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71,599,56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 w:right="0"/>
              <w:jc w:val="left"/>
              <w:rPr>
                <w:rFonts w:ascii="Times New Roman" w:hAnsi="Times New Roman" w:cs="Times New Roman" w:eastAsia="Times New Roman" w:hint="default"/>
                <w:sz w:val="18"/>
                <w:szCs w:val="18"/>
              </w:rPr>
            </w:pPr>
            <w:r>
              <w:rPr>
                <w:rFonts w:ascii="Times New Roman"/>
                <w:sz w:val="18"/>
              </w:rPr>
              <w:t>-20,066,9</w:t>
            </w:r>
          </w:p>
          <w:p>
            <w:pPr>
              <w:pStyle w:val="TableParagraph"/>
              <w:spacing w:line="240" w:lineRule="auto" w:before="93"/>
              <w:ind w:left="15" w:right="0"/>
              <w:jc w:val="left"/>
              <w:rPr>
                <w:rFonts w:ascii="Times New Roman" w:hAnsi="Times New Roman" w:cs="Times New Roman" w:eastAsia="Times New Roman" w:hint="default"/>
                <w:sz w:val="18"/>
                <w:szCs w:val="18"/>
              </w:rPr>
            </w:pPr>
            <w:r>
              <w:rPr>
                <w:rFonts w:ascii="Times New Roman"/>
                <w:sz w:val="18"/>
              </w:rPr>
              <w:t>31</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53,699,67</w:t>
            </w:r>
          </w:p>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17,899,89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1352" w:type="dxa"/>
            <w:gridSpan w:val="2"/>
            <w:tcBorders>
              <w:top w:val="single" w:sz="48" w:space="0" w:color="D2D2D2"/>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6.93%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25,877,96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19,408,47</w:t>
            </w:r>
          </w:p>
          <w:p>
            <w:pPr>
              <w:pStyle w:val="TableParagraph"/>
              <w:spacing w:line="240" w:lineRule="auto" w:before="108"/>
              <w:ind w:right="-16"/>
              <w:jc w:val="right"/>
              <w:rPr>
                <w:rFonts w:ascii="Times New Roman" w:hAnsi="Times New Roman" w:cs="Times New Roman" w:eastAsia="Times New Roman" w:hint="default"/>
                <w:sz w:val="18"/>
                <w:szCs w:val="18"/>
              </w:rPr>
            </w:pPr>
            <w:r>
              <w:rPr>
                <w:rFonts w:ascii="Times New Roman"/>
                <w:sz w:val="18"/>
              </w:rPr>
              <w:t>2</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6,469,491</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5.73%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21,388,90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16,041,67</w:t>
            </w:r>
          </w:p>
          <w:p>
            <w:pPr>
              <w:pStyle w:val="TableParagraph"/>
              <w:spacing w:line="240" w:lineRule="auto" w:before="108"/>
              <w:ind w:right="-16"/>
              <w:jc w:val="right"/>
              <w:rPr>
                <w:rFonts w:ascii="Times New Roman" w:hAnsi="Times New Roman" w:cs="Times New Roman" w:eastAsia="Times New Roman" w:hint="default"/>
                <w:sz w:val="18"/>
                <w:szCs w:val="18"/>
              </w:rPr>
            </w:pPr>
            <w:r>
              <w:rPr>
                <w:rFonts w:ascii="Times New Roman"/>
                <w:sz w:val="18"/>
              </w:rPr>
              <w:t>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5,347,226</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13,700,000</w:t>
            </w:r>
          </w:p>
        </w:tc>
      </w:tr>
      <w:tr>
        <w:trPr>
          <w:trHeight w:val="720"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5.60%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20,917,40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15,688,05</w:t>
            </w:r>
          </w:p>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5,229,350</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79"/>
              <w:jc w:val="both"/>
              <w:rPr>
                <w:rFonts w:ascii="宋体" w:hAnsi="宋体" w:cs="宋体" w:eastAsia="宋体" w:hint="default"/>
                <w:sz w:val="18"/>
                <w:szCs w:val="18"/>
              </w:rPr>
            </w:pPr>
            <w:r>
              <w:rPr>
                <w:rFonts w:ascii="宋体" w:hAnsi="宋体" w:cs="宋体" w:eastAsia="宋体" w:hint="default"/>
                <w:sz w:val="18"/>
                <w:szCs w:val="18"/>
              </w:rPr>
              <w:t>广东省绿色金融 投资控股集团有 限公司</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5.38%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20,066,93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20,066,93</w:t>
            </w:r>
          </w:p>
          <w:p>
            <w:pPr>
              <w:pStyle w:val="TableParagraph"/>
              <w:spacing w:line="240" w:lineRule="auto" w:before="93"/>
              <w:ind w:left="15" w:right="0"/>
              <w:jc w:val="left"/>
              <w:rPr>
                <w:rFonts w:ascii="Times New Roman" w:hAnsi="Times New Roman" w:cs="Times New Roman" w:eastAsia="Times New Roman" w:hint="default"/>
                <w:sz w:val="18"/>
                <w:szCs w:val="18"/>
              </w:rPr>
            </w:pPr>
            <w:r>
              <w:rPr>
                <w:rFonts w:ascii="Times New Roman"/>
                <w:sz w:val="18"/>
              </w:rPr>
              <w:t>1</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20,066,93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19,897,853</w:t>
            </w:r>
          </w:p>
        </w:tc>
      </w:tr>
      <w:tr>
        <w:trPr>
          <w:trHeight w:val="705"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79"/>
              <w:jc w:val="left"/>
              <w:rPr>
                <w:rFonts w:ascii="宋体" w:hAnsi="宋体" w:cs="宋体" w:eastAsia="宋体" w:hint="default"/>
                <w:sz w:val="18"/>
                <w:szCs w:val="18"/>
              </w:rPr>
            </w:pPr>
            <w:r>
              <w:rPr>
                <w:rFonts w:ascii="宋体" w:hAnsi="宋体" w:cs="宋体" w:eastAsia="宋体" w:hint="default"/>
                <w:sz w:val="18"/>
                <w:szCs w:val="18"/>
              </w:rPr>
              <w:t>深圳市聚智通信 息技术有限公司</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5.29%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19,743,60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19,743,60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472"/>
        <w:gridCol w:w="1412"/>
        <w:gridCol w:w="796"/>
        <w:gridCol w:w="781"/>
        <w:gridCol w:w="796"/>
        <w:gridCol w:w="781"/>
        <w:gridCol w:w="841"/>
        <w:gridCol w:w="1352"/>
        <w:gridCol w:w="1352"/>
      </w:tblGrid>
      <w:tr>
        <w:trPr>
          <w:trHeight w:val="720"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79"/>
              <w:jc w:val="left"/>
              <w:rPr>
                <w:rFonts w:ascii="宋体" w:hAnsi="宋体" w:cs="宋体" w:eastAsia="宋体" w:hint="default"/>
                <w:sz w:val="18"/>
                <w:szCs w:val="18"/>
              </w:rPr>
            </w:pPr>
            <w:r>
              <w:rPr>
                <w:rFonts w:ascii="宋体" w:hAnsi="宋体" w:cs="宋体" w:eastAsia="宋体" w:hint="default"/>
                <w:sz w:val="18"/>
                <w:szCs w:val="18"/>
              </w:rPr>
              <w:t>浙江浙商创业投 资股份有限公司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4.80%</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17,915,93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-3,733,15</w:t>
            </w:r>
          </w:p>
          <w:p>
            <w:pPr>
              <w:pStyle w:val="TableParagraph"/>
              <w:spacing w:line="240" w:lineRule="auto" w:before="93"/>
              <w:ind w:left="15" w:right="0"/>
              <w:jc w:val="lef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17,915,93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135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2.23%</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8,331,701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-2,776,00</w:t>
            </w:r>
          </w:p>
          <w:p>
            <w:pPr>
              <w:pStyle w:val="TableParagraph"/>
              <w:spacing w:line="240" w:lineRule="auto" w:before="108"/>
              <w:ind w:left="15" w:right="0"/>
              <w:jc w:val="lef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8,330,776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925</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8,323,700</w:t>
            </w:r>
          </w:p>
        </w:tc>
      </w:tr>
      <w:tr>
        <w:trPr>
          <w:trHeight w:val="406"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叶晴</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1.73%</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6,442,594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6,442,594</w:t>
            </w:r>
          </w:p>
        </w:tc>
        <w:tc>
          <w:tcPr>
            <w:tcW w:w="135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冯静</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0.96%</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3,569,717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3,569,717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3,569,717</w:t>
            </w:r>
          </w:p>
        </w:tc>
        <w:tc>
          <w:tcPr>
            <w:tcW w:w="135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8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30"/>
              <w:ind w:left="15" w:right="3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8" w:type="dxa"/>
            <w:gridSpan w:val="7"/>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21" w:hRule="exact"/>
        </w:trPr>
        <w:tc>
          <w:tcPr>
            <w:tcW w:w="28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5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8" w:type="dxa"/>
            <w:gridSpan w:val="7"/>
            <w:tcBorders>
              <w:top w:val="single" w:sz="6" w:space="0" w:color="000000"/>
              <w:left w:val="single" w:sz="12" w:space="0" w:color="000000"/>
              <w:bottom w:val="single" w:sz="6" w:space="0" w:color="000000"/>
              <w:right w:val="single" w:sz="6" w:space="0" w:color="000000"/>
            </w:tcBorders>
          </w:tcPr>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、广东省绿色金融投资控股集团有限公司持有深圳市聚智通信息技术有限公司</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100%</w:t>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、未知上述股东之间是否存在其他关联关系，也未知是否属于一致行动人。</w:t>
            </w: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5"/>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3" w:hRule="exact"/>
        </w:trPr>
        <w:tc>
          <w:tcPr>
            <w:tcW w:w="2884"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3995" w:type="dxa"/>
            <w:gridSpan w:val="5"/>
            <w:tcBorders>
              <w:top w:val="single" w:sz="6" w:space="0" w:color="000000"/>
              <w:left w:val="single" w:sz="6" w:space="0" w:color="000000"/>
              <w:bottom w:val="nil" w:sz="6" w:space="0" w:color="auto"/>
              <w:right w:val="single" w:sz="6" w:space="0" w:color="000000"/>
            </w:tcBorders>
            <w:shd w:val="clear" w:color="auto" w:fill="D2D2D2"/>
          </w:tcPr>
          <w:p>
            <w:pPr/>
          </w:p>
        </w:tc>
        <w:tc>
          <w:tcPr>
            <w:tcW w:w="270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80" w:hRule="exact"/>
        </w:trPr>
        <w:tc>
          <w:tcPr>
            <w:tcW w:w="2884"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gridSpan w:val="5"/>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4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3" w:type="dxa"/>
            <w:gridSpan w:val="2"/>
            <w:vMerge/>
            <w:tcBorders>
              <w:left w:val="single" w:sz="6" w:space="0" w:color="000000"/>
              <w:bottom w:val="single" w:sz="6" w:space="0" w:color="000000"/>
              <w:right w:val="single" w:sz="6" w:space="0" w:color="000000"/>
            </w:tcBorders>
            <w:shd w:val="clear" w:color="auto" w:fill="D2D2D2"/>
          </w:tcPr>
          <w:p>
            <w:pPr/>
          </w:p>
        </w:tc>
      </w:tr>
      <w:tr>
        <w:trPr>
          <w:trHeight w:val="210" w:hRule="exact"/>
        </w:trPr>
        <w:tc>
          <w:tcPr>
            <w:tcW w:w="2884" w:type="dxa"/>
            <w:gridSpan w:val="2"/>
            <w:vMerge/>
            <w:tcBorders>
              <w:left w:val="single" w:sz="6" w:space="0" w:color="000000"/>
              <w:right w:val="single" w:sz="6" w:space="0" w:color="000000"/>
            </w:tcBorders>
            <w:shd w:val="clear" w:color="auto" w:fill="D2D2D2"/>
          </w:tcPr>
          <w:p>
            <w:pPr/>
          </w:p>
        </w:tc>
        <w:tc>
          <w:tcPr>
            <w:tcW w:w="3995" w:type="dxa"/>
            <w:gridSpan w:val="5"/>
            <w:vMerge/>
            <w:tcBorders>
              <w:left w:val="single" w:sz="6" w:space="0" w:color="000000"/>
              <w:bottom w:val="nil" w:sz="6" w:space="0" w:color="auto"/>
              <w:right w:val="single" w:sz="6" w:space="0" w:color="000000"/>
            </w:tcBorders>
            <w:shd w:val="clear" w:color="auto" w:fill="D2D2D2"/>
          </w:tcPr>
          <w:p>
            <w:pPr/>
          </w:p>
        </w:tc>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3" w:hRule="exact"/>
        </w:trPr>
        <w:tc>
          <w:tcPr>
            <w:tcW w:w="2884" w:type="dxa"/>
            <w:gridSpan w:val="2"/>
            <w:vMerge/>
            <w:tcBorders>
              <w:left w:val="single" w:sz="6" w:space="0" w:color="000000"/>
              <w:bottom w:val="single" w:sz="6" w:space="0" w:color="000000"/>
              <w:right w:val="single" w:sz="6" w:space="0" w:color="000000"/>
            </w:tcBorders>
            <w:shd w:val="clear" w:color="auto" w:fill="D2D2D2"/>
          </w:tcPr>
          <w:p>
            <w:pPr/>
          </w:p>
        </w:tc>
        <w:tc>
          <w:tcPr>
            <w:tcW w:w="3995" w:type="dxa"/>
            <w:gridSpan w:val="5"/>
            <w:tcBorders>
              <w:top w:val="nil" w:sz="6" w:space="0" w:color="auto"/>
              <w:left w:val="single" w:sz="6" w:space="0" w:color="000000"/>
              <w:bottom w:val="single" w:sz="6" w:space="0" w:color="000000"/>
              <w:right w:val="single" w:sz="6" w:space="0" w:color="000000"/>
            </w:tcBorders>
            <w:shd w:val="clear" w:color="auto" w:fill="D2D2D2"/>
          </w:tcPr>
          <w:p>
            <w:pPr/>
          </w:p>
        </w:tc>
        <w:tc>
          <w:tcPr>
            <w:tcW w:w="1352" w:type="dxa"/>
            <w:vMerge/>
            <w:tcBorders>
              <w:left w:val="single" w:sz="6" w:space="0" w:color="000000"/>
              <w:bottom w:val="single" w:sz="6" w:space="0" w:color="000000"/>
              <w:right w:val="single" w:sz="6" w:space="0" w:color="000000"/>
            </w:tcBorders>
            <w:shd w:val="clear" w:color="auto" w:fill="D2D2D2"/>
          </w:tcPr>
          <w:p>
            <w:pPr/>
          </w:p>
        </w:tc>
        <w:tc>
          <w:tcPr>
            <w:tcW w:w="1352"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51"/>
              <w:jc w:val="left"/>
              <w:rPr>
                <w:rFonts w:ascii="宋体" w:hAnsi="宋体" w:cs="宋体" w:eastAsia="宋体" w:hint="default"/>
                <w:sz w:val="18"/>
                <w:szCs w:val="18"/>
              </w:rPr>
            </w:pPr>
            <w:r>
              <w:rPr>
                <w:rFonts w:ascii="宋体" w:hAnsi="宋体" w:cs="宋体" w:eastAsia="宋体" w:hint="default"/>
                <w:sz w:val="18"/>
                <w:szCs w:val="18"/>
              </w:rPr>
              <w:t>广东省绿色金融投资控股集团有限 公司</w:t>
            </w:r>
          </w:p>
        </w:tc>
        <w:tc>
          <w:tcPr>
            <w:tcW w:w="39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20,066,931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20,066,931</w:t>
            </w:r>
          </w:p>
        </w:tc>
      </w:tr>
      <w:tr>
        <w:trPr>
          <w:trHeight w:val="405"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39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19,743,607</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19,743,607</w:t>
            </w:r>
          </w:p>
        </w:tc>
      </w:tr>
      <w:tr>
        <w:trPr>
          <w:trHeight w:val="390"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浙江浙商创业投资股份有限公司</w:t>
            </w:r>
          </w:p>
        </w:tc>
        <w:tc>
          <w:tcPr>
            <w:tcW w:w="39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17,915,938</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17,915,938</w:t>
            </w:r>
          </w:p>
        </w:tc>
      </w:tr>
      <w:tr>
        <w:trPr>
          <w:trHeight w:val="405"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39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17,899,892</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17,899,892</w:t>
            </w:r>
          </w:p>
        </w:tc>
      </w:tr>
      <w:tr>
        <w:trPr>
          <w:trHeight w:val="406"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39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6,469,491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6,469,491</w:t>
            </w:r>
          </w:p>
        </w:tc>
      </w:tr>
      <w:tr>
        <w:trPr>
          <w:trHeight w:val="405"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叶晴</w:t>
            </w:r>
          </w:p>
        </w:tc>
        <w:tc>
          <w:tcPr>
            <w:tcW w:w="39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6,442,594</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6,442,594</w:t>
            </w:r>
          </w:p>
        </w:tc>
      </w:tr>
      <w:tr>
        <w:trPr>
          <w:trHeight w:val="406"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9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5,347,226</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5,347,226</w:t>
            </w:r>
          </w:p>
        </w:tc>
      </w:tr>
      <w:tr>
        <w:trPr>
          <w:trHeight w:val="390"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39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5,229,350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5,229,350</w:t>
            </w:r>
          </w:p>
        </w:tc>
      </w:tr>
      <w:tr>
        <w:trPr>
          <w:trHeight w:val="406"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冯静</w:t>
            </w:r>
          </w:p>
        </w:tc>
        <w:tc>
          <w:tcPr>
            <w:tcW w:w="39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3,569,717</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3,569,717</w:t>
            </w:r>
          </w:p>
        </w:tc>
      </w:tr>
      <w:tr>
        <w:trPr>
          <w:trHeight w:val="405"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吴娟</w:t>
            </w:r>
          </w:p>
        </w:tc>
        <w:tc>
          <w:tcPr>
            <w:tcW w:w="399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3,155,344</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3,155,344</w:t>
            </w:r>
          </w:p>
        </w:tc>
      </w:tr>
      <w:tr>
        <w:trPr>
          <w:trHeight w:val="1336" w:hRule="exact"/>
        </w:trPr>
        <w:tc>
          <w:tcPr>
            <w:tcW w:w="28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4" w:lineRule="auto" w:before="51"/>
              <w:ind w:left="15" w:right="14"/>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、广东省绿色金融投资控股集团有限公司持有深圳市聚智通信息技术有限公司</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100%</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、未知上述股东之间是否存在其他关联关系，也未知是否属于一致行动人。</w:t>
            </w:r>
          </w:p>
        </w:tc>
      </w:tr>
      <w:tr>
        <w:trPr>
          <w:trHeight w:val="706" w:hRule="exact"/>
        </w:trPr>
        <w:tc>
          <w:tcPr>
            <w:tcW w:w="28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6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9"/>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1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96"/>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控股股东性质：地方国有控股</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控股股东类型：法人</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893"/>
        <w:gridCol w:w="1937"/>
        <w:gridCol w:w="1922"/>
      </w:tblGrid>
      <w:tr>
        <w:trPr>
          <w:trHeight w:val="720"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826" w:right="75" w:hanging="751"/>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82"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21" w:lineRule="auto"/>
              <w:ind w:left="15" w:right="165"/>
              <w:jc w:val="left"/>
              <w:rPr>
                <w:rFonts w:ascii="宋体" w:hAnsi="宋体" w:cs="宋体" w:eastAsia="宋体" w:hint="default"/>
                <w:sz w:val="18"/>
                <w:szCs w:val="18"/>
              </w:rPr>
            </w:pPr>
            <w:r>
              <w:rPr>
                <w:rFonts w:ascii="宋体" w:hAnsi="宋体" w:cs="宋体" w:eastAsia="宋体" w:hint="default"/>
                <w:sz w:val="18"/>
                <w:szCs w:val="18"/>
              </w:rPr>
              <w:t>广东省绿色金融投资控 股集团有限公司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吴立扬</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91440114MA59B3CW0J</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0"/>
              <w:ind w:left="30"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企业管理服务</w:t>
            </w:r>
            <w:r>
              <w:rPr>
                <w:rFonts w:ascii="Times New Roman" w:hAnsi="Times New Roman" w:cs="Times New Roman" w:eastAsia="Times New Roman" w:hint="default"/>
                <w:sz w:val="18"/>
                <w:szCs w:val="18"/>
              </w:rPr>
              <w:t>(</w:t>
            </w:r>
            <w:r>
              <w:rPr>
                <w:rFonts w:ascii="宋体" w:hAnsi="宋体" w:cs="宋体" w:eastAsia="宋体" w:hint="default"/>
                <w:sz w:val="18"/>
                <w:szCs w:val="18"/>
              </w:rPr>
              <w:t>涉及许 可经营项目的除外</w:t>
            </w:r>
            <w:r>
              <w:rPr>
                <w:rFonts w:ascii="Times New Roman" w:hAnsi="Times New Roman" w:cs="Times New Roman" w:eastAsia="Times New Roman" w:hint="default"/>
                <w:sz w:val="18"/>
                <w:szCs w:val="18"/>
              </w:rPr>
              <w:t>);</w:t>
            </w:r>
            <w:r>
              <w:rPr>
                <w:rFonts w:ascii="宋体" w:hAnsi="宋体" w:cs="宋体" w:eastAsia="宋体" w:hint="default"/>
                <w:sz w:val="18"/>
                <w:szCs w:val="18"/>
              </w:rPr>
              <w:t>投 资管理服务</w:t>
            </w:r>
            <w:r>
              <w:rPr>
                <w:rFonts w:ascii="Times New Roman" w:hAnsi="Times New Roman" w:cs="Times New Roman" w:eastAsia="Times New Roman" w:hint="default"/>
                <w:sz w:val="18"/>
                <w:szCs w:val="18"/>
              </w:rPr>
              <w:t>;</w:t>
            </w:r>
            <w:r>
              <w:rPr>
                <w:rFonts w:ascii="宋体" w:hAnsi="宋体" w:cs="宋体" w:eastAsia="宋体" w:hint="default"/>
                <w:sz w:val="18"/>
                <w:szCs w:val="18"/>
              </w:rPr>
              <w:t>投资咨询服 务</w:t>
            </w:r>
            <w:r>
              <w:rPr>
                <w:rFonts w:ascii="Times New Roman" w:hAnsi="Times New Roman" w:cs="Times New Roman" w:eastAsia="Times New Roman" w:hint="default"/>
                <w:sz w:val="18"/>
                <w:szCs w:val="18"/>
              </w:rPr>
              <w:t>;</w:t>
            </w:r>
            <w:r>
              <w:rPr>
                <w:rFonts w:ascii="宋体" w:hAnsi="宋体" w:cs="宋体" w:eastAsia="宋体" w:hint="default"/>
                <w:sz w:val="18"/>
                <w:szCs w:val="18"/>
              </w:rPr>
              <w:t>资产管理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不含许可 审批项目</w:t>
            </w:r>
            <w:r>
              <w:rPr>
                <w:rFonts w:ascii="Times New Roman" w:hAnsi="Times New Roman" w:cs="Times New Roman" w:eastAsia="Times New Roman" w:hint="default"/>
                <w:sz w:val="18"/>
                <w:szCs w:val="18"/>
              </w:rPr>
              <w:t>);</w:t>
            </w:r>
            <w:r>
              <w:rPr>
                <w:rFonts w:ascii="宋体" w:hAnsi="宋体" w:cs="宋体" w:eastAsia="宋体" w:hint="default"/>
                <w:sz w:val="18"/>
                <w:szCs w:val="18"/>
              </w:rPr>
              <w:t>企业自有资 金投资</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依法须经批准 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经相关部门批准 后方可开展经营活动</w:t>
            </w:r>
            <w:r>
              <w:rPr>
                <w:rFonts w:ascii="Times New Roman" w:hAnsi="Times New Roman" w:cs="Times New Roman" w:eastAsia="Times New Roman" w:hint="default"/>
                <w:sz w:val="18"/>
                <w:szCs w:val="18"/>
              </w:rPr>
              <w:t>)</w:t>
            </w:r>
          </w:p>
        </w:tc>
      </w:tr>
      <w:tr>
        <w:trPr>
          <w:trHeight w:val="1036"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ind w:right="0"/>
        <w:jc w:val="left"/>
      </w:pPr>
      <w:r>
        <w:rPr/>
        <w:t>控股股东报告期内变更</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广东省绿色金融投资控股集团有限公司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102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44"/>
              <w:ind w:left="15" w:right="-10"/>
              <w:jc w:val="both"/>
              <w:rPr>
                <w:rFonts w:ascii="宋体" w:hAnsi="宋体" w:cs="宋体" w:eastAsia="宋体" w:hint="default"/>
                <w:sz w:val="18"/>
                <w:szCs w:val="18"/>
              </w:rPr>
            </w:pPr>
            <w:r>
              <w:rPr>
                <w:rFonts w:ascii="宋体" w:hAnsi="宋体" w:cs="宋体" w:eastAsia="宋体" w:hint="default"/>
                <w:sz w:val="18"/>
                <w:szCs w:val="18"/>
              </w:rPr>
              <w:t>公告披露网站：巨潮资讯网</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9"/>
                <w:sz w:val="18"/>
                <w:szCs w:val="18"/>
              </w:rPr>
              <w:t>t</w:t>
            </w:r>
            <w:r>
              <w:rPr>
                <w:rFonts w:ascii="Times New Roman" w:hAnsi="Times New Roman" w:cs="Times New Roman" w:eastAsia="Times New Roman" w:hint="default"/>
                <w:spacing w:val="-5"/>
                <w:sz w:val="18"/>
                <w:szCs w:val="18"/>
              </w:rPr>
              <w:t>t</w:t>
            </w:r>
            <w:r>
              <w:rPr>
                <w:rFonts w:ascii="Times New Roman" w:hAnsi="Times New Roman" w:cs="Times New Roman" w:eastAsia="Times New Roman" w:hint="default"/>
                <w:spacing w:val="14"/>
                <w:sz w:val="18"/>
                <w:szCs w:val="18"/>
              </w:rPr>
              <w:t>p</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 </w:t>
            </w:r>
            <w:hyperlink r:id="rId11">
              <w:r>
                <w:rPr>
                  <w:rFonts w:ascii="Times New Roman" w:hAnsi="Times New Roman" w:cs="Times New Roman" w:eastAsia="Times New Roman" w:hint="default"/>
                  <w:spacing w:val="4"/>
                  <w:w w:val="99"/>
                  <w:sz w:val="18"/>
                  <w:szCs w:val="18"/>
                </w:rPr>
                <w:t>ww</w:t>
              </w:r>
              <w:r>
                <w:rPr>
                  <w:rFonts w:ascii="Times New Roman" w:hAnsi="Times New Roman" w:cs="Times New Roman" w:eastAsia="Times New Roman" w:hint="default"/>
                  <w:spacing w:val="-10"/>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5"/>
                  <w:sz w:val="18"/>
                  <w:szCs w:val="18"/>
                </w:rPr>
                <w:t>i</w:t>
              </w:r>
              <w:r>
                <w:rPr>
                  <w:rFonts w:ascii="Times New Roman" w:hAnsi="Times New Roman" w:cs="Times New Roman" w:eastAsia="Times New Roman" w:hint="default"/>
                  <w:sz w:val="18"/>
                  <w:szCs w:val="18"/>
                </w:rPr>
                <w:t>nfo.</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5"/>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；公</w:t>
            </w:r>
            <w:r>
              <w:rPr>
                <w:rFonts w:ascii="宋体" w:hAnsi="宋体" w:cs="宋体" w:eastAsia="宋体" w:hint="default"/>
                <w:sz w:val="18"/>
                <w:szCs w:val="18"/>
              </w:rPr>
              <w:t> 告披露编号</w:t>
            </w:r>
            <w:r>
              <w:rPr>
                <w:rFonts w:ascii="宋体" w:hAnsi="宋体" w:cs="宋体" w:eastAsia="宋体" w:hint="default"/>
                <w:spacing w:val="-14"/>
                <w:sz w:val="18"/>
                <w:szCs w:val="18"/>
              </w:rPr>
              <w:t>：</w:t>
            </w:r>
            <w:r>
              <w:rPr>
                <w:rFonts w:ascii="Times New Roman" w:hAnsi="Times New Roman" w:cs="Times New Roman" w:eastAsia="Times New Roman" w:hint="default"/>
                <w:sz w:val="18"/>
                <w:szCs w:val="18"/>
              </w:rPr>
              <w:t>2019-013 </w:t>
            </w:r>
            <w:r>
              <w:rPr>
                <w:rFonts w:ascii="宋体" w:hAnsi="宋体" w:cs="宋体" w:eastAsia="宋体" w:hint="default"/>
                <w:sz w:val="18"/>
                <w:szCs w:val="18"/>
              </w:rPr>
              <w:t>号</w:t>
            </w:r>
            <w:r>
              <w:rPr>
                <w:rFonts w:ascii="宋体" w:hAnsi="宋体" w:cs="宋体" w:eastAsia="宋体" w:hint="default"/>
                <w:spacing w:val="-15"/>
                <w:sz w:val="18"/>
                <w:szCs w:val="18"/>
              </w:rPr>
              <w:t>。</w:t>
            </w:r>
            <w:r>
              <w:rPr>
                <w:rFonts w:ascii="宋体" w:hAnsi="宋体" w:cs="宋体" w:eastAsia="宋体" w:hint="default"/>
                <w:sz w:val="18"/>
                <w:szCs w:val="18"/>
              </w:rPr>
              <w:t>公告名称</w:t>
            </w:r>
            <w:r>
              <w:rPr>
                <w:rFonts w:ascii="宋体" w:hAnsi="宋体" w:cs="宋体" w:eastAsia="宋体" w:hint="default"/>
                <w:spacing w:val="-105"/>
                <w:sz w:val="18"/>
                <w:szCs w:val="18"/>
              </w:rPr>
              <w:t>：</w:t>
            </w:r>
            <w:r>
              <w:rPr>
                <w:rFonts w:ascii="宋体" w:hAnsi="宋体" w:cs="宋体" w:eastAsia="宋体" w:hint="default"/>
                <w:sz w:val="18"/>
                <w:szCs w:val="18"/>
              </w:rPr>
              <w:t>《深圳市普路通供应链</w:t>
            </w:r>
            <w:r>
              <w:rPr>
                <w:rFonts w:ascii="宋体" w:hAnsi="宋体" w:cs="宋体" w:eastAsia="宋体" w:hint="default"/>
                <w:sz w:val="18"/>
                <w:szCs w:val="18"/>
              </w:rPr>
              <w:t> 管理股份有限公司关于公司控制权发生变更的提示性公告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4"/>
          <w:szCs w:val="24"/>
        </w:rPr>
      </w:pPr>
    </w:p>
    <w:p>
      <w:pPr>
        <w:pStyle w:val="BodyText"/>
        <w:spacing w:line="367" w:lineRule="auto" w:before="0"/>
        <w:ind w:right="7869"/>
        <w:jc w:val="left"/>
      </w:pPr>
      <w:r>
        <w:rPr/>
        <w:t>实际控制人性质：地方国资管理机构 实际控制人类型：法人</w:t>
      </w:r>
    </w:p>
    <w:tbl>
      <w:tblPr>
        <w:tblW w:w="0" w:type="auto"/>
        <w:jc w:val="left"/>
        <w:tblInd w:w="126" w:type="dxa"/>
        <w:tblLayout w:type="fixed"/>
        <w:tblCellMar>
          <w:top w:w="0" w:type="dxa"/>
          <w:left w:w="0" w:type="dxa"/>
          <w:bottom w:w="0" w:type="dxa"/>
          <w:right w:w="0" w:type="dxa"/>
        </w:tblCellMar>
        <w:tblLook w:val="01E0"/>
      </w:tblPr>
      <w:tblGrid>
        <w:gridCol w:w="1997"/>
        <w:gridCol w:w="1832"/>
        <w:gridCol w:w="1893"/>
        <w:gridCol w:w="1937"/>
        <w:gridCol w:w="1922"/>
      </w:tblGrid>
      <w:tr>
        <w:trPr>
          <w:trHeight w:val="720"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826" w:right="75" w:hanging="751"/>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6"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广州市人民政府</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3"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国有资产管理</w:t>
            </w:r>
          </w:p>
        </w:tc>
      </w:tr>
      <w:tr>
        <w:trPr>
          <w:trHeight w:val="1021"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9"/>
        <w:ind w:right="0"/>
        <w:jc w:val="left"/>
      </w:pPr>
      <w:r>
        <w:rPr/>
        <w:t>实际控制人报告期内变更</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广州市人民政府</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67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left="15" w:right="13"/>
              <w:jc w:val="left"/>
              <w:rPr>
                <w:rFonts w:ascii="宋体" w:hAnsi="宋体" w:cs="宋体" w:eastAsia="宋体" w:hint="default"/>
                <w:sz w:val="18"/>
                <w:szCs w:val="18"/>
              </w:rPr>
            </w:pPr>
            <w:r>
              <w:rPr>
                <w:rFonts w:ascii="宋体" w:hAnsi="宋体" w:cs="宋体" w:eastAsia="宋体" w:hint="default"/>
                <w:sz w:val="18"/>
                <w:szCs w:val="18"/>
              </w:rPr>
              <w:t>公告披露网站：巨潮资讯网</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9"/>
                <w:sz w:val="18"/>
                <w:szCs w:val="18"/>
              </w:rPr>
              <w:t>t</w:t>
            </w:r>
            <w:r>
              <w:rPr>
                <w:rFonts w:ascii="Times New Roman" w:hAnsi="Times New Roman" w:cs="Times New Roman" w:eastAsia="Times New Roman" w:hint="default"/>
                <w:spacing w:val="-5"/>
                <w:sz w:val="18"/>
                <w:szCs w:val="18"/>
              </w:rPr>
              <w:t>t</w:t>
            </w:r>
            <w:r>
              <w:rPr>
                <w:rFonts w:ascii="Times New Roman" w:hAnsi="Times New Roman" w:cs="Times New Roman" w:eastAsia="Times New Roman" w:hint="default"/>
                <w:spacing w:val="14"/>
                <w:sz w:val="18"/>
                <w:szCs w:val="18"/>
              </w:rPr>
              <w:t>p</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 </w:t>
            </w:r>
            <w:hyperlink r:id="rId11">
              <w:r>
                <w:rPr>
                  <w:rFonts w:ascii="Times New Roman" w:hAnsi="Times New Roman" w:cs="Times New Roman" w:eastAsia="Times New Roman" w:hint="default"/>
                  <w:spacing w:val="4"/>
                  <w:w w:val="99"/>
                  <w:sz w:val="18"/>
                  <w:szCs w:val="18"/>
                </w:rPr>
                <w:t>ww</w:t>
              </w:r>
              <w:r>
                <w:rPr>
                  <w:rFonts w:ascii="Times New Roman" w:hAnsi="Times New Roman" w:cs="Times New Roman" w:eastAsia="Times New Roman" w:hint="default"/>
                  <w:spacing w:val="-10"/>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5"/>
                  <w:sz w:val="18"/>
                  <w:szCs w:val="18"/>
                </w:rPr>
                <w:t>i</w:t>
              </w:r>
              <w:r>
                <w:rPr>
                  <w:rFonts w:ascii="Times New Roman" w:hAnsi="Times New Roman" w:cs="Times New Roman" w:eastAsia="Times New Roman" w:hint="default"/>
                  <w:sz w:val="18"/>
                  <w:szCs w:val="18"/>
                </w:rPr>
                <w:t>nfo.</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5"/>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；公</w:t>
            </w:r>
            <w:r>
              <w:rPr>
                <w:rFonts w:ascii="宋体" w:hAnsi="宋体" w:cs="宋体" w:eastAsia="宋体" w:hint="default"/>
                <w:sz w:val="18"/>
                <w:szCs w:val="18"/>
              </w:rPr>
              <w:t> 告披露编号</w:t>
            </w:r>
            <w:r>
              <w:rPr>
                <w:rFonts w:ascii="宋体" w:hAnsi="宋体" w:cs="宋体" w:eastAsia="宋体" w:hint="default"/>
                <w:spacing w:val="-14"/>
                <w:sz w:val="18"/>
                <w:szCs w:val="18"/>
              </w:rPr>
              <w:t>：</w:t>
            </w:r>
            <w:r>
              <w:rPr>
                <w:rFonts w:ascii="Times New Roman" w:hAnsi="Times New Roman" w:cs="Times New Roman" w:eastAsia="Times New Roman" w:hint="default"/>
                <w:sz w:val="18"/>
                <w:szCs w:val="18"/>
              </w:rPr>
              <w:t>2019-013 </w:t>
            </w:r>
            <w:r>
              <w:rPr>
                <w:rFonts w:ascii="宋体" w:hAnsi="宋体" w:cs="宋体" w:eastAsia="宋体" w:hint="default"/>
                <w:sz w:val="18"/>
                <w:szCs w:val="18"/>
              </w:rPr>
              <w:t>号</w:t>
            </w:r>
            <w:r>
              <w:rPr>
                <w:rFonts w:ascii="宋体" w:hAnsi="宋体" w:cs="宋体" w:eastAsia="宋体" w:hint="default"/>
                <w:spacing w:val="-15"/>
                <w:sz w:val="18"/>
                <w:szCs w:val="18"/>
              </w:rPr>
              <w:t>。</w:t>
            </w:r>
            <w:r>
              <w:rPr>
                <w:rFonts w:ascii="宋体" w:hAnsi="宋体" w:cs="宋体" w:eastAsia="宋体" w:hint="default"/>
                <w:sz w:val="18"/>
                <w:szCs w:val="18"/>
              </w:rPr>
              <w:t>公告名称</w:t>
            </w:r>
            <w:r>
              <w:rPr>
                <w:rFonts w:ascii="宋体" w:hAnsi="宋体" w:cs="宋体" w:eastAsia="宋体" w:hint="default"/>
                <w:spacing w:val="-105"/>
                <w:sz w:val="18"/>
                <w:szCs w:val="18"/>
              </w:rPr>
              <w:t>：</w:t>
            </w:r>
            <w:r>
              <w:rPr>
                <w:rFonts w:ascii="宋体" w:hAnsi="宋体" w:cs="宋体" w:eastAsia="宋体" w:hint="default"/>
                <w:sz w:val="18"/>
                <w:szCs w:val="18"/>
              </w:rPr>
              <w:t>《深圳市普路</w:t>
            </w:r>
            <w:r>
              <w:rPr>
                <w:rFonts w:ascii="宋体" w:hAnsi="宋体" w:cs="宋体" w:eastAsia="宋体" w:hint="default"/>
                <w:spacing w:val="2"/>
                <w:sz w:val="18"/>
                <w:szCs w:val="18"/>
              </w:rPr>
              <w:t>通</w:t>
            </w:r>
            <w:r>
              <w:rPr>
                <w:rFonts w:ascii="宋体" w:hAnsi="宋体" w:cs="宋体" w:eastAsia="宋体" w:hint="default"/>
                <w:sz w:val="18"/>
                <w:szCs w:val="18"/>
              </w:rPr>
              <w:t>供应链</w:t>
            </w:r>
          </w:p>
        </w:tc>
      </w:tr>
    </w:tbl>
    <w:p>
      <w:pPr>
        <w:spacing w:after="0" w:line="288"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6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10"/>
              <w:jc w:val="left"/>
              <w:rPr>
                <w:rFonts w:ascii="宋体" w:hAnsi="宋体" w:cs="宋体" w:eastAsia="宋体" w:hint="default"/>
                <w:sz w:val="18"/>
                <w:szCs w:val="18"/>
              </w:rPr>
            </w:pPr>
            <w:r>
              <w:rPr>
                <w:rFonts w:ascii="宋体" w:hAnsi="宋体" w:cs="宋体" w:eastAsia="宋体" w:hint="default"/>
                <w:sz w:val="18"/>
                <w:szCs w:val="18"/>
              </w:rPr>
              <w:t>管理股份有限公司关于公司控制权发生变更的提示性公告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bl>
    <w:p>
      <w:pPr>
        <w:pStyle w:val="BodyText"/>
        <w:spacing w:line="240" w:lineRule="auto"/>
        <w:ind w:right="0"/>
        <w:jc w:val="left"/>
      </w:pPr>
      <w:r>
        <w:rPr/>
        <w:t>公司与实际控制人之间的产权及控制关系的方框图</w:t>
      </w:r>
    </w:p>
    <w:p>
      <w:pPr>
        <w:spacing w:line="240" w:lineRule="auto" w:before="2"/>
        <w:rPr>
          <w:rFonts w:ascii="宋体" w:hAnsi="宋体" w:cs="宋体" w:eastAsia="宋体" w:hint="default"/>
          <w:sz w:val="23"/>
          <w:szCs w:val="23"/>
        </w:rPr>
      </w:pPr>
    </w:p>
    <w:p>
      <w:pPr>
        <w:spacing w:line="3990" w:lineRule="exact"/>
        <w:ind w:left="1340"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4591050" cy="25336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1050" cy="2533650"/>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10"/>
        <w:rPr>
          <w:rFonts w:ascii="宋体" w:hAnsi="宋体" w:cs="宋体" w:eastAsia="宋体" w:hint="default"/>
          <w:sz w:val="15"/>
          <w:szCs w:val="15"/>
        </w:rPr>
      </w:pPr>
    </w:p>
    <w:p>
      <w:pPr>
        <w:spacing w:before="0"/>
        <w:ind w:left="141"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8"/>
          <w:szCs w:val="1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355" w:right="0"/>
        <w:jc w:val="left"/>
        <w:rPr>
          <w:b w:val="0"/>
          <w:bCs w:val="0"/>
        </w:rPr>
      </w:pPr>
      <w:bookmarkStart w:name="第七节优先股相关情况" w:id="116"/>
      <w:bookmarkEnd w:id="116"/>
      <w:r>
        <w:rPr>
          <w:b w:val="0"/>
          <w:bCs w:val="0"/>
        </w:rPr>
      </w:r>
      <w:bookmarkStart w:name="_bookmark6" w:id="117"/>
      <w:bookmarkEnd w:id="117"/>
      <w:r>
        <w:rPr>
          <w:b w:val="0"/>
          <w:bCs w:val="0"/>
        </w:rPr>
      </w:r>
      <w:r>
        <w:rPr>
          <w:spacing w:val="5"/>
        </w:rPr>
        <w:t>第七节优先股相关情况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3" w:lineRule="auto"/>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报告期公司不存在优先股。</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09" w:right="0"/>
        <w:jc w:val="left"/>
        <w:rPr>
          <w:b w:val="0"/>
          <w:bCs w:val="0"/>
        </w:rPr>
      </w:pPr>
      <w:bookmarkStart w:name="第八节可转换公司债券相关情况" w:id="118"/>
      <w:bookmarkEnd w:id="118"/>
      <w:r>
        <w:rPr>
          <w:b w:val="0"/>
          <w:bCs w:val="0"/>
        </w:rPr>
      </w:r>
      <w:bookmarkStart w:name="_bookmark7" w:id="119"/>
      <w:bookmarkEnd w:id="119"/>
      <w:r>
        <w:rPr>
          <w:b w:val="0"/>
          <w:bCs w:val="0"/>
        </w:rPr>
      </w:r>
      <w:r>
        <w:rPr>
          <w:spacing w:val="5"/>
        </w:rPr>
        <w:t>第八节可转换公司债券相关情况</w:t>
      </w:r>
      <w:r>
        <w:rPr>
          <w:b w:val="0"/>
          <w:bCs w:val="0"/>
          <w:spacing w:val="5"/>
        </w:rPr>
      </w:r>
    </w:p>
    <w:p>
      <w:pPr>
        <w:spacing w:line="240" w:lineRule="auto" w:before="7"/>
        <w:rPr>
          <w:rFonts w:ascii="宋体" w:hAnsi="宋体" w:cs="宋体" w:eastAsia="宋体" w:hint="default"/>
          <w:b/>
          <w:bCs/>
          <w:sz w:val="42"/>
          <w:szCs w:val="42"/>
        </w:rPr>
      </w:pPr>
    </w:p>
    <w:p>
      <w:pPr>
        <w:pStyle w:val="BodyText"/>
        <w:spacing w:line="333" w:lineRule="auto" w:before="0"/>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报告期公司不存在可转换公司债券。</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748" w:right="0"/>
        <w:jc w:val="left"/>
        <w:rPr>
          <w:b w:val="0"/>
          <w:bCs w:val="0"/>
        </w:rPr>
      </w:pPr>
      <w:bookmarkStart w:name="第九节董事、监事、高级管理人员和员工情况" w:id="120"/>
      <w:bookmarkEnd w:id="120"/>
      <w:r>
        <w:rPr>
          <w:b w:val="0"/>
          <w:bCs w:val="0"/>
        </w:rPr>
      </w:r>
      <w:bookmarkStart w:name="_bookmark8" w:id="121"/>
      <w:bookmarkEnd w:id="121"/>
      <w:r>
        <w:rPr>
          <w:b w:val="0"/>
          <w:bCs w:val="0"/>
        </w:rPr>
      </w:r>
      <w:r>
        <w:rPr>
          <w:spacing w:val="5"/>
        </w:rPr>
        <w:t>第九节董事、监事、高级管理人员和员工情况</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29" w:right="2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 w:right="4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31"/>
              <w:ind w:left="1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1"/>
                <w:sz w:val="18"/>
                <w:szCs w:val="18"/>
              </w:rPr>
              <w:t>变动（股）</w:t>
            </w:r>
            <w:r>
              <w:rPr>
                <w:rFonts w:ascii="宋体" w:hAnsi="宋体" w:cs="宋体" w:eastAsia="宋体" w:hint="default"/>
                <w:sz w:val="18"/>
                <w:szCs w:val="18"/>
              </w:rPr>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4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吴立扬</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胡仲亮</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葛昱康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25,877,96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25,877,96</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29"/>
              <w:jc w:val="both"/>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20,917,40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20,917,40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彭燎原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张俊生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梅方飞</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余海星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675"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江虹</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6,700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23,300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30,000</w:t>
            </w:r>
          </w:p>
        </w:tc>
      </w:tr>
      <w:tr>
        <w:trPr>
          <w:trHeight w:val="103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11,107,70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2,776,000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8,331,701</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康海文</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233,860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233,860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181,041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181,041</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29"/>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176,572</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176,572</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91,666,49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20,066,93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71,599,56</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21,388,90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21,388,90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程明伟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30" w:right="29"/>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张昕</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66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涂万林</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360"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171,556,6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23,300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22,842,93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148,737,0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09</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337"/>
        <w:gridCol w:w="1322"/>
        <w:gridCol w:w="1337"/>
        <w:gridCol w:w="1336"/>
        <w:gridCol w:w="4250"/>
      </w:tblGrid>
      <w:tr>
        <w:trPr>
          <w:trHeight w:val="405"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姓名</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日期</w:t>
            </w:r>
          </w:p>
        </w:tc>
        <w:tc>
          <w:tcPr>
            <w:tcW w:w="42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8"/>
              <w:jc w:val="left"/>
              <w:rPr>
                <w:rFonts w:ascii="宋体" w:hAnsi="宋体" w:cs="宋体" w:eastAsia="宋体" w:hint="default"/>
                <w:sz w:val="18"/>
                <w:szCs w:val="18"/>
              </w:rPr>
            </w:pPr>
            <w:r>
              <w:rPr>
                <w:rFonts w:ascii="宋体" w:hAnsi="宋体" w:cs="宋体" w:eastAsia="宋体" w:hint="default"/>
                <w:sz w:val="18"/>
                <w:szCs w:val="18"/>
              </w:rPr>
              <w:t>公司控股股东、实际控制人发生变更，董事会成员进 行改选。</w:t>
            </w:r>
          </w:p>
        </w:tc>
      </w:tr>
      <w:tr>
        <w:trPr>
          <w:trHeight w:val="72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8"/>
              <w:jc w:val="left"/>
              <w:rPr>
                <w:rFonts w:ascii="宋体" w:hAnsi="宋体" w:cs="宋体" w:eastAsia="宋体" w:hint="default"/>
                <w:sz w:val="18"/>
                <w:szCs w:val="18"/>
              </w:rPr>
            </w:pPr>
            <w:r>
              <w:rPr>
                <w:rFonts w:ascii="宋体" w:hAnsi="宋体" w:cs="宋体" w:eastAsia="宋体" w:hint="default"/>
                <w:sz w:val="18"/>
                <w:szCs w:val="18"/>
              </w:rPr>
              <w:t>公司控股股东、实际控制人发生变更，董事会成员进 行改选。</w:t>
            </w:r>
          </w:p>
        </w:tc>
      </w:tr>
      <w:tr>
        <w:trPr>
          <w:trHeight w:val="7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8"/>
              <w:jc w:val="left"/>
              <w:rPr>
                <w:rFonts w:ascii="宋体" w:hAnsi="宋体" w:cs="宋体" w:eastAsia="宋体" w:hint="default"/>
                <w:sz w:val="18"/>
                <w:szCs w:val="18"/>
              </w:rPr>
            </w:pPr>
            <w:r>
              <w:rPr>
                <w:rFonts w:ascii="宋体" w:hAnsi="宋体" w:cs="宋体" w:eastAsia="宋体" w:hint="default"/>
                <w:sz w:val="18"/>
                <w:szCs w:val="18"/>
              </w:rPr>
              <w:t>公司控股股东、实际控制人发生变更，董事会成员进 行改选。</w:t>
            </w:r>
          </w:p>
        </w:tc>
      </w:tr>
      <w:tr>
        <w:trPr>
          <w:trHeight w:val="720"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3"/>
              <w:jc w:val="left"/>
              <w:rPr>
                <w:rFonts w:ascii="宋体" w:hAnsi="宋体" w:cs="宋体" w:eastAsia="宋体" w:hint="default"/>
                <w:sz w:val="18"/>
                <w:szCs w:val="18"/>
              </w:rPr>
            </w:pPr>
            <w:r>
              <w:rPr>
                <w:rFonts w:ascii="宋体" w:hAnsi="宋体" w:cs="宋体" w:eastAsia="宋体" w:hint="default"/>
                <w:sz w:val="18"/>
                <w:szCs w:val="18"/>
              </w:rPr>
              <w:t>公司控股股东、实际控制人发生变更，董事会成员进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行改选。</w:t>
            </w:r>
          </w:p>
        </w:tc>
      </w:tr>
      <w:tr>
        <w:trPr>
          <w:trHeight w:val="72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程明伟</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8"/>
              <w:jc w:val="left"/>
              <w:rPr>
                <w:rFonts w:ascii="宋体" w:hAnsi="宋体" w:cs="宋体" w:eastAsia="宋体" w:hint="default"/>
                <w:sz w:val="18"/>
                <w:szCs w:val="18"/>
              </w:rPr>
            </w:pPr>
            <w:r>
              <w:rPr>
                <w:rFonts w:ascii="宋体" w:hAnsi="宋体" w:cs="宋体" w:eastAsia="宋体" w:hint="default"/>
                <w:sz w:val="18"/>
                <w:szCs w:val="18"/>
              </w:rPr>
              <w:t>公司控股股东、实际控制人发生变更，监事会成员进 行改选。</w:t>
            </w:r>
          </w:p>
        </w:tc>
      </w:tr>
      <w:tr>
        <w:trPr>
          <w:trHeight w:val="7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张昕</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8"/>
              <w:jc w:val="left"/>
              <w:rPr>
                <w:rFonts w:ascii="宋体" w:hAnsi="宋体" w:cs="宋体" w:eastAsia="宋体" w:hint="default"/>
                <w:sz w:val="18"/>
                <w:szCs w:val="18"/>
              </w:rPr>
            </w:pPr>
            <w:r>
              <w:rPr>
                <w:rFonts w:ascii="宋体" w:hAnsi="宋体" w:cs="宋体" w:eastAsia="宋体" w:hint="default"/>
                <w:sz w:val="18"/>
                <w:szCs w:val="18"/>
              </w:rPr>
              <w:t>公司控股股东、实际控制人发生变更，监事会成员进 行改选。</w:t>
            </w:r>
          </w:p>
        </w:tc>
      </w:tr>
      <w:tr>
        <w:trPr>
          <w:trHeight w:val="72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涂万林</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8"/>
              <w:jc w:val="left"/>
              <w:rPr>
                <w:rFonts w:ascii="宋体" w:hAnsi="宋体" w:cs="宋体" w:eastAsia="宋体" w:hint="default"/>
                <w:sz w:val="18"/>
                <w:szCs w:val="18"/>
              </w:rPr>
            </w:pPr>
            <w:r>
              <w:rPr>
                <w:rFonts w:ascii="宋体" w:hAnsi="宋体" w:cs="宋体" w:eastAsia="宋体" w:hint="default"/>
                <w:sz w:val="18"/>
                <w:szCs w:val="18"/>
              </w:rPr>
              <w:t>公司控股股东、实际控制人发生变更，监事会成员进 行改选。</w:t>
            </w:r>
          </w:p>
        </w:tc>
      </w:tr>
      <w:tr>
        <w:trPr>
          <w:trHeight w:val="7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8"/>
              <w:jc w:val="left"/>
              <w:rPr>
                <w:rFonts w:ascii="宋体" w:hAnsi="宋体" w:cs="宋体" w:eastAsia="宋体" w:hint="default"/>
                <w:sz w:val="18"/>
                <w:szCs w:val="18"/>
              </w:rPr>
            </w:pPr>
            <w:r>
              <w:rPr>
                <w:rFonts w:ascii="宋体" w:hAnsi="宋体" w:cs="宋体" w:eastAsia="宋体" w:hint="default"/>
                <w:sz w:val="18"/>
                <w:szCs w:val="18"/>
              </w:rPr>
              <w:t>公司控股股东、实际控制人发生变更，董事会成员进 行改选。</w:t>
            </w:r>
          </w:p>
        </w:tc>
      </w:tr>
      <w:tr>
        <w:trPr>
          <w:trHeight w:val="72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3"/>
              <w:jc w:val="left"/>
              <w:rPr>
                <w:rFonts w:ascii="宋体" w:hAnsi="宋体" w:cs="宋体" w:eastAsia="宋体" w:hint="default"/>
                <w:sz w:val="18"/>
                <w:szCs w:val="18"/>
              </w:rPr>
            </w:pPr>
            <w:r>
              <w:rPr>
                <w:rFonts w:ascii="宋体" w:hAnsi="宋体" w:cs="宋体" w:eastAsia="宋体" w:hint="default"/>
                <w:sz w:val="18"/>
                <w:szCs w:val="18"/>
              </w:rPr>
              <w:t>公司控股股东、实际控制人发生变更，董事会成员进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行改选。</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三、任职情况" w:id="124"/>
      <w:bookmarkEnd w:id="124"/>
      <w:r>
        <w:rPr>
          <w:b w:val="0"/>
          <w:bCs w:val="0"/>
        </w:rPr>
      </w:r>
      <w:r>
        <w:rPr/>
        <w:t>三、任职情况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pStyle w:val="BodyText"/>
        <w:spacing w:line="312" w:lineRule="auto" w:before="109"/>
        <w:ind w:right="1119"/>
        <w:jc w:val="left"/>
      </w:pPr>
      <w:r>
        <w:rPr/>
        <w:t>（一）董事会成员简介 </w:t>
      </w:r>
      <w:r>
        <w:rPr>
          <w:rFonts w:ascii="Times New Roman" w:hAnsi="Times New Roman" w:cs="Times New Roman" w:eastAsia="Times New Roman" w:hint="default"/>
        </w:rPr>
        <w:t>1</w:t>
      </w:r>
      <w:r>
        <w:rPr/>
        <w:t>、吴立扬女士，</w:t>
      </w:r>
      <w:r>
        <w:rPr>
          <w:rFonts w:ascii="Times New Roman" w:hAnsi="Times New Roman" w:cs="Times New Roman" w:eastAsia="Times New Roman" w:hint="default"/>
        </w:rPr>
        <w:t>1981</w:t>
      </w:r>
      <w:r>
        <w:rPr/>
        <w:t>年出生，中国国籍，中共党员，研究生学历。曾先后任广东省电信实业集团公司会计、广州越秀集团 </w:t>
      </w:r>
      <w:r>
        <w:rPr>
          <w:spacing w:val="-2"/>
        </w:rPr>
        <w:t>有限公司财务部主管、广州市经济贸易委员会审计、华夏银行广州番禺支行行长。现任公司控股股东绿色金控董事长及其关</w:t>
      </w:r>
    </w:p>
    <w:p>
      <w:pPr>
        <w:pStyle w:val="BodyText"/>
        <w:spacing w:line="312" w:lineRule="auto" w:before="11"/>
        <w:ind w:right="0"/>
        <w:jc w:val="left"/>
      </w:pPr>
      <w:r>
        <w:rPr/>
        <w:t>联企业广州金控总经理助理、总法律顾问、公司董事长。 </w:t>
      </w:r>
      <w:r>
        <w:rPr>
          <w:rFonts w:ascii="Times New Roman" w:hAnsi="Times New Roman" w:cs="Times New Roman" w:eastAsia="Times New Roman" w:hint="default"/>
        </w:rPr>
        <w:t>2</w:t>
      </w:r>
      <w:r>
        <w:rPr/>
        <w:t>、金雷先生，</w:t>
      </w:r>
      <w:r>
        <w:rPr>
          <w:rFonts w:ascii="Times New Roman" w:hAnsi="Times New Roman" w:cs="Times New Roman" w:eastAsia="Times New Roman" w:hint="default"/>
        </w:rPr>
        <w:t>1981</w:t>
      </w:r>
      <w:r>
        <w:rPr/>
        <w:t>年出生，中国国籍，中共党员，本科学历。曾先后任中国农业银行支行会计员、主管会计、客户经理、</w:t>
      </w:r>
      <w:r>
        <w:rPr>
          <w:spacing w:val="-80"/>
        </w:rPr>
        <w:t> </w:t>
      </w:r>
      <w:r>
        <w:rPr>
          <w:spacing w:val="-80"/>
        </w:rPr>
      </w:r>
      <w:r>
        <w:rPr>
          <w:spacing w:val="-2"/>
        </w:rPr>
        <w:t>公司部经理、大客户部副总经理，华夏银行广州分行业务部总经理、华夏银行天河支行行长。现任公司控股股东绿色金控董</w:t>
      </w:r>
    </w:p>
    <w:p>
      <w:pPr>
        <w:pStyle w:val="BodyText"/>
        <w:spacing w:line="240" w:lineRule="auto" w:before="26"/>
        <w:ind w:right="0"/>
        <w:jc w:val="left"/>
      </w:pPr>
      <w:r>
        <w:rPr/>
        <w:t>事、总经理及其关联企业广州广花基金管理有限公司董事长、公司副董事长。</w:t>
      </w:r>
    </w:p>
    <w:p>
      <w:pPr>
        <w:pStyle w:val="BodyText"/>
        <w:spacing w:line="297" w:lineRule="auto" w:before="94"/>
        <w:ind w:right="1132"/>
        <w:jc w:val="both"/>
      </w:pPr>
      <w:r>
        <w:rPr>
          <w:rFonts w:ascii="Times New Roman" w:hAnsi="Times New Roman" w:cs="Times New Roman" w:eastAsia="Times New Roman" w:hint="default"/>
        </w:rPr>
        <w:t>3</w:t>
      </w:r>
      <w:r>
        <w:rPr/>
        <w:t>、葛昱康先生，</w:t>
      </w:r>
      <w:r>
        <w:rPr>
          <w:rFonts w:ascii="Times New Roman" w:hAnsi="Times New Roman" w:cs="Times New Roman" w:eastAsia="Times New Roman" w:hint="default"/>
        </w:rPr>
        <w:t>1981</w:t>
      </w:r>
      <w:r>
        <w:rPr/>
        <w:t>年出生，中国国籍，中共党员，研究生学历。曾先后任广州市发展和改革委员会地方金融工作办公室 </w:t>
      </w:r>
      <w:r>
        <w:rPr>
          <w:spacing w:val="-2"/>
        </w:rPr>
        <w:t>副主任科员、广州市人民政府金融工作办公室地方金融发展处、保险处主任科员，广州市人民政府驻北京办事处接待处主任</w:t>
      </w:r>
      <w:r>
        <w:rPr>
          <w:spacing w:val="-75"/>
        </w:rPr>
        <w:t> </w:t>
      </w:r>
      <w:r>
        <w:rPr>
          <w:spacing w:val="-75"/>
        </w:rPr>
      </w:r>
      <w:r>
        <w:rPr/>
        <w:t>科员。现任公司控股股东绿色金控常务副总经理、公司董事。</w:t>
      </w:r>
    </w:p>
    <w:p>
      <w:pPr>
        <w:pStyle w:val="BodyText"/>
        <w:spacing w:line="240" w:lineRule="auto" w:before="51"/>
        <w:ind w:right="0"/>
        <w:jc w:val="left"/>
      </w:pPr>
      <w:r>
        <w:rPr>
          <w:rFonts w:ascii="Times New Roman" w:hAnsi="Times New Roman" w:cs="Times New Roman" w:eastAsia="Times New Roman" w:hint="default"/>
        </w:rPr>
        <w:t>4</w:t>
      </w:r>
      <w:r>
        <w:rPr/>
        <w:t>、胡仲亮先生，</w:t>
      </w:r>
      <w:r>
        <w:rPr>
          <w:rFonts w:ascii="Times New Roman" w:hAnsi="Times New Roman" w:cs="Times New Roman" w:eastAsia="Times New Roman" w:hint="default"/>
        </w:rPr>
        <w:t>1968</w:t>
      </w:r>
      <w:r>
        <w:rPr/>
        <w:t>年出生，中国国籍，中共党员，研究生学历。曾先后任广东广控集团有限公司资产管理部副总、总经</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029"/>
        <w:jc w:val="left"/>
      </w:pPr>
      <w:r>
        <w:rPr/>
        <w:t>理，广州市金燕房地产开发有限公司董事长、惠州春秋工贸开发有限公司执行董事、广州保税区港将发展有限公司董事长、 </w:t>
      </w:r>
      <w:r>
        <w:rPr>
          <w:spacing w:val="-2"/>
        </w:rPr>
        <w:t>深圳航空有限责任公司监事、广东黄金铺集团有限公司副总裁、广东嘉达早教科技股份有限公司监事会主席等。现任公司控</w:t>
      </w:r>
      <w:r>
        <w:rPr>
          <w:spacing w:val="-75"/>
        </w:rPr>
        <w:t> </w:t>
      </w:r>
      <w:r>
        <w:rPr>
          <w:spacing w:val="-75"/>
        </w:rPr>
      </w:r>
      <w:r>
        <w:rPr>
          <w:spacing w:val="-2"/>
        </w:rPr>
        <w:t>股股东绿色金控副总经理及其关联企业广州广花资产管理有限公司执行董事、广州金控花都商业保理有限公司执行董事、公</w:t>
      </w:r>
      <w:r>
        <w:rPr>
          <w:spacing w:val="-72"/>
        </w:rPr>
        <w:t> </w:t>
      </w:r>
      <w:r>
        <w:rPr>
          <w:spacing w:val="-72"/>
        </w:rPr>
      </w:r>
      <w:r>
        <w:rPr/>
        <w:t>司董事。</w:t>
      </w:r>
    </w:p>
    <w:p>
      <w:pPr>
        <w:pStyle w:val="BodyText"/>
        <w:spacing w:line="290" w:lineRule="auto" w:before="37"/>
        <w:ind w:right="0"/>
        <w:jc w:val="left"/>
      </w:pPr>
      <w:r>
        <w:rPr>
          <w:rFonts w:ascii="Times New Roman" w:hAnsi="Times New Roman" w:cs="Times New Roman" w:eastAsia="Times New Roman" w:hint="default"/>
        </w:rPr>
        <w:t>5</w:t>
      </w:r>
      <w:r>
        <w:rPr/>
        <w:t>、张云女士，</w:t>
      </w:r>
      <w:r>
        <w:rPr>
          <w:rFonts w:ascii="Times New Roman" w:hAnsi="Times New Roman" w:cs="Times New Roman" w:eastAsia="Times New Roman" w:hint="default"/>
        </w:rPr>
        <w:t>1973</w:t>
      </w:r>
      <w:r>
        <w:rPr/>
        <w:t>年出生，中国国籍，研究生学历。曾先后任深圳市怡亚通供应链股份有限公司客户服务部经理、上海分 公司总经理、销售中心总经理。现任公司董事、总经理。</w:t>
      </w:r>
    </w:p>
    <w:p>
      <w:pPr>
        <w:pStyle w:val="BodyText"/>
        <w:spacing w:line="297" w:lineRule="auto" w:before="56"/>
        <w:ind w:right="1066"/>
        <w:jc w:val="both"/>
      </w:pPr>
      <w:r>
        <w:rPr>
          <w:rFonts w:ascii="Times New Roman" w:hAnsi="Times New Roman" w:cs="Times New Roman" w:eastAsia="Times New Roman" w:hint="default"/>
          <w:spacing w:val="-2"/>
        </w:rPr>
        <w:t>6</w:t>
      </w:r>
      <w:r>
        <w:rPr>
          <w:spacing w:val="-2"/>
        </w:rPr>
        <w:t>、赵野先生，</w:t>
      </w:r>
      <w:r>
        <w:rPr>
          <w:rFonts w:ascii="Times New Roman" w:hAnsi="Times New Roman" w:cs="Times New Roman" w:eastAsia="Times New Roman" w:hint="default"/>
          <w:spacing w:val="-2"/>
        </w:rPr>
        <w:t>1965</w:t>
      </w:r>
      <w:r>
        <w:rPr>
          <w:spacing w:val="-2"/>
        </w:rPr>
        <w:t>年出生，中国国籍，研究生学历。曾先后任洛阳</w:t>
      </w:r>
      <w:r>
        <w:rPr>
          <w:rFonts w:ascii="Times New Roman" w:hAnsi="Times New Roman" w:cs="Times New Roman" w:eastAsia="Times New Roman" w:hint="default"/>
          <w:spacing w:val="-2"/>
        </w:rPr>
        <w:t>014</w:t>
      </w:r>
      <w:r>
        <w:rPr>
          <w:spacing w:val="-2"/>
        </w:rPr>
        <w:t>中心第二研究室工程师、海南省进出口商品检验局工</w:t>
      </w:r>
      <w:r>
        <w:rPr>
          <w:spacing w:val="-59"/>
        </w:rPr>
        <w:t> </w:t>
      </w:r>
      <w:r>
        <w:rPr>
          <w:spacing w:val="-59"/>
        </w:rPr>
      </w:r>
      <w:r>
        <w:rPr>
          <w:spacing w:val="-2"/>
        </w:rPr>
        <w:t>程师、海南华昌科技开发公司副总经理、上海拓海实业有限公司总经理、深圳市大云实业有限公司总经理、深圳市怡亚通供</w:t>
      </w:r>
      <w:r>
        <w:rPr>
          <w:spacing w:val="-42"/>
        </w:rPr>
        <w:t> </w:t>
      </w:r>
      <w:r>
        <w:rPr>
          <w:spacing w:val="-42"/>
        </w:rPr>
      </w:r>
      <w:r>
        <w:rPr/>
        <w:t>应链股份有限公司销售中心事业三部总经理。现任公司董事、常务副总经理。</w:t>
      </w:r>
    </w:p>
    <w:p>
      <w:pPr>
        <w:pStyle w:val="BodyText"/>
        <w:spacing w:line="309" w:lineRule="auto" w:before="52"/>
        <w:ind w:right="1063"/>
        <w:jc w:val="left"/>
      </w:pPr>
      <w:r>
        <w:rPr>
          <w:rFonts w:ascii="Times New Roman" w:hAnsi="Times New Roman" w:cs="Times New Roman" w:eastAsia="Times New Roman" w:hint="default"/>
          <w:spacing w:val="-5"/>
        </w:rPr>
        <w:t>7</w:t>
      </w:r>
      <w:r>
        <w:rPr>
          <w:spacing w:val="-5"/>
        </w:rPr>
        <w:t>、王苏生先生，</w:t>
      </w:r>
      <w:r>
        <w:rPr>
          <w:rFonts w:ascii="Times New Roman" w:hAnsi="Times New Roman" w:cs="Times New Roman" w:eastAsia="Times New Roman" w:hint="default"/>
          <w:spacing w:val="-5"/>
        </w:rPr>
        <w:t>1969</w:t>
      </w:r>
      <w:r>
        <w:rPr>
          <w:spacing w:val="-5"/>
        </w:rPr>
        <w:t>年出生，中国国籍，法学博士，管理学博士后，中国注册会计师、律师、美国注册金融分析师（</w:t>
      </w:r>
      <w:r>
        <w:rPr>
          <w:rFonts w:ascii="Times New Roman" w:hAnsi="Times New Roman" w:cs="Times New Roman" w:eastAsia="Times New Roman" w:hint="default"/>
          <w:spacing w:val="-5"/>
        </w:rPr>
        <w:t>CFA</w:t>
      </w:r>
      <w:r>
        <w:rPr>
          <w:spacing w:val="-5"/>
        </w:rPr>
        <w:t>）。</w:t>
      </w:r>
      <w:r>
        <w:rPr>
          <w:spacing w:val="-87"/>
        </w:rPr>
        <w:t> </w:t>
      </w:r>
      <w:r>
        <w:rPr>
          <w:spacing w:val="-2"/>
        </w:rPr>
        <w:t>曾先后任君安证券有限公司项目经理，深圳经济特区证券公司国际业务部副总经理、罗湖营业部总经理，英大证券有限责任</w:t>
      </w:r>
      <w:r>
        <w:rPr>
          <w:spacing w:val="-69"/>
        </w:rPr>
        <w:t> </w:t>
      </w:r>
      <w:r>
        <w:rPr>
          <w:spacing w:val="-69"/>
        </w:rPr>
      </w:r>
      <w:r>
        <w:rPr>
          <w:spacing w:val="-2"/>
        </w:rPr>
        <w:t>公司武汉营业部总经理、董事会秘书处副主任，中瑞创业投资基金管理有限公司负责人，哈尔滨工业大学深圳研究生院教授</w:t>
      </w:r>
      <w:r>
        <w:rPr>
          <w:spacing w:val="-75"/>
        </w:rPr>
        <w:t> </w:t>
      </w:r>
      <w:r>
        <w:rPr>
          <w:spacing w:val="-75"/>
        </w:rPr>
      </w:r>
      <w:r>
        <w:rPr/>
        <w:t>及博士生导师。现任公司独立董事。</w:t>
      </w:r>
    </w:p>
    <w:p>
      <w:pPr>
        <w:pStyle w:val="BodyText"/>
        <w:spacing w:line="290" w:lineRule="auto" w:before="27"/>
        <w:ind w:right="1119"/>
        <w:jc w:val="left"/>
      </w:pPr>
      <w:r>
        <w:rPr>
          <w:rFonts w:ascii="Times New Roman" w:hAnsi="Times New Roman" w:cs="Times New Roman" w:eastAsia="Times New Roman" w:hint="default"/>
        </w:rPr>
        <w:t>8</w:t>
      </w:r>
      <w:r>
        <w:rPr/>
        <w:t>、张俊生先生，</w:t>
      </w:r>
      <w:r>
        <w:rPr>
          <w:rFonts w:ascii="Times New Roman" w:hAnsi="Times New Roman" w:cs="Times New Roman" w:eastAsia="Times New Roman" w:hint="default"/>
        </w:rPr>
        <w:t>1975</w:t>
      </w:r>
      <w:r>
        <w:rPr/>
        <w:t>年出生，中国国籍，财务管理博士。曾先后任中国光大银行厦门分行行长秘书、中央财经大学会计学 院会计教学与科研讲师、副教授。现任公司独立董事。</w:t>
      </w:r>
    </w:p>
    <w:p>
      <w:pPr>
        <w:pStyle w:val="BodyText"/>
        <w:spacing w:line="290" w:lineRule="auto" w:before="56"/>
        <w:ind w:right="1119"/>
        <w:jc w:val="left"/>
      </w:pPr>
      <w:r>
        <w:rPr>
          <w:rFonts w:ascii="Times New Roman" w:hAnsi="Times New Roman" w:cs="Times New Roman" w:eastAsia="Times New Roman" w:hint="default"/>
        </w:rPr>
        <w:t>9</w:t>
      </w:r>
      <w:r>
        <w:rPr/>
        <w:t>、彭燎原先生，</w:t>
      </w:r>
      <w:r>
        <w:rPr>
          <w:rFonts w:ascii="Times New Roman" w:hAnsi="Times New Roman" w:cs="Times New Roman" w:eastAsia="Times New Roman" w:hint="default"/>
        </w:rPr>
        <w:t>1969</w:t>
      </w:r>
      <w:r>
        <w:rPr/>
        <w:t>年出生，中国国籍，本科学历。曾担任广州华建综合开发总公司企业管理处副处长。现任公司独立董 事。</w:t>
      </w:r>
    </w:p>
    <w:p>
      <w:pPr>
        <w:pStyle w:val="BodyText"/>
        <w:spacing w:line="309" w:lineRule="auto" w:before="41"/>
        <w:ind w:right="1029"/>
        <w:jc w:val="left"/>
      </w:pPr>
      <w:r>
        <w:rPr/>
        <w:t>（二）监事会成员简介 </w:t>
      </w:r>
      <w:r>
        <w:rPr>
          <w:rFonts w:ascii="Times New Roman" w:hAnsi="Times New Roman" w:cs="Times New Roman" w:eastAsia="Times New Roman" w:hint="default"/>
        </w:rPr>
        <w:t>1</w:t>
      </w:r>
      <w:r>
        <w:rPr/>
        <w:t>、梅方飞女士，</w:t>
      </w:r>
      <w:r>
        <w:rPr>
          <w:rFonts w:ascii="Times New Roman" w:hAnsi="Times New Roman" w:cs="Times New Roman" w:eastAsia="Times New Roman" w:hint="default"/>
        </w:rPr>
        <w:t>1983</w:t>
      </w:r>
      <w:r>
        <w:rPr/>
        <w:t>年出生，中国国籍，本科学历。曾任职于中国交通银行黄埔大道支行营业部、花都支行公司部，并先 </w:t>
      </w:r>
      <w:r>
        <w:rPr>
          <w:spacing w:val="-2"/>
        </w:rPr>
        <w:t>后任广州花都稠州村镇银行信贷二部经理、总经理，赤坭支行副行长、行长，绿色金控投资管理部总经理、广州金控花都商</w:t>
      </w:r>
      <w:r>
        <w:rPr>
          <w:spacing w:val="-57"/>
        </w:rPr>
        <w:t> </w:t>
      </w:r>
      <w:r>
        <w:rPr>
          <w:spacing w:val="-57"/>
        </w:rPr>
      </w:r>
      <w:r>
        <w:rPr/>
        <w:t>业保理有限公司总经理、广州广花基金管理有限公司总经理。现任公司监事会主席、子公司广州普路通执行董事兼总经理。</w:t>
      </w:r>
    </w:p>
    <w:p>
      <w:pPr>
        <w:pStyle w:val="BodyText"/>
        <w:spacing w:line="297" w:lineRule="auto" w:before="42"/>
        <w:ind w:right="0"/>
        <w:jc w:val="left"/>
      </w:pPr>
      <w:r>
        <w:rPr>
          <w:rFonts w:ascii="Times New Roman" w:hAnsi="Times New Roman" w:cs="Times New Roman" w:eastAsia="Times New Roman" w:hint="default"/>
          <w:spacing w:val="-2"/>
        </w:rPr>
        <w:t>2</w:t>
      </w:r>
      <w:r>
        <w:rPr>
          <w:spacing w:val="-2"/>
        </w:rPr>
        <w:t>、余海星女士，</w:t>
      </w:r>
      <w:r>
        <w:rPr>
          <w:rFonts w:ascii="Times New Roman" w:hAnsi="Times New Roman" w:cs="Times New Roman" w:eastAsia="Times New Roman" w:hint="default"/>
          <w:spacing w:val="-2"/>
        </w:rPr>
        <w:t>1977</w:t>
      </w:r>
      <w:r>
        <w:rPr>
          <w:spacing w:val="-2"/>
        </w:rPr>
        <w:t>年出生，中国国籍，本科学历。曾先后任中国光大银行广州分行信贷审批部、风险管理部高级副经理，</w:t>
      </w:r>
      <w:r>
        <w:rPr>
          <w:spacing w:val="-65"/>
        </w:rPr>
        <w:t> </w:t>
      </w:r>
      <w:r>
        <w:rPr>
          <w:spacing w:val="-65"/>
        </w:rPr>
      </w:r>
      <w:r>
        <w:rPr>
          <w:spacing w:val="-2"/>
        </w:rPr>
        <w:t>广州市融资担保中心有限责任公司风险管理部总经理。现任公司控股股东绿色金控风控总监及其关联企业广州市融资再担保</w:t>
      </w:r>
      <w:r>
        <w:rPr>
          <w:spacing w:val="-49"/>
        </w:rPr>
        <w:t> </w:t>
      </w:r>
      <w:r>
        <w:rPr>
          <w:spacing w:val="-49"/>
        </w:rPr>
      </w:r>
      <w:r>
        <w:rPr/>
        <w:t>有限公司风控总监、广州金控风险管理部高级经理、公司监事。</w:t>
      </w:r>
    </w:p>
    <w:p>
      <w:pPr>
        <w:pStyle w:val="BodyText"/>
        <w:spacing w:line="290" w:lineRule="auto" w:before="51"/>
        <w:ind w:right="1119"/>
        <w:jc w:val="left"/>
      </w:pPr>
      <w:r>
        <w:rPr>
          <w:rFonts w:ascii="Times New Roman" w:hAnsi="Times New Roman" w:cs="Times New Roman" w:eastAsia="Times New Roman" w:hint="default"/>
        </w:rPr>
        <w:t>3</w:t>
      </w:r>
      <w:r>
        <w:rPr/>
        <w:t>、江虹女士，</w:t>
      </w:r>
      <w:r>
        <w:rPr>
          <w:rFonts w:ascii="Times New Roman" w:hAnsi="Times New Roman" w:cs="Times New Roman" w:eastAsia="Times New Roman" w:hint="default"/>
        </w:rPr>
        <w:t>1977</w:t>
      </w:r>
      <w:r>
        <w:rPr/>
        <w:t>年出生，中国国籍，专科学历。曾任香港思讯有限公司深圳分公司销售，现任公司监事及财务中心资金 部经理。</w:t>
      </w:r>
    </w:p>
    <w:p>
      <w:pPr>
        <w:pStyle w:val="BodyText"/>
        <w:spacing w:line="240" w:lineRule="auto" w:before="41"/>
        <w:ind w:right="0"/>
        <w:jc w:val="left"/>
      </w:pPr>
      <w:r>
        <w:rPr/>
        <w:t>（三）高级管理人员简介</w:t>
      </w:r>
    </w:p>
    <w:p>
      <w:pPr>
        <w:pStyle w:val="BodyText"/>
        <w:spacing w:line="240" w:lineRule="auto" w:before="95"/>
        <w:ind w:right="0"/>
        <w:jc w:val="left"/>
      </w:pPr>
      <w:r>
        <w:rPr>
          <w:rFonts w:ascii="Times New Roman" w:hAnsi="Times New Roman" w:cs="Times New Roman" w:eastAsia="Times New Roman" w:hint="default"/>
        </w:rPr>
        <w:t>1</w:t>
      </w:r>
      <w:r>
        <w:rPr/>
        <w:t>、张云女士、赵野先生相关情况参见上述董事会成员简介。</w:t>
      </w:r>
    </w:p>
    <w:p>
      <w:pPr>
        <w:pStyle w:val="BodyText"/>
        <w:spacing w:line="312" w:lineRule="auto" w:before="51"/>
        <w:ind w:right="1119"/>
        <w:jc w:val="left"/>
      </w:pPr>
      <w:r>
        <w:rPr>
          <w:rFonts w:ascii="Times New Roman" w:hAnsi="Times New Roman" w:cs="Times New Roman" w:eastAsia="Times New Roman" w:hint="default"/>
        </w:rPr>
        <w:t>2</w:t>
      </w:r>
      <w:r>
        <w:rPr/>
        <w:t>、邹勇先生，</w:t>
      </w:r>
      <w:r>
        <w:rPr>
          <w:rFonts w:ascii="Times New Roman" w:hAnsi="Times New Roman" w:cs="Times New Roman" w:eastAsia="Times New Roman" w:hint="default"/>
        </w:rPr>
        <w:t>1980</w:t>
      </w:r>
      <w:r>
        <w:rPr/>
        <w:t>年出生，中国国籍，研究生学历。曾担任深圳市怡亚通供应链股份有限公司全国物流运作经理、销售中 心总经理助理。现任公司副总经理。 </w:t>
      </w:r>
      <w:r>
        <w:rPr>
          <w:rFonts w:ascii="Times New Roman" w:hAnsi="Times New Roman" w:cs="Times New Roman" w:eastAsia="Times New Roman" w:hint="default"/>
        </w:rPr>
        <w:t>3</w:t>
      </w:r>
      <w:r>
        <w:rPr/>
        <w:t>、吴君先生，</w:t>
      </w:r>
      <w:r>
        <w:rPr>
          <w:rFonts w:ascii="Times New Roman" w:hAnsi="Times New Roman" w:cs="Times New Roman" w:eastAsia="Times New Roman" w:hint="default"/>
        </w:rPr>
        <w:t>1983</w:t>
      </w:r>
      <w:r>
        <w:rPr/>
        <w:t>年出生，中国国籍，研究生学历。曾先后任职于公司总经办、北京分公司。现任公司副总经理，北京分</w:t>
      </w:r>
    </w:p>
    <w:p>
      <w:pPr>
        <w:pStyle w:val="BodyText"/>
        <w:spacing w:line="227" w:lineRule="exact" w:before="0"/>
        <w:ind w:right="0"/>
        <w:jc w:val="left"/>
      </w:pPr>
      <w:r>
        <w:rPr/>
        <w:t>公司总经理。</w:t>
      </w:r>
    </w:p>
    <w:p>
      <w:pPr>
        <w:pStyle w:val="BodyText"/>
        <w:spacing w:line="297" w:lineRule="auto" w:before="95"/>
        <w:ind w:right="1127"/>
        <w:jc w:val="both"/>
      </w:pPr>
      <w:r>
        <w:rPr>
          <w:rFonts w:ascii="Times New Roman" w:hAnsi="Times New Roman" w:cs="Times New Roman" w:eastAsia="Times New Roman" w:hint="default"/>
        </w:rPr>
        <w:t>4</w:t>
      </w:r>
      <w:r>
        <w:rPr/>
        <w:t>、师帅先生，</w:t>
      </w:r>
      <w:r>
        <w:rPr>
          <w:rFonts w:ascii="Times New Roman" w:hAnsi="Times New Roman" w:cs="Times New Roman" w:eastAsia="Times New Roman" w:hint="default"/>
        </w:rPr>
        <w:t>1976</w:t>
      </w:r>
      <w:r>
        <w:rPr/>
        <w:t>年出生，中国国籍，研究生学历。曾担任深圳市智雄电子销售有限公司财务主管、深圳市科健营销有限 </w:t>
      </w:r>
      <w:r>
        <w:rPr>
          <w:spacing w:val="-2"/>
        </w:rPr>
        <w:t>公司财务管理部经理助理、长沙科健信息科技有限公司财务经理、深圳市京基置业有限公司财务部经理助理、深圳市怡景投</w:t>
      </w:r>
      <w:r>
        <w:rPr>
          <w:spacing w:val="-75"/>
        </w:rPr>
        <w:t> </w:t>
      </w:r>
      <w:r>
        <w:rPr>
          <w:spacing w:val="-75"/>
        </w:rPr>
      </w:r>
      <w:r>
        <w:rPr/>
        <w:t>资发展有限公司财务经理。现任公司财务总监。</w:t>
      </w:r>
    </w:p>
    <w:p>
      <w:pPr>
        <w:pStyle w:val="BodyText"/>
        <w:spacing w:line="304" w:lineRule="auto" w:before="51"/>
        <w:ind w:right="1089"/>
        <w:jc w:val="left"/>
      </w:pPr>
      <w:r>
        <w:rPr>
          <w:rFonts w:ascii="Times New Roman" w:hAnsi="Times New Roman" w:cs="Times New Roman" w:eastAsia="Times New Roman" w:hint="default"/>
        </w:rPr>
        <w:t>5</w:t>
      </w:r>
      <w:r>
        <w:rPr/>
        <w:t>、倪伟雄先生，</w:t>
      </w:r>
      <w:r>
        <w:rPr>
          <w:rFonts w:ascii="Times New Roman" w:hAnsi="Times New Roman" w:cs="Times New Roman" w:eastAsia="Times New Roman" w:hint="default"/>
        </w:rPr>
        <w:t>1985</w:t>
      </w:r>
      <w:r>
        <w:rPr/>
        <w:t>年出生，中国国籍，本科学历。曾担任公司行政人事部经理、法务部经理。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月参加深圳证券</w:t>
      </w:r>
      <w:r>
        <w:rPr>
          <w:spacing w:val="-82"/>
        </w:rPr>
        <w:t> </w:t>
      </w:r>
      <w:r>
        <w:rPr>
          <w:spacing w:val="-2"/>
        </w:rPr>
        <w:t>交易所上市公司董事会秘书培训班，并取得了深圳证券交易所颁发的《董事会秘书资格证书》。现任公司副总经理、董事会</w:t>
      </w:r>
      <w:r>
        <w:rPr>
          <w:spacing w:val="-48"/>
        </w:rPr>
        <w:t> </w:t>
      </w:r>
      <w:r>
        <w:rPr>
          <w:spacing w:val="-48"/>
        </w:rPr>
      </w:r>
      <w:r>
        <w:rPr/>
        <w:t>秘书。 </w:t>
      </w:r>
      <w:r>
        <w:rPr>
          <w:rFonts w:ascii="Times New Roman" w:hAnsi="Times New Roman" w:cs="Times New Roman" w:eastAsia="Times New Roman" w:hint="default"/>
          <w:spacing w:val="-2"/>
        </w:rPr>
        <w:t>6</w:t>
      </w:r>
      <w:r>
        <w:rPr>
          <w:spacing w:val="-2"/>
        </w:rPr>
        <w:t>、康海文先生，</w:t>
      </w:r>
      <w:r>
        <w:rPr>
          <w:rFonts w:ascii="Times New Roman" w:hAnsi="Times New Roman" w:cs="Times New Roman" w:eastAsia="Times New Roman" w:hint="default"/>
          <w:spacing w:val="-2"/>
        </w:rPr>
        <w:t>1981</w:t>
      </w:r>
      <w:r>
        <w:rPr>
          <w:spacing w:val="-2"/>
        </w:rPr>
        <w:t>年</w:t>
      </w:r>
      <w:r>
        <w:rPr>
          <w:rFonts w:ascii="Times New Roman" w:hAnsi="Times New Roman" w:cs="Times New Roman" w:eastAsia="Times New Roman" w:hint="default"/>
          <w:spacing w:val="-2"/>
        </w:rPr>
        <w:t>7</w:t>
      </w:r>
      <w:r>
        <w:rPr>
          <w:spacing w:val="-2"/>
        </w:rPr>
        <w:t>月出生，中国国籍，研究生学历，注册会计师。曾先后任广东宏建会计师事务所审计员，广东正中</w:t>
      </w:r>
      <w:r>
        <w:rPr>
          <w:spacing w:val="-65"/>
        </w:rPr>
        <w:t> </w:t>
      </w:r>
      <w:r>
        <w:rPr>
          <w:spacing w:val="-65"/>
        </w:rPr>
      </w:r>
      <w:r>
        <w:rPr/>
        <w:t>珠江会计师事务所审计员，毕马威</w:t>
      </w:r>
      <w:r>
        <w:rPr>
          <w:rFonts w:ascii="Times New Roman" w:hAnsi="Times New Roman" w:cs="Times New Roman" w:eastAsia="Times New Roman" w:hint="default"/>
        </w:rPr>
        <w:t>(</w:t>
      </w:r>
      <w:r>
        <w:rPr/>
        <w:t>华振</w:t>
      </w:r>
      <w:r>
        <w:rPr>
          <w:rFonts w:ascii="Times New Roman" w:hAnsi="Times New Roman" w:cs="Times New Roman" w:eastAsia="Times New Roman" w:hint="default"/>
        </w:rPr>
        <w:t>)</w:t>
      </w:r>
      <w:r>
        <w:rPr/>
        <w:t>会计师事务所广州分所经理，广州立白企业集团有限公司投资部经理，深圳市名家</w:t>
      </w:r>
      <w:r>
        <w:rPr>
          <w:spacing w:val="-87"/>
        </w:rPr>
        <w:t> </w:t>
      </w:r>
      <w:r>
        <w:rPr/>
        <w:t>汇科技股份有限公司副总经理及深圳市讯方技术股份有限公司副总裁。现任公司副总经理。</w:t>
      </w:r>
    </w:p>
    <w:p>
      <w:pPr>
        <w:pStyle w:val="BodyText"/>
        <w:spacing w:line="240" w:lineRule="auto" w:before="76"/>
        <w:ind w:right="0"/>
        <w:jc w:val="left"/>
      </w:pPr>
      <w:r>
        <w:rPr/>
        <w:t>在股东单位任职情况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0"/>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17"/>
        <w:gridCol w:w="3229"/>
        <w:gridCol w:w="1082"/>
        <w:gridCol w:w="1426"/>
        <w:gridCol w:w="1142"/>
        <w:gridCol w:w="1487"/>
      </w:tblGrid>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08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在股东单位</w:t>
            </w:r>
          </w:p>
        </w:tc>
        <w:tc>
          <w:tcPr>
            <w:tcW w:w="14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6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在股东单位是否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17"/>
        <w:gridCol w:w="3229"/>
        <w:gridCol w:w="1082"/>
        <w:gridCol w:w="1426"/>
        <w:gridCol w:w="1142"/>
        <w:gridCol w:w="1487"/>
      </w:tblGrid>
      <w:tr>
        <w:trPr>
          <w:trHeight w:val="36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2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9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42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领取报酬津贴</w:t>
            </w: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吴立扬</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广东省绿色金融投资控股集团有限公司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金雷</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广东省绿色金融投资控股集团有限公司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pacing w:val="-10"/>
                <w:sz w:val="18"/>
                <w:szCs w:val="18"/>
              </w:rPr>
              <w:t>董事、总经理</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葛昱康</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广东省绿色金融投资控股集团有限公司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34"/>
              <w:jc w:val="left"/>
              <w:rPr>
                <w:rFonts w:ascii="宋体" w:hAnsi="宋体" w:cs="宋体" w:eastAsia="宋体" w:hint="default"/>
                <w:sz w:val="18"/>
                <w:szCs w:val="18"/>
              </w:rPr>
            </w:pPr>
            <w:r>
              <w:rPr>
                <w:rFonts w:ascii="宋体" w:hAnsi="宋体" w:cs="宋体" w:eastAsia="宋体" w:hint="default"/>
                <w:sz w:val="18"/>
                <w:szCs w:val="18"/>
              </w:rPr>
              <w:t>常务副总经 理</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胡仲亮</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广东省绿色金融投资控股集团有限公司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余海星</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广东省绿色金融投资控股集团有限公司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风控总监</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5"/>
        <w:ind w:right="0"/>
        <w:jc w:val="left"/>
      </w:pPr>
      <w:r>
        <w:rPr/>
        <w:t>在其他单位任职情况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2"/>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32"/>
        <w:gridCol w:w="3289"/>
        <w:gridCol w:w="1082"/>
        <w:gridCol w:w="1231"/>
        <w:gridCol w:w="1367"/>
        <w:gridCol w:w="1382"/>
      </w:tblGrid>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75"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0" w:right="44" w:hanging="91"/>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吴立扬</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广州金融控股集团有限公司</w:t>
            </w:r>
          </w:p>
        </w:tc>
        <w:tc>
          <w:tcPr>
            <w:tcW w:w="1082" w:type="dxa"/>
            <w:tcBorders>
              <w:top w:val="single" w:sz="6" w:space="0" w:color="000000"/>
              <w:left w:val="single" w:sz="6" w:space="0" w:color="000000"/>
              <w:bottom w:val="single" w:sz="6" w:space="0" w:color="000000"/>
              <w:right w:val="single" w:sz="18" w:space="0" w:color="FFFFFF"/>
            </w:tcBorders>
          </w:tcPr>
          <w:p>
            <w:pPr>
              <w:pStyle w:val="TableParagraph"/>
              <w:spacing w:line="321" w:lineRule="auto" w:before="29"/>
              <w:ind w:left="15" w:right="-44"/>
              <w:jc w:val="left"/>
              <w:rPr>
                <w:rFonts w:ascii="宋体" w:hAnsi="宋体" w:cs="宋体" w:eastAsia="宋体" w:hint="default"/>
                <w:sz w:val="18"/>
                <w:szCs w:val="18"/>
              </w:rPr>
            </w:pPr>
            <w:r>
              <w:rPr>
                <w:rFonts w:ascii="宋体" w:hAnsi="宋体" w:cs="宋体" w:eastAsia="宋体" w:hint="default"/>
                <w:sz w:val="18"/>
                <w:szCs w:val="18"/>
              </w:rPr>
              <w:t>总经理助理、 总法律顾问</w:t>
            </w:r>
          </w:p>
        </w:tc>
        <w:tc>
          <w:tcPr>
            <w:tcW w:w="1231"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before="44"/>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06</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金雷</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广州广花基金管理有限公司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08</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胡仲亮</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广州金控花都商业保理有限公司</w:t>
            </w:r>
          </w:p>
        </w:tc>
        <w:tc>
          <w:tcPr>
            <w:tcW w:w="1082" w:type="dxa"/>
            <w:tcBorders>
              <w:top w:val="single" w:sz="6" w:space="0" w:color="000000"/>
              <w:left w:val="single" w:sz="6" w:space="0" w:color="000000"/>
              <w:bottom w:val="single" w:sz="6" w:space="0" w:color="000000"/>
              <w:right w:val="single" w:sz="18" w:space="0" w:color="FFFFFF"/>
            </w:tcBorders>
          </w:tcPr>
          <w:p>
            <w:pPr>
              <w:pStyle w:val="TableParagraph"/>
              <w:spacing w:line="304" w:lineRule="auto" w:before="45"/>
              <w:ind w:left="15" w:right="-44"/>
              <w:jc w:val="left"/>
              <w:rPr>
                <w:rFonts w:ascii="宋体" w:hAnsi="宋体" w:cs="宋体" w:eastAsia="宋体" w:hint="default"/>
                <w:sz w:val="18"/>
                <w:szCs w:val="18"/>
              </w:rPr>
            </w:pPr>
            <w:r>
              <w:rPr>
                <w:rFonts w:ascii="宋体" w:hAnsi="宋体" w:cs="宋体" w:eastAsia="宋体" w:hint="default"/>
                <w:sz w:val="18"/>
                <w:szCs w:val="18"/>
              </w:rPr>
              <w:t>法定代表人、 执行董事</w:t>
            </w:r>
          </w:p>
        </w:tc>
        <w:tc>
          <w:tcPr>
            <w:tcW w:w="1231"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before="60"/>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胡仲亮</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广州广花资产管理有限公司</w:t>
            </w:r>
          </w:p>
        </w:tc>
        <w:tc>
          <w:tcPr>
            <w:tcW w:w="1082" w:type="dxa"/>
            <w:tcBorders>
              <w:top w:val="single" w:sz="6" w:space="0" w:color="000000"/>
              <w:left w:val="single" w:sz="6" w:space="0" w:color="000000"/>
              <w:bottom w:val="single" w:sz="6" w:space="0" w:color="000000"/>
              <w:right w:val="single" w:sz="18" w:space="0" w:color="FFFFFF"/>
            </w:tcBorders>
          </w:tcPr>
          <w:p>
            <w:pPr>
              <w:pStyle w:val="TableParagraph"/>
              <w:spacing w:line="321" w:lineRule="auto" w:before="29"/>
              <w:ind w:left="15" w:right="-44"/>
              <w:jc w:val="left"/>
              <w:rPr>
                <w:rFonts w:ascii="宋体" w:hAnsi="宋体" w:cs="宋体" w:eastAsia="宋体" w:hint="default"/>
                <w:sz w:val="18"/>
                <w:szCs w:val="18"/>
              </w:rPr>
            </w:pPr>
            <w:r>
              <w:rPr>
                <w:rFonts w:ascii="宋体" w:hAnsi="宋体" w:cs="宋体" w:eastAsia="宋体" w:hint="default"/>
                <w:sz w:val="18"/>
                <w:szCs w:val="18"/>
              </w:rPr>
              <w:t>法定代表人、 执行董事</w:t>
            </w:r>
          </w:p>
        </w:tc>
        <w:tc>
          <w:tcPr>
            <w:tcW w:w="1231"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before="44"/>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胡仲亮</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广州市文化金融服务中心有限公司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21</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胡仲亮</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31"/>
              <w:jc w:val="left"/>
              <w:rPr>
                <w:rFonts w:ascii="宋体" w:hAnsi="宋体" w:cs="宋体" w:eastAsia="宋体" w:hint="default"/>
                <w:sz w:val="18"/>
                <w:szCs w:val="18"/>
              </w:rPr>
            </w:pPr>
            <w:r>
              <w:rPr>
                <w:rFonts w:ascii="宋体" w:hAnsi="宋体" w:cs="宋体" w:eastAsia="宋体" w:hint="default"/>
                <w:spacing w:val="-2"/>
                <w:sz w:val="18"/>
                <w:szCs w:val="18"/>
              </w:rPr>
              <w:t>中铁建（广州）北站新城投资建设有限公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胡仲亮</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广州仲明医疗投资企业（有限合伙）</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29"/>
              <w:jc w:val="left"/>
              <w:rPr>
                <w:rFonts w:ascii="宋体" w:hAnsi="宋体" w:cs="宋体" w:eastAsia="宋体" w:hint="default"/>
                <w:sz w:val="18"/>
                <w:szCs w:val="18"/>
              </w:rPr>
            </w:pPr>
            <w:r>
              <w:rPr>
                <w:rFonts w:ascii="宋体" w:hAnsi="宋体" w:cs="宋体" w:eastAsia="宋体" w:hint="default"/>
                <w:sz w:val="18"/>
                <w:szCs w:val="18"/>
              </w:rPr>
              <w:t>法定代表人、 执行事务合 伙人</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胡仲亮</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湖南赛诺生物科技股份有限公司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胡仲亮</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新疆希普生物科技股份有限公司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15</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广州汽车集团股份有限公司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08</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天马微电子股份有限公司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32"/>
        <w:gridCol w:w="3289"/>
        <w:gridCol w:w="1082"/>
        <w:gridCol w:w="1231"/>
        <w:gridCol w:w="1367"/>
        <w:gridCol w:w="1382"/>
      </w:tblGrid>
      <w:tr>
        <w:trPr>
          <w:trHeight w:val="360" w:hRule="exact"/>
        </w:trPr>
        <w:tc>
          <w:tcPr>
            <w:tcW w:w="1232"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万泽实业股份有限公司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01</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18</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沙河实业股份有限公司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04</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张俊生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中山大学管理学院</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8"/>
                <w:sz w:val="18"/>
                <w:szCs w:val="18"/>
              </w:rPr>
              <w:t>教授、副教授</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06</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张俊生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深圳市兆驰股份有限公司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07</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张俊生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广州迪森热能技术股份有限公司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04</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25</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张俊生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广州华立科技股份有限公司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09</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16</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张俊生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深圳邦彦技术股份有限公司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09</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彭燎原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彭燎原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广东省广晟资产经营有限公司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彭燎原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万联证券股份有限公司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彭燎原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广东连越律师事务所</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余海星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广州市融资再担保有限公司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风控总监</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余海星</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广州金融控股集团有限公司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风险管理部 高级经理</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宜昌天擎网络科技有限公司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04</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深圳市波菲尔酒业有限公司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06</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5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ind w:right="0"/>
        <w:jc w:val="left"/>
      </w:pPr>
      <w:r>
        <w:rPr/>
        <w:t>公司现任及报告期内离任董事、监事和高级管理人员近三年证券监管机构处罚的情况</w:t>
      </w:r>
    </w:p>
    <w:p>
      <w:pPr>
        <w:pStyle w:val="BodyText"/>
        <w:spacing w:line="319" w:lineRule="auto" w:before="1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邹勇先生因其股票质押回购交易业务违约，分别于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日，被申万宏源证券股份有限公司通过集</w:t>
      </w:r>
      <w:r>
        <w:rPr>
          <w:spacing w:val="-51"/>
        </w:rPr>
        <w:t> </w:t>
      </w:r>
      <w:r>
        <w:rPr>
          <w:spacing w:val="-51"/>
        </w:rPr>
      </w:r>
      <w:r>
        <w:rPr>
          <w:spacing w:val="-2"/>
        </w:rPr>
        <w:t>中竞价交易的方式分别处置其持有的普路通股票</w:t>
      </w:r>
      <w:r>
        <w:rPr>
          <w:rFonts w:ascii="Times New Roman" w:hAnsi="Times New Roman" w:cs="Times New Roman" w:eastAsia="Times New Roman" w:hint="default"/>
          <w:spacing w:val="-2"/>
        </w:rPr>
        <w:t>1,950,000</w:t>
      </w:r>
      <w:r>
        <w:rPr>
          <w:spacing w:val="-2"/>
        </w:rPr>
        <w:t>股和</w:t>
      </w:r>
      <w:r>
        <w:rPr>
          <w:rFonts w:ascii="Times New Roman" w:hAnsi="Times New Roman" w:cs="Times New Roman" w:eastAsia="Times New Roman" w:hint="default"/>
          <w:spacing w:val="-2"/>
        </w:rPr>
        <w:t>1,750,000</w:t>
      </w:r>
      <w:r>
        <w:rPr>
          <w:spacing w:val="-2"/>
        </w:rPr>
        <w:t>股，共减持</w:t>
      </w:r>
      <w:r>
        <w:rPr>
          <w:rFonts w:ascii="Times New Roman" w:hAnsi="Times New Roman" w:cs="Times New Roman" w:eastAsia="Times New Roman" w:hint="default"/>
          <w:spacing w:val="-2"/>
        </w:rPr>
        <w:t>3,700,000</w:t>
      </w:r>
      <w:r>
        <w:rPr>
          <w:spacing w:val="-2"/>
        </w:rPr>
        <w:t>股，占普路通总股本的</w:t>
      </w:r>
      <w:r>
        <w:rPr>
          <w:rFonts w:ascii="Times New Roman" w:hAnsi="Times New Roman" w:cs="Times New Roman" w:eastAsia="Times New Roman" w:hint="default"/>
          <w:spacing w:val="-2"/>
        </w:rPr>
        <w:t>0.9967%</w:t>
      </w:r>
      <w:r>
        <w:rPr>
          <w:spacing w:val="-2"/>
        </w:rPr>
        <w:t>，</w:t>
      </w:r>
    </w:p>
    <w:p>
      <w:pPr>
        <w:pStyle w:val="BodyText"/>
        <w:spacing w:line="290" w:lineRule="auto" w:before="0"/>
        <w:ind w:right="1209"/>
        <w:jc w:val="left"/>
      </w:pPr>
      <w:r>
        <w:rPr/>
        <w:t>涉及金额</w:t>
      </w:r>
      <w:r>
        <w:rPr>
          <w:rFonts w:ascii="Times New Roman" w:hAnsi="Times New Roman" w:cs="Times New Roman" w:eastAsia="Times New Roman" w:hint="default"/>
        </w:rPr>
        <w:t>39,217,216</w:t>
      </w:r>
      <w:r>
        <w:rPr/>
        <w:t>元。邹勇先生未能在上述减持首次卖出的</w:t>
      </w:r>
      <w:r>
        <w:rPr>
          <w:rFonts w:ascii="Times New Roman" w:hAnsi="Times New Roman" w:cs="Times New Roman" w:eastAsia="Times New Roman" w:hint="default"/>
        </w:rPr>
        <w:t>15</w:t>
      </w:r>
      <w:r>
        <w:rPr/>
        <w:t>个交易日前预先披露减持计划。深圳证券交易所于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35"/>
        </w:rPr>
        <w:t> </w:t>
      </w:r>
      <w:r>
        <w:rPr/>
        <w:t>月</w:t>
      </w:r>
      <w:r>
        <w:rPr>
          <w:rFonts w:ascii="Times New Roman" w:hAnsi="Times New Roman" w:cs="Times New Roman" w:eastAsia="Times New Roman" w:hint="default"/>
        </w:rPr>
        <w:t>19</w:t>
      </w:r>
      <w:r>
        <w:rPr/>
        <w:t>日对邹勇先生给予通报批评的处分。</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董事、监事、高级管理人员报酬的决策程序、确定依据、实际支付情况</w:t>
      </w:r>
    </w:p>
    <w:p>
      <w:pPr>
        <w:pStyle w:val="BodyText"/>
        <w:spacing w:line="240" w:lineRule="auto" w:before="140"/>
        <w:ind w:right="0"/>
        <w:jc w:val="left"/>
      </w:pPr>
      <w:r>
        <w:rPr>
          <w:rFonts w:ascii="Times New Roman" w:hAnsi="Times New Roman" w:cs="Times New Roman" w:eastAsia="Times New Roman" w:hint="default"/>
        </w:rPr>
        <w:t>1</w:t>
      </w:r>
      <w:r>
        <w:rPr/>
        <w:t>、董事、监事、高级管理人员报酬的决策程序：</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ind w:right="1091"/>
        <w:jc w:val="left"/>
      </w:pPr>
      <w:r>
        <w:rPr>
          <w:spacing w:val="-2"/>
        </w:rPr>
        <w:t>董事、监事、高级管理人员</w:t>
      </w:r>
      <w:r>
        <w:rPr>
          <w:rFonts w:ascii="Times New Roman" w:hAnsi="Times New Roman" w:cs="Times New Roman" w:eastAsia="Times New Roman" w:hint="default"/>
          <w:spacing w:val="-2"/>
        </w:rPr>
        <w:t>2019</w:t>
      </w:r>
      <w:r>
        <w:rPr>
          <w:spacing w:val="-2"/>
        </w:rPr>
        <w:t>年度报酬经公司薪酬与考核委员会审核后提交公司董事会审议，再经公司股东大会审议通过</w:t>
      </w:r>
      <w:r>
        <w:rPr>
          <w:spacing w:val="-69"/>
        </w:rPr>
        <w:t> </w:t>
      </w:r>
      <w:r>
        <w:rPr>
          <w:spacing w:val="-69"/>
        </w:rPr>
      </w:r>
      <w:r>
        <w:rPr/>
        <w:t>后执行。</w:t>
      </w:r>
    </w:p>
    <w:p>
      <w:pPr>
        <w:pStyle w:val="BodyText"/>
        <w:spacing w:line="240" w:lineRule="auto" w:before="59"/>
        <w:ind w:right="0"/>
        <w:jc w:val="left"/>
      </w:pPr>
      <w:r>
        <w:rPr>
          <w:rFonts w:ascii="Times New Roman" w:hAnsi="Times New Roman" w:cs="Times New Roman" w:eastAsia="Times New Roman" w:hint="default"/>
        </w:rPr>
        <w:t>2</w:t>
      </w:r>
      <w:r>
        <w:rPr/>
        <w:t>、董事、监事、高级管理人员报酬的确定依据：</w:t>
      </w:r>
    </w:p>
    <w:p>
      <w:pPr>
        <w:pStyle w:val="BodyText"/>
        <w:spacing w:line="288" w:lineRule="auto" w:before="51"/>
        <w:ind w:right="0"/>
        <w:jc w:val="left"/>
      </w:pPr>
      <w:r>
        <w:rPr>
          <w:spacing w:val="-2"/>
        </w:rPr>
        <w:t>（</w:t>
      </w:r>
      <w:r>
        <w:rPr>
          <w:rFonts w:ascii="Times New Roman" w:hAnsi="Times New Roman" w:cs="Times New Roman" w:eastAsia="Times New Roman" w:hint="default"/>
          <w:spacing w:val="-2"/>
        </w:rPr>
        <w:t>1</w:t>
      </w:r>
      <w:r>
        <w:rPr>
          <w:spacing w:val="-2"/>
        </w:rPr>
        <w:t>）公司董事长</w:t>
      </w:r>
      <w:r>
        <w:rPr>
          <w:rFonts w:ascii="Times New Roman" w:hAnsi="Times New Roman" w:cs="Times New Roman" w:eastAsia="Times New Roman" w:hint="default"/>
          <w:spacing w:val="-2"/>
        </w:rPr>
        <w:t>2019</w:t>
      </w:r>
      <w:r>
        <w:rPr>
          <w:spacing w:val="-2"/>
        </w:rPr>
        <w:t>年领取董事薪酬不超过</w:t>
      </w:r>
      <w:r>
        <w:rPr>
          <w:rFonts w:ascii="Times New Roman" w:hAnsi="Times New Roman" w:cs="Times New Roman" w:eastAsia="Times New Roman" w:hint="default"/>
          <w:spacing w:val="-2"/>
        </w:rPr>
        <w:t>180</w:t>
      </w:r>
      <w:r>
        <w:rPr>
          <w:spacing w:val="-2"/>
        </w:rPr>
        <w:t>万元，兼任公司其他职务的董事按照其他职务领取薪酬；公司监事</w:t>
      </w:r>
      <w:r>
        <w:rPr>
          <w:rFonts w:ascii="Times New Roman" w:hAnsi="Times New Roman" w:cs="Times New Roman" w:eastAsia="Times New Roman" w:hint="default"/>
          <w:spacing w:val="-2"/>
        </w:rPr>
        <w:t>2019</w:t>
      </w:r>
      <w:r>
        <w:rPr>
          <w:spacing w:val="-2"/>
        </w:rPr>
        <w:t>年均</w:t>
      </w:r>
      <w:r>
        <w:rPr>
          <w:spacing w:val="-55"/>
        </w:rPr>
        <w:t> </w:t>
      </w:r>
      <w:r>
        <w:rPr/>
        <w:t>不在公司单独领取监事薪酬。</w:t>
      </w:r>
    </w:p>
    <w:p>
      <w:pPr>
        <w:pStyle w:val="BodyText"/>
        <w:spacing w:line="240" w:lineRule="auto" w:before="59"/>
        <w:ind w:right="0"/>
        <w:jc w:val="left"/>
      </w:pPr>
      <w:r>
        <w:rPr/>
        <w:t>（</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2019</w:t>
      </w:r>
      <w:r>
        <w:rPr/>
        <w:t>年度各独立董事薪酬均为</w:t>
      </w:r>
      <w:r>
        <w:rPr>
          <w:rFonts w:ascii="Times New Roman" w:hAnsi="Times New Roman" w:cs="Times New Roman" w:eastAsia="Times New Roman" w:hint="default"/>
        </w:rPr>
        <w:t>8</w:t>
      </w:r>
      <w:r>
        <w:rPr/>
        <w:t>万元。</w:t>
      </w:r>
    </w:p>
    <w:p>
      <w:pPr>
        <w:pStyle w:val="BodyText"/>
        <w:spacing w:line="304" w:lineRule="auto" w:before="66"/>
        <w:ind w:right="1089"/>
        <w:jc w:val="left"/>
      </w:pPr>
      <w:r>
        <w:rPr>
          <w:spacing w:val="-1"/>
        </w:rPr>
        <w:t>（</w:t>
      </w:r>
      <w:r>
        <w:rPr>
          <w:rFonts w:ascii="Times New Roman" w:hAnsi="Times New Roman" w:cs="Times New Roman" w:eastAsia="Times New Roman" w:hint="default"/>
          <w:spacing w:val="-1"/>
        </w:rPr>
        <w:t>3</w:t>
      </w:r>
      <w:r>
        <w:rPr>
          <w:spacing w:val="-1"/>
        </w:rPr>
        <w:t>）公司总经理</w:t>
      </w:r>
      <w:r>
        <w:rPr>
          <w:rFonts w:ascii="Times New Roman" w:hAnsi="Times New Roman" w:cs="Times New Roman" w:eastAsia="Times New Roman" w:hint="default"/>
          <w:spacing w:val="-1"/>
        </w:rPr>
        <w:t>2019</w:t>
      </w:r>
      <w:r>
        <w:rPr>
          <w:spacing w:val="-1"/>
        </w:rPr>
        <w:t>年在公司领取薪酬不超过</w:t>
      </w:r>
      <w:r>
        <w:rPr>
          <w:rFonts w:ascii="Times New Roman" w:hAnsi="Times New Roman" w:cs="Times New Roman" w:eastAsia="Times New Roman" w:hint="default"/>
          <w:spacing w:val="-1"/>
        </w:rPr>
        <w:t>150</w:t>
      </w:r>
      <w:r>
        <w:rPr>
          <w:spacing w:val="-1"/>
        </w:rPr>
        <w:t>万元；公司副总经理、财务总监、董事会秘书</w:t>
      </w:r>
      <w:r>
        <w:rPr>
          <w:rFonts w:ascii="Times New Roman" w:hAnsi="Times New Roman" w:cs="Times New Roman" w:eastAsia="Times New Roman" w:hint="default"/>
          <w:spacing w:val="-1"/>
        </w:rPr>
        <w:t>2019</w:t>
      </w:r>
      <w:r>
        <w:rPr>
          <w:spacing w:val="-1"/>
        </w:rPr>
        <w:t>年在公司领取薪酬不超</w:t>
      </w:r>
      <w:r>
        <w:rPr>
          <w:spacing w:val="-85"/>
        </w:rPr>
        <w:t> </w:t>
      </w:r>
      <w:r>
        <w:rPr/>
        <w:t>过</w:t>
      </w:r>
      <w:r>
        <w:rPr>
          <w:rFonts w:ascii="Times New Roman" w:hAnsi="Times New Roman" w:cs="Times New Roman" w:eastAsia="Times New Roman" w:hint="default"/>
        </w:rPr>
        <w:t>100</w:t>
      </w:r>
      <w:r>
        <w:rPr/>
        <w:t>万元。</w:t>
      </w:r>
    </w:p>
    <w:p>
      <w:pPr>
        <w:pStyle w:val="BodyText"/>
        <w:spacing w:line="290" w:lineRule="auto" w:before="0"/>
        <w:ind w:right="5529"/>
        <w:jc w:val="left"/>
      </w:pPr>
      <w:r>
        <w:rPr>
          <w:rFonts w:ascii="Times New Roman" w:hAnsi="Times New Roman" w:cs="Times New Roman" w:eastAsia="Times New Roman" w:hint="default"/>
        </w:rPr>
        <w:t>3</w:t>
      </w:r>
      <w:r>
        <w:rPr/>
        <w:t>、董事、监事、高级管理人员报酬的实际支付情况： 报告期内，公司董事、监事及高级管理人员的报酬已按规定支付。</w:t>
      </w:r>
    </w:p>
    <w:p>
      <w:pPr>
        <w:pStyle w:val="BodyText"/>
        <w:spacing w:line="240" w:lineRule="auto" w:before="86"/>
        <w:ind w:right="0"/>
        <w:jc w:val="left"/>
      </w:pPr>
      <w:r>
        <w:rPr/>
        <w:t>公司报告期内董事、监事和高级管理人员报酬情况</w:t>
      </w:r>
    </w:p>
    <w:p>
      <w:pPr>
        <w:pStyle w:val="BodyText"/>
        <w:spacing w:line="240" w:lineRule="auto" w:before="110"/>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10" w:right="5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10" w:right="59" w:hanging="181"/>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吴立扬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金雷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胡仲亮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葛昱康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99.39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61"/>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78.27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彭燎原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4.89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张俊生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4.89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51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梅方飞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34.49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余海星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江虹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43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33.62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31.02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康海文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53.79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77.65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64.85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61"/>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66.44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3.09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3.09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程明伟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4.13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张昕</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5.02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涂万林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592.73</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公司董事、高级管理人员报告期内被授予的股权激励情况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2"/>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781"/>
        <w:gridCol w:w="4793"/>
      </w:tblGrid>
      <w:tr>
        <w:trPr>
          <w:trHeight w:val="391"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230</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170</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400</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400</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383"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2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13"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3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6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42</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72</w:t>
            </w:r>
          </w:p>
        </w:tc>
      </w:tr>
      <w:tr>
        <w:trPr>
          <w:trHeight w:val="391"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41</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230</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400</w:t>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2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1"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16</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182</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137</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65</w:t>
            </w:r>
          </w:p>
        </w:tc>
      </w:tr>
      <w:tr>
        <w:trPr>
          <w:trHeight w:val="390"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400</w:t>
            </w:r>
          </w:p>
        </w:tc>
      </w:tr>
    </w:tbl>
    <w:p>
      <w:pPr>
        <w:spacing w:line="240" w:lineRule="auto" w:before="11"/>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公司目前实行</w:t>
      </w:r>
      <w:r>
        <w:rPr>
          <w:rFonts w:ascii="Times New Roman" w:hAnsi="Times New Roman" w:cs="Times New Roman" w:eastAsia="Times New Roman" w:hint="default"/>
        </w:rPr>
        <w:t>“</w:t>
      </w:r>
      <w:r>
        <w:rPr/>
        <w:t>固定工资</w:t>
      </w:r>
      <w:r>
        <w:rPr>
          <w:rFonts w:ascii="Times New Roman" w:hAnsi="Times New Roman" w:cs="Times New Roman" w:eastAsia="Times New Roman" w:hint="default"/>
        </w:rPr>
        <w:t>+</w:t>
      </w:r>
      <w:r>
        <w:rPr/>
        <w:t>浮动工资</w:t>
      </w:r>
      <w:r>
        <w:rPr>
          <w:rFonts w:ascii="Times New Roman" w:hAnsi="Times New Roman" w:cs="Times New Roman" w:eastAsia="Times New Roman" w:hint="default"/>
        </w:rPr>
        <w:t>+</w:t>
      </w:r>
      <w:r>
        <w:rPr/>
        <w:t>年终奖金</w:t>
      </w:r>
      <w:r>
        <w:rPr>
          <w:rFonts w:ascii="Times New Roman" w:hAnsi="Times New Roman" w:cs="Times New Roman" w:eastAsia="Times New Roman" w:hint="default"/>
        </w:rPr>
        <w:t>”</w:t>
      </w:r>
      <w:r>
        <w:rPr/>
        <w:t>的薪酬管理模式，固定工资包括基本工资、补助及绩效奖金；浮动工资包括</w:t>
      </w:r>
    </w:p>
    <w:p>
      <w:pPr>
        <w:pStyle w:val="BodyText"/>
        <w:spacing w:line="240" w:lineRule="auto" w:before="66"/>
        <w:ind w:right="0"/>
        <w:jc w:val="left"/>
      </w:pPr>
      <w:r>
        <w:rPr>
          <w:rFonts w:ascii="Times New Roman" w:hAnsi="Times New Roman" w:cs="Times New Roman" w:eastAsia="Times New Roman" w:hint="default"/>
        </w:rPr>
        <w:t>CPI</w:t>
      </w:r>
      <w:r>
        <w:rPr/>
        <w:t>补贴、司龄工资、加班工资、节日费；年终奖金根据公司当年经营情况及个人年度考评结果发放，同时公司严格执行国</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106"/>
        <w:jc w:val="both"/>
      </w:pPr>
      <w:r>
        <w:rPr>
          <w:spacing w:val="-2"/>
        </w:rPr>
        <w:t>家用工制度、劳动保护制度、社会保障制度和医疗保障制度，为员工缴纳五险一金。并设有年度调薪机制，公司每年根据员</w:t>
      </w:r>
      <w:r>
        <w:rPr>
          <w:spacing w:val="-57"/>
        </w:rPr>
        <w:t> </w:t>
      </w:r>
      <w:r>
        <w:rPr>
          <w:spacing w:val="-57"/>
        </w:rPr>
      </w:r>
      <w:r>
        <w:rPr>
          <w:spacing w:val="-2"/>
        </w:rPr>
        <w:t>工的岗位特性、工作绩效情况、个人能力等多方面因素情况进行不同范围的加薪。同时为员工提供各种津贴补助，包括但不</w:t>
      </w:r>
      <w:r>
        <w:rPr>
          <w:spacing w:val="-42"/>
        </w:rPr>
        <w:t> </w:t>
      </w:r>
      <w:r>
        <w:rPr>
          <w:spacing w:val="-42"/>
        </w:rPr>
      </w:r>
      <w:r>
        <w:rPr>
          <w:spacing w:val="-2"/>
        </w:rPr>
        <w:t>限于通讯补助、高温补助、出差补助、培训补助、车费补助、讲师补助等。通过为员工提供晋升平台，激发员工工作热情及</w:t>
      </w:r>
      <w:r>
        <w:rPr>
          <w:spacing w:val="-73"/>
        </w:rPr>
        <w:t> </w:t>
      </w:r>
      <w:r>
        <w:rPr>
          <w:spacing w:val="-73"/>
        </w:rPr>
      </w:r>
      <w:r>
        <w:rPr/>
        <w:t>工作积极性，实现公司与员工的共同发展。</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1029"/>
        <w:jc w:val="left"/>
      </w:pPr>
      <w:r>
        <w:rPr>
          <w:spacing w:val="-2"/>
        </w:rPr>
        <w:t>公司重视人才培养，将员工培训工作作为公司长期战略的重要组成部分。每年初行政人事部根据员工的实际情况统计各部门</w:t>
      </w:r>
      <w:r>
        <w:rPr>
          <w:spacing w:val="-61"/>
        </w:rPr>
        <w:t> </w:t>
      </w:r>
      <w:r>
        <w:rPr>
          <w:spacing w:val="-61"/>
        </w:rPr>
      </w:r>
      <w:r>
        <w:rPr>
          <w:spacing w:val="-2"/>
        </w:rPr>
        <w:t>培训需求，鼓励并支持在职员工加强自身职业素质提升，有针对性地根据统计情况安排培训计划及开展培训课程。同时高频</w:t>
      </w:r>
      <w:r>
        <w:rPr>
          <w:spacing w:val="-75"/>
        </w:rPr>
        <w:t> </w:t>
      </w:r>
      <w:r>
        <w:rPr>
          <w:spacing w:val="-75"/>
        </w:rPr>
      </w:r>
      <w:r>
        <w:rPr>
          <w:spacing w:val="-2"/>
        </w:rPr>
        <w:t>率定期组织开展多种形式的岗位培训、技能培训、管理培训等；并根据年初统计的员工培训需求不定期聘请外部专业人士开</w:t>
      </w:r>
      <w:r>
        <w:rPr>
          <w:spacing w:val="-75"/>
        </w:rPr>
        <w:t> </w:t>
      </w:r>
      <w:r>
        <w:rPr>
          <w:spacing w:val="-75"/>
        </w:rPr>
      </w:r>
      <w:r>
        <w:rPr/>
        <w:t>展培训课程，员工亦可根据其岗位需求申请参与外部培训课程，提升其岗位技能和专业素质，最大限度激发员工工作潜力， 实现企业与员工的共同成长。</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871" w:right="2854"/>
        <w:jc w:val="center"/>
        <w:rPr>
          <w:b w:val="0"/>
          <w:bCs w:val="0"/>
        </w:rPr>
      </w:pPr>
      <w:bookmarkStart w:name="第十节公司治理" w:id="131"/>
      <w:bookmarkEnd w:id="131"/>
      <w:r>
        <w:rPr>
          <w:b w:val="0"/>
          <w:bCs w:val="0"/>
        </w:rPr>
      </w:r>
      <w:bookmarkStart w:name="_bookmark9" w:id="132"/>
      <w:bookmarkEnd w:id="132"/>
      <w:r>
        <w:rPr>
          <w:b w:val="0"/>
          <w:bCs w:val="0"/>
        </w:rPr>
      </w:r>
      <w:r>
        <w:rPr>
          <w:spacing w:val="5"/>
        </w:rPr>
        <w:t>第十节公司治理</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501" w:right="0"/>
        <w:jc w:val="left"/>
      </w:pPr>
      <w:r>
        <w:rPr>
          <w:spacing w:val="-3"/>
        </w:rPr>
        <w:t>报告期内，公司控股股东变更为绿色金控，实际控制人变更为广州市人民政府。公司严格按照《公司法》、《证券法》、</w:t>
      </w:r>
    </w:p>
    <w:p>
      <w:pPr>
        <w:pStyle w:val="BodyText"/>
        <w:spacing w:line="316" w:lineRule="auto" w:before="80"/>
        <w:ind w:right="1121"/>
        <w:jc w:val="both"/>
      </w:pPr>
      <w:r>
        <w:rPr>
          <w:spacing w:val="-2"/>
        </w:rPr>
        <w:t>《上市公司治理准则》、《股票上市规则》、《中小企业板上市公司规范运作指引》等法律法规和监管部门的规范性文件指</w:t>
      </w:r>
      <w:r>
        <w:rPr>
          <w:spacing w:val="-75"/>
        </w:rPr>
        <w:t> </w:t>
      </w:r>
      <w:r>
        <w:rPr>
          <w:spacing w:val="-75"/>
        </w:rPr>
      </w:r>
      <w:r>
        <w:rPr>
          <w:spacing w:val="-2"/>
        </w:rPr>
        <w:t>引及《公司章程》、议事规则等要求，并根据新控股股东绿色金控的治理要求，不断规范和改善公司治理结构，建立健全内</w:t>
      </w:r>
      <w:r>
        <w:rPr>
          <w:spacing w:val="-72"/>
        </w:rPr>
        <w:t> </w:t>
      </w:r>
      <w:r>
        <w:rPr>
          <w:spacing w:val="-72"/>
        </w:rPr>
      </w:r>
      <w:r>
        <w:rPr>
          <w:spacing w:val="-2"/>
        </w:rPr>
        <w:t>部控制制度，确保公司股东大会、董事会、监事会等机构的规范有效运作。报告期内，公司治理的实际状况符合上述法律法</w:t>
      </w:r>
      <w:r>
        <w:rPr>
          <w:spacing w:val="-57"/>
        </w:rPr>
        <w:t> </w:t>
      </w:r>
      <w:r>
        <w:rPr>
          <w:spacing w:val="-57"/>
        </w:rPr>
      </w:r>
      <w:r>
        <w:rPr/>
        <w:t>规及规范性文件的要求。</w:t>
      </w:r>
    </w:p>
    <w:p>
      <w:pPr>
        <w:pStyle w:val="BodyText"/>
        <w:spacing w:line="290" w:lineRule="auto" w:before="37"/>
        <w:ind w:left="501" w:right="1133" w:hanging="361"/>
        <w:jc w:val="left"/>
      </w:pPr>
      <w:r>
        <w:rPr>
          <w:rFonts w:ascii="Times New Roman" w:hAnsi="Times New Roman" w:cs="Times New Roman" w:eastAsia="Times New Roman" w:hint="default"/>
        </w:rPr>
        <w:t>1</w:t>
      </w:r>
      <w:r>
        <w:rPr/>
        <w:t>、关于股东与股东大会 </w:t>
      </w:r>
      <w:r>
        <w:rPr>
          <w:spacing w:val="-2"/>
        </w:rPr>
        <w:t>报告期内，公司严格按照《上市公司股东大会规则》、《公司章程》及《股东大会议事规则》等规定和要求，依法规范</w:t>
      </w:r>
    </w:p>
    <w:p>
      <w:pPr>
        <w:pStyle w:val="BodyText"/>
        <w:spacing w:line="316" w:lineRule="auto" w:before="41"/>
        <w:ind w:right="0"/>
        <w:jc w:val="left"/>
      </w:pPr>
      <w:r>
        <w:rPr>
          <w:spacing w:val="-7"/>
        </w:rPr>
        <w:t>股东大会的召集、召开、表决程序，保证股东大会的召开程序和决议合法有效，公司严格执行《股东大会网络投票管理办法》，</w:t>
      </w:r>
      <w:r>
        <w:rPr>
          <w:spacing w:val="-58"/>
        </w:rPr>
        <w:t> </w:t>
      </w:r>
      <w:r>
        <w:rPr>
          <w:spacing w:val="-58"/>
        </w:rPr>
      </w:r>
      <w:r>
        <w:rPr>
          <w:spacing w:val="-2"/>
        </w:rPr>
        <w:t>以现场与网络相结合的方式召开股东大会平等对待所有股东，保障公司股东特别是中小股东的合法权益。公司各次股东大会</w:t>
      </w:r>
      <w:r>
        <w:rPr>
          <w:spacing w:val="-72"/>
        </w:rPr>
        <w:t> </w:t>
      </w:r>
      <w:r>
        <w:rPr>
          <w:spacing w:val="-72"/>
        </w:rPr>
      </w:r>
      <w:r>
        <w:rPr>
          <w:spacing w:val="-2"/>
        </w:rPr>
        <w:t>均由董事会召集召开，表决事项均按照相应的权限审批后交由股东大会审议，并聘请律师进行现场见证，切实维护了公司和</w:t>
      </w:r>
      <w:r>
        <w:rPr>
          <w:spacing w:val="-75"/>
        </w:rPr>
        <w:t> </w:t>
      </w:r>
      <w:r>
        <w:rPr>
          <w:spacing w:val="-75"/>
        </w:rPr>
      </w:r>
      <w:r>
        <w:rPr/>
        <w:t>全体股东的合法权益。</w:t>
      </w:r>
    </w:p>
    <w:p>
      <w:pPr>
        <w:pStyle w:val="BodyText"/>
        <w:spacing w:line="304" w:lineRule="auto" w:before="37"/>
        <w:ind w:left="501" w:right="0" w:hanging="361"/>
        <w:jc w:val="left"/>
      </w:pPr>
      <w:r>
        <w:rPr>
          <w:rFonts w:ascii="Times New Roman" w:hAnsi="Times New Roman" w:cs="Times New Roman" w:eastAsia="Times New Roman" w:hint="default"/>
        </w:rPr>
        <w:t>2</w:t>
      </w:r>
      <w:r>
        <w:rPr/>
        <w:t>、关于董事与董事会 </w:t>
      </w:r>
      <w:r>
        <w:rPr>
          <w:spacing w:val="-2"/>
        </w:rPr>
        <w:t>报告期内，因公司控股股东变更，公司董事会进行了改选，更换了</w:t>
      </w:r>
      <w:r>
        <w:rPr>
          <w:rFonts w:ascii="Times New Roman" w:hAnsi="Times New Roman" w:cs="Times New Roman" w:eastAsia="Times New Roman" w:hint="default"/>
          <w:spacing w:val="-2"/>
        </w:rPr>
        <w:t>4</w:t>
      </w:r>
      <w:r>
        <w:rPr>
          <w:spacing w:val="-2"/>
        </w:rPr>
        <w:t>名董事和</w:t>
      </w:r>
      <w:r>
        <w:rPr>
          <w:rFonts w:ascii="Times New Roman" w:hAnsi="Times New Roman" w:cs="Times New Roman" w:eastAsia="Times New Roman" w:hint="default"/>
          <w:spacing w:val="-2"/>
        </w:rPr>
        <w:t>2</w:t>
      </w:r>
      <w:r>
        <w:rPr>
          <w:spacing w:val="-2"/>
        </w:rPr>
        <w:t>名独立董事，并重新选举了董事长，增设</w:t>
      </w:r>
    </w:p>
    <w:p>
      <w:pPr>
        <w:pStyle w:val="BodyText"/>
        <w:spacing w:line="218" w:lineRule="exact" w:before="0"/>
        <w:ind w:right="0"/>
        <w:jc w:val="left"/>
      </w:pPr>
      <w:r>
        <w:rPr/>
        <w:t>了副董事长，同时重新选举了公司董事会下设的战略委员会、审计委员会、提名委员会、薪酬与考核委员会四个专门委员会</w:t>
      </w:r>
    </w:p>
    <w:p>
      <w:pPr>
        <w:pStyle w:val="BodyText"/>
        <w:spacing w:line="312" w:lineRule="auto" w:before="79"/>
        <w:ind w:right="1029"/>
        <w:jc w:val="left"/>
      </w:pPr>
      <w:r>
        <w:rPr/>
        <w:t>成员。新旧董事会成员均严格按照公司《董事会议事规则》、《独立董事工作细则》、《公司章程》等相关规定勤勉尽责， 认真出席董事会会议，公司</w:t>
      </w:r>
      <w:r>
        <w:rPr>
          <w:rFonts w:ascii="Times New Roman" w:hAnsi="Times New Roman" w:cs="Times New Roman" w:eastAsia="Times New Roman" w:hint="default"/>
        </w:rPr>
        <w:t>2019</w:t>
      </w:r>
      <w:r>
        <w:rPr/>
        <w:t>年度共召开</w:t>
      </w:r>
      <w:r>
        <w:rPr>
          <w:rFonts w:ascii="Times New Roman" w:hAnsi="Times New Roman" w:cs="Times New Roman" w:eastAsia="Times New Roman" w:hint="default"/>
        </w:rPr>
        <w:t>8</w:t>
      </w:r>
      <w:r>
        <w:rPr/>
        <w:t>次董事会会议，对董事会职权范围内的重大事项进行了认真的研究、审议和决 </w:t>
      </w:r>
      <w:r>
        <w:rPr>
          <w:spacing w:val="-2"/>
        </w:rPr>
        <w:t>策；各专门委员会充分发挥了其在公司战略发展方向、重要人事调整、薪酬规范管理、内部审计与风险控制等方面的积极作</w:t>
      </w:r>
    </w:p>
    <w:p>
      <w:pPr>
        <w:pStyle w:val="BodyText"/>
        <w:spacing w:line="304" w:lineRule="auto" w:before="26"/>
        <w:ind w:right="0"/>
        <w:jc w:val="left"/>
      </w:pPr>
      <w:r>
        <w:rPr>
          <w:spacing w:val="-2"/>
        </w:rPr>
        <w:t>用，有效保证了公司决策的科学性和管理的规范性；独立董事独立履行职责，发挥各自的专业优势，关注公司股东尤其是中</w:t>
      </w:r>
      <w:r>
        <w:rPr>
          <w:spacing w:val="-40"/>
        </w:rPr>
        <w:t> </w:t>
      </w:r>
      <w:r>
        <w:rPr>
          <w:spacing w:val="-40"/>
        </w:rPr>
      </w:r>
      <w:r>
        <w:rPr/>
        <w:t>小股东的合法权益不受损害，对重大事项均发表了认可的独立意见。</w:t>
      </w:r>
    </w:p>
    <w:p>
      <w:pPr>
        <w:pStyle w:val="BodyText"/>
        <w:spacing w:line="288" w:lineRule="auto" w:before="46"/>
        <w:ind w:left="501" w:right="1133" w:hanging="361"/>
        <w:jc w:val="left"/>
      </w:pPr>
      <w:r>
        <w:rPr>
          <w:rFonts w:ascii="Times New Roman" w:hAnsi="Times New Roman" w:cs="Times New Roman" w:eastAsia="Times New Roman" w:hint="default"/>
        </w:rPr>
        <w:t>3</w:t>
      </w:r>
      <w:r>
        <w:rPr/>
        <w:t>、关于监事与监事会 </w:t>
      </w:r>
      <w:r>
        <w:rPr>
          <w:spacing w:val="-2"/>
        </w:rPr>
        <w:t>报告期内，因公司控股股东变更，公司监事会进行了全员改选。新旧监事会成员均严格按照《公司章程》、《监事会议</w:t>
      </w:r>
    </w:p>
    <w:p>
      <w:pPr>
        <w:pStyle w:val="BodyText"/>
        <w:spacing w:line="290" w:lineRule="auto" w:before="59"/>
        <w:ind w:right="1119"/>
        <w:jc w:val="left"/>
      </w:pPr>
      <w:r>
        <w:rPr/>
        <w:t>事规则》等相关规定召集召开监事会，认真出席监事会会议，公司</w:t>
      </w:r>
      <w:r>
        <w:rPr>
          <w:rFonts w:ascii="Times New Roman" w:hAnsi="Times New Roman" w:cs="Times New Roman" w:eastAsia="Times New Roman" w:hint="default"/>
        </w:rPr>
        <w:t>2019</w:t>
      </w:r>
      <w:r>
        <w:rPr/>
        <w:t>年度共召开</w:t>
      </w:r>
      <w:r>
        <w:rPr>
          <w:rFonts w:ascii="Times New Roman" w:hAnsi="Times New Roman" w:cs="Times New Roman" w:eastAsia="Times New Roman" w:hint="default"/>
        </w:rPr>
        <w:t>7</w:t>
      </w:r>
      <w:r>
        <w:rPr/>
        <w:t>次监事会会议，对公司的重大事项、关</w:t>
      </w:r>
      <w:r>
        <w:rPr>
          <w:spacing w:val="-83"/>
        </w:rPr>
        <w:t> </w:t>
      </w:r>
      <w:r>
        <w:rPr/>
        <w:t>联交易、财务状况等进行监督并发表审核意见，有效维护了公司及股东的合法权益。</w:t>
      </w:r>
    </w:p>
    <w:p>
      <w:pPr>
        <w:pStyle w:val="BodyText"/>
        <w:spacing w:line="290" w:lineRule="auto" w:before="41"/>
        <w:ind w:left="501" w:right="0" w:hanging="361"/>
        <w:jc w:val="left"/>
      </w:pPr>
      <w:r>
        <w:rPr>
          <w:rFonts w:ascii="Times New Roman" w:hAnsi="Times New Roman" w:cs="Times New Roman" w:eastAsia="Times New Roman" w:hint="default"/>
        </w:rPr>
        <w:t>4</w:t>
      </w:r>
      <w:r>
        <w:rPr/>
        <w:t>、关于公司与控股股东 </w:t>
      </w:r>
      <w:r>
        <w:rPr>
          <w:spacing w:val="-2"/>
        </w:rPr>
        <w:t>报告期内，公司控股股东变更，原控股股东及新控股股东行为规范，没有超越股东大会或董事会直接或间接干预公司决</w:t>
      </w:r>
    </w:p>
    <w:p>
      <w:pPr>
        <w:pStyle w:val="BodyText"/>
        <w:spacing w:line="312" w:lineRule="auto" w:before="56"/>
        <w:ind w:right="1143"/>
        <w:jc w:val="left"/>
      </w:pPr>
      <w:r>
        <w:rPr/>
        <w:t>策和经营活动的情形；公司与控股股东在人员、</w:t>
      </w:r>
      <w:r>
        <w:rPr>
          <w:spacing w:val="-4"/>
        </w:rPr>
        <w:t> </w:t>
      </w:r>
      <w:r>
        <w:rPr/>
        <w:t>资产、财务、机构和业务方面做到</w:t>
      </w:r>
      <w:r>
        <w:rPr>
          <w:rFonts w:ascii="Times New Roman" w:hAnsi="Times New Roman" w:cs="Times New Roman" w:eastAsia="Times New Roman" w:hint="default"/>
        </w:rPr>
        <w:t>“</w:t>
      </w:r>
      <w:r>
        <w:rPr/>
        <w:t>五独立</w:t>
      </w:r>
      <w:r>
        <w:rPr>
          <w:rFonts w:ascii="Times New Roman" w:hAnsi="Times New Roman" w:cs="Times New Roman" w:eastAsia="Times New Roman" w:hint="default"/>
        </w:rPr>
        <w:t>”</w:t>
      </w:r>
      <w:r>
        <w:rPr/>
        <w:t>，具有独立完整的业务及自主 经营能力。控股股东依法行使权利并承担相应的义务，公司不存在为控股股东及其关联人提供担保的情形。 </w:t>
      </w:r>
      <w:r>
        <w:rPr>
          <w:rFonts w:ascii="Times New Roman" w:hAnsi="Times New Roman" w:cs="Times New Roman" w:eastAsia="Times New Roman" w:hint="default"/>
        </w:rPr>
        <w:t>5</w:t>
      </w:r>
      <w:r>
        <w:rPr/>
        <w:t>、关于信息披露与投资者关系管理</w:t>
      </w:r>
    </w:p>
    <w:p>
      <w:pPr>
        <w:pStyle w:val="BodyText"/>
        <w:spacing w:line="212" w:lineRule="exact" w:before="0"/>
        <w:ind w:left="501" w:right="0"/>
        <w:jc w:val="left"/>
      </w:pPr>
      <w:r>
        <w:rPr/>
        <w:t>报告期内，公司严格按照《公司法》、《股票上市规则》、《中小企业板上市公司规范运作指引》等相关法律法规和规</w:t>
      </w:r>
    </w:p>
    <w:p>
      <w:pPr>
        <w:pStyle w:val="BodyText"/>
        <w:spacing w:line="240" w:lineRule="auto" w:before="79"/>
        <w:ind w:right="0"/>
        <w:jc w:val="left"/>
      </w:pPr>
      <w:r>
        <w:rPr/>
        <w:t>范性文件的要求，真实、准确、完整地履行信息披露义务，并指定《证券时报》、《中国证券报》和巨潮资讯网</w:t>
      </w:r>
    </w:p>
    <w:p>
      <w:pPr>
        <w:pStyle w:val="BodyText"/>
        <w:spacing w:line="304" w:lineRule="auto" w:before="95"/>
        <w:ind w:right="1106"/>
        <w:jc w:val="both"/>
      </w:pPr>
      <w:r>
        <w:rPr/>
        <w:t>（</w:t>
      </w:r>
      <w:hyperlink r:id="rId11">
        <w:r>
          <w:rPr>
            <w:rFonts w:ascii="Times New Roman" w:hAnsi="Times New Roman" w:cs="Times New Roman" w:eastAsia="Times New Roman" w:hint="default"/>
          </w:rPr>
          <w:t>http://www.cninfo.com.cn</w:t>
        </w:r>
      </w:hyperlink>
      <w:r>
        <w:rPr/>
        <w:t>）为公司信息披露的报纸和网站。公司通过多种方式进行投资者关系管理，如投资者关系电话专 线、投资者关系电子邮箱、互动易、约调研、全景</w:t>
      </w:r>
      <w:r>
        <w:rPr>
          <w:rFonts w:ascii="Times New Roman" w:hAnsi="Times New Roman" w:cs="Times New Roman" w:eastAsia="Times New Roman" w:hint="default"/>
        </w:rPr>
        <w:t>•</w:t>
      </w:r>
      <w:r>
        <w:rPr/>
        <w:t>路演天下等多种渠道与投资者进行沟通交流；同时通过举办网上业绩说 </w:t>
      </w:r>
      <w:r>
        <w:rPr>
          <w:spacing w:val="-2"/>
        </w:rPr>
        <w:t>明会、建设公司官网、运营微信公众号、开通传真等多种方式帮助投资者了解公司情况；并通过易董等专用工具定期对公司</w:t>
      </w:r>
      <w:r>
        <w:rPr>
          <w:spacing w:val="-42"/>
        </w:rPr>
        <w:t> </w:t>
      </w:r>
      <w:r>
        <w:rPr>
          <w:spacing w:val="-42"/>
        </w:rPr>
      </w:r>
      <w:r>
        <w:rPr>
          <w:spacing w:val="-2"/>
        </w:rPr>
        <w:t>股东名册进行分析、接待分析师调研为公司出具研究报告、召开股东大会对投资者来访进行参观接待等模式进行投资者关系</w:t>
      </w:r>
      <w:r>
        <w:rPr>
          <w:spacing w:val="-72"/>
        </w:rPr>
        <w:t> </w:t>
      </w:r>
      <w:r>
        <w:rPr>
          <w:spacing w:val="-72"/>
        </w:rPr>
      </w:r>
      <w:r>
        <w:rPr/>
        <w:t>管理，以保证中小投资者信息沟通的公平性，提高公司信息透明度。</w:t>
      </w:r>
    </w:p>
    <w:p>
      <w:pPr>
        <w:pStyle w:val="BodyText"/>
        <w:spacing w:line="288" w:lineRule="auto" w:before="46"/>
        <w:ind w:left="501" w:right="0" w:hanging="361"/>
        <w:jc w:val="left"/>
      </w:pPr>
      <w:r>
        <w:rPr>
          <w:rFonts w:ascii="Times New Roman" w:hAnsi="Times New Roman" w:cs="Times New Roman" w:eastAsia="Times New Roman" w:hint="default"/>
        </w:rPr>
        <w:t>6</w:t>
      </w:r>
      <w:r>
        <w:rPr/>
        <w:t>、关于内部控制制度 </w:t>
      </w:r>
      <w:r>
        <w:rPr>
          <w:spacing w:val="-2"/>
        </w:rPr>
        <w:t>报告期内，公司设立内部审计部门，明确规定内审部门的岗位职责，并定期直接向董事会审计委员会汇报工作。通过内</w:t>
      </w:r>
    </w:p>
    <w:p>
      <w:pPr>
        <w:pStyle w:val="BodyText"/>
        <w:spacing w:line="240" w:lineRule="auto"/>
        <w:ind w:right="0"/>
        <w:jc w:val="left"/>
      </w:pPr>
      <w:r>
        <w:rPr/>
        <w:t>部审计工作的有效开展，对公司的资金运作、资产利用情况及其他财务运作情况进行审计和监督，有效防范了内部控制的风</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67" w:lineRule="auto"/>
        <w:ind w:right="3549"/>
        <w:jc w:val="left"/>
      </w:pPr>
      <w:r>
        <w:rPr/>
        <w:t>险。通过不断完善内控制度，更好地满足公司规范治理、高效运作的需要。 公司治理的实际状况与中国证监会发布的有关上市公司治理的规范性文件是否存在重大差异</w:t>
      </w:r>
    </w:p>
    <w:p>
      <w:pPr>
        <w:pStyle w:val="BodyText"/>
        <w:spacing w:line="319" w:lineRule="auto" w:before="29"/>
        <w:ind w:right="35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321" w:lineRule="auto" w:before="0"/>
        <w:ind w:right="0"/>
        <w:jc w:val="left"/>
      </w:pPr>
      <w:r>
        <w:rPr>
          <w:spacing w:val="-2"/>
        </w:rPr>
        <w:t>公司严格按照《公司法》、《证券法》、《上市公司治理准则》、《股票上市规则》等有关法律法规和《公司章程》的要求</w:t>
      </w:r>
      <w:r>
        <w:rPr>
          <w:spacing w:val="-42"/>
        </w:rPr>
        <w:t> </w:t>
      </w:r>
      <w:r>
        <w:rPr>
          <w:spacing w:val="-42"/>
        </w:rPr>
      </w:r>
      <w:r>
        <w:rPr/>
        <w:t>规范运作，公司与控股股东在业务、人员、资产、机构、财务等方面完全分开，具有独立完整的业务及自主经营能力。</w:t>
      </w:r>
    </w:p>
    <w:p>
      <w:pPr>
        <w:pStyle w:val="BodyText"/>
        <w:spacing w:line="314" w:lineRule="auto" w:before="19"/>
        <w:ind w:right="0"/>
        <w:jc w:val="left"/>
      </w:pPr>
      <w:r>
        <w:rPr/>
        <w:t>（一）业务独立 </w:t>
      </w:r>
      <w:r>
        <w:rPr>
          <w:spacing w:val="-2"/>
        </w:rPr>
        <w:t>公司独立于控股股东及其控制的其他企业，拥有完整的供应链管理业务体系及销售体系，独立面向市场自主经营，不存在控</w:t>
      </w:r>
      <w:r>
        <w:rPr>
          <w:spacing w:val="-75"/>
        </w:rPr>
        <w:t> </w:t>
      </w:r>
      <w:r>
        <w:rPr>
          <w:spacing w:val="-75"/>
        </w:rPr>
      </w:r>
      <w:r>
        <w:rPr/>
        <w:t>股股东直接或间接干预公司经营的情形。</w:t>
      </w:r>
    </w:p>
    <w:p>
      <w:pPr>
        <w:pStyle w:val="BodyText"/>
        <w:spacing w:line="321" w:lineRule="auto" w:before="24"/>
        <w:ind w:right="0"/>
        <w:jc w:val="left"/>
      </w:pPr>
      <w:r>
        <w:rPr/>
        <w:t>（二）人员独立 </w:t>
      </w:r>
      <w:r>
        <w:rPr>
          <w:spacing w:val="-2"/>
        </w:rPr>
        <w:t>公司制定了独立的劳动、人事、薪资等管理制度，拥有独立的人事职能部门、经营管理团队，公司董事、监事及高级管理人</w:t>
      </w:r>
      <w:r>
        <w:rPr>
          <w:spacing w:val="-66"/>
        </w:rPr>
        <w:t> </w:t>
      </w:r>
      <w:r>
        <w:rPr>
          <w:spacing w:val="-66"/>
        </w:rPr>
      </w:r>
      <w:r>
        <w:rPr>
          <w:spacing w:val="-4"/>
        </w:rPr>
        <w:t>员严格按照《公司法》、《公司章程》的有关规定产生，公司高级管理人员均未在公司控股股东及其控制的企业中担任职务。</w:t>
      </w:r>
    </w:p>
    <w:p>
      <w:pPr>
        <w:pStyle w:val="BodyText"/>
        <w:spacing w:line="321" w:lineRule="auto" w:before="3"/>
        <w:ind w:right="0"/>
        <w:jc w:val="left"/>
      </w:pPr>
      <w:r>
        <w:rPr/>
        <w:t>（三）资产独立 </w:t>
      </w:r>
      <w:r>
        <w:rPr>
          <w:spacing w:val="-2"/>
        </w:rPr>
        <w:t>公司的资产独立完整，独立运营，与控股股东及其控制的其他企业产权关系明确，对所有资产拥有完全的控制支配权，不存</w:t>
      </w:r>
      <w:r>
        <w:rPr>
          <w:spacing w:val="-42"/>
        </w:rPr>
        <w:t> </w:t>
      </w:r>
      <w:r>
        <w:rPr>
          <w:spacing w:val="-42"/>
        </w:rPr>
      </w:r>
      <w:r>
        <w:rPr/>
        <w:t>在资金、资产被控股股东及其控制的其他企业违规占用而损害公司利益的情况。</w:t>
      </w:r>
    </w:p>
    <w:p>
      <w:pPr>
        <w:pStyle w:val="BodyText"/>
        <w:spacing w:line="314" w:lineRule="auto" w:before="19"/>
        <w:ind w:right="0"/>
        <w:jc w:val="left"/>
      </w:pPr>
      <w:r>
        <w:rPr/>
        <w:t>（四）机构独立 </w:t>
      </w:r>
      <w:r>
        <w:rPr>
          <w:spacing w:val="-2"/>
        </w:rPr>
        <w:t>公司拥有独立的经营场所和办公机构，设有健全的组织机构体系，公司股东大会、董事会、监事会、经营层及各部门均能够</w:t>
      </w:r>
      <w:r>
        <w:rPr>
          <w:spacing w:val="-57"/>
        </w:rPr>
        <w:t> </w:t>
      </w:r>
      <w:r>
        <w:rPr>
          <w:spacing w:val="-57"/>
        </w:rPr>
      </w:r>
      <w:r>
        <w:rPr/>
        <w:t>独立运作。各部门按照规定的职责独立运作，不存在与控股股东或其职能部门之间的从属关系。</w:t>
      </w:r>
    </w:p>
    <w:p>
      <w:pPr>
        <w:pStyle w:val="BodyText"/>
        <w:spacing w:line="321" w:lineRule="auto" w:before="24"/>
        <w:ind w:right="0"/>
        <w:jc w:val="left"/>
      </w:pPr>
      <w:r>
        <w:rPr/>
        <w:t>（五）财务独立 </w:t>
      </w:r>
      <w:r>
        <w:rPr>
          <w:spacing w:val="-2"/>
        </w:rPr>
        <w:t>公司拥有独立的财务部门，并建立了独立的财务核算体系和财务会计制度。公司拥有独立的银行账户，独立进行纳税申报和</w:t>
      </w:r>
      <w:r>
        <w:rPr>
          <w:spacing w:val="-75"/>
        </w:rPr>
        <w:t> </w:t>
      </w:r>
      <w:r>
        <w:rPr>
          <w:spacing w:val="-75"/>
        </w:rPr>
      </w:r>
      <w:r>
        <w:rPr/>
        <w:t>履行纳税义务，不存在为控股股东及控制的其他企业或其他关联方提供担保的情形。</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问题类型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控股股东性质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问题成因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解决措施</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06" w:right="74" w:hanging="631"/>
              <w:jc w:val="left"/>
              <w:rPr>
                <w:rFonts w:ascii="宋体" w:hAnsi="宋体" w:cs="宋体" w:eastAsia="宋体" w:hint="default"/>
                <w:sz w:val="18"/>
                <w:szCs w:val="18"/>
              </w:rPr>
            </w:pPr>
            <w:r>
              <w:rPr>
                <w:rFonts w:ascii="宋体" w:hAnsi="宋体" w:cs="宋体" w:eastAsia="宋体" w:hint="default"/>
                <w:sz w:val="18"/>
                <w:szCs w:val="18"/>
              </w:rPr>
              <w:t>工作进度及后续计 划</w:t>
            </w:r>
          </w:p>
        </w:tc>
      </w:tr>
      <w:tr>
        <w:trPr>
          <w:trHeight w:val="4099"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4" w:lineRule="auto"/>
              <w:ind w:left="30" w:right="121"/>
              <w:jc w:val="both"/>
              <w:rPr>
                <w:rFonts w:ascii="宋体" w:hAnsi="宋体" w:cs="宋体" w:eastAsia="宋体" w:hint="default"/>
                <w:sz w:val="18"/>
                <w:szCs w:val="18"/>
              </w:rPr>
            </w:pPr>
            <w:r>
              <w:rPr>
                <w:rFonts w:ascii="宋体" w:hAnsi="宋体" w:cs="宋体" w:eastAsia="宋体" w:hint="default"/>
                <w:sz w:val="18"/>
                <w:szCs w:val="18"/>
              </w:rPr>
              <w:t>广东省绿色金融投 资控股集团有限公 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地方国资委</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5"/>
              <w:ind w:left="15"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、绿色金控在报告 期内成为公司的直 </w:t>
            </w:r>
            <w:r>
              <w:rPr>
                <w:rFonts w:ascii="宋体" w:hAnsi="宋体" w:cs="宋体" w:eastAsia="宋体" w:hint="default"/>
                <w:spacing w:val="-10"/>
                <w:sz w:val="18"/>
                <w:szCs w:val="18"/>
              </w:rPr>
              <w:t>接控股股东，广州金</w:t>
            </w:r>
            <w:r>
              <w:rPr>
                <w:rFonts w:ascii="宋体" w:hAnsi="宋体" w:cs="宋体" w:eastAsia="宋体" w:hint="default"/>
                <w:sz w:val="18"/>
                <w:szCs w:val="18"/>
              </w:rPr>
              <w:t> 控通过绿色金控控 </w:t>
            </w:r>
            <w:r>
              <w:rPr>
                <w:rFonts w:ascii="宋体" w:hAnsi="宋体" w:cs="宋体" w:eastAsia="宋体" w:hint="default"/>
                <w:spacing w:val="-10"/>
                <w:sz w:val="18"/>
                <w:szCs w:val="18"/>
              </w:rPr>
              <w:t>制公司，成为公司的</w:t>
            </w:r>
          </w:p>
          <w:p>
            <w:pPr>
              <w:pStyle w:val="TableParagraph"/>
              <w:spacing w:line="312" w:lineRule="auto" w:before="43"/>
              <w:ind w:left="15" w:right="28"/>
              <w:jc w:val="left"/>
              <w:rPr>
                <w:rFonts w:ascii="宋体" w:hAnsi="宋体" w:cs="宋体" w:eastAsia="宋体" w:hint="default"/>
                <w:sz w:val="18"/>
                <w:szCs w:val="18"/>
              </w:rPr>
            </w:pPr>
            <w:r>
              <w:rPr>
                <w:rFonts w:ascii="宋体" w:hAnsi="宋体" w:cs="宋体" w:eastAsia="宋体" w:hint="default"/>
                <w:sz w:val="18"/>
                <w:szCs w:val="18"/>
              </w:rPr>
              <w:t>间接控股股东。</w:t>
            </w:r>
            <w:r>
              <w:rPr>
                <w:rFonts w:ascii="Times New Roman" w:hAnsi="Times New Roman" w:cs="Times New Roman" w:eastAsia="Times New Roman" w:hint="default"/>
                <w:sz w:val="18"/>
                <w:szCs w:val="18"/>
              </w:rPr>
              <w:t>2</w:t>
            </w:r>
            <w:r>
              <w:rPr>
                <w:rFonts w:ascii="宋体" w:hAnsi="宋体" w:cs="宋体" w:eastAsia="宋体" w:hint="default"/>
                <w:sz w:val="18"/>
                <w:szCs w:val="18"/>
              </w:rPr>
              <w:t>、 广州金控间接控制 的子公司立根融资 租赁有限公司从事 </w:t>
            </w:r>
            <w:r>
              <w:rPr>
                <w:rFonts w:ascii="宋体" w:hAnsi="宋体" w:cs="宋体" w:eastAsia="宋体" w:hint="default"/>
                <w:spacing w:val="-10"/>
                <w:sz w:val="18"/>
                <w:szCs w:val="18"/>
              </w:rPr>
              <w:t>融资租赁业务，与本</w:t>
            </w:r>
            <w:r>
              <w:rPr>
                <w:rFonts w:ascii="宋体" w:hAnsi="宋体" w:cs="宋体" w:eastAsia="宋体" w:hint="default"/>
                <w:sz w:val="18"/>
                <w:szCs w:val="18"/>
              </w:rPr>
              <w:t> 公司附属企业深圳</w:t>
            </w:r>
          </w:p>
          <w:p>
            <w:pPr>
              <w:pStyle w:val="TableParagraph"/>
              <w:spacing w:line="321" w:lineRule="auto" w:before="26"/>
              <w:ind w:left="15" w:right="121"/>
              <w:jc w:val="left"/>
              <w:rPr>
                <w:rFonts w:ascii="宋体" w:hAnsi="宋体" w:cs="宋体" w:eastAsia="宋体" w:hint="default"/>
                <w:sz w:val="18"/>
                <w:szCs w:val="18"/>
              </w:rPr>
            </w:pPr>
            <w:r>
              <w:rPr>
                <w:rFonts w:ascii="宋体" w:hAnsi="宋体" w:cs="宋体" w:eastAsia="宋体" w:hint="default"/>
                <w:sz w:val="18"/>
                <w:szCs w:val="18"/>
              </w:rPr>
              <w:t>市前海瑞泰融资租 赁有限公司的主营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30" w:right="14"/>
              <w:jc w:val="left"/>
              <w:rPr>
                <w:rFonts w:ascii="宋体" w:hAnsi="宋体" w:cs="宋体" w:eastAsia="宋体" w:hint="default"/>
                <w:sz w:val="18"/>
                <w:szCs w:val="18"/>
              </w:rPr>
            </w:pPr>
            <w:r>
              <w:rPr>
                <w:rFonts w:ascii="宋体" w:hAnsi="宋体" w:cs="宋体" w:eastAsia="宋体" w:hint="default"/>
                <w:sz w:val="18"/>
                <w:szCs w:val="18"/>
              </w:rPr>
              <w:t>根据广州金控出具 </w:t>
            </w:r>
            <w:r>
              <w:rPr>
                <w:rFonts w:ascii="宋体" w:hAnsi="宋体" w:cs="宋体" w:eastAsia="宋体" w:hint="default"/>
                <w:spacing w:val="-10"/>
                <w:sz w:val="18"/>
                <w:szCs w:val="18"/>
              </w:rPr>
              <w:t>的《关于避免同业竞</w:t>
            </w:r>
            <w:r>
              <w:rPr>
                <w:rFonts w:ascii="宋体" w:hAnsi="宋体" w:cs="宋体" w:eastAsia="宋体" w:hint="default"/>
                <w:sz w:val="18"/>
                <w:szCs w:val="18"/>
              </w:rPr>
              <w:t> </w:t>
            </w:r>
            <w:r>
              <w:rPr>
                <w:rFonts w:ascii="宋体" w:hAnsi="宋体" w:cs="宋体" w:eastAsia="宋体" w:hint="default"/>
                <w:spacing w:val="-10"/>
                <w:sz w:val="18"/>
                <w:szCs w:val="18"/>
              </w:rPr>
              <w:t>争的承诺函》，就目</w:t>
            </w:r>
            <w:r>
              <w:rPr>
                <w:rFonts w:ascii="宋体" w:hAnsi="宋体" w:cs="宋体" w:eastAsia="宋体" w:hint="default"/>
                <w:sz w:val="18"/>
                <w:szCs w:val="18"/>
              </w:rPr>
              <w:t> 前存在同业竞争的 </w:t>
            </w:r>
            <w:r>
              <w:rPr>
                <w:rFonts w:ascii="宋体" w:hAnsi="宋体" w:cs="宋体" w:eastAsia="宋体" w:hint="default"/>
                <w:spacing w:val="-10"/>
                <w:sz w:val="18"/>
                <w:szCs w:val="18"/>
              </w:rPr>
              <w:t>业务，广州金控承诺</w:t>
            </w:r>
            <w:r>
              <w:rPr>
                <w:rFonts w:ascii="宋体" w:hAnsi="宋体" w:cs="宋体" w:eastAsia="宋体" w:hint="default"/>
                <w:sz w:val="18"/>
                <w:szCs w:val="18"/>
              </w:rPr>
              <w:t> 将在广州金控成为 普路通间接控股股</w:t>
            </w:r>
          </w:p>
          <w:p>
            <w:pPr>
              <w:pStyle w:val="TableParagraph"/>
              <w:spacing w:line="297" w:lineRule="auto" w:before="35"/>
              <w:ind w:left="30" w:right="14"/>
              <w:jc w:val="left"/>
              <w:rPr>
                <w:rFonts w:ascii="宋体" w:hAnsi="宋体" w:cs="宋体" w:eastAsia="宋体" w:hint="default"/>
                <w:sz w:val="18"/>
                <w:szCs w:val="18"/>
              </w:rPr>
            </w:pPr>
            <w:r>
              <w:rPr>
                <w:rFonts w:ascii="宋体" w:hAnsi="宋体" w:cs="宋体" w:eastAsia="宋体" w:hint="default"/>
                <w:sz w:val="18"/>
                <w:szCs w:val="18"/>
              </w:rPr>
              <w:t>东之日起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23"/>
                <w:sz w:val="18"/>
                <w:szCs w:val="18"/>
              </w:rPr>
              <w:t>年内，按</w:t>
            </w:r>
            <w:r>
              <w:rPr>
                <w:rFonts w:ascii="宋体" w:hAnsi="宋体" w:cs="宋体" w:eastAsia="宋体" w:hint="default"/>
                <w:sz w:val="18"/>
                <w:szCs w:val="18"/>
              </w:rPr>
              <w:t> 照相关法律法规促 使立根融资租赁有</w:t>
            </w:r>
          </w:p>
          <w:p>
            <w:pPr>
              <w:pStyle w:val="TableParagraph"/>
              <w:spacing w:line="321" w:lineRule="auto" w:before="36"/>
              <w:ind w:left="30" w:right="106"/>
              <w:jc w:val="both"/>
              <w:rPr>
                <w:rFonts w:ascii="宋体" w:hAnsi="宋体" w:cs="宋体" w:eastAsia="宋体" w:hint="default"/>
                <w:sz w:val="18"/>
                <w:szCs w:val="18"/>
              </w:rPr>
            </w:pPr>
            <w:r>
              <w:rPr>
                <w:rFonts w:ascii="宋体" w:hAnsi="宋体" w:cs="宋体" w:eastAsia="宋体" w:hint="default"/>
                <w:sz w:val="18"/>
                <w:szCs w:val="18"/>
              </w:rPr>
              <w:t>限公司将符合境内 上市要求的与普路 通业务相关的资产</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30" w:right="14"/>
              <w:jc w:val="left"/>
              <w:rPr>
                <w:rFonts w:ascii="宋体" w:hAnsi="宋体" w:cs="宋体" w:eastAsia="宋体" w:hint="default"/>
                <w:sz w:val="18"/>
                <w:szCs w:val="18"/>
              </w:rPr>
            </w:pPr>
            <w:r>
              <w:rPr>
                <w:rFonts w:ascii="宋体" w:hAnsi="宋体" w:cs="宋体" w:eastAsia="宋体" w:hint="default"/>
                <w:sz w:val="18"/>
                <w:szCs w:val="18"/>
              </w:rPr>
              <w:t>绿色金控根据承诺 书与其控股股东广 州金控等有关方正 </w:t>
            </w:r>
            <w:r>
              <w:rPr>
                <w:rFonts w:ascii="宋体" w:hAnsi="宋体" w:cs="宋体" w:eastAsia="宋体" w:hint="default"/>
                <w:spacing w:val="-9"/>
                <w:sz w:val="18"/>
                <w:szCs w:val="18"/>
              </w:rPr>
              <w:t>积极协商沟通，目前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尚在推进中</w:t>
            </w:r>
          </w:p>
        </w:tc>
      </w:tr>
    </w:tbl>
    <w:p>
      <w:pPr>
        <w:spacing w:after="0" w:line="31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2852"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21"/>
              <w:jc w:val="left"/>
              <w:rPr>
                <w:rFonts w:ascii="宋体" w:hAnsi="宋体" w:cs="宋体" w:eastAsia="宋体" w:hint="default"/>
                <w:sz w:val="18"/>
                <w:szCs w:val="18"/>
              </w:rPr>
            </w:pPr>
            <w:r>
              <w:rPr>
                <w:rFonts w:ascii="宋体" w:hAnsi="宋体" w:cs="宋体" w:eastAsia="宋体" w:hint="default"/>
                <w:sz w:val="18"/>
                <w:szCs w:val="18"/>
              </w:rPr>
              <w:t>业务之间存在同业 竞争。</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16"/>
              <w:jc w:val="left"/>
              <w:rPr>
                <w:rFonts w:ascii="宋体" w:hAnsi="宋体" w:cs="宋体" w:eastAsia="宋体" w:hint="default"/>
                <w:sz w:val="18"/>
                <w:szCs w:val="18"/>
              </w:rPr>
            </w:pPr>
            <w:r>
              <w:rPr>
                <w:rFonts w:ascii="宋体" w:hAnsi="宋体" w:cs="宋体" w:eastAsia="宋体" w:hint="default"/>
                <w:sz w:val="18"/>
                <w:szCs w:val="18"/>
              </w:rPr>
              <w:t>按照届时确定的合 </w:t>
            </w:r>
            <w:r>
              <w:rPr>
                <w:rFonts w:ascii="宋体" w:hAnsi="宋体" w:cs="宋体" w:eastAsia="宋体" w:hint="default"/>
                <w:spacing w:val="-10"/>
                <w:sz w:val="18"/>
                <w:szCs w:val="18"/>
              </w:rPr>
              <w:t>法方式（包括但不限</w:t>
            </w:r>
            <w:r>
              <w:rPr>
                <w:rFonts w:ascii="宋体" w:hAnsi="宋体" w:cs="宋体" w:eastAsia="宋体" w:hint="default"/>
                <w:sz w:val="18"/>
                <w:szCs w:val="18"/>
              </w:rPr>
              <w:t> 于现金或发行股份 </w:t>
            </w:r>
            <w:r>
              <w:rPr>
                <w:rFonts w:ascii="宋体" w:hAnsi="宋体" w:cs="宋体" w:eastAsia="宋体" w:hint="default"/>
                <w:spacing w:val="-10"/>
                <w:sz w:val="18"/>
                <w:szCs w:val="18"/>
              </w:rPr>
              <w:t>的方式）并以届时确</w:t>
            </w:r>
            <w:r>
              <w:rPr>
                <w:rFonts w:ascii="宋体" w:hAnsi="宋体" w:cs="宋体" w:eastAsia="宋体" w:hint="default"/>
                <w:sz w:val="18"/>
                <w:szCs w:val="18"/>
              </w:rPr>
              <w:t> 定的公允价格注入 </w:t>
            </w:r>
            <w:r>
              <w:rPr>
                <w:rFonts w:ascii="宋体" w:hAnsi="宋体" w:cs="宋体" w:eastAsia="宋体" w:hint="default"/>
                <w:spacing w:val="-10"/>
                <w:sz w:val="18"/>
                <w:szCs w:val="18"/>
              </w:rPr>
              <w:t>普路通，或采取向无</w:t>
            </w:r>
            <w:r>
              <w:rPr>
                <w:rFonts w:ascii="宋体" w:hAnsi="宋体" w:cs="宋体" w:eastAsia="宋体" w:hint="default"/>
                <w:sz w:val="18"/>
                <w:szCs w:val="18"/>
              </w:rPr>
              <w:t> 关联关系的第三方 转让等其他方式解 决同业竞争问题。</w:t>
            </w: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3"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73" w:lineRule="auto" w:before="128"/>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51.17%</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4"/>
              <w:jc w:val="left"/>
              <w:rPr>
                <w:rFonts w:ascii="宋体" w:hAnsi="宋体" w:cs="宋体" w:eastAsia="宋体" w:hint="default"/>
                <w:sz w:val="18"/>
                <w:szCs w:val="18"/>
              </w:rPr>
            </w:pPr>
            <w:r>
              <w:rPr>
                <w:rFonts w:ascii="宋体" w:hAnsi="宋体" w:cs="宋体" w:eastAsia="宋体" w:hint="default"/>
                <w:spacing w:val="-9"/>
                <w:sz w:val="18"/>
                <w:szCs w:val="18"/>
              </w:rPr>
              <w:t>公告披露网站：巨潮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资讯网</w:t>
            </w:r>
          </w:p>
          <w:p>
            <w:pPr>
              <w:pStyle w:val="TableParagraph"/>
              <w:spacing w:line="240" w:lineRule="auto" w:before="3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8"/>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0" w:lineRule="auto" w:before="66"/>
              <w:ind w:left="30" w:right="14"/>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2019-015 </w:t>
            </w:r>
            <w:r>
              <w:rPr>
                <w:rFonts w:ascii="宋体" w:hAnsi="宋体" w:cs="宋体" w:eastAsia="宋体" w:hint="default"/>
                <w:sz w:val="18"/>
                <w:szCs w:val="18"/>
              </w:rPr>
              <w:t>号。 </w:t>
            </w:r>
            <w:r>
              <w:rPr>
                <w:rFonts w:ascii="宋体" w:hAnsi="宋体" w:cs="宋体" w:eastAsia="宋体" w:hint="default"/>
                <w:spacing w:val="-9"/>
                <w:sz w:val="18"/>
                <w:szCs w:val="18"/>
              </w:rPr>
              <w:t>公告名称：深圳市普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路通供应链管理股</w:t>
            </w:r>
          </w:p>
          <w:p>
            <w:pPr>
              <w:pStyle w:val="TableParagraph"/>
              <w:spacing w:line="297" w:lineRule="auto" w:before="49"/>
              <w:ind w:left="30" w:right="28"/>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第一次临时股东大 会会议决议公告。</w:t>
            </w:r>
          </w:p>
        </w:tc>
      </w:tr>
      <w:tr>
        <w:trPr>
          <w:trHeight w:val="3212"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76" w:lineRule="auto" w:before="128"/>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 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45.42%</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4"/>
              <w:jc w:val="left"/>
              <w:rPr>
                <w:rFonts w:ascii="宋体" w:hAnsi="宋体" w:cs="宋体" w:eastAsia="宋体" w:hint="default"/>
                <w:sz w:val="18"/>
                <w:szCs w:val="18"/>
              </w:rPr>
            </w:pPr>
            <w:r>
              <w:rPr>
                <w:rFonts w:ascii="宋体" w:hAnsi="宋体" w:cs="宋体" w:eastAsia="宋体" w:hint="default"/>
                <w:spacing w:val="-9"/>
                <w:sz w:val="18"/>
                <w:szCs w:val="18"/>
              </w:rPr>
              <w:t>公告披露网站：巨潮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资讯网</w:t>
            </w:r>
          </w:p>
          <w:p>
            <w:pPr>
              <w:pStyle w:val="TableParagraph"/>
              <w:spacing w:line="240" w:lineRule="auto" w:before="33"/>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8"/>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0" w:lineRule="auto" w:before="66"/>
              <w:ind w:left="30" w:right="14"/>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2019-036 </w:t>
            </w:r>
            <w:r>
              <w:rPr>
                <w:rFonts w:ascii="宋体" w:hAnsi="宋体" w:cs="宋体" w:eastAsia="宋体" w:hint="default"/>
                <w:sz w:val="18"/>
                <w:szCs w:val="18"/>
              </w:rPr>
              <w:t>号。 </w:t>
            </w:r>
            <w:r>
              <w:rPr>
                <w:rFonts w:ascii="宋体" w:hAnsi="宋体" w:cs="宋体" w:eastAsia="宋体" w:hint="default"/>
                <w:spacing w:val="-9"/>
                <w:sz w:val="18"/>
                <w:szCs w:val="18"/>
              </w:rPr>
              <w:t>公告名称：深圳市普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路通供应链管理股</w:t>
            </w:r>
          </w:p>
          <w:p>
            <w:pPr>
              <w:pStyle w:val="TableParagraph"/>
              <w:spacing w:line="297" w:lineRule="auto" w:before="50"/>
              <w:ind w:left="30" w:right="28"/>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年度股东大会会议 决议公告。</w:t>
            </w:r>
          </w:p>
        </w:tc>
      </w:tr>
      <w:tr>
        <w:trPr>
          <w:trHeight w:val="2537"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90"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42.43%</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4"/>
              <w:jc w:val="left"/>
              <w:rPr>
                <w:rFonts w:ascii="宋体" w:hAnsi="宋体" w:cs="宋体" w:eastAsia="宋体" w:hint="default"/>
                <w:sz w:val="18"/>
                <w:szCs w:val="18"/>
              </w:rPr>
            </w:pPr>
            <w:r>
              <w:rPr>
                <w:rFonts w:ascii="宋体" w:hAnsi="宋体" w:cs="宋体" w:eastAsia="宋体" w:hint="default"/>
                <w:spacing w:val="-9"/>
                <w:sz w:val="18"/>
                <w:szCs w:val="18"/>
              </w:rPr>
              <w:t>公告披露网站：巨潮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资讯网</w:t>
            </w:r>
          </w:p>
          <w:p>
            <w:pPr>
              <w:pStyle w:val="TableParagraph"/>
              <w:spacing w:line="240" w:lineRule="auto" w:before="33"/>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8"/>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12" w:lineRule="auto" w:before="51"/>
              <w:ind w:left="30" w:right="14"/>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2019-060 </w:t>
            </w:r>
            <w:r>
              <w:rPr>
                <w:rFonts w:ascii="宋体" w:hAnsi="宋体" w:cs="宋体" w:eastAsia="宋体" w:hint="default"/>
                <w:sz w:val="18"/>
                <w:szCs w:val="18"/>
              </w:rPr>
              <w:t>号。 </w:t>
            </w:r>
            <w:r>
              <w:rPr>
                <w:rFonts w:ascii="宋体" w:hAnsi="宋体" w:cs="宋体" w:eastAsia="宋体" w:hint="default"/>
                <w:spacing w:val="-9"/>
                <w:sz w:val="18"/>
                <w:szCs w:val="18"/>
              </w:rPr>
              <w:t>公告名称：深圳市普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路通供应链管理股 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r>
    </w:tbl>
    <w:p>
      <w:pPr>
        <w:spacing w:after="0" w:line="312"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675"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30" w:right="119"/>
              <w:jc w:val="left"/>
              <w:rPr>
                <w:rFonts w:ascii="宋体" w:hAnsi="宋体" w:cs="宋体" w:eastAsia="宋体" w:hint="default"/>
                <w:sz w:val="18"/>
                <w:szCs w:val="18"/>
              </w:rPr>
            </w:pPr>
            <w:r>
              <w:rPr>
                <w:rFonts w:ascii="宋体" w:hAnsi="宋体" w:cs="宋体" w:eastAsia="宋体" w:hint="default"/>
                <w:sz w:val="18"/>
                <w:szCs w:val="18"/>
              </w:rPr>
              <w:t>第二次临时股东大 会会议决议公告。</w:t>
            </w:r>
          </w:p>
        </w:tc>
      </w:tr>
      <w:tr>
        <w:trPr>
          <w:trHeight w:val="3212"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76" w:lineRule="auto" w:before="128"/>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42.43%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4"/>
              <w:jc w:val="left"/>
              <w:rPr>
                <w:rFonts w:ascii="宋体" w:hAnsi="宋体" w:cs="宋体" w:eastAsia="宋体" w:hint="default"/>
                <w:sz w:val="18"/>
                <w:szCs w:val="18"/>
              </w:rPr>
            </w:pPr>
            <w:r>
              <w:rPr>
                <w:rFonts w:ascii="宋体" w:hAnsi="宋体" w:cs="宋体" w:eastAsia="宋体" w:hint="default"/>
                <w:spacing w:val="-9"/>
                <w:sz w:val="18"/>
                <w:szCs w:val="18"/>
              </w:rPr>
              <w:t>公告披露网站：巨潮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资讯网</w:t>
            </w:r>
          </w:p>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8"/>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0" w:lineRule="auto" w:before="66"/>
              <w:ind w:left="30" w:right="14"/>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2019-064 </w:t>
            </w:r>
            <w:r>
              <w:rPr>
                <w:rFonts w:ascii="宋体" w:hAnsi="宋体" w:cs="宋体" w:eastAsia="宋体" w:hint="default"/>
                <w:sz w:val="18"/>
                <w:szCs w:val="18"/>
              </w:rPr>
              <w:t>号。 </w:t>
            </w:r>
            <w:r>
              <w:rPr>
                <w:rFonts w:ascii="宋体" w:hAnsi="宋体" w:cs="宋体" w:eastAsia="宋体" w:hint="default"/>
                <w:spacing w:val="-9"/>
                <w:sz w:val="18"/>
                <w:szCs w:val="18"/>
              </w:rPr>
              <w:t>公告名称：深圳市普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路通供应链管理股</w:t>
            </w:r>
          </w:p>
          <w:p>
            <w:pPr>
              <w:pStyle w:val="TableParagraph"/>
              <w:spacing w:line="297" w:lineRule="auto" w:before="50"/>
              <w:ind w:left="30" w:right="28"/>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第三次临时股东大 会会议决议公告。</w:t>
            </w:r>
          </w:p>
        </w:tc>
      </w:tr>
    </w:tbl>
    <w:p>
      <w:pPr>
        <w:spacing w:line="240" w:lineRule="auto" w:before="11"/>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405"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5" w:right="3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5"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95" w:right="29"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彭燎原</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张俊生</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w:t>
            </w:r>
          </w:p>
        </w:tc>
      </w:tr>
      <w:tr>
        <w:trPr>
          <w:trHeight w:val="39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1</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0" w:lineRule="auto" w:before="45"/>
        <w:ind w:right="8049"/>
        <w:jc w:val="left"/>
      </w:pPr>
      <w:r>
        <w:rPr/>
        <w:t>连续两次未亲自出席董事会的说明 无</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独立董事对公司有关事项是否提出异议</w:t>
      </w:r>
    </w:p>
    <w:p>
      <w:pPr>
        <w:pStyle w:val="BodyText"/>
        <w:spacing w:line="333" w:lineRule="auto" w:before="124"/>
        <w:ind w:right="69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报告期内独立董事对公司有关事项未提出异议。</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独立董事对公司有关建议是否被采纳</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19" w:lineRule="auto"/>
        <w:ind w:right="67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独立董事对公司有关建议被采纳或未被采纳的说明</w:t>
      </w:r>
    </w:p>
    <w:p>
      <w:pPr>
        <w:pStyle w:val="BodyText"/>
        <w:spacing w:line="316" w:lineRule="auto" w:before="65"/>
        <w:ind w:right="1029" w:firstLine="360"/>
        <w:jc w:val="left"/>
      </w:pPr>
      <w:r>
        <w:rPr>
          <w:spacing w:val="-2"/>
        </w:rPr>
        <w:t>公司独立董事严格按照《公司法》、《上市公司治理准则》、《关于在上市公司建立独立董事的指导意见》及《公司章</w:t>
      </w:r>
      <w:r>
        <w:rPr/>
        <w:t> 程》等相关法律法规和规范性文件的要求，本着独立、客观、审慎的原则认真履行职责，了解和关注公司的经营发展情况， </w:t>
      </w:r>
      <w:r>
        <w:rPr>
          <w:spacing w:val="-2"/>
        </w:rPr>
        <w:t>对提交董事会的全部议案进行审议并表决。同时发挥各自领域的专业优势，对需要独立董事发表意见的重大事项发表书面独</w:t>
      </w:r>
      <w:r>
        <w:rPr>
          <w:spacing w:val="-66"/>
        </w:rPr>
        <w:t> </w:t>
      </w:r>
      <w:r>
        <w:rPr>
          <w:spacing w:val="-66"/>
        </w:rPr>
      </w:r>
      <w:r>
        <w:rPr/>
        <w:t>立意见并提出相关建议，维护公司及全体股东特别是中小股东的合法权益。 </w:t>
      </w:r>
      <w:r>
        <w:rPr>
          <w:spacing w:val="-2"/>
        </w:rPr>
        <w:t>报告期内，公司独立董事对以下事件发表了独立意见：使用闲置自有资金进行委托理财；开展金融衍生品交易业务；更换公</w:t>
      </w:r>
      <w:r>
        <w:rPr>
          <w:spacing w:val="-42"/>
        </w:rPr>
        <w:t> </w:t>
      </w:r>
      <w:r>
        <w:rPr>
          <w:spacing w:val="-42"/>
        </w:rPr>
      </w:r>
      <w:r>
        <w:rPr/>
        <w:t>司部分非独立董事及独立董事；开展日常关联交易预计；利润分配预案；会计政策变更；内部控制的自我评价报告；董事、 监事、高级管理人员薪酬；续聘及更换审计机构；控股股东及其他关联方占用资金情况；聘任副总经理；对外担保情况等。 </w:t>
      </w:r>
      <w:r>
        <w:rPr>
          <w:spacing w:val="-2"/>
        </w:rPr>
        <w:t>公司董事会充分尊重独立董事的履职行为，高度重视并认真采纳独立董事的意见和建议，不存在独立董事建议未被采纳的情</w:t>
      </w:r>
      <w:r>
        <w:rPr>
          <w:spacing w:val="-64"/>
        </w:rPr>
        <w:t> </w:t>
      </w:r>
      <w:r>
        <w:rPr>
          <w:spacing w:val="-64"/>
        </w:rPr>
      </w:r>
      <w:r>
        <w:rPr/>
        <w:t>形。</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1"/>
        <w:rPr>
          <w:rFonts w:ascii="宋体" w:hAnsi="宋体" w:cs="宋体" w:eastAsia="宋体" w:hint="default"/>
          <w:b/>
          <w:bCs/>
          <w:sz w:val="26"/>
          <w:szCs w:val="26"/>
        </w:rPr>
      </w:pPr>
    </w:p>
    <w:p>
      <w:pPr>
        <w:pStyle w:val="BodyText"/>
        <w:spacing w:line="321" w:lineRule="auto" w:before="0"/>
        <w:ind w:right="1105" w:firstLine="360"/>
        <w:jc w:val="both"/>
      </w:pPr>
      <w:r>
        <w:rPr>
          <w:spacing w:val="-2"/>
        </w:rPr>
        <w:t>公司董事会下设战略委员会、审计委员会、薪酬与考核委员会、提名委员会，各专门委员会依据公司董事会所制定的各</w:t>
      </w:r>
      <w:r>
        <w:rPr/>
        <w:t> </w:t>
      </w:r>
      <w:r>
        <w:rPr>
          <w:spacing w:val="-2"/>
        </w:rPr>
        <w:t>专门委员会工作制度的职权范围运作，就专业性事项进行研究，提出意见及建议，以便于董事会在做出决策时供其参考。报</w:t>
      </w:r>
      <w:r>
        <w:rPr>
          <w:spacing w:val="-42"/>
        </w:rPr>
        <w:t> </w:t>
      </w:r>
      <w:r>
        <w:rPr>
          <w:spacing w:val="-42"/>
        </w:rPr>
      </w:r>
      <w:r>
        <w:rPr/>
        <w:t>告期内，各专门委员会履职情况如下：</w:t>
      </w:r>
    </w:p>
    <w:p>
      <w:pPr>
        <w:pStyle w:val="BodyText"/>
        <w:spacing w:line="240" w:lineRule="auto" w:before="18"/>
        <w:ind w:right="0"/>
        <w:jc w:val="left"/>
      </w:pPr>
      <w:r>
        <w:rPr>
          <w:rFonts w:ascii="Times New Roman" w:hAnsi="Times New Roman" w:cs="Times New Roman" w:eastAsia="Times New Roman" w:hint="default"/>
        </w:rPr>
        <w:t>1</w:t>
      </w:r>
      <w:r>
        <w:rPr/>
        <w:t>、战略委员会</w:t>
      </w:r>
    </w:p>
    <w:p>
      <w:pPr>
        <w:pStyle w:val="BodyText"/>
        <w:spacing w:line="312" w:lineRule="auto" w:before="51"/>
        <w:ind w:right="1105" w:firstLine="360"/>
        <w:jc w:val="both"/>
      </w:pPr>
      <w:r>
        <w:rPr>
          <w:spacing w:val="-2"/>
        </w:rPr>
        <w:t>报告期内共召开一次会议，主要明确公司长期发展方向，持续优化升级公司的发展战略，探讨论证公司的战略规划。并</w:t>
      </w:r>
      <w:r>
        <w:rPr/>
        <w:t> </w:t>
      </w:r>
      <w:r>
        <w:rPr>
          <w:spacing w:val="-2"/>
        </w:rPr>
        <w:t>对</w:t>
      </w:r>
      <w:r>
        <w:rPr>
          <w:rFonts w:ascii="Times New Roman" w:hAnsi="Times New Roman" w:cs="Times New Roman" w:eastAsia="Times New Roman" w:hint="default"/>
          <w:spacing w:val="-2"/>
        </w:rPr>
        <w:t>2019</w:t>
      </w:r>
      <w:r>
        <w:rPr>
          <w:spacing w:val="-2"/>
        </w:rPr>
        <w:t>年的主要经营计划和目标做了规划，结合公司所处行业领域的发展现状及公司实际情况，向董事会提出了多项合理化</w:t>
      </w:r>
      <w:r>
        <w:rPr>
          <w:spacing w:val="-63"/>
        </w:rPr>
        <w:t> </w:t>
      </w:r>
      <w:r>
        <w:rPr>
          <w:spacing w:val="-63"/>
        </w:rPr>
      </w:r>
      <w:r>
        <w:rPr/>
        <w:t>建议。</w:t>
      </w:r>
    </w:p>
    <w:p>
      <w:pPr>
        <w:pStyle w:val="BodyText"/>
        <w:spacing w:line="240" w:lineRule="auto" w:before="41"/>
        <w:ind w:right="0"/>
        <w:jc w:val="left"/>
      </w:pPr>
      <w:r>
        <w:rPr>
          <w:rFonts w:ascii="Times New Roman" w:hAnsi="Times New Roman" w:cs="Times New Roman" w:eastAsia="Times New Roman" w:hint="default"/>
        </w:rPr>
        <w:t>2</w:t>
      </w:r>
      <w:r>
        <w:rPr/>
        <w:t>、审计委员会</w:t>
      </w:r>
    </w:p>
    <w:p>
      <w:pPr>
        <w:pStyle w:val="BodyText"/>
        <w:spacing w:line="304" w:lineRule="auto" w:before="51"/>
        <w:ind w:right="1097" w:firstLine="360"/>
        <w:jc w:val="both"/>
      </w:pPr>
      <w:r>
        <w:rPr>
          <w:spacing w:val="-1"/>
        </w:rPr>
        <w:t>报告期内共召开六次会议，对公司日常关联交易预计、</w:t>
      </w:r>
      <w:r>
        <w:rPr>
          <w:rFonts w:ascii="Times New Roman" w:hAnsi="Times New Roman" w:cs="Times New Roman" w:eastAsia="Times New Roman" w:hint="default"/>
          <w:spacing w:val="-1"/>
        </w:rPr>
        <w:t>2018</w:t>
      </w:r>
      <w:r>
        <w:rPr>
          <w:spacing w:val="-1"/>
        </w:rPr>
        <w:t>年年度报告及摘要、</w:t>
      </w:r>
      <w:r>
        <w:rPr>
          <w:rFonts w:ascii="Times New Roman" w:hAnsi="Times New Roman" w:cs="Times New Roman" w:eastAsia="Times New Roman" w:hint="default"/>
          <w:spacing w:val="-1"/>
        </w:rPr>
        <w:t>2018</w:t>
      </w:r>
      <w:r>
        <w:rPr>
          <w:spacing w:val="-1"/>
        </w:rPr>
        <w:t>年年度审计报告、内部控制自我评</w:t>
      </w:r>
      <w:r>
        <w:rPr/>
        <w:t> </w:t>
      </w:r>
      <w:r>
        <w:rPr>
          <w:spacing w:val="-2"/>
        </w:rPr>
        <w:t>价报告、</w:t>
      </w:r>
      <w:r>
        <w:rPr>
          <w:rFonts w:ascii="Times New Roman" w:hAnsi="Times New Roman" w:cs="Times New Roman" w:eastAsia="Times New Roman" w:hint="default"/>
          <w:spacing w:val="-2"/>
        </w:rPr>
        <w:t>2018</w:t>
      </w:r>
      <w:r>
        <w:rPr>
          <w:spacing w:val="-2"/>
        </w:rPr>
        <w:t>年度财务决算报告、</w:t>
      </w:r>
      <w:r>
        <w:rPr>
          <w:rFonts w:ascii="Times New Roman" w:hAnsi="Times New Roman" w:cs="Times New Roman" w:eastAsia="Times New Roman" w:hint="default"/>
          <w:spacing w:val="-2"/>
        </w:rPr>
        <w:t>2018</w:t>
      </w:r>
      <w:r>
        <w:rPr>
          <w:spacing w:val="-2"/>
        </w:rPr>
        <w:t>年度利润分配、续聘及更换会计师事务所、</w:t>
      </w:r>
      <w:r>
        <w:rPr>
          <w:rFonts w:ascii="Times New Roman" w:hAnsi="Times New Roman" w:cs="Times New Roman" w:eastAsia="Times New Roman" w:hint="default"/>
          <w:spacing w:val="-2"/>
        </w:rPr>
        <w:t>2019</w:t>
      </w:r>
      <w:r>
        <w:rPr>
          <w:spacing w:val="-2"/>
        </w:rPr>
        <w:t>年各定期报告、聘任公司内部审计机</w:t>
      </w:r>
      <w:r>
        <w:rPr>
          <w:spacing w:val="-38"/>
        </w:rPr>
        <w:t> </w:t>
      </w:r>
      <w:r>
        <w:rPr>
          <w:spacing w:val="-38"/>
        </w:rPr>
      </w:r>
      <w:r>
        <w:rPr>
          <w:spacing w:val="-2"/>
        </w:rPr>
        <w:t>构负责人及会计政策变更等事项进行了审查。并对公司内审部门进行实时监督，加强内部审计与外部审计的沟通，发挥审计</w:t>
      </w:r>
      <w:r>
        <w:rPr>
          <w:spacing w:val="-75"/>
        </w:rPr>
        <w:t> </w:t>
      </w:r>
      <w:r>
        <w:rPr>
          <w:spacing w:val="-75"/>
        </w:rPr>
      </w:r>
      <w:r>
        <w:rPr/>
        <w:t>委员会的监督作用，保障公司内部控制的有效性。</w:t>
      </w:r>
    </w:p>
    <w:p>
      <w:pPr>
        <w:pStyle w:val="BodyText"/>
        <w:spacing w:line="276" w:lineRule="auto" w:before="46"/>
        <w:ind w:left="501" w:right="0" w:hanging="361"/>
        <w:jc w:val="left"/>
      </w:pPr>
      <w:r>
        <w:rPr>
          <w:rFonts w:ascii="Times New Roman" w:hAnsi="Times New Roman" w:cs="Times New Roman" w:eastAsia="Times New Roman" w:hint="default"/>
        </w:rPr>
        <w:t>3</w:t>
      </w:r>
      <w:r>
        <w:rPr/>
        <w:t>、薪酬与考核委员会 </w:t>
      </w:r>
      <w:r>
        <w:rPr>
          <w:spacing w:val="-2"/>
        </w:rPr>
        <w:t>报告期内共召开一次会议，对公司董事、监事及高级管理人员的薪酬情况进行了审核，确定了年度薪酬发放方案，进一</w:t>
      </w:r>
    </w:p>
    <w:p>
      <w:pPr>
        <w:pStyle w:val="BodyText"/>
        <w:spacing w:line="240" w:lineRule="auto" w:before="52"/>
        <w:ind w:right="0"/>
        <w:jc w:val="left"/>
      </w:pPr>
      <w:r>
        <w:rPr/>
        <w:t>步完善公司董事、监事及高级管理人员的薪酬管理。</w:t>
      </w:r>
    </w:p>
    <w:p>
      <w:pPr>
        <w:pStyle w:val="BodyText"/>
        <w:spacing w:line="240" w:lineRule="auto" w:before="95"/>
        <w:ind w:right="0"/>
        <w:jc w:val="left"/>
      </w:pPr>
      <w:r>
        <w:rPr>
          <w:rFonts w:ascii="Times New Roman" w:hAnsi="Times New Roman" w:cs="Times New Roman" w:eastAsia="Times New Roman" w:hint="default"/>
        </w:rPr>
        <w:t>4</w:t>
      </w:r>
      <w:r>
        <w:rPr/>
        <w:t>、提名委员会</w:t>
      </w:r>
    </w:p>
    <w:p>
      <w:pPr>
        <w:pStyle w:val="BodyText"/>
        <w:spacing w:line="314" w:lineRule="auto" w:before="51"/>
        <w:ind w:right="1136" w:firstLine="360"/>
        <w:jc w:val="both"/>
      </w:pPr>
      <w:r>
        <w:rPr>
          <w:spacing w:val="-2"/>
        </w:rPr>
        <w:t>报告期内共召开两次会议，对公司更换部分董事及聘任高级管理人员进行了资格审核，认真研究董事、高级管理人员的</w:t>
      </w:r>
      <w:r>
        <w:rPr/>
        <w:t> </w:t>
      </w:r>
      <w:r>
        <w:rPr>
          <w:spacing w:val="-2"/>
        </w:rPr>
        <w:t>选择标准和聘任程序，并向董事会提出建议，确保相关人员符合《公司法》和《公司章程》规定的担任上市公司相应职务任</w:t>
      </w:r>
      <w:r>
        <w:rPr>
          <w:spacing w:val="-72"/>
        </w:rPr>
        <w:t> </w:t>
      </w:r>
      <w:r>
        <w:rPr>
          <w:spacing w:val="-72"/>
        </w:rPr>
      </w:r>
      <w:r>
        <w:rPr/>
        <w:t>职资格的条件。</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pStyle w:val="BodyText"/>
        <w:spacing w:line="319" w:lineRule="auto" w:before="139"/>
        <w:ind w:right="76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监事会对报告期内的监督事项无异议。</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1"/>
        <w:rPr>
          <w:rFonts w:ascii="宋体" w:hAnsi="宋体" w:cs="宋体" w:eastAsia="宋体" w:hint="default"/>
          <w:b/>
          <w:bCs/>
          <w:sz w:val="26"/>
          <w:szCs w:val="26"/>
        </w:rPr>
      </w:pPr>
    </w:p>
    <w:p>
      <w:pPr>
        <w:pStyle w:val="BodyText"/>
        <w:spacing w:line="321" w:lineRule="auto" w:before="0"/>
        <w:ind w:right="1106" w:firstLine="360"/>
        <w:jc w:val="both"/>
      </w:pPr>
      <w:r>
        <w:rPr>
          <w:spacing w:val="-2"/>
        </w:rPr>
        <w:t>公司董事会薪酬与考核委员会对高级管理人员薪酬提出方案，经公司董事会及股东大会审议通过后执行。公司建立了公</w:t>
      </w:r>
      <w:r>
        <w:rPr/>
        <w:t> </w:t>
      </w:r>
      <w:r>
        <w:rPr>
          <w:spacing w:val="-2"/>
        </w:rPr>
        <w:t>正、合理、有效的高级管理人员绩效考核评价体系，实行基本月薪与年终奖金相结合的薪酬制度。并对高级管理人员的工作</w:t>
      </w:r>
    </w:p>
    <w:p>
      <w:pPr>
        <w:spacing w:after="0" w:line="321"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091"/>
        <w:jc w:val="left"/>
      </w:pPr>
      <w:r>
        <w:rPr>
          <w:spacing w:val="-2"/>
        </w:rPr>
        <w:t>能力、履职情况、责任目标完成情况等进行年终考评，依据考评结果确定高级管理人员的绩效薪酬分配，明确责任，量化考</w:t>
      </w:r>
      <w:r>
        <w:rPr>
          <w:spacing w:val="-57"/>
        </w:rPr>
        <w:t> </w:t>
      </w:r>
      <w:r>
        <w:rPr>
          <w:spacing w:val="-57"/>
        </w:rPr>
      </w:r>
      <w:r>
        <w:rPr/>
        <w:t>核。</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3195"/>
        <w:gridCol w:w="3323"/>
        <w:gridCol w:w="3064"/>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06"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6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4"/>
                  <w:w w:val="99"/>
                  <w:sz w:val="18"/>
                  <w:szCs w:val="18"/>
                </w:rPr>
                <w:t>ww</w:t>
              </w:r>
              <w:r>
                <w:rPr>
                  <w:rFonts w:ascii="Times New Roman" w:hAnsi="Times New Roman" w:cs="Times New Roman" w:eastAsia="Times New Roman" w:hint="default"/>
                  <w:spacing w:val="-10"/>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5"/>
                  <w:sz w:val="18"/>
                  <w:szCs w:val="18"/>
                </w:rPr>
                <w:t>i</w:t>
              </w:r>
              <w:r>
                <w:rPr>
                  <w:rFonts w:ascii="Times New Roman" w:hAnsi="Times New Roman" w:cs="Times New Roman" w:eastAsia="Times New Roman" w:hint="default"/>
                  <w:sz w:val="18"/>
                  <w:szCs w:val="18"/>
                </w:rPr>
                <w:t>nfo.</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5"/>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t>《深圳市普路通供应链管理股份有限公司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p>
          <w:p>
            <w:pPr>
              <w:pStyle w:val="TableParagraph"/>
              <w:spacing w:line="240" w:lineRule="auto" w:before="36"/>
              <w:ind w:left="11" w:right="0"/>
              <w:jc w:val="left"/>
              <w:rPr>
                <w:rFonts w:ascii="宋体" w:hAnsi="宋体" w:cs="宋体" w:eastAsia="宋体" w:hint="default"/>
                <w:sz w:val="18"/>
                <w:szCs w:val="18"/>
              </w:rPr>
            </w:pPr>
            <w:r>
              <w:rPr>
                <w:rFonts w:ascii="宋体" w:hAnsi="宋体" w:cs="宋体" w:eastAsia="宋体" w:hint="default"/>
                <w:sz w:val="18"/>
                <w:szCs w:val="18"/>
              </w:rPr>
              <w:t>年度内部控制自我评价报告》</w:t>
            </w:r>
          </w:p>
        </w:tc>
      </w:tr>
      <w:tr>
        <w:trPr>
          <w:trHeight w:val="721"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92.49%</w:t>
            </w:r>
            <w:r>
              <w:rPr>
                <w:rFonts w:ascii="Times New Roman"/>
                <w:sz w:val="18"/>
              </w:rPr>
            </w:r>
          </w:p>
        </w:tc>
      </w:tr>
      <w:tr>
        <w:trPr>
          <w:trHeight w:val="721"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97.95%</w:t>
            </w:r>
            <w:r>
              <w:rPr>
                <w:rFonts w:ascii="Times New Roman"/>
                <w:sz w:val="18"/>
              </w:rPr>
            </w:r>
          </w:p>
        </w:tc>
      </w:tr>
      <w:tr>
        <w:trPr>
          <w:trHeight w:val="390" w:hRule="exact"/>
        </w:trPr>
        <w:tc>
          <w:tcPr>
            <w:tcW w:w="958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14"/>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020"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319" w:lineRule="auto"/>
              <w:ind w:left="18" w:right="13"/>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一般控制缺陷：指除重 大缺陷，重要缺陷之外的缺陷；</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w:t>
            </w:r>
          </w:p>
          <w:p>
            <w:pPr>
              <w:pStyle w:val="TableParagraph"/>
              <w:spacing w:line="206" w:lineRule="exact"/>
              <w:ind w:left="18" w:right="0"/>
              <w:jc w:val="left"/>
              <w:rPr>
                <w:rFonts w:ascii="宋体" w:hAnsi="宋体" w:cs="宋体" w:eastAsia="宋体" w:hint="default"/>
                <w:sz w:val="18"/>
                <w:szCs w:val="18"/>
              </w:rPr>
            </w:pPr>
            <w:r>
              <w:rPr>
                <w:rFonts w:ascii="宋体" w:hAnsi="宋体" w:cs="宋体" w:eastAsia="宋体" w:hint="default"/>
                <w:sz w:val="18"/>
                <w:szCs w:val="18"/>
              </w:rPr>
              <w:t>陷：指一个或多个控制缺陷的组合，其严</w:t>
            </w:r>
          </w:p>
          <w:p>
            <w:pPr>
              <w:pStyle w:val="TableParagraph"/>
              <w:spacing w:line="312" w:lineRule="auto" w:before="80"/>
              <w:ind w:left="18" w:right="47"/>
              <w:jc w:val="left"/>
              <w:rPr>
                <w:rFonts w:ascii="宋体" w:hAnsi="宋体" w:cs="宋体" w:eastAsia="宋体" w:hint="default"/>
                <w:sz w:val="18"/>
                <w:szCs w:val="18"/>
              </w:rPr>
            </w:pPr>
            <w:r>
              <w:rPr>
                <w:rFonts w:ascii="宋体" w:hAnsi="宋体" w:cs="宋体" w:eastAsia="宋体" w:hint="default"/>
                <w:sz w:val="18"/>
                <w:szCs w:val="18"/>
              </w:rPr>
              <w:t>重程度和经济效果低于重大缺陷，但仍有 可能导致企业偏离控制目标；</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w:t>
            </w:r>
            <w:r>
              <w:rPr>
                <w:rFonts w:ascii="宋体" w:hAnsi="宋体" w:cs="宋体" w:eastAsia="宋体" w:hint="default"/>
                <w:spacing w:val="-87"/>
                <w:sz w:val="18"/>
                <w:szCs w:val="18"/>
              </w:rPr>
              <w:t> </w:t>
            </w:r>
            <w:r>
              <w:rPr>
                <w:rFonts w:ascii="宋体" w:hAnsi="宋体" w:cs="宋体" w:eastAsia="宋体" w:hint="default"/>
                <w:sz w:val="18"/>
                <w:szCs w:val="18"/>
              </w:rPr>
              <w:t>陷：指一个或多个控制缺陷的组合，可能</w:t>
            </w:r>
          </w:p>
          <w:p>
            <w:pPr>
              <w:pStyle w:val="TableParagraph"/>
              <w:spacing w:line="240" w:lineRule="auto" w:before="26"/>
              <w:ind w:left="18" w:right="0"/>
              <w:jc w:val="left"/>
              <w:rPr>
                <w:rFonts w:ascii="宋体" w:hAnsi="宋体" w:cs="宋体" w:eastAsia="宋体" w:hint="default"/>
                <w:sz w:val="18"/>
                <w:szCs w:val="18"/>
              </w:rPr>
            </w:pPr>
            <w:r>
              <w:rPr>
                <w:rFonts w:ascii="宋体" w:hAnsi="宋体" w:cs="宋体" w:eastAsia="宋体" w:hint="default"/>
                <w:sz w:val="18"/>
                <w:szCs w:val="18"/>
              </w:rPr>
              <w:t>导致企业严重偏离目标。</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16"/>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 </w:t>
            </w:r>
            <w:r>
              <w:rPr>
                <w:rFonts w:ascii="宋体" w:hAnsi="宋体" w:cs="宋体" w:eastAsia="宋体" w:hint="default"/>
                <w:spacing w:val="-4"/>
                <w:sz w:val="18"/>
                <w:szCs w:val="18"/>
              </w:rPr>
              <w:t>效率不高；违反内部规章，但未形成损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失；一般岗位业务人员流失严重；媒体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出现负面新闻，但影响不大；一般业务</w:t>
            </w:r>
          </w:p>
          <w:p>
            <w:pPr>
              <w:pStyle w:val="TableParagraph"/>
              <w:spacing w:line="314" w:lineRule="auto" w:before="24"/>
              <w:ind w:left="30" w:right="-42"/>
              <w:jc w:val="left"/>
              <w:rPr>
                <w:rFonts w:ascii="宋体" w:hAnsi="宋体" w:cs="宋体" w:eastAsia="宋体" w:hint="default"/>
                <w:sz w:val="18"/>
                <w:szCs w:val="18"/>
              </w:rPr>
            </w:pPr>
            <w:r>
              <w:rPr>
                <w:rFonts w:ascii="宋体" w:hAnsi="宋体" w:cs="宋体" w:eastAsia="宋体" w:hint="default"/>
                <w:spacing w:val="-4"/>
                <w:sz w:val="18"/>
                <w:szCs w:val="18"/>
              </w:rPr>
              <w:t>制度或系统存在缺陷；一般缺陷未得到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整改；</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重要缺陷：民主决策程序存 </w:t>
            </w:r>
            <w:r>
              <w:rPr>
                <w:rFonts w:ascii="宋体" w:hAnsi="宋体" w:cs="宋体" w:eastAsia="宋体" w:hint="default"/>
                <w:spacing w:val="-4"/>
                <w:sz w:val="18"/>
                <w:szCs w:val="18"/>
              </w:rPr>
              <w:t>在但不够完善；决策程序导致出现一般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失误；违反企业内部规章，形成损失； </w:t>
            </w:r>
            <w:r>
              <w:rPr>
                <w:rFonts w:ascii="宋体" w:hAnsi="宋体" w:cs="宋体" w:eastAsia="宋体" w:hint="default"/>
                <w:spacing w:val="-4"/>
                <w:sz w:val="18"/>
                <w:szCs w:val="18"/>
              </w:rPr>
              <w:t>关键岗位业务人员流失严重；媒体出现</w:t>
            </w:r>
          </w:p>
          <w:p>
            <w:pPr>
              <w:pStyle w:val="TableParagraph"/>
              <w:spacing w:line="307" w:lineRule="auto" w:before="23"/>
              <w:ind w:left="30" w:right="15"/>
              <w:jc w:val="left"/>
              <w:rPr>
                <w:rFonts w:ascii="宋体" w:hAnsi="宋体" w:cs="宋体" w:eastAsia="宋体" w:hint="default"/>
                <w:sz w:val="18"/>
                <w:szCs w:val="18"/>
              </w:rPr>
            </w:pPr>
            <w:r>
              <w:rPr>
                <w:rFonts w:ascii="宋体" w:hAnsi="宋体" w:cs="宋体" w:eastAsia="宋体" w:hint="default"/>
                <w:spacing w:val="-4"/>
                <w:sz w:val="18"/>
                <w:szCs w:val="18"/>
              </w:rPr>
              <w:t>负面新闻，波及局部区域；重要业务制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度或系统存在缺陷。内部控制重要或一</w:t>
            </w:r>
          </w:p>
          <w:p>
            <w:pPr>
              <w:pStyle w:val="TableParagraph"/>
              <w:spacing w:line="312" w:lineRule="auto" w:before="44"/>
              <w:ind w:left="30" w:right="-42"/>
              <w:jc w:val="left"/>
              <w:rPr>
                <w:rFonts w:ascii="宋体" w:hAnsi="宋体" w:cs="宋体" w:eastAsia="宋体" w:hint="default"/>
                <w:sz w:val="18"/>
                <w:szCs w:val="18"/>
              </w:rPr>
            </w:pPr>
            <w:r>
              <w:rPr>
                <w:rFonts w:ascii="宋体" w:hAnsi="宋体" w:cs="宋体" w:eastAsia="宋体" w:hint="default"/>
                <w:sz w:val="18"/>
                <w:szCs w:val="18"/>
              </w:rPr>
              <w:t>般缺陷未得到整改；</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重大缺陷：缺 </w:t>
            </w:r>
            <w:r>
              <w:rPr>
                <w:rFonts w:ascii="宋体" w:hAnsi="宋体" w:cs="宋体" w:eastAsia="宋体" w:hint="default"/>
                <w:spacing w:val="-4"/>
                <w:sz w:val="18"/>
                <w:szCs w:val="18"/>
              </w:rPr>
              <w:t>乏民主决策程序；决策程序导致重大失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误；违反国家法律法规并受到处罚；中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高级管理人员和高级技术人员流失严 </w:t>
            </w:r>
            <w:r>
              <w:rPr>
                <w:rFonts w:ascii="宋体" w:hAnsi="宋体" w:cs="宋体" w:eastAsia="宋体" w:hint="default"/>
                <w:spacing w:val="-3"/>
                <w:sz w:val="18"/>
                <w:szCs w:val="18"/>
              </w:rPr>
              <w:t>重；媒体频现负面新闻，涉及面广；重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要业务缺乏制度控制或制度体系失效；</w:t>
            </w:r>
          </w:p>
          <w:p>
            <w:pPr>
              <w:pStyle w:val="TableParagraph"/>
              <w:spacing w:line="240" w:lineRule="auto" w:before="26"/>
              <w:ind w:left="30" w:right="-42"/>
              <w:jc w:val="left"/>
              <w:rPr>
                <w:rFonts w:ascii="宋体" w:hAnsi="宋体" w:cs="宋体" w:eastAsia="宋体" w:hint="default"/>
                <w:sz w:val="18"/>
                <w:szCs w:val="18"/>
              </w:rPr>
            </w:pPr>
            <w:r>
              <w:rPr>
                <w:rFonts w:ascii="宋体" w:hAnsi="宋体" w:cs="宋体" w:eastAsia="宋体" w:hint="default"/>
                <w:sz w:val="18"/>
                <w:szCs w:val="18"/>
              </w:rPr>
              <w:t>内部控制重大或重要缺陷未得到整改。</w:t>
            </w:r>
          </w:p>
        </w:tc>
      </w:tr>
      <w:tr>
        <w:trPr>
          <w:trHeight w:val="991"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45"/>
              <w:ind w:left="11" w:right="47"/>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定量标准如下：定量标准以净利润、资产 总额作为衡量指标。</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一般缺陷：如果</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w:t>
            </w:r>
          </w:p>
          <w:p>
            <w:pPr>
              <w:pStyle w:val="TableParagraph"/>
              <w:spacing w:line="276" w:lineRule="auto" w:before="95"/>
              <w:ind w:left="30" w:right="104"/>
              <w:jc w:val="left"/>
              <w:rPr>
                <w:rFonts w:ascii="宋体" w:hAnsi="宋体" w:cs="宋体" w:eastAsia="宋体" w:hint="default"/>
                <w:sz w:val="18"/>
                <w:szCs w:val="18"/>
              </w:rPr>
            </w:pPr>
            <w:r>
              <w:rPr>
                <w:rFonts w:ascii="宋体" w:hAnsi="宋体" w:cs="宋体" w:eastAsia="宋体" w:hint="default"/>
                <w:sz w:val="18"/>
                <w:szCs w:val="18"/>
              </w:rPr>
              <w:t>评价的定量标准如下：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 单独或连同其它缺陷给公司带来直接</w:t>
            </w:r>
          </w:p>
        </w:tc>
      </w:tr>
    </w:tbl>
    <w:p>
      <w:pPr>
        <w:spacing w:after="0" w:line="27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319"/>
        <w:gridCol w:w="3064"/>
      </w:tblGrid>
      <w:tr>
        <w:trPr>
          <w:trHeight w:val="59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4" w:right="45"/>
              <w:jc w:val="both"/>
              <w:rPr>
                <w:rFonts w:ascii="宋体" w:hAnsi="宋体" w:cs="宋体" w:eastAsia="宋体" w:hint="default"/>
                <w:sz w:val="18"/>
                <w:szCs w:val="18"/>
              </w:rPr>
            </w:pPr>
            <w:r>
              <w:rPr>
                <w:rFonts w:ascii="宋体" w:hAnsi="宋体" w:cs="宋体" w:eastAsia="宋体" w:hint="default"/>
                <w:sz w:val="18"/>
                <w:szCs w:val="18"/>
              </w:rPr>
              <w:t>该缺陷单独或者连同其它缺陷可能导致的 财务报告错报金额小于合并财务报表税前 净利润的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重要缺陷：如果该缺陷</w:t>
            </w:r>
          </w:p>
          <w:p>
            <w:pPr>
              <w:pStyle w:val="TableParagraph"/>
              <w:spacing w:line="219" w:lineRule="exact"/>
              <w:ind w:left="14" w:right="0"/>
              <w:jc w:val="both"/>
              <w:rPr>
                <w:rFonts w:ascii="宋体" w:hAnsi="宋体" w:cs="宋体" w:eastAsia="宋体" w:hint="default"/>
                <w:sz w:val="18"/>
                <w:szCs w:val="18"/>
              </w:rPr>
            </w:pPr>
            <w:r>
              <w:rPr>
                <w:rFonts w:ascii="宋体" w:hAnsi="宋体" w:cs="宋体" w:eastAsia="宋体" w:hint="default"/>
                <w:sz w:val="18"/>
                <w:szCs w:val="18"/>
              </w:rPr>
              <w:t>单独或者连同其它缺陷可能导致的财务报</w:t>
            </w:r>
          </w:p>
          <w:p>
            <w:pPr>
              <w:pStyle w:val="TableParagraph"/>
              <w:spacing w:line="240" w:lineRule="auto" w:before="79"/>
              <w:ind w:left="14" w:right="0"/>
              <w:jc w:val="both"/>
              <w:rPr>
                <w:rFonts w:ascii="宋体" w:hAnsi="宋体" w:cs="宋体" w:eastAsia="宋体" w:hint="default"/>
                <w:sz w:val="18"/>
                <w:szCs w:val="18"/>
              </w:rPr>
            </w:pPr>
            <w:r>
              <w:rPr>
                <w:rFonts w:ascii="宋体" w:hAnsi="宋体" w:cs="宋体" w:eastAsia="宋体" w:hint="default"/>
                <w:sz w:val="18"/>
                <w:szCs w:val="18"/>
              </w:rPr>
              <w:t>告错报金额财大于或等于合并财务报表税</w:t>
            </w:r>
          </w:p>
          <w:p>
            <w:pPr>
              <w:pStyle w:val="TableParagraph"/>
              <w:spacing w:line="297" w:lineRule="auto" w:before="95"/>
              <w:ind w:left="14" w:right="47"/>
              <w:jc w:val="both"/>
              <w:rPr>
                <w:rFonts w:ascii="宋体" w:hAnsi="宋体" w:cs="宋体" w:eastAsia="宋体" w:hint="default"/>
                <w:sz w:val="18"/>
                <w:szCs w:val="18"/>
              </w:rPr>
            </w:pPr>
            <w:r>
              <w:rPr>
                <w:rFonts w:ascii="宋体" w:hAnsi="宋体" w:cs="宋体" w:eastAsia="宋体" w:hint="default"/>
                <w:sz w:val="18"/>
                <w:szCs w:val="18"/>
              </w:rPr>
              <w:t>前净利润的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，但是小于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重大 缺陷：如果该缺陷单独或者连同其它缺陷 可能导致的财务报告错报金额大于或等于</w:t>
            </w:r>
          </w:p>
          <w:p>
            <w:pPr>
              <w:pStyle w:val="TableParagraph"/>
              <w:spacing w:line="290" w:lineRule="auto" w:before="51"/>
              <w:ind w:left="14" w:right="13"/>
              <w:jc w:val="both"/>
              <w:rPr>
                <w:rFonts w:ascii="宋体" w:hAnsi="宋体" w:cs="宋体" w:eastAsia="宋体" w:hint="default"/>
                <w:sz w:val="18"/>
                <w:szCs w:val="18"/>
              </w:rPr>
            </w:pPr>
            <w:r>
              <w:rPr>
                <w:rFonts w:ascii="宋体" w:hAnsi="宋体" w:cs="宋体" w:eastAsia="宋体" w:hint="default"/>
                <w:sz w:val="18"/>
                <w:szCs w:val="18"/>
              </w:rPr>
              <w:t>合并财务报表税前净利润的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内部控制缺陷可能导致的损失与资产管理</w:t>
            </w:r>
          </w:p>
          <w:p>
            <w:pPr>
              <w:pStyle w:val="TableParagraph"/>
              <w:spacing w:line="297" w:lineRule="auto" w:before="56"/>
              <w:ind w:left="14" w:right="13"/>
              <w:jc w:val="both"/>
              <w:rPr>
                <w:rFonts w:ascii="宋体" w:hAnsi="宋体" w:cs="宋体" w:eastAsia="宋体" w:hint="default"/>
                <w:sz w:val="18"/>
                <w:szCs w:val="18"/>
              </w:rPr>
            </w:pPr>
            <w:r>
              <w:rPr>
                <w:rFonts w:ascii="宋体" w:hAnsi="宋体" w:cs="宋体" w:eastAsia="宋体" w:hint="default"/>
                <w:sz w:val="18"/>
                <w:szCs w:val="18"/>
              </w:rPr>
              <w:t>相关，以资产总额为衡量指标：</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w:t>
            </w:r>
            <w:r>
              <w:rPr>
                <w:rFonts w:ascii="宋体" w:hAnsi="宋体" w:cs="宋体" w:eastAsia="宋体" w:hint="default"/>
                <w:spacing w:val="-87"/>
                <w:sz w:val="18"/>
                <w:szCs w:val="18"/>
              </w:rPr>
              <w:t> </w:t>
            </w:r>
            <w:r>
              <w:rPr>
                <w:rFonts w:ascii="宋体" w:hAnsi="宋体" w:cs="宋体" w:eastAsia="宋体" w:hint="default"/>
                <w:sz w:val="18"/>
                <w:szCs w:val="18"/>
              </w:rPr>
              <w:t>陷：如果该缺陷单独或者连同其它缺陷可 能导致的财务报告错报金额小于资产总额</w:t>
            </w:r>
          </w:p>
          <w:p>
            <w:pPr>
              <w:pStyle w:val="TableParagraph"/>
              <w:spacing w:line="290" w:lineRule="auto" w:before="51"/>
              <w:ind w:left="14" w:right="14"/>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重要缺陷：如果该缺陷单独或 者连同其它缺陷可能导致的财务报告错报</w:t>
            </w:r>
          </w:p>
          <w:p>
            <w:pPr>
              <w:pStyle w:val="TableParagraph"/>
              <w:spacing w:line="288" w:lineRule="auto" w:before="56"/>
              <w:ind w:left="14" w:right="14"/>
              <w:jc w:val="left"/>
              <w:rPr>
                <w:rFonts w:ascii="宋体" w:hAnsi="宋体" w:cs="宋体" w:eastAsia="宋体" w:hint="default"/>
                <w:sz w:val="18"/>
                <w:szCs w:val="18"/>
              </w:rPr>
            </w:pPr>
            <w:r>
              <w:rPr>
                <w:rFonts w:ascii="宋体" w:hAnsi="宋体" w:cs="宋体" w:eastAsia="宋体" w:hint="default"/>
                <w:sz w:val="18"/>
                <w:szCs w:val="18"/>
              </w:rPr>
              <w:t>金额财大于或等于资产总额的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，但是小</w:t>
            </w:r>
            <w:r>
              <w:rPr>
                <w:rFonts w:ascii="宋体" w:hAnsi="宋体" w:cs="宋体" w:eastAsia="宋体" w:hint="default"/>
                <w:sz w:val="18"/>
                <w:szCs w:val="18"/>
              </w:rPr>
              <w:t>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重大缺陷：如果该缺陷单独或 者连同其它缺陷可能导致的财务报告错报</w:t>
            </w:r>
          </w:p>
          <w:p>
            <w:pPr>
              <w:pStyle w:val="TableParagraph"/>
              <w:spacing w:line="240" w:lineRule="auto" w:before="59"/>
              <w:ind w:left="14" w:right="0"/>
              <w:jc w:val="both"/>
              <w:rPr>
                <w:rFonts w:ascii="宋体" w:hAnsi="宋体" w:cs="宋体" w:eastAsia="宋体" w:hint="default"/>
                <w:sz w:val="18"/>
                <w:szCs w:val="18"/>
              </w:rPr>
            </w:pPr>
            <w:r>
              <w:rPr>
                <w:rFonts w:ascii="宋体" w:hAnsi="宋体" w:cs="宋体" w:eastAsia="宋体" w:hint="default"/>
                <w:sz w:val="18"/>
                <w:szCs w:val="18"/>
              </w:rPr>
              <w:t>金额大于或等于资产总额的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
              <w:ind w:left="30" w:right="13"/>
              <w:jc w:val="left"/>
              <w:rPr>
                <w:rFonts w:ascii="宋体" w:hAnsi="宋体" w:cs="宋体" w:eastAsia="宋体" w:hint="default"/>
                <w:sz w:val="18"/>
                <w:szCs w:val="18"/>
              </w:rPr>
            </w:pPr>
            <w:r>
              <w:rPr>
                <w:rFonts w:ascii="宋体" w:hAnsi="宋体" w:cs="宋体" w:eastAsia="宋体" w:hint="default"/>
                <w:sz w:val="18"/>
                <w:szCs w:val="18"/>
              </w:rPr>
              <w:t>财务损失不超过人民币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12"/>
                <w:sz w:val="18"/>
                <w:szCs w:val="18"/>
              </w:rPr>
              <w:t>万元；其造</w:t>
            </w:r>
            <w:r>
              <w:rPr>
                <w:rFonts w:ascii="宋体" w:hAnsi="宋体" w:cs="宋体" w:eastAsia="宋体" w:hint="default"/>
                <w:sz w:val="18"/>
                <w:szCs w:val="18"/>
              </w:rPr>
              <w:t> </w:t>
            </w:r>
            <w:r>
              <w:rPr>
                <w:rFonts w:ascii="宋体" w:hAnsi="宋体" w:cs="宋体" w:eastAsia="宋体" w:hint="default"/>
                <w:spacing w:val="-4"/>
                <w:sz w:val="18"/>
                <w:szCs w:val="18"/>
              </w:rPr>
              <w:t>成的负面影响在部分区域流传，给公司</w:t>
            </w:r>
          </w:p>
          <w:p>
            <w:pPr>
              <w:pStyle w:val="TableParagraph"/>
              <w:spacing w:line="312" w:lineRule="auto" w:before="69"/>
              <w:ind w:left="30" w:right="14"/>
              <w:jc w:val="left"/>
              <w:rPr>
                <w:rFonts w:ascii="宋体" w:hAnsi="宋体" w:cs="宋体" w:eastAsia="宋体" w:hint="default"/>
                <w:sz w:val="18"/>
                <w:szCs w:val="18"/>
              </w:rPr>
            </w:pPr>
            <w:r>
              <w:rPr>
                <w:rFonts w:ascii="宋体" w:hAnsi="宋体" w:cs="宋体" w:eastAsia="宋体" w:hint="default"/>
                <w:sz w:val="18"/>
                <w:szCs w:val="18"/>
              </w:rPr>
              <w:t>声誉带来轻微损害；</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重要缺陷：单 独或连同其它缺陷给公司带来直接财 务损失超过人民币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万元，不超过人</w:t>
            </w:r>
          </w:p>
          <w:p>
            <w:pPr>
              <w:pStyle w:val="TableParagraph"/>
              <w:spacing w:line="273" w:lineRule="auto" w:before="6"/>
              <w:ind w:left="30" w:right="16"/>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万元；其造成的负面影响波 </w:t>
            </w:r>
            <w:r>
              <w:rPr>
                <w:rFonts w:ascii="宋体" w:hAnsi="宋体" w:cs="宋体" w:eastAsia="宋体" w:hint="default"/>
                <w:spacing w:val="-4"/>
                <w:sz w:val="18"/>
                <w:szCs w:val="18"/>
              </w:rPr>
              <w:t>及范围较广，在部分地区公司声誉带来</w:t>
            </w:r>
          </w:p>
          <w:p>
            <w:pPr>
              <w:pStyle w:val="TableParagraph"/>
              <w:spacing w:line="312" w:lineRule="auto" w:before="69"/>
              <w:ind w:left="30" w:right="44"/>
              <w:jc w:val="both"/>
              <w:rPr>
                <w:rFonts w:ascii="宋体" w:hAnsi="宋体" w:cs="宋体" w:eastAsia="宋体" w:hint="default"/>
                <w:sz w:val="18"/>
                <w:szCs w:val="18"/>
              </w:rPr>
            </w:pPr>
            <w:r>
              <w:rPr>
                <w:rFonts w:ascii="宋体" w:hAnsi="宋体" w:cs="宋体" w:eastAsia="宋体" w:hint="default"/>
                <w:sz w:val="18"/>
                <w:szCs w:val="18"/>
              </w:rPr>
              <w:t>较大的损害；</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重大缺陷：单独或连 同其它缺陷给公司带来直接财务损失 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万元；其造成的负面</w:t>
            </w:r>
          </w:p>
          <w:p>
            <w:pPr>
              <w:pStyle w:val="TableParagraph"/>
              <w:spacing w:line="307" w:lineRule="auto"/>
              <w:ind w:left="30" w:right="-42"/>
              <w:jc w:val="left"/>
              <w:rPr>
                <w:rFonts w:ascii="宋体" w:hAnsi="宋体" w:cs="宋体" w:eastAsia="宋体" w:hint="default"/>
                <w:sz w:val="18"/>
                <w:szCs w:val="18"/>
              </w:rPr>
            </w:pPr>
            <w:r>
              <w:rPr>
                <w:rFonts w:ascii="宋体" w:hAnsi="宋体" w:cs="宋体" w:eastAsia="宋体" w:hint="default"/>
                <w:sz w:val="18"/>
                <w:szCs w:val="18"/>
              </w:rPr>
              <w:t>影响波及范围极广、普遍引起公众关 注，给公司声誉带来无法弥补的损害。</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内部控制鉴证报告</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658"/>
        <w:gridCol w:w="6924"/>
      </w:tblGrid>
      <w:tr>
        <w:trPr>
          <w:trHeight w:val="406"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17"/>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05"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大华会计师事务所（特殊普通合伙）认为，公司按照财政部等五部委颁发的《企业内部控制基本规范》及相关规定于</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2019</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r>
        <w:trPr>
          <w:trHeight w:val="406" w:hRule="exact"/>
        </w:trPr>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5" w:hRule="exact"/>
        </w:trPr>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06" w:hRule="exact"/>
        </w:trPr>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30" w:right="123"/>
              <w:jc w:val="left"/>
              <w:rPr>
                <w:rFonts w:ascii="宋体" w:hAnsi="宋体" w:cs="宋体" w:eastAsia="宋体" w:hint="default"/>
                <w:sz w:val="18"/>
                <w:szCs w:val="18"/>
              </w:rPr>
            </w:pPr>
            <w:r>
              <w:rPr>
                <w:rFonts w:ascii="宋体" w:hAnsi="宋体" w:cs="宋体" w:eastAsia="宋体" w:hint="default"/>
                <w:spacing w:val="-3"/>
                <w:w w:val="99"/>
                <w:sz w:val="18"/>
                <w:szCs w:val="18"/>
              </w:rPr>
              <w:t>巨潮资讯网（</w:t>
            </w:r>
            <w:hyperlink r:id="rId11">
              <w:r>
                <w:rPr>
                  <w:rFonts w:ascii="Times New Roman" w:hAnsi="Times New Roman" w:cs="Times New Roman" w:eastAsia="Times New Roman" w:hint="default"/>
                  <w:spacing w:val="-3"/>
                  <w:w w:val="99"/>
                  <w:sz w:val="18"/>
                  <w:szCs w:val="18"/>
                </w:rPr>
                <w:t>www.cninfo.com.cn</w:t>
              </w:r>
            </w:hyperlink>
            <w:r>
              <w:rPr>
                <w:rFonts w:ascii="宋体" w:hAnsi="宋体" w:cs="宋体" w:eastAsia="宋体" w:hint="default"/>
                <w:spacing w:val="-3"/>
                <w:w w:val="99"/>
                <w:sz w:val="18"/>
                <w:szCs w:val="18"/>
              </w:rPr>
              <w:t>）《深圳市普路通供应链管理股份有限公司内部控制鉴</w:t>
            </w:r>
            <w:r>
              <w:rPr>
                <w:rFonts w:ascii="宋体" w:hAnsi="宋体" w:cs="宋体" w:eastAsia="宋体" w:hint="default"/>
                <w:spacing w:val="-64"/>
                <w:w w:val="99"/>
                <w:sz w:val="18"/>
                <w:szCs w:val="18"/>
              </w:rPr>
              <w:t> </w:t>
            </w:r>
            <w:r>
              <w:rPr>
                <w:rFonts w:ascii="宋体" w:hAnsi="宋体" w:cs="宋体" w:eastAsia="宋体" w:hint="default"/>
                <w:spacing w:val="-64"/>
                <w:w w:val="99"/>
                <w:sz w:val="18"/>
                <w:szCs w:val="18"/>
              </w:rPr>
            </w:r>
            <w:r>
              <w:rPr>
                <w:rFonts w:ascii="宋体" w:hAnsi="宋体" w:cs="宋体" w:eastAsia="宋体" w:hint="default"/>
                <w:sz w:val="18"/>
                <w:szCs w:val="18"/>
              </w:rPr>
              <w:t>证报告》</w:t>
            </w:r>
          </w:p>
        </w:tc>
      </w:tr>
      <w:tr>
        <w:trPr>
          <w:trHeight w:val="405" w:hRule="exact"/>
        </w:trPr>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5" w:hRule="exact"/>
        </w:trPr>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5"/>
        <w:ind w:right="0"/>
        <w:jc w:val="left"/>
      </w:pPr>
      <w:r>
        <w:rPr/>
        <w:t>会计师事务所是否出具非标准意见的内部控制鉴证报告</w:t>
      </w:r>
    </w:p>
    <w:p>
      <w:pPr>
        <w:pStyle w:val="BodyText"/>
        <w:spacing w:line="319" w:lineRule="auto" w:before="124"/>
        <w:ind w:right="46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会计师事务所出具的内部控制鉴证报告与董事会的自我评价报告意见是否一致</w:t>
      </w:r>
    </w:p>
    <w:p>
      <w:pPr>
        <w:pStyle w:val="BodyText"/>
        <w:spacing w:line="240" w:lineRule="auto" w:before="8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40" w:right="0"/>
        <w:jc w:val="left"/>
        <w:rPr>
          <w:b w:val="0"/>
          <w:bCs w:val="0"/>
        </w:rPr>
      </w:pPr>
      <w:bookmarkStart w:name="第十一节公司债券相关情况" w:id="150"/>
      <w:bookmarkEnd w:id="150"/>
      <w:r>
        <w:rPr>
          <w:b w:val="0"/>
          <w:bCs w:val="0"/>
        </w:rPr>
      </w:r>
      <w:bookmarkStart w:name="_bookmark10" w:id="151"/>
      <w:bookmarkEnd w:id="151"/>
      <w:r>
        <w:rPr>
          <w:b w:val="0"/>
          <w:bCs w:val="0"/>
        </w:rPr>
      </w:r>
      <w:r>
        <w:rPr>
          <w:spacing w:val="5"/>
        </w:rPr>
        <w:t>第十一节公司债券相关情况</w:t>
      </w:r>
      <w:r>
        <w:rPr>
          <w:b w:val="0"/>
          <w:bCs w:val="0"/>
          <w:spacing w:val="5"/>
        </w:rPr>
      </w:r>
    </w:p>
    <w:p>
      <w:pPr>
        <w:spacing w:line="240" w:lineRule="auto" w:before="5"/>
        <w:rPr>
          <w:rFonts w:ascii="宋体" w:hAnsi="宋体" w:cs="宋体" w:eastAsia="宋体" w:hint="default"/>
          <w:b/>
          <w:bCs/>
          <w:sz w:val="41"/>
          <w:szCs w:val="41"/>
        </w:rPr>
      </w:pPr>
    </w:p>
    <w:p>
      <w:pPr>
        <w:pStyle w:val="BodyText"/>
        <w:spacing w:line="367" w:lineRule="auto" w:before="0"/>
        <w:ind w:right="2109"/>
        <w:jc w:val="left"/>
      </w:pPr>
      <w:r>
        <w:rPr/>
        <w:t>公司是否存在公开发行并在证券交易所上市，且在年度报告批准报出日未到期或到期未能全额兑付的公司债券 否</w:t>
      </w:r>
    </w:p>
    <w:p>
      <w:pPr>
        <w:spacing w:after="0" w:line="367"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95" w:right="0"/>
        <w:jc w:val="left"/>
        <w:rPr>
          <w:b w:val="0"/>
          <w:bCs w:val="0"/>
        </w:rPr>
      </w:pPr>
      <w:bookmarkStart w:name="第十二节 财务报告" w:id="152"/>
      <w:bookmarkEnd w:id="152"/>
      <w:r>
        <w:rPr>
          <w:b w:val="0"/>
          <w:bCs w:val="0"/>
        </w:rPr>
      </w:r>
      <w:bookmarkStart w:name="_bookmark11" w:id="153"/>
      <w:bookmarkEnd w:id="153"/>
      <w:r>
        <w:rPr>
          <w:b w:val="0"/>
          <w:bCs w:val="0"/>
        </w:rPr>
      </w:r>
      <w:r>
        <w:rPr>
          <w:spacing w:val="6"/>
        </w:rPr>
        <w:t>第十二节</w:t>
      </w:r>
      <w:r>
        <w:rPr>
          <w:spacing w:val="49"/>
        </w:rPr>
        <w:t> </w:t>
      </w:r>
      <w:r>
        <w:rPr>
          <w:spacing w:val="3"/>
        </w:rPr>
        <w:t>财务报告</w:t>
      </w:r>
      <w:r>
        <w:rPr>
          <w:b w:val="0"/>
          <w:bCs w:val="0"/>
          <w:spacing w:val="3"/>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[2020]008021 </w:t>
            </w:r>
            <w:r>
              <w:rPr>
                <w:rFonts w:ascii="宋体" w:hAnsi="宋体" w:cs="宋体" w:eastAsia="宋体" w:hint="default"/>
                <w:sz w:val="18"/>
                <w:szCs w:val="18"/>
              </w:rPr>
              <w:t>号</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陈勇、吕红涛</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b/>
          <w:bCs/>
          <w:sz w:val="18"/>
          <w:szCs w:val="18"/>
        </w:rPr>
      </w:pPr>
    </w:p>
    <w:p>
      <w:pPr>
        <w:pStyle w:val="BodyText"/>
        <w:spacing w:line="321" w:lineRule="auto" w:before="155"/>
        <w:ind w:right="-20"/>
        <w:jc w:val="left"/>
      </w:pPr>
      <w:r>
        <w:rPr/>
        <w:t>深圳市普路通供应链管理股份有限公司全体股东： 一、审计意见</w:t>
      </w:r>
    </w:p>
    <w:p>
      <w:pPr>
        <w:pStyle w:val="BodyText"/>
        <w:spacing w:line="240" w:lineRule="auto"/>
        <w:ind w:right="0"/>
        <w:jc w:val="left"/>
      </w:pPr>
      <w:r>
        <w:rPr/>
        <w:br w:type="column"/>
      </w:r>
      <w:r>
        <w:rPr/>
        <w:t>审计报告正文</w:t>
      </w:r>
    </w:p>
    <w:p>
      <w:pPr>
        <w:spacing w:after="0" w:line="240" w:lineRule="auto"/>
        <w:jc w:val="left"/>
        <w:sectPr>
          <w:type w:val="continuous"/>
          <w:pgSz w:w="11910" w:h="16850"/>
          <w:pgMar w:top="1040" w:bottom="1180" w:left="1000" w:right="0"/>
          <w:cols w:num="2" w:equalWidth="0">
            <w:col w:w="4102" w:space="178"/>
            <w:col w:w="6630"/>
          </w:cols>
        </w:sectPr>
      </w:pPr>
    </w:p>
    <w:p>
      <w:pPr>
        <w:pStyle w:val="BodyText"/>
        <w:spacing w:line="304" w:lineRule="auto" w:before="18"/>
        <w:ind w:right="1029"/>
        <w:jc w:val="left"/>
      </w:pPr>
      <w:r>
        <w:rPr/>
        <w:t>我们审计了深圳市普路通供应链管理股份有限公司</w:t>
      </w:r>
      <w:r>
        <w:rPr>
          <w:rFonts w:ascii="Times New Roman" w:hAnsi="Times New Roman" w:cs="Times New Roman" w:eastAsia="Times New Roman" w:hint="default"/>
        </w:rPr>
        <w:t>(</w:t>
      </w:r>
      <w:r>
        <w:rPr/>
        <w:t>以下简称普路通</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 债表，</w:t>
      </w:r>
      <w:r>
        <w:rPr>
          <w:rFonts w:ascii="Times New Roman" w:hAnsi="Times New Roman" w:cs="Times New Roman" w:eastAsia="Times New Roman" w:hint="default"/>
        </w:rPr>
        <w:t>2019</w:t>
      </w:r>
      <w:r>
        <w:rPr/>
        <w:t>年度的合并及母公司利润表、合并及母公司现金流量表、合并及母公司股东权益变动表以及相关财务报表附注。 </w:t>
      </w:r>
      <w:r>
        <w:rPr>
          <w:spacing w:val="-2"/>
        </w:rPr>
        <w:t>我们认为，后附的财务报表在所有重大方面按照企业会计准则的规定编制，公允反映了普路通</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w:t>
      </w:r>
      <w:r>
        <w:rPr>
          <w:spacing w:val="-56"/>
        </w:rPr>
        <w:t> </w:t>
      </w:r>
      <w:r>
        <w:rPr/>
        <w:t>司财务状况以及</w:t>
      </w:r>
      <w:r>
        <w:rPr>
          <w:rFonts w:ascii="Times New Roman" w:hAnsi="Times New Roman" w:cs="Times New Roman" w:eastAsia="Times New Roman" w:hint="default"/>
        </w:rPr>
        <w:t>2019</w:t>
      </w:r>
      <w:r>
        <w:rPr/>
        <w:t>年度的合并及母公司经营成果和现金流量。</w:t>
      </w:r>
    </w:p>
    <w:p>
      <w:pPr>
        <w:pStyle w:val="BodyText"/>
        <w:spacing w:line="233" w:lineRule="exact" w:before="0"/>
        <w:ind w:right="0"/>
        <w:jc w:val="left"/>
      </w:pPr>
      <w:r>
        <w:rPr/>
        <w:t>二、形成审计意见的基础</w:t>
      </w:r>
    </w:p>
    <w:p>
      <w:pPr>
        <w:pStyle w:val="BodyText"/>
        <w:spacing w:line="304" w:lineRule="auto" w:before="80"/>
        <w:ind w:right="1029"/>
        <w:jc w:val="left"/>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部分进一步阐述 了我们在这些准则下的责任。按照中国注册会计师职业道德守则，我们独立于普路通，并履行了职业道德方面的其他责任。 我们相信，我们获取的审计证据是充分、适当的，为发表审计意见提供了基础。</w:t>
      </w:r>
    </w:p>
    <w:p>
      <w:pPr>
        <w:pStyle w:val="BodyText"/>
        <w:spacing w:line="314" w:lineRule="auto" w:before="31"/>
        <w:ind w:right="0"/>
        <w:jc w:val="left"/>
      </w:pPr>
      <w:r>
        <w:rPr/>
        <w:t>三、</w:t>
      </w:r>
      <w:r>
        <w:rPr>
          <w:spacing w:val="-30"/>
        </w:rPr>
        <w:t> </w:t>
      </w:r>
      <w:r>
        <w:rPr/>
        <w:t>关键审计事项</w:t>
      </w:r>
      <w:r>
        <w:rPr/>
        <w:t> </w:t>
      </w:r>
      <w:r>
        <w:rPr>
          <w:spacing w:val="-2"/>
        </w:rPr>
        <w:t>关键审计事项是我们根据职业判断，认为对本期财务报表审计最为重要的事项。这些事项的应对以对财务报表整体进行审计</w:t>
      </w:r>
      <w:r>
        <w:rPr>
          <w:spacing w:val="-72"/>
        </w:rPr>
        <w:t> </w:t>
      </w:r>
      <w:r>
        <w:rPr>
          <w:spacing w:val="-72"/>
        </w:rPr>
      </w:r>
      <w:r>
        <w:rPr/>
        <w:t>并形成审计意见为背景，我们不对这些事项单独发表意见。</w:t>
      </w:r>
    </w:p>
    <w:p>
      <w:pPr>
        <w:spacing w:line="240" w:lineRule="auto" w:before="12"/>
        <w:rPr>
          <w:rFonts w:ascii="宋体" w:hAnsi="宋体" w:cs="宋体" w:eastAsia="宋体" w:hint="default"/>
          <w:sz w:val="25"/>
          <w:szCs w:val="25"/>
        </w:rPr>
      </w:pPr>
    </w:p>
    <w:p>
      <w:pPr>
        <w:pStyle w:val="BodyText"/>
        <w:spacing w:line="240" w:lineRule="auto" w:before="0"/>
        <w:ind w:right="0"/>
        <w:jc w:val="left"/>
      </w:pPr>
      <w:r>
        <w:rPr/>
        <w:t>我们确定下列事项是需要在审计报告中沟通的关键审计事项。</w:t>
      </w:r>
    </w:p>
    <w:p>
      <w:pPr>
        <w:pStyle w:val="BodyText"/>
        <w:spacing w:line="240" w:lineRule="auto" w:before="95"/>
        <w:ind w:right="0"/>
        <w:jc w:val="left"/>
      </w:pPr>
      <w:r>
        <w:rPr>
          <w:rFonts w:ascii="Times New Roman" w:hAnsi="Times New Roman" w:cs="Times New Roman" w:eastAsia="Times New Roman" w:hint="default"/>
        </w:rPr>
        <w:t>1.</w:t>
      </w:r>
      <w:r>
        <w:rPr/>
        <w:t>组合售汇业务</w:t>
      </w:r>
    </w:p>
    <w:p>
      <w:pPr>
        <w:pStyle w:val="BodyText"/>
        <w:spacing w:line="240" w:lineRule="auto" w:before="66"/>
        <w:ind w:right="0"/>
        <w:jc w:val="left"/>
      </w:pPr>
      <w:r>
        <w:rPr>
          <w:rFonts w:ascii="Times New Roman" w:hAnsi="Times New Roman" w:cs="Times New Roman" w:eastAsia="Times New Roman" w:hint="default"/>
        </w:rPr>
        <w:t>2.</w:t>
      </w:r>
      <w:r>
        <w:rPr/>
        <w:t>销售费用</w:t>
      </w:r>
    </w:p>
    <w:p>
      <w:pPr>
        <w:pStyle w:val="BodyText"/>
        <w:spacing w:line="304" w:lineRule="auto" w:before="51"/>
        <w:ind w:right="9369"/>
        <w:jc w:val="left"/>
      </w:pPr>
      <w:r>
        <w:rPr>
          <w:rFonts w:ascii="Times New Roman" w:hAnsi="Times New Roman" w:cs="Times New Roman" w:eastAsia="Times New Roman" w:hint="default"/>
        </w:rPr>
        <w:t>3.</w:t>
      </w:r>
      <w:r>
        <w:rPr/>
        <w:t>收入确认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组合售汇业务 </w:t>
      </w:r>
      <w:r>
        <w:rPr>
          <w:rFonts w:ascii="Times New Roman" w:hAnsi="Times New Roman" w:cs="Times New Roman" w:eastAsia="Times New Roman" w:hint="default"/>
        </w:rPr>
        <w:t>1.</w:t>
      </w:r>
      <w:r>
        <w:rPr/>
        <w:t>事项描述</w:t>
      </w:r>
    </w:p>
    <w:p>
      <w:pPr>
        <w:pStyle w:val="BodyText"/>
        <w:spacing w:line="321" w:lineRule="auto" w:before="0"/>
        <w:ind w:right="0"/>
        <w:jc w:val="left"/>
      </w:pPr>
      <w:r>
        <w:rPr>
          <w:spacing w:val="-2"/>
        </w:rPr>
        <w:t>如财务报表附注十五、（一）所示，组合售汇业务，作为普路通的业务之一，对普路通资产、负债和损益类科目，具有重大</w:t>
      </w:r>
      <w:r>
        <w:rPr>
          <w:spacing w:val="-76"/>
        </w:rPr>
        <w:t> </w:t>
      </w:r>
      <w:r>
        <w:rPr>
          <w:spacing w:val="-76"/>
        </w:rPr>
      </w:r>
      <w:r>
        <w:rPr/>
        <w:t>而广泛的影响，故将组合售汇业务作为关键审计事项。</w:t>
      </w:r>
    </w:p>
    <w:p>
      <w:pPr>
        <w:pStyle w:val="BodyText"/>
        <w:spacing w:line="288" w:lineRule="auto" w:before="19"/>
        <w:ind w:right="6609"/>
        <w:jc w:val="left"/>
      </w:pPr>
      <w:r>
        <w:rPr>
          <w:rFonts w:ascii="Times New Roman" w:hAnsi="Times New Roman" w:cs="Times New Roman" w:eastAsia="Times New Roman" w:hint="default"/>
        </w:rPr>
        <w:t>2.</w:t>
      </w:r>
      <w:r>
        <w:rPr/>
        <w:t>审计应对 我们对于组合售汇业务所实施的重要审计程序包括：</w:t>
      </w:r>
    </w:p>
    <w:p>
      <w:pPr>
        <w:pStyle w:val="BodyText"/>
        <w:spacing w:line="240" w:lineRule="auto" w:before="59"/>
        <w:ind w:right="0"/>
        <w:jc w:val="left"/>
      </w:pPr>
      <w:r>
        <w:rPr/>
        <w:t>（</w:t>
      </w:r>
      <w:r>
        <w:rPr>
          <w:rFonts w:ascii="Times New Roman" w:hAnsi="Times New Roman" w:cs="Times New Roman" w:eastAsia="Times New Roman" w:hint="default"/>
        </w:rPr>
        <w:t>1</w:t>
      </w:r>
      <w:r>
        <w:rPr/>
        <w:t>）评价与组合售汇业务相关的内部控制是否有效，并得到执行；</w:t>
      </w:r>
    </w:p>
    <w:p>
      <w:pPr>
        <w:pStyle w:val="BodyText"/>
        <w:spacing w:line="240" w:lineRule="auto" w:before="66"/>
        <w:ind w:right="0"/>
        <w:jc w:val="left"/>
      </w:pPr>
      <w:r>
        <w:rPr/>
        <w:t>（</w:t>
      </w:r>
      <w:r>
        <w:rPr>
          <w:rFonts w:ascii="Times New Roman" w:hAnsi="Times New Roman" w:cs="Times New Roman" w:eastAsia="Times New Roman" w:hint="default"/>
        </w:rPr>
        <w:t>2</w:t>
      </w:r>
      <w:r>
        <w:rPr/>
        <w:t>）执行银行函证程序，除正常函证项目外，对所有合同涉及的关键条款进行函证；</w:t>
      </w:r>
    </w:p>
    <w:p>
      <w:pPr>
        <w:pStyle w:val="BodyText"/>
        <w:spacing w:line="240" w:lineRule="auto" w:before="66"/>
        <w:ind w:right="0"/>
        <w:jc w:val="left"/>
      </w:pPr>
      <w:r>
        <w:rPr/>
        <w:t>（</w:t>
      </w:r>
      <w:r>
        <w:rPr>
          <w:rFonts w:ascii="Times New Roman" w:hAnsi="Times New Roman" w:cs="Times New Roman" w:eastAsia="Times New Roman" w:hint="default"/>
        </w:rPr>
        <w:t>3</w:t>
      </w:r>
      <w:r>
        <w:rPr/>
        <w:t>）与企业信用报告进行核对；</w:t>
      </w:r>
    </w:p>
    <w:p>
      <w:pPr>
        <w:pStyle w:val="BodyText"/>
        <w:spacing w:line="240" w:lineRule="auto" w:before="51"/>
        <w:ind w:right="0"/>
        <w:jc w:val="left"/>
      </w:pPr>
      <w:r>
        <w:rPr/>
        <w:t>（</w:t>
      </w:r>
      <w:r>
        <w:rPr>
          <w:rFonts w:ascii="Times New Roman" w:hAnsi="Times New Roman" w:cs="Times New Roman" w:eastAsia="Times New Roman" w:hint="default"/>
        </w:rPr>
        <w:t>4</w:t>
      </w:r>
      <w:r>
        <w:rPr/>
        <w:t>）检查涉及的所有合同，并与登记的台账信息进行核对；</w:t>
      </w:r>
    </w:p>
    <w:p>
      <w:pPr>
        <w:pStyle w:val="BodyText"/>
        <w:spacing w:line="240" w:lineRule="auto" w:before="66"/>
        <w:ind w:right="0"/>
        <w:jc w:val="left"/>
      </w:pPr>
      <w:r>
        <w:rPr/>
        <w:t>（</w:t>
      </w:r>
      <w:r>
        <w:rPr>
          <w:rFonts w:ascii="Times New Roman" w:hAnsi="Times New Roman" w:cs="Times New Roman" w:eastAsia="Times New Roman" w:hint="default"/>
        </w:rPr>
        <w:t>5</w:t>
      </w:r>
      <w:r>
        <w:rPr/>
        <w:t>）检查普路通会计处理的准确性，并且独立进行测算，将测算的结果与账面金额进行核对；</w:t>
      </w:r>
    </w:p>
    <w:p>
      <w:pPr>
        <w:pStyle w:val="BodyText"/>
        <w:spacing w:line="240" w:lineRule="auto" w:before="66"/>
        <w:ind w:right="0"/>
        <w:jc w:val="left"/>
      </w:pPr>
      <w:r>
        <w:rPr/>
        <w:t>（</w:t>
      </w:r>
      <w:r>
        <w:rPr>
          <w:rFonts w:ascii="Times New Roman" w:hAnsi="Times New Roman" w:cs="Times New Roman" w:eastAsia="Times New Roman" w:hint="default"/>
        </w:rPr>
        <w:t>6</w:t>
      </w:r>
      <w:r>
        <w:rPr/>
        <w:t>）进行分析性复核程序，检查该业务的合理性。</w:t>
      </w:r>
    </w:p>
    <w:p>
      <w:pPr>
        <w:spacing w:after="0" w:line="240" w:lineRule="auto"/>
        <w:jc w:val="left"/>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基于已执行的审计工作，我们认为，管理层对组合售汇业务相关的披露和列报是适当的。</w:t>
      </w:r>
    </w:p>
    <w:p>
      <w:pPr>
        <w:pStyle w:val="BodyText"/>
        <w:spacing w:line="240" w:lineRule="auto" w:before="79"/>
        <w:ind w:right="0"/>
        <w:jc w:val="left"/>
      </w:pPr>
      <w:r>
        <w:rPr/>
        <w:t>（二）销售费用</w:t>
      </w:r>
    </w:p>
    <w:p>
      <w:pPr>
        <w:pStyle w:val="BodyText"/>
        <w:spacing w:line="240" w:lineRule="auto" w:before="95"/>
        <w:ind w:right="0"/>
        <w:jc w:val="left"/>
      </w:pPr>
      <w:r>
        <w:rPr>
          <w:rFonts w:ascii="Times New Roman" w:hAnsi="Times New Roman" w:cs="Times New Roman" w:eastAsia="Times New Roman" w:hint="default"/>
        </w:rPr>
        <w:t>1.</w:t>
      </w:r>
      <w:r>
        <w:rPr/>
        <w:t>事项描述</w:t>
      </w:r>
    </w:p>
    <w:p>
      <w:pPr>
        <w:pStyle w:val="BodyText"/>
        <w:spacing w:line="302" w:lineRule="auto" w:before="51"/>
        <w:ind w:right="1139"/>
        <w:jc w:val="left"/>
      </w:pPr>
      <w:r>
        <w:rPr/>
        <w:t>如财务报表附注六、注释</w:t>
      </w:r>
      <w:r>
        <w:rPr>
          <w:rFonts w:ascii="Times New Roman" w:hAnsi="Times New Roman" w:cs="Times New Roman" w:eastAsia="Times New Roman" w:hint="default"/>
        </w:rPr>
        <w:t>36“</w:t>
      </w:r>
      <w:r>
        <w:rPr/>
        <w:t>销售费用</w:t>
      </w:r>
      <w:r>
        <w:rPr>
          <w:rFonts w:ascii="Times New Roman" w:hAnsi="Times New Roman" w:cs="Times New Roman" w:eastAsia="Times New Roman" w:hint="default"/>
        </w:rPr>
        <w:t>”</w:t>
      </w:r>
      <w:r>
        <w:rPr/>
        <w:t>所示，普路通本报告期销售费用金额为</w:t>
      </w:r>
      <w:r>
        <w:rPr>
          <w:rFonts w:ascii="Times New Roman" w:hAnsi="Times New Roman" w:cs="Times New Roman" w:eastAsia="Times New Roman" w:hint="default"/>
        </w:rPr>
        <w:t>295,818,834.66</w:t>
      </w:r>
      <w:r>
        <w:rPr/>
        <w:t>元，较上年同期</w:t>
      </w:r>
      <w:r>
        <w:rPr>
          <w:rFonts w:ascii="Times New Roman" w:hAnsi="Times New Roman" w:cs="Times New Roman" w:eastAsia="Times New Roman" w:hint="default"/>
        </w:rPr>
        <w:t>194,150,484.59</w:t>
      </w:r>
      <w:r>
        <w:rPr>
          <w:rFonts w:ascii="Times New Roman" w:hAnsi="Times New Roman" w:cs="Times New Roman" w:eastAsia="Times New Roman" w:hint="default"/>
          <w:spacing w:val="-31"/>
        </w:rPr>
        <w:t> </w:t>
      </w:r>
      <w:r>
        <w:rPr/>
        <w:t>元增长了</w:t>
      </w:r>
      <w:r>
        <w:rPr>
          <w:rFonts w:ascii="Times New Roman" w:hAnsi="Times New Roman" w:cs="Times New Roman" w:eastAsia="Times New Roman" w:hint="default"/>
        </w:rPr>
        <w:t>101,668,350.07</w:t>
      </w:r>
      <w:r>
        <w:rPr/>
        <w:t>元，增长比例为</w:t>
      </w:r>
      <w:r>
        <w:rPr>
          <w:rFonts w:ascii="Times New Roman" w:hAnsi="Times New Roman" w:cs="Times New Roman" w:eastAsia="Times New Roman" w:hint="default"/>
        </w:rPr>
        <w:t>52.37%</w:t>
      </w:r>
      <w:r>
        <w:rPr/>
        <w:t>，故将销售费用作为关键审计事项。</w:t>
      </w:r>
    </w:p>
    <w:p>
      <w:pPr>
        <w:pStyle w:val="BodyText"/>
        <w:spacing w:line="288" w:lineRule="auto" w:before="14"/>
        <w:ind w:right="6969"/>
        <w:jc w:val="left"/>
      </w:pPr>
      <w:r>
        <w:rPr>
          <w:rFonts w:ascii="Times New Roman" w:hAnsi="Times New Roman" w:cs="Times New Roman" w:eastAsia="Times New Roman" w:hint="default"/>
        </w:rPr>
        <w:t>2.</w:t>
      </w:r>
      <w:r>
        <w:rPr/>
        <w:t>审计应对 我们对于销售费用所实施的重要审计程序包括：</w:t>
      </w:r>
    </w:p>
    <w:p>
      <w:pPr>
        <w:pStyle w:val="BodyText"/>
        <w:spacing w:line="240" w:lineRule="auto" w:before="59"/>
        <w:ind w:right="0"/>
        <w:jc w:val="left"/>
      </w:pPr>
      <w:r>
        <w:rPr/>
        <w:t>（</w:t>
      </w:r>
      <w:r>
        <w:rPr>
          <w:rFonts w:ascii="Times New Roman" w:hAnsi="Times New Roman" w:cs="Times New Roman" w:eastAsia="Times New Roman" w:hint="default"/>
        </w:rPr>
        <w:t>1</w:t>
      </w:r>
      <w:r>
        <w:rPr/>
        <w:t>）评价与销售费用相关的内部控制是否有效，并得到执行；</w:t>
      </w:r>
    </w:p>
    <w:p>
      <w:pPr>
        <w:pStyle w:val="BodyText"/>
        <w:spacing w:line="240" w:lineRule="auto" w:before="51"/>
        <w:ind w:right="0"/>
        <w:jc w:val="left"/>
      </w:pPr>
      <w:r>
        <w:rPr/>
        <w:t>（</w:t>
      </w:r>
      <w:r>
        <w:rPr>
          <w:rFonts w:ascii="Times New Roman" w:hAnsi="Times New Roman" w:cs="Times New Roman" w:eastAsia="Times New Roman" w:hint="default"/>
        </w:rPr>
        <w:t>2</w:t>
      </w:r>
      <w:r>
        <w:rPr/>
        <w:t>）分析销售费用金额大幅增加是否合理，并且询问管理层；</w:t>
      </w:r>
    </w:p>
    <w:p>
      <w:pPr>
        <w:pStyle w:val="BodyText"/>
        <w:spacing w:line="240" w:lineRule="auto" w:before="66"/>
        <w:ind w:right="0"/>
        <w:jc w:val="left"/>
      </w:pPr>
      <w:r>
        <w:rPr/>
        <w:t>（</w:t>
      </w:r>
      <w:r>
        <w:rPr>
          <w:rFonts w:ascii="Times New Roman" w:hAnsi="Times New Roman" w:cs="Times New Roman" w:eastAsia="Times New Roman" w:hint="default"/>
        </w:rPr>
        <w:t>3</w:t>
      </w:r>
      <w:r>
        <w:rPr/>
        <w:t>）对大额销售费用项目进行重点核查，比如合同、发票、付款单等；</w:t>
      </w:r>
    </w:p>
    <w:p>
      <w:pPr>
        <w:pStyle w:val="BodyText"/>
        <w:spacing w:line="240" w:lineRule="auto" w:before="66"/>
        <w:ind w:right="0"/>
        <w:jc w:val="left"/>
      </w:pPr>
      <w:r>
        <w:rPr/>
        <w:t>（</w:t>
      </w:r>
      <w:r>
        <w:rPr>
          <w:rFonts w:ascii="Times New Roman" w:hAnsi="Times New Roman" w:cs="Times New Roman" w:eastAsia="Times New Roman" w:hint="default"/>
        </w:rPr>
        <w:t>4</w:t>
      </w:r>
      <w:r>
        <w:rPr/>
        <w:t>）进行截止性测试，评价销售费用是否计入了恰当的期间；</w:t>
      </w:r>
    </w:p>
    <w:p>
      <w:pPr>
        <w:pStyle w:val="BodyText"/>
        <w:spacing w:line="290" w:lineRule="auto" w:before="66"/>
        <w:ind w:right="4089"/>
        <w:jc w:val="left"/>
      </w:pPr>
      <w:r>
        <w:rPr/>
        <w:t>（</w:t>
      </w:r>
      <w:r>
        <w:rPr>
          <w:rFonts w:ascii="Times New Roman" w:hAnsi="Times New Roman" w:cs="Times New Roman" w:eastAsia="Times New Roman" w:hint="default"/>
        </w:rPr>
        <w:t>5</w:t>
      </w:r>
      <w:r>
        <w:rPr/>
        <w:t>）对提供服务的主要供应商进行函证和访谈。 基于已执行的审计工作，我们认为，管理层对销售费用相关的披露和列报是适当的。</w:t>
      </w:r>
    </w:p>
    <w:p>
      <w:pPr>
        <w:pStyle w:val="BodyText"/>
        <w:spacing w:line="240" w:lineRule="auto" w:before="26"/>
        <w:ind w:right="0"/>
        <w:jc w:val="left"/>
      </w:pPr>
      <w:r>
        <w:rPr/>
        <w:t>（三）收入确认</w:t>
      </w:r>
    </w:p>
    <w:p>
      <w:pPr>
        <w:pStyle w:val="BodyText"/>
        <w:spacing w:line="240" w:lineRule="auto" w:before="95"/>
        <w:ind w:right="0"/>
        <w:jc w:val="left"/>
      </w:pPr>
      <w:r>
        <w:rPr>
          <w:rFonts w:ascii="Times New Roman" w:hAnsi="Times New Roman" w:cs="Times New Roman" w:eastAsia="Times New Roman" w:hint="default"/>
        </w:rPr>
        <w:t>1.</w:t>
      </w:r>
      <w:r>
        <w:rPr/>
        <w:t>事项描述</w:t>
      </w:r>
    </w:p>
    <w:p>
      <w:pPr>
        <w:pStyle w:val="BodyText"/>
        <w:spacing w:line="295" w:lineRule="auto" w:before="66"/>
        <w:ind w:right="1049"/>
        <w:jc w:val="left"/>
      </w:pPr>
      <w:r>
        <w:rPr/>
        <w:t>如财务报表附注四（三十一）、附注六注释</w:t>
      </w:r>
      <w:r>
        <w:rPr>
          <w:rFonts w:ascii="Times New Roman" w:hAnsi="Times New Roman" w:cs="Times New Roman" w:eastAsia="Times New Roman" w:hint="default"/>
        </w:rPr>
        <w:t>34“</w:t>
      </w:r>
      <w:r>
        <w:rPr/>
        <w:t>营业收入和营业成本</w:t>
      </w:r>
      <w:r>
        <w:rPr>
          <w:rFonts w:ascii="Times New Roman" w:hAnsi="Times New Roman" w:cs="Times New Roman" w:eastAsia="Times New Roman" w:hint="default"/>
        </w:rPr>
        <w:t>”</w:t>
      </w:r>
      <w:r>
        <w:rPr/>
        <w:t>所示，普路通</w:t>
      </w:r>
      <w:r>
        <w:rPr>
          <w:rFonts w:ascii="Times New Roman" w:hAnsi="Times New Roman" w:cs="Times New Roman" w:eastAsia="Times New Roman" w:hint="default"/>
        </w:rPr>
        <w:t>2019</w:t>
      </w:r>
      <w:r>
        <w:rPr/>
        <w:t>年度收入金额为</w:t>
      </w:r>
      <w:r>
        <w:rPr>
          <w:rFonts w:ascii="Times New Roman" w:hAnsi="Times New Roman" w:cs="Times New Roman" w:eastAsia="Times New Roman" w:hint="default"/>
        </w:rPr>
        <w:t>6,512,430,900.39</w:t>
      </w:r>
      <w:r>
        <w:rPr/>
        <w:t>元，</w:t>
      </w:r>
      <w:r>
        <w:rPr>
          <w:spacing w:val="-77"/>
        </w:rPr>
        <w:t> </w:t>
      </w:r>
      <w:r>
        <w:rPr/>
        <w:t>较上年同期</w:t>
      </w:r>
      <w:r>
        <w:rPr>
          <w:rFonts w:ascii="Times New Roman" w:hAnsi="Times New Roman" w:cs="Times New Roman" w:eastAsia="Times New Roman" w:hint="default"/>
        </w:rPr>
        <w:t>5,772,278,517.70</w:t>
      </w:r>
      <w:r>
        <w:rPr/>
        <w:t>元增加了</w:t>
      </w:r>
      <w:r>
        <w:rPr>
          <w:rFonts w:ascii="Times New Roman" w:hAnsi="Times New Roman" w:cs="Times New Roman" w:eastAsia="Times New Roman" w:hint="default"/>
        </w:rPr>
        <w:t>740,152,382.69</w:t>
      </w:r>
      <w:r>
        <w:rPr/>
        <w:t>元，增长比例为</w:t>
      </w:r>
      <w:r>
        <w:rPr>
          <w:rFonts w:ascii="Times New Roman" w:hAnsi="Times New Roman" w:cs="Times New Roman" w:eastAsia="Times New Roman" w:hint="default"/>
        </w:rPr>
        <w:t>12.82%</w:t>
      </w:r>
      <w:r>
        <w:rPr/>
        <w:t>。由于收入是普路通的重要财务指标，管理层在</w:t>
      </w:r>
      <w:r>
        <w:rPr>
          <w:spacing w:val="-86"/>
        </w:rPr>
        <w:t> </w:t>
      </w:r>
      <w:r>
        <w:rPr/>
        <w:t>收入确认和列报时有可能存在重大错报风险，因此，我们将收入确认作为关键审计事项。</w:t>
      </w:r>
    </w:p>
    <w:p>
      <w:pPr>
        <w:spacing w:line="240" w:lineRule="auto" w:before="0"/>
        <w:rPr>
          <w:rFonts w:ascii="宋体" w:hAnsi="宋体" w:cs="宋体" w:eastAsia="宋体" w:hint="default"/>
          <w:sz w:val="18"/>
          <w:szCs w:val="18"/>
        </w:rPr>
      </w:pPr>
    </w:p>
    <w:p>
      <w:pPr>
        <w:pStyle w:val="BodyText"/>
        <w:spacing w:line="290" w:lineRule="auto" w:before="118"/>
        <w:ind w:right="6969"/>
        <w:jc w:val="left"/>
      </w:pPr>
      <w:r>
        <w:rPr>
          <w:rFonts w:ascii="Times New Roman" w:hAnsi="Times New Roman" w:cs="Times New Roman" w:eastAsia="Times New Roman" w:hint="default"/>
        </w:rPr>
        <w:t>2.</w:t>
      </w:r>
      <w:r>
        <w:rPr/>
        <w:t>审计应对 我们对于收入确认所实施的重要审计程序包括：</w:t>
      </w:r>
    </w:p>
    <w:p>
      <w:pPr>
        <w:pStyle w:val="BodyText"/>
        <w:spacing w:line="240" w:lineRule="auto" w:before="56"/>
        <w:ind w:right="0"/>
        <w:jc w:val="left"/>
      </w:pPr>
      <w:r>
        <w:rPr/>
        <w:t>（</w:t>
      </w:r>
      <w:r>
        <w:rPr>
          <w:rFonts w:ascii="Times New Roman" w:hAnsi="Times New Roman" w:cs="Times New Roman" w:eastAsia="Times New Roman" w:hint="default"/>
        </w:rPr>
        <w:t>1</w:t>
      </w:r>
      <w:r>
        <w:rPr/>
        <w:t>）评价与收入相关的内部控制是否有效，并得到执行；</w:t>
      </w:r>
    </w:p>
    <w:p>
      <w:pPr>
        <w:pStyle w:val="BodyText"/>
        <w:spacing w:line="240" w:lineRule="auto" w:before="66"/>
        <w:ind w:right="0"/>
        <w:jc w:val="left"/>
      </w:pPr>
      <w:r>
        <w:rPr/>
        <w:t>（</w:t>
      </w:r>
      <w:r>
        <w:rPr>
          <w:rFonts w:ascii="Times New Roman" w:hAnsi="Times New Roman" w:cs="Times New Roman" w:eastAsia="Times New Roman" w:hint="default"/>
        </w:rPr>
        <w:t>2</w:t>
      </w:r>
      <w:r>
        <w:rPr/>
        <w:t>）了解普路通销售业务流程及收入确认原则与往年比较是否有重大变化，评估普路通的收入确认政策；</w:t>
      </w:r>
    </w:p>
    <w:p>
      <w:pPr>
        <w:pStyle w:val="BodyText"/>
        <w:spacing w:line="240" w:lineRule="auto" w:before="51"/>
        <w:ind w:right="0"/>
        <w:jc w:val="left"/>
      </w:pPr>
      <w:r>
        <w:rPr/>
        <w:t>（</w:t>
      </w:r>
      <w:r>
        <w:rPr>
          <w:rFonts w:ascii="Times New Roman" w:hAnsi="Times New Roman" w:cs="Times New Roman" w:eastAsia="Times New Roman" w:hint="default"/>
        </w:rPr>
        <w:t>3</w:t>
      </w:r>
      <w:r>
        <w:rPr/>
        <w:t>）按照服务类收入和交易类收入两大类，进行细节测试，检查收入相关的合同、发票、出库单、签收单、明细表等；</w:t>
      </w:r>
    </w:p>
    <w:p>
      <w:pPr>
        <w:pStyle w:val="BodyText"/>
        <w:spacing w:line="290" w:lineRule="auto" w:before="66"/>
        <w:ind w:right="1119"/>
        <w:jc w:val="left"/>
      </w:pPr>
      <w:r>
        <w:rPr/>
        <w:t>（</w:t>
      </w:r>
      <w:r>
        <w:rPr>
          <w:rFonts w:ascii="Times New Roman" w:hAnsi="Times New Roman" w:cs="Times New Roman" w:eastAsia="Times New Roman" w:hint="default"/>
        </w:rPr>
        <w:t>4</w:t>
      </w:r>
      <w:r>
        <w:rPr/>
        <w:t>）对报告期主要客户应收账款和收入金额进行函证，对于回函不符的，查明原因，对于未回函的客户，进行替代测试， 并且关注期后回款情况；</w:t>
      </w:r>
    </w:p>
    <w:p>
      <w:pPr>
        <w:pStyle w:val="BodyText"/>
        <w:spacing w:line="240" w:lineRule="auto" w:before="56"/>
        <w:ind w:right="0"/>
        <w:jc w:val="left"/>
      </w:pPr>
      <w:r>
        <w:rPr/>
        <w:t>（</w:t>
      </w:r>
      <w:r>
        <w:rPr>
          <w:rFonts w:ascii="Times New Roman" w:hAnsi="Times New Roman" w:cs="Times New Roman" w:eastAsia="Times New Roman" w:hint="default"/>
        </w:rPr>
        <w:t>5</w:t>
      </w:r>
      <w:r>
        <w:rPr/>
        <w:t>）进行收入截止性测试，评价收入是否计入了恰当的期间；</w:t>
      </w:r>
    </w:p>
    <w:p>
      <w:pPr>
        <w:pStyle w:val="BodyText"/>
        <w:spacing w:line="240" w:lineRule="auto" w:before="66"/>
        <w:ind w:right="0"/>
        <w:jc w:val="left"/>
      </w:pPr>
      <w:r>
        <w:rPr/>
        <w:t>（</w:t>
      </w:r>
      <w:r>
        <w:rPr>
          <w:rFonts w:ascii="Times New Roman" w:hAnsi="Times New Roman" w:cs="Times New Roman" w:eastAsia="Times New Roman" w:hint="default"/>
        </w:rPr>
        <w:t>6</w:t>
      </w:r>
      <w:r>
        <w:rPr/>
        <w:t>）对当期主要客户进行背景调查，检查是否为关联方；</w:t>
      </w:r>
    </w:p>
    <w:p>
      <w:pPr>
        <w:pStyle w:val="BodyText"/>
        <w:spacing w:line="290" w:lineRule="auto" w:before="51"/>
        <w:ind w:right="1839"/>
        <w:jc w:val="left"/>
      </w:pPr>
      <w:r>
        <w:rPr/>
        <w:t>（</w:t>
      </w:r>
      <w:r>
        <w:rPr>
          <w:rFonts w:ascii="Times New Roman" w:hAnsi="Times New Roman" w:cs="Times New Roman" w:eastAsia="Times New Roman" w:hint="default"/>
        </w:rPr>
        <w:t>7</w:t>
      </w:r>
      <w:r>
        <w:rPr/>
        <w:t>）对比分析各月销售波动情况，检查是否存在异常。分析毛利率变动情况，并且与同行业上市公司进行比较。</w:t>
      </w:r>
      <w:r>
        <w:rPr>
          <w:spacing w:val="-82"/>
        </w:rPr>
        <w:t> </w:t>
      </w:r>
      <w:r>
        <w:rPr>
          <w:spacing w:val="-82"/>
        </w:rPr>
      </w:r>
      <w:r>
        <w:rPr/>
        <w:t>基于已执行的审计工作，我们认为，管理层对收入确认的披露和列报是适当的。</w:t>
      </w:r>
    </w:p>
    <w:p>
      <w:pPr>
        <w:pStyle w:val="BodyText"/>
        <w:spacing w:line="312" w:lineRule="auto" w:before="41"/>
        <w:ind w:right="1091"/>
        <w:jc w:val="left"/>
      </w:pPr>
      <w:r>
        <w:rPr/>
        <w:t>四、其他信息 普路通管理层对其他信息负责。其他信息包括</w:t>
      </w:r>
      <w:r>
        <w:rPr>
          <w:rFonts w:ascii="Times New Roman" w:hAnsi="Times New Roman" w:cs="Times New Roman" w:eastAsia="Times New Roman" w:hint="default"/>
        </w:rPr>
        <w:t>2019</w:t>
      </w:r>
      <w:r>
        <w:rPr/>
        <w:t>年年度报告中涵盖的信息，但不包括财务报表和我们的审计报告。</w:t>
      </w:r>
      <w:r>
        <w:rPr>
          <w:spacing w:val="-86"/>
        </w:rPr>
        <w:t> </w:t>
      </w:r>
      <w:r>
        <w:rPr/>
        <w:t>我们对财务报表发表的审计意见不涵盖其他信息，我们也不对其他信息发表任何形式的鉴证结论。</w:t>
      </w:r>
    </w:p>
    <w:p>
      <w:pPr>
        <w:pStyle w:val="BodyText"/>
        <w:spacing w:line="321" w:lineRule="auto" w:before="10"/>
        <w:ind w:right="0"/>
        <w:jc w:val="left"/>
      </w:pPr>
      <w:r>
        <w:rPr>
          <w:spacing w:val="-2"/>
        </w:rPr>
        <w:t>结合我们对财务报表的审计，我们的责任是阅读其他信息，在此过程中，考虑其他信息是否与财务报表或我们在审计过程中</w:t>
      </w:r>
      <w:r>
        <w:rPr>
          <w:spacing w:val="-75"/>
        </w:rPr>
        <w:t> </w:t>
      </w:r>
      <w:r>
        <w:rPr>
          <w:spacing w:val="-75"/>
        </w:rPr>
      </w:r>
      <w:r>
        <w:rPr/>
        <w:t>了解的情况存在重大不一致或者似乎存在重大错报。</w:t>
      </w:r>
    </w:p>
    <w:p>
      <w:pPr>
        <w:spacing w:line="240" w:lineRule="auto" w:before="7"/>
        <w:rPr>
          <w:rFonts w:ascii="宋体" w:hAnsi="宋体" w:cs="宋体" w:eastAsia="宋体" w:hint="default"/>
          <w:sz w:val="25"/>
          <w:szCs w:val="25"/>
        </w:rPr>
      </w:pPr>
    </w:p>
    <w:p>
      <w:pPr>
        <w:pStyle w:val="BodyText"/>
        <w:spacing w:line="319" w:lineRule="auto" w:before="0"/>
        <w:ind w:right="0"/>
        <w:jc w:val="left"/>
      </w:pPr>
      <w:r>
        <w:rPr>
          <w:spacing w:val="-4"/>
        </w:rPr>
        <w:t>基于我们已执行的工作，如果我们确定其他信息存在重大错报，我们应当报告该事实。在这方面，我们无任何事项需要报告。</w:t>
      </w:r>
      <w:r>
        <w:rPr>
          <w:spacing w:val="-45"/>
        </w:rPr>
        <w:t> </w:t>
      </w:r>
      <w:r>
        <w:rPr>
          <w:spacing w:val="-45"/>
        </w:rPr>
      </w:r>
      <w:r>
        <w:rPr/>
        <w:t>五、管理层和治理层对财务报表的责任 </w:t>
      </w:r>
      <w:r>
        <w:rPr>
          <w:spacing w:val="-2"/>
        </w:rPr>
        <w:t>普路通管理层负责按照企业会计准则的规定编制财务报表，使其实现公允反映，并设计、执行和维护必要的内部控制，以使</w:t>
      </w:r>
      <w:r>
        <w:rPr>
          <w:spacing w:val="-42"/>
        </w:rPr>
        <w:t> </w:t>
      </w:r>
      <w:r>
        <w:rPr>
          <w:spacing w:val="-42"/>
        </w:rPr>
      </w:r>
      <w:r>
        <w:rPr/>
        <w:t>财务报表不存在由于舞弊或错误导致的重大错报。 </w:t>
      </w:r>
      <w:r>
        <w:rPr>
          <w:spacing w:val="-2"/>
        </w:rPr>
        <w:t>在编制财务报表时，普路通管理层负责评估普路通的持续经营能力，披露与持续经营相关的事项（如适用），并运用持续经</w:t>
      </w:r>
      <w:r>
        <w:rPr>
          <w:spacing w:val="-57"/>
        </w:rPr>
        <w:t> </w:t>
      </w:r>
      <w:r>
        <w:rPr>
          <w:spacing w:val="-57"/>
        </w:rPr>
      </w:r>
      <w:r>
        <w:rPr/>
        <w:t>营假设，除非管理层计划清算普路通、终止运营或别无其他现实的选择。</w:t>
      </w:r>
    </w:p>
    <w:p>
      <w:pPr>
        <w:pStyle w:val="BodyText"/>
        <w:spacing w:line="307" w:lineRule="auto" w:before="20"/>
        <w:ind w:right="7509"/>
        <w:jc w:val="left"/>
      </w:pPr>
      <w:r>
        <w:rPr/>
        <w:t>治理层负责监督普路通的财务报告过程。 六、注册会计师对财务报表审计的责任</w:t>
      </w:r>
    </w:p>
    <w:p>
      <w:pPr>
        <w:spacing w:after="0" w:line="307"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029"/>
        <w:jc w:val="left"/>
      </w:pPr>
      <w:r>
        <w:rPr/>
        <w:t>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72"/>
        </w:rPr>
        <w:t> </w:t>
      </w:r>
      <w:r>
        <w:rPr>
          <w:spacing w:val="-72"/>
        </w:rPr>
      </w:r>
      <w:r>
        <w:rPr>
          <w:spacing w:val="-2"/>
        </w:rPr>
        <w:t>误导致，如果合理预期错报单独或汇总起来可能影响财务报表使用者依据财务报表作出的经济决策，则通常认为错报是重大</w:t>
      </w:r>
      <w:r>
        <w:rPr>
          <w:spacing w:val="-72"/>
        </w:rPr>
        <w:t> </w:t>
      </w:r>
      <w:r>
        <w:rPr>
          <w:spacing w:val="-72"/>
        </w:rPr>
      </w:r>
      <w:r>
        <w:rPr/>
        <w:t>的。</w:t>
      </w:r>
    </w:p>
    <w:p>
      <w:pPr>
        <w:pStyle w:val="BodyText"/>
        <w:spacing w:line="312" w:lineRule="auto" w:before="22"/>
        <w:ind w:right="1119"/>
        <w:jc w:val="left"/>
      </w:pPr>
      <w:r>
        <w:rPr/>
        <w:t>在按照审计准则执行审计工作的过程中，我们运用职业判断，并保持职业怀疑。同时，我们也执行以下工作： </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．识别和评估由于舞弊或错误导致的财务报表重大错报风险，设计和实施审计程序以应对这些风险，并获取充分、适当的</w:t>
      </w:r>
      <w:r>
        <w:rPr>
          <w:spacing w:val="-80"/>
        </w:rPr>
        <w:t> </w:t>
      </w:r>
      <w:r>
        <w:rPr>
          <w:spacing w:val="-80"/>
        </w:rPr>
      </w:r>
      <w:r>
        <w:rPr>
          <w:spacing w:val="-2"/>
        </w:rPr>
        <w:t>审计证据，作为发表审计意见的基础。由于舞弊可能涉及串通、伪造、故意遗漏、虚假陈述或凌驾于内部控制之上，未能发</w:t>
      </w:r>
    </w:p>
    <w:p>
      <w:pPr>
        <w:pStyle w:val="BodyText"/>
        <w:spacing w:line="240" w:lineRule="auto" w:before="26"/>
        <w:ind w:right="0"/>
        <w:jc w:val="left"/>
      </w:pPr>
      <w:r>
        <w:rPr/>
        <w:t>现由于舞弊导致的重大错报的风险高于未能发现由于错误导致的重大错报的风险。</w:t>
      </w:r>
    </w:p>
    <w:p>
      <w:pPr>
        <w:pStyle w:val="BodyText"/>
        <w:spacing w:line="240" w:lineRule="auto" w:before="79"/>
        <w:ind w:right="0"/>
        <w:jc w:val="left"/>
      </w:pP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6"/>
        <w:ind w:right="0"/>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04" w:lineRule="auto" w:before="66"/>
        <w:ind w:right="1127"/>
        <w:jc w:val="both"/>
      </w:pPr>
      <w:r>
        <w:rPr>
          <w:rFonts w:ascii="Times New Roman" w:hAnsi="Times New Roman" w:cs="Times New Roman" w:eastAsia="Times New Roman" w:hint="default"/>
        </w:rPr>
        <w:t>4</w:t>
      </w:r>
      <w:r>
        <w:rPr/>
        <w:t>．对管理层使用持续经营假设的恰当性得出结论。同时，根据获取的审计证据，就可能导致对普路通持续经营能力产生重 </w:t>
      </w:r>
      <w:r>
        <w:rPr>
          <w:spacing w:val="-2"/>
        </w:rPr>
        <w:t>大疑虑的事项或情况是否存在重大不确定性得出结论。如果我们得出结论认为存在重大不确定性，审计准则要求我们在审计</w:t>
      </w:r>
      <w:r>
        <w:rPr>
          <w:spacing w:val="-64"/>
        </w:rPr>
        <w:t> </w:t>
      </w:r>
      <w:r>
        <w:rPr>
          <w:spacing w:val="-64"/>
        </w:rPr>
      </w:r>
      <w:r>
        <w:rPr>
          <w:spacing w:val="-2"/>
        </w:rPr>
        <w:t>报告中提请报告使用者注意财务报表中的相关披露；如果披露不充分，我们应当发表非无保留意见。我们的结论基于截至审</w:t>
      </w:r>
      <w:r>
        <w:rPr>
          <w:spacing w:val="-75"/>
        </w:rPr>
        <w:t> </w:t>
      </w:r>
      <w:r>
        <w:rPr>
          <w:spacing w:val="-75"/>
        </w:rPr>
      </w:r>
      <w:r>
        <w:rPr/>
        <w:t>计报告日可获得的信息。然而，未来的事项或情况可能导致普路通不能持续经营。</w:t>
      </w:r>
    </w:p>
    <w:p>
      <w:pPr>
        <w:pStyle w:val="BodyText"/>
        <w:spacing w:line="240" w:lineRule="auto" w:before="46"/>
        <w:ind w:right="0"/>
        <w:jc w:val="left"/>
      </w:pP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314" w:lineRule="auto" w:before="66"/>
        <w:ind w:right="1119"/>
        <w:jc w:val="left"/>
      </w:pPr>
      <w:r>
        <w:rPr>
          <w:rFonts w:ascii="Times New Roman" w:hAnsi="Times New Roman" w:cs="Times New Roman" w:eastAsia="Times New Roman" w:hint="default"/>
        </w:rPr>
        <w:t>6</w:t>
      </w:r>
      <w:r>
        <w:rPr/>
        <w:t>．就普路通中实体或业务活动的财务信息获取充分、适当的审计证据，以对财务报表发表意见。我们负责指导、监督和执 行集团审计。我们对审计意见承担全部责任。 </w:t>
      </w:r>
      <w:r>
        <w:rPr>
          <w:spacing w:val="-2"/>
        </w:rPr>
        <w:t>我们与治理层就计划的审计范围、时间安排和重大审计发现等事项进行沟通，包括沟通我们在审计中识别出的值得关注的内</w:t>
      </w:r>
      <w:r>
        <w:rPr>
          <w:spacing w:val="-65"/>
        </w:rPr>
        <w:t> </w:t>
      </w:r>
      <w:r>
        <w:rPr>
          <w:spacing w:val="-65"/>
        </w:rPr>
      </w:r>
      <w:r>
        <w:rPr/>
        <w:t>部控制缺陷。 </w:t>
      </w:r>
      <w:r>
        <w:rPr>
          <w:spacing w:val="-2"/>
        </w:rPr>
        <w:t>我们还就已遵守与独立性相关的职业道德要求向治理层提供声明，并与治理层沟通可能被合理认为影响我们独立性的所有关</w:t>
      </w:r>
      <w:r>
        <w:rPr>
          <w:spacing w:val="-58"/>
        </w:rPr>
        <w:t> </w:t>
      </w:r>
      <w:r>
        <w:rPr>
          <w:spacing w:val="-58"/>
        </w:rPr>
      </w:r>
      <w:r>
        <w:rPr/>
        <w:t>系和其他事项，以及相关的防范措施（如适用）。 </w:t>
      </w:r>
      <w:r>
        <w:rPr>
          <w:spacing w:val="-2"/>
        </w:rPr>
        <w:t>从与治理层沟通过的事项中，我们确定哪些事项对本期财务报表审计最为重要，因而构成关键审计事项。我们在审计报告中</w:t>
      </w:r>
    </w:p>
    <w:p>
      <w:pPr>
        <w:pStyle w:val="BodyText"/>
        <w:spacing w:line="307" w:lineRule="auto" w:before="24"/>
        <w:ind w:right="0"/>
        <w:jc w:val="left"/>
      </w:pPr>
      <w:r>
        <w:rPr>
          <w:spacing w:val="-2"/>
        </w:rPr>
        <w:t>描述这些事项，除非法律法规禁止公开披露这些事项，或在极少数情形下，如果合理预期在审计报告中沟通某事项造成的负</w:t>
      </w:r>
      <w:r>
        <w:rPr>
          <w:spacing w:val="-75"/>
        </w:rPr>
        <w:t> </w:t>
      </w:r>
      <w:r>
        <w:rPr>
          <w:spacing w:val="-75"/>
        </w:rPr>
      </w:r>
      <w:r>
        <w:rPr/>
        <w:t>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tabs>
          <w:tab w:pos="6268" w:val="left" w:leader="none"/>
        </w:tabs>
        <w:spacing w:line="240" w:lineRule="auto" w:before="0"/>
        <w:ind w:left="862" w:right="0"/>
        <w:jc w:val="left"/>
      </w:pPr>
      <w:r>
        <w:rPr/>
        <w:t>大华会计师事务所</w:t>
      </w:r>
      <w:r>
        <w:rPr>
          <w:rFonts w:ascii="宋体" w:hAnsi="宋体" w:cs="宋体" w:eastAsia="宋体" w:hint="default"/>
        </w:rPr>
        <w:t>(</w:t>
      </w:r>
      <w:r>
        <w:rPr/>
        <w:t>特殊普通合伙</w:t>
      </w:r>
      <w:r>
        <w:rPr>
          <w:rFonts w:ascii="宋体" w:hAnsi="宋体" w:cs="宋体" w:eastAsia="宋体" w:hint="default"/>
        </w:rPr>
        <w:t>)</w:t>
        <w:tab/>
      </w:r>
      <w:r>
        <w:rPr/>
        <w:t>中国注册会计师：</w:t>
      </w:r>
    </w:p>
    <w:p>
      <w:pPr>
        <w:spacing w:line="240" w:lineRule="auto" w:before="0"/>
        <w:rPr>
          <w:rFonts w:ascii="宋体" w:hAnsi="宋体" w:cs="宋体" w:eastAsia="宋体" w:hint="default"/>
          <w:sz w:val="18"/>
          <w:szCs w:val="18"/>
        </w:rPr>
      </w:pPr>
    </w:p>
    <w:p>
      <w:pPr>
        <w:pStyle w:val="BodyText"/>
        <w:tabs>
          <w:tab w:pos="8071" w:val="left" w:leader="none"/>
        </w:tabs>
        <w:spacing w:line="240" w:lineRule="auto" w:before="159"/>
        <w:ind w:left="6449" w:right="0"/>
        <w:jc w:val="left"/>
      </w:pPr>
      <w:r>
        <w:rPr/>
        <w:t>（项目合伙人）</w:t>
        <w:tab/>
        <w:t>陈勇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0"/>
        <w:ind w:left="1583" w:right="0"/>
        <w:jc w:val="left"/>
      </w:pPr>
      <w:r>
        <w:rPr/>
        <w:t>中国</w:t>
      </w:r>
      <w:r>
        <w:rPr>
          <w:rFonts w:ascii="Times New Roman" w:hAnsi="Times New Roman" w:cs="Times New Roman" w:eastAsia="Times New Roman" w:hint="default"/>
        </w:rPr>
        <w:t>•</w:t>
      </w:r>
      <w:r>
        <w:rPr/>
        <w:t>北京</w:t>
      </w:r>
    </w:p>
    <w:p>
      <w:pPr>
        <w:pStyle w:val="BodyText"/>
        <w:spacing w:line="240" w:lineRule="auto" w:before="51"/>
        <w:ind w:left="6269" w:right="0"/>
        <w:jc w:val="left"/>
      </w:pPr>
      <w:r>
        <w:rPr/>
        <w:t>中国注册会计师：</w:t>
      </w:r>
    </w:p>
    <w:p>
      <w:pPr>
        <w:spacing w:line="240" w:lineRule="auto" w:before="10"/>
        <w:rPr>
          <w:rFonts w:ascii="宋体" w:hAnsi="宋体" w:cs="宋体" w:eastAsia="宋体" w:hint="default"/>
          <w:sz w:val="26"/>
          <w:szCs w:val="26"/>
        </w:rPr>
      </w:pPr>
    </w:p>
    <w:p>
      <w:pPr>
        <w:pStyle w:val="BodyText"/>
        <w:spacing w:line="240" w:lineRule="auto"/>
        <w:ind w:left="0" w:right="2296"/>
        <w:jc w:val="right"/>
      </w:pPr>
      <w:r>
        <w:rPr/>
        <w:t>吕红涛</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2"/>
        <w:spacing w:line="240" w:lineRule="auto" w:before="26"/>
        <w:ind w:right="0"/>
        <w:jc w:val="left"/>
        <w:rPr>
          <w:b w:val="0"/>
          <w:bCs w:val="0"/>
        </w:rPr>
      </w:pPr>
      <w:bookmarkStart w:name="二、财务报表" w:id="155"/>
      <w:bookmarkEnd w:id="155"/>
      <w:r>
        <w:rPr>
          <w:b w:val="0"/>
          <w:bCs w:val="0"/>
        </w:rPr>
      </w:r>
      <w:r>
        <w:rPr/>
        <w:t>二、财务报表</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财务附注中报表的单位为：元</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50"/>
          <w:pgMar w:header="731" w:footer="981" w:top="1040" w:bottom="1180" w:left="1000" w:right="0"/>
        </w:sectPr>
      </w:pPr>
    </w:p>
    <w:p>
      <w:pPr>
        <w:pStyle w:val="BodyText"/>
        <w:spacing w:line="240" w:lineRule="auto"/>
        <w:ind w:right="-20"/>
        <w:jc w:val="left"/>
      </w:pPr>
      <w:r>
        <w:rPr/>
        <w:t>编制单位：深圳市普路通供应链管理股份有限公司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pStyle w:val="BodyText"/>
        <w:spacing w:line="240" w:lineRule="auto" w:before="0"/>
        <w:ind w:left="85" w:right="-19"/>
        <w:jc w:val="left"/>
      </w:pP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3" w:equalWidth="0">
            <w:col w:w="4102" w:space="40"/>
            <w:col w:w="1572" w:space="3223"/>
            <w:col w:w="1973"/>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4,298,653,694.02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9,049,082,286.64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4,143,927.42</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48,312,859.81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390,236.96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11,362,067.41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1,293,839,362.75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1,277,587,757.01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180,123,850.76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127,140,825.35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256,662,983.95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374,221,560.07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138,079,907.15</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98,278,635.89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243,349,075.24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47,322,713.20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51,086,109.76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27,585,773.35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39,205,810.21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6,207,001,178.30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11,221,348,351.50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136,446,676.00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100,516,018.30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148,198,007.89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3"/>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133,247,302.38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9,654,944.40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11,201,716.43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2,850,228.77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709,471.32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59,967,247.05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43,261,655.44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306,235,740.90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339,817,527.08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6,513,236,919.20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11,561,165,878.58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3,973,312,425.19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8,688,694,672.15</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998,000.00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50,354,479.87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349,310,966.19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668,015,948.05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147,018,241.58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105,063,358.30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12,843,421.23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12,368,491.93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129,484,638.89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101,818,401.75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70,318,457.04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201,296,326.22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117,613,899.31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4,663,485.08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433,240,431.70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367,447,868.06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5,121,190,066.90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10,198,859,546.33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10,096,380.48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23,056,197.65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10,096,380.48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23,056,197.65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5,131,286,447.38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10,221,915,743.98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373,318,054.00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373,318,054.00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255,030,524.77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255,030,524.77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-4,995,425.16</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-2,257,000.48</w:t>
            </w:r>
            <w:r>
              <w:rPr>
                <w:rFonts w:ascii="Times New Roman"/>
                <w:sz w:val="18"/>
              </w:rPr>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81,890,189.36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78,166,131.16</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676,610,611.21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634,936,476.35</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1,381,853,954.18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1,339,194,185.80</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96,517.64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55,948.80</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1,381,950,471.82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1,339,250,134.60</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6,513,236,919.20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11,561,165,878.58</w:t>
            </w:r>
          </w:p>
        </w:tc>
      </w:tr>
    </w:tbl>
    <w:p>
      <w:pPr>
        <w:spacing w:line="240" w:lineRule="auto" w:before="3"/>
        <w:rPr>
          <w:rFonts w:ascii="Times New Roman" w:hAnsi="Times New Roman" w:cs="Times New Roman" w:eastAsia="Times New Roman" w:hint="default"/>
          <w:sz w:val="22"/>
          <w:szCs w:val="22"/>
        </w:rPr>
      </w:pPr>
    </w:p>
    <w:p>
      <w:pPr>
        <w:pStyle w:val="BodyText"/>
        <w:tabs>
          <w:tab w:pos="3655" w:val="left" w:leader="none"/>
          <w:tab w:pos="7710" w:val="left" w:leader="none"/>
        </w:tabs>
        <w:spacing w:line="240" w:lineRule="auto"/>
        <w:ind w:right="0"/>
        <w:jc w:val="left"/>
      </w:pPr>
      <w:r>
        <w:rPr/>
        <w:t>法定代表人：陈书智</w:t>
        <w:tab/>
        <w:t>主管会计工作负责人：师帅</w:t>
        <w:tab/>
        <w:t>会计机构负责人：叶艳梅</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66"/>
        <w:gridCol w:w="3305"/>
        <w:gridCol w:w="3304"/>
      </w:tblGrid>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1,834,483,053.65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6,239,943,899.02</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4,143,927.42</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6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46,895,855.32</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11,362,067.41</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1,563,591,047.44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1,550,953,776.33</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1,417,800,671.16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779,677,778.26</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209,472,842.37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329,586,133.89</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125,242,850.17</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86,579,697.35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185,478,489.13</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84,972.78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8,710,000.00</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5,116,156,212.17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9,152,607,999.36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136,446,676.00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364,008,831.18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58,008,831.18</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133,247,302.38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8,493,110.90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9,714,920.06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2,850,228.77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709,471.32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64,361,774.70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44,440,091.58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572,961,247.93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249,319,990.14</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5,689,117,460.10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9,401,927,989.50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1,177,883,883.78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5,430,745,629.44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998,000.00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30,491,368.86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47,904,423.98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100,149,624.49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109,902,241.31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64,014,128.84</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8,061,203.35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8,284,995.83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124,990,806.35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99,805,303.94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2,499,012,586.88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2,033,561,199.61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111,420,826.10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433,240,431.70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367,447,868.06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4,401,993,577.35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8,134,500,119.07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4,401,993,577.35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8,134,500,119.07</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373,318,054.00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373,318,054.00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255,030,524.77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255,030,524.77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81,890,189.36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78,166,131.16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576,885,114.62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560,913,160.50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1,287,123,882.75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1,267,427,870.43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97" w:right="0"/>
              <w:jc w:val="left"/>
              <w:rPr>
                <w:rFonts w:ascii="Times New Roman" w:hAnsi="Times New Roman" w:cs="Times New Roman" w:eastAsia="Times New Roman" w:hint="default"/>
                <w:sz w:val="18"/>
                <w:szCs w:val="18"/>
              </w:rPr>
            </w:pPr>
            <w:r>
              <w:rPr>
                <w:rFonts w:ascii="Times New Roman"/>
                <w:sz w:val="18"/>
              </w:rPr>
              <w:t>5,689,117,460.10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97" w:right="0"/>
              <w:jc w:val="left"/>
              <w:rPr>
                <w:rFonts w:ascii="Times New Roman" w:hAnsi="Times New Roman" w:cs="Times New Roman" w:eastAsia="Times New Roman" w:hint="default"/>
                <w:sz w:val="18"/>
                <w:szCs w:val="18"/>
              </w:rPr>
            </w:pPr>
            <w:r>
              <w:rPr>
                <w:rFonts w:ascii="Times New Roman"/>
                <w:sz w:val="18"/>
              </w:rPr>
              <w:t>9,401,927,989.50</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6,512,430,900.39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5,772,278,517.70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6,512,430,900.39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5,772,278,517.70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6,393,785,274.43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5,699,515,702.40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5,911,518,087.05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5,264,328,079.18</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3,276,207.42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2,531,946.68</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295,818,834.66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194,150,484.59</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119,000,481.37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95,275,264.16</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17,320,824.16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12,655,613.62</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46,850,839.77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130,574,314.17</w:t>
            </w: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72,606,506.36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317,611,721.28</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2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57,395,111.78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306,642,025.30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3,127,388.53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23,419,193.71</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14,337,647.80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54,330,505.87</w:t>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8" w:firstLine="721"/>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5"/>
              <w:ind w:left="7" w:right="157"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spacing w:line="240" w:lineRule="auto" w:before="45"/>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3,145,927.42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-1,617,519.61</w:t>
            </w:r>
            <w:r>
              <w:rPr>
                <w:rFonts w:ascii="Times New Roman"/>
                <w:sz w:val="18"/>
              </w:rPr>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-55,574,734.61</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-25,296,714.15</w:t>
            </w:r>
            <w:r>
              <w:rPr>
                <w:rFonts w:ascii="Times New Roman"/>
                <w:sz w:val="18"/>
              </w:rPr>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2,075.98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23,000.00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83,683,931.08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123,621,281.12</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210,955.42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83,167.56</w:t>
            </w: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140,911.57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271,405.79</w:t>
            </w:r>
          </w:p>
        </w:tc>
      </w:tr>
      <w:tr>
        <w:trPr>
          <w:trHeight w:val="405"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tabs>
                <w:tab w:pos="2132" w:val="left" w:leader="none"/>
              </w:tabs>
              <w:spacing w:line="240" w:lineRule="auto" w:before="59"/>
              <w:ind w:left="-151" w:right="14"/>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83,753,974.93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123,433,042.89</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20,770,643.37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21,268,852.00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62,983,331.56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102,164,190.89</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62,983,331.56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102,164,190.89</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62,942,762.72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102,112,535.47</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40,568.84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51,655.42</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-2,738,424.68</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-5,849,062.11</w:t>
            </w:r>
            <w:r>
              <w:rPr>
                <w:rFonts w:ascii="Times New Roman"/>
                <w:sz w:val="18"/>
              </w:rPr>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-2,738,424.68</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-5,849,062.11</w:t>
            </w:r>
            <w:r>
              <w:rPr>
                <w:rFonts w:ascii="Times New Roman"/>
                <w:sz w:val="18"/>
              </w:rPr>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（一）不能重分类进损益的其他综</w:t>
            </w:r>
            <w:r>
              <w:rPr>
                <w:rFonts w:ascii="宋体" w:hAnsi="宋体" w:cs="宋体" w:eastAsia="宋体" w:hint="default"/>
                <w:sz w:val="18"/>
                <w:szCs w:val="18"/>
              </w:rPr>
              <w:t> 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（二）将重分类进损益的其他综合</w:t>
            </w:r>
            <w:r>
              <w:rPr>
                <w:rFonts w:ascii="宋体" w:hAnsi="宋体" w:cs="宋体" w:eastAsia="宋体" w:hint="default"/>
                <w:sz w:val="18"/>
                <w:szCs w:val="18"/>
              </w:rPr>
              <w:t> 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-2,738,424.68</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-5,849,062.11</w:t>
            </w:r>
            <w:r>
              <w:rPr>
                <w:rFonts w:ascii="Times New Roman"/>
                <w:sz w:val="18"/>
              </w:rPr>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03"/>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-2,738,424.68</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-5,849,062.11</w:t>
            </w:r>
            <w:r>
              <w:rPr>
                <w:rFonts w:ascii="Times New Roman"/>
                <w:sz w:val="18"/>
              </w:rPr>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60,244,906.88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96,315,128.78</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60,204,338.04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96,263,473.36</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8"/>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40,568.84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51,655.42</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0.17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0.28</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0.28</w:t>
            </w:r>
          </w:p>
        </w:tc>
      </w:tr>
    </w:tbl>
    <w:p>
      <w:pPr>
        <w:pStyle w:val="BodyText"/>
        <w:tabs>
          <w:tab w:pos="3655" w:val="left" w:leader="none"/>
          <w:tab w:pos="7710" w:val="left" w:leader="none"/>
        </w:tabs>
        <w:spacing w:line="612" w:lineRule="auto" w:before="45"/>
        <w:ind w:right="1218"/>
        <w:jc w:val="left"/>
      </w:pPr>
      <w:r>
        <w:rPr/>
        <w:t>本期发生同一控制下企业合并的，被合并方在合并前实现的净利润为：元，上期被合并方实现的净利润为：元。</w:t>
      </w:r>
      <w:r>
        <w:rPr>
          <w:spacing w:val="-82"/>
        </w:rPr>
        <w:t> </w:t>
      </w:r>
      <w:r>
        <w:rPr>
          <w:spacing w:val="-82"/>
        </w:rPr>
      </w:r>
      <w:r>
        <w:rPr/>
        <w:t>法定代表人：陈书智</w:t>
        <w:tab/>
        <w:t>主管会计工作负责人：师帅</w:t>
        <w:tab/>
        <w:t>会计机构负责人：叶艳梅</w:t>
      </w:r>
    </w:p>
    <w:p>
      <w:pPr>
        <w:pStyle w:val="Heading3"/>
        <w:spacing w:line="240" w:lineRule="auto" w:before="111"/>
        <w:ind w:right="0"/>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97"/>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6,074,994,061.95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5,563,074,986.57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5,595,781,060.92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5,161,624,872.02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14"/>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2,991,547.39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2,426,462.04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181,162,717.89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29,784,987.81</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3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79,868,071.50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57,141,289.65</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17,320,824.16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12,655,613.62</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98,193,341.45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116,200,513.67</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42,660,694.13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283,834,527.03</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5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45,872,190.38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293,710,351.07</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1,181,375.05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23,177,794.71</w:t>
            </w: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13,076,126.33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-90,128,437.35</w:t>
            </w:r>
            <w:r>
              <w:rPr>
                <w:rFonts w:ascii="Times New Roman"/>
                <w:sz w:val="18"/>
              </w:rPr>
            </w: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0" w:firstLine="721"/>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2" w:lineRule="auto" w:before="29"/>
              <w:ind w:left="15" w:right="61"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8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36"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9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3,145,927.42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16,404,486.46</w:t>
            </w: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36"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-66,219,210.66</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-18,321,003.23</w:t>
            </w:r>
            <w:r>
              <w:rPr>
                <w:rFonts w:ascii="Times New Roman"/>
                <w:sz w:val="18"/>
              </w:rPr>
            </w: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50,860,716.78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114,374,088.35</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1,341.09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1,715.05</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24,558.61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105,485.42</w:t>
            </w: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73"/>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50,837,499.26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114,270,317.98</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13,596,917.28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18,825,901.88</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37,240,581.98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95,444,416.10</w:t>
            </w: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15" w:right="6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37,240,581.98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95,444,416.10</w:t>
            </w: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5"/>
              <w:ind w:left="15" w:right="6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36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37,240,581.98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95,444,416.10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297"/>
      </w:tblGrid>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97"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990" w:right="0"/>
              <w:jc w:val="left"/>
              <w:rPr>
                <w:rFonts w:ascii="Times New Roman" w:hAnsi="Times New Roman" w:cs="Times New Roman" w:eastAsia="Times New Roman" w:hint="default"/>
                <w:sz w:val="18"/>
                <w:szCs w:val="18"/>
              </w:rPr>
            </w:pPr>
            <w:r>
              <w:rPr>
                <w:rFonts w:ascii="Times New Roman"/>
                <w:sz w:val="18"/>
              </w:rPr>
              <w:t>7,194,079,903.71</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97" w:right="0"/>
              <w:jc w:val="left"/>
              <w:rPr>
                <w:rFonts w:ascii="Times New Roman" w:hAnsi="Times New Roman" w:cs="Times New Roman" w:eastAsia="Times New Roman" w:hint="default"/>
                <w:sz w:val="18"/>
                <w:szCs w:val="18"/>
              </w:rPr>
            </w:pPr>
            <w:r>
              <w:rPr>
                <w:rFonts w:ascii="Times New Roman"/>
                <w:sz w:val="18"/>
              </w:rPr>
              <w:t>6,753,526,818.37</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72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18,349,132.48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38,225,647.76</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27,405,876,280.43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37,743,412,401.66</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34,618,305,316.62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44,535,164,867.79</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6,781,557,197.50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5,851,461,112.25</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71,644,051.63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64,092,295.42</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170,355,820.05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135,462,095.17</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6"/>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27,877,736,667.46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38,996,546,419.90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34,901,293,736.64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45,047,561,922.74</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-282,988,420.02</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-512,397,054.95</w:t>
            </w:r>
            <w:r>
              <w:rPr>
                <w:rFonts w:ascii="Times New Roman"/>
                <w:sz w:val="18"/>
              </w:rPr>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2,024,140.36</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30,225.15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30,000.00</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14,044,636.98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16,074,862.13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2,054,140.36</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372,313.89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529,351.66</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pacing w:val="-2"/>
                <w:sz w:val="18"/>
              </w:rPr>
              <w:t>11,111,112.00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21,372,313.89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11,640,463.66</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-5,297,451.76</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-9,586,323.30</w:t>
            </w:r>
            <w:r>
              <w:rPr>
                <w:rFonts w:ascii="Times New Roman"/>
                <w:sz w:val="18"/>
              </w:rPr>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5,513,126,231.89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10,137,931,430.56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221,927,217.96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425,744,495.05</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5,735,053,449.85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10,563,675,925.61</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5,316,456,806.53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10,822,571,478.07</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185,961,172.00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262,566,253.58</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43,464,625.10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189,730,619.81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31"/>
              <w:jc w:val="right"/>
              <w:rPr>
                <w:rFonts w:ascii="Times New Roman" w:hAnsi="Times New Roman" w:cs="Times New Roman" w:eastAsia="Times New Roman" w:hint="default"/>
                <w:sz w:val="18"/>
                <w:szCs w:val="18"/>
              </w:rPr>
            </w:pPr>
            <w:r>
              <w:rPr>
                <w:rFonts w:ascii="Times New Roman"/>
                <w:sz w:val="18"/>
              </w:rPr>
              <w:t>5,545,882,603.63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11,274,868,351.46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189,170,846.22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-711,192,425.85</w:t>
            </w:r>
            <w:r>
              <w:rPr>
                <w:rFonts w:ascii="Times New Roman"/>
                <w:sz w:val="18"/>
              </w:rPr>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901,063.01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-6,286,162.23</w:t>
            </w:r>
            <w:r>
              <w:rPr>
                <w:rFonts w:ascii="Times New Roman"/>
                <w:sz w:val="18"/>
              </w:rPr>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-98,213,962.55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-1,239,461,966.33</w:t>
            </w:r>
            <w:r>
              <w:rPr>
                <w:rFonts w:ascii="Times New Roman"/>
                <w:sz w:val="18"/>
              </w:rPr>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435,171,115.26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1,674,633,081.59</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336,957,152.71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435,171,115.26</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6,900,142,366.78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6,102,256,724.16</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7,645,459.57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38,225,647.76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25,896,862,085.17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35,870,259,088.77</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32,804,649,911.52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42,010,741,460.69</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6,833,846,566.97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5,807,886,459.84</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45,206,917.26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40,289,360.94</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155,213,663.69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128,068,100.90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25,758,911,008.07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35,940,253,295.12</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32,793,178,155.99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41,916,497,216.80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11,471,755.53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94,244,243.89</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2,124,364.81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2,000,000.00</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13,834.30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7,138,199.11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2,000,000.00</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241,130.87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264,767.95</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311,000,000.00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13,111,112.00</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311,241,130.87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13,375,879.95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-304,102,931.76</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-11,375,879.95</w:t>
            </w:r>
            <w:r>
              <w:rPr>
                <w:rFonts w:ascii="Times New Roman"/>
                <w:sz w:val="18"/>
              </w:rPr>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2,267,098,067.07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6,334,820,007.91</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189,242,342.46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279,089,272.84</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2,456,340,409.53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6,613,909,280.75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2,091,549,116.83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6,777,596,182.36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149,867,525.92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237,851,698.54</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8,949,094.90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178,116,117.27</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2,250,365,737.65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7,193,563,998.17</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205,974,671.88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-579,654,717.42</w:t>
            </w:r>
            <w:r>
              <w:rPr>
                <w:rFonts w:ascii="Times New Roman"/>
                <w:sz w:val="18"/>
              </w:rPr>
            </w: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-86,656,504.35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-496,786,353.48</w:t>
            </w:r>
            <w:r>
              <w:rPr>
                <w:rFonts w:ascii="Times New Roman"/>
                <w:sz w:val="18"/>
              </w:rPr>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365,914,601.15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862,700,954.63</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279,258,096.80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365,914,601.15</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t>本期金额</w:t>
      </w:r>
    </w:p>
    <w:p>
      <w:pPr>
        <w:pStyle w:val="BodyText"/>
        <w:spacing w:line="240" w:lineRule="auto" w:before="11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254"/>
        <w:gridCol w:w="481"/>
        <w:gridCol w:w="465"/>
        <w:gridCol w:w="481"/>
        <w:gridCol w:w="466"/>
        <w:gridCol w:w="585"/>
        <w:gridCol w:w="586"/>
        <w:gridCol w:w="586"/>
        <w:gridCol w:w="571"/>
        <w:gridCol w:w="585"/>
        <w:gridCol w:w="586"/>
        <w:gridCol w:w="586"/>
        <w:gridCol w:w="586"/>
        <w:gridCol w:w="586"/>
        <w:gridCol w:w="586"/>
        <w:gridCol w:w="586"/>
      </w:tblGrid>
      <w:tr>
        <w:trPr>
          <w:trHeight w:val="406" w:hRule="exact"/>
        </w:trPr>
        <w:tc>
          <w:tcPr>
            <w:tcW w:w="1254" w:type="dxa"/>
            <w:vMerge w:val="restart"/>
            <w:tcBorders>
              <w:top w:val="single" w:sz="6" w:space="0" w:color="000000"/>
              <w:left w:val="single" w:sz="6" w:space="0" w:color="000000"/>
              <w:right w:val="single" w:sz="6" w:space="0" w:color="000000"/>
            </w:tcBorders>
            <w:shd w:val="clear" w:color="auto" w:fill="D2D2D2"/>
          </w:tcPr>
          <w:p>
            <w:pPr/>
          </w:p>
        </w:tc>
        <w:tc>
          <w:tcPr>
            <w:tcW w:w="8320"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97" w:hRule="exact"/>
        </w:trPr>
        <w:tc>
          <w:tcPr>
            <w:tcW w:w="1254" w:type="dxa"/>
            <w:vMerge/>
            <w:tcBorders>
              <w:left w:val="single" w:sz="6" w:space="0" w:color="000000"/>
              <w:right w:val="single" w:sz="6" w:space="0" w:color="000000"/>
            </w:tcBorders>
            <w:shd w:val="clear" w:color="auto" w:fill="D2D2D2"/>
          </w:tcPr>
          <w:p>
            <w:pPr/>
          </w:p>
        </w:tc>
        <w:tc>
          <w:tcPr>
            <w:tcW w:w="7149"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7"/>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254" w:type="dxa"/>
            <w:vMerge/>
            <w:tcBorders>
              <w:left w:val="single" w:sz="6" w:space="0" w:color="000000"/>
              <w:right w:val="single" w:sz="6" w:space="0" w:color="000000"/>
            </w:tcBorders>
            <w:shd w:val="clear" w:color="auto" w:fill="D2D2D2"/>
          </w:tcPr>
          <w:p>
            <w:pPr/>
          </w:p>
        </w:tc>
        <w:tc>
          <w:tcPr>
            <w:tcW w:w="7149" w:type="dxa"/>
            <w:gridSpan w:val="13"/>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90" w:right="11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8" w:hRule="exact"/>
        </w:trPr>
        <w:tc>
          <w:tcPr>
            <w:tcW w:w="1254" w:type="dxa"/>
            <w:vMerge/>
            <w:tcBorders>
              <w:left w:val="single" w:sz="6" w:space="0" w:color="000000"/>
              <w:bottom w:val="nil" w:sz="6" w:space="0" w:color="auto"/>
              <w:right w:val="single" w:sz="6" w:space="0" w:color="000000"/>
            </w:tcBorders>
            <w:shd w:val="clear" w:color="auto" w:fill="D2D2D2"/>
          </w:tcPr>
          <w:p>
            <w:pPr/>
          </w:p>
        </w:tc>
        <w:tc>
          <w:tcPr>
            <w:tcW w:w="7149" w:type="dxa"/>
            <w:gridSpan w:val="13"/>
            <w:vMerge/>
            <w:tcBorders>
              <w:left w:val="single" w:sz="6" w:space="0" w:color="000000"/>
              <w:bottom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105"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86" w:type="dxa"/>
            <w:vMerge/>
            <w:tcBorders>
              <w:left w:val="single" w:sz="6" w:space="0" w:color="000000"/>
              <w:right w:val="single" w:sz="6" w:space="0" w:color="000000"/>
            </w:tcBorders>
            <w:shd w:val="clear" w:color="auto" w:fill="D2D2D2"/>
          </w:tcPr>
          <w:p>
            <w:pPr/>
          </w:p>
        </w:tc>
      </w:tr>
      <w:tr>
        <w:trPr>
          <w:trHeight w:val="203" w:hRule="exact"/>
        </w:trPr>
        <w:tc>
          <w:tcPr>
            <w:tcW w:w="125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81" w:type="dxa"/>
            <w:vMerge w:val="restart"/>
            <w:tcBorders>
              <w:top w:val="single" w:sz="6" w:space="0" w:color="000000"/>
              <w:left w:val="single" w:sz="6" w:space="0" w:color="000000"/>
              <w:right w:val="single" w:sz="6" w:space="0" w:color="000000"/>
            </w:tcBorders>
            <w:shd w:val="clear" w:color="auto" w:fill="D2D2D2"/>
          </w:tcPr>
          <w:p>
            <w:pPr/>
          </w:p>
        </w:tc>
        <w:tc>
          <w:tcPr>
            <w:tcW w:w="14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90" w:right="11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73" w:hRule="exact"/>
        </w:trPr>
        <w:tc>
          <w:tcPr>
            <w:tcW w:w="1254" w:type="dxa"/>
            <w:vMerge/>
            <w:tcBorders>
              <w:left w:val="single" w:sz="6" w:space="0" w:color="000000"/>
              <w:bottom w:val="nil" w:sz="6" w:space="0" w:color="auto"/>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1412" w:type="dxa"/>
            <w:gridSpan w:val="3"/>
            <w:vMerge/>
            <w:tcBorders>
              <w:left w:val="single" w:sz="6" w:space="0" w:color="000000"/>
              <w:bottom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89" w:right="11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90" w:right="28"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90"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4"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383" w:hRule="exact"/>
        </w:trPr>
        <w:tc>
          <w:tcPr>
            <w:tcW w:w="1254" w:type="dxa"/>
            <w:vMerge w:val="restart"/>
            <w:tcBorders>
              <w:top w:val="nil" w:sz="6" w:space="0" w:color="auto"/>
              <w:left w:val="single" w:sz="6" w:space="0" w:color="000000"/>
              <w:right w:val="single" w:sz="6" w:space="0" w:color="000000"/>
            </w:tcBorders>
            <w:shd w:val="clear" w:color="auto" w:fill="D2D2D2"/>
          </w:tcPr>
          <w:p>
            <w:pPr/>
          </w:p>
        </w:tc>
        <w:tc>
          <w:tcPr>
            <w:tcW w:w="4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75"/>
              <w:ind w:left="135" w:right="43" w:hanging="91"/>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75"/>
              <w:ind w:left="135" w:right="60"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28" w:hRule="exact"/>
        </w:trPr>
        <w:tc>
          <w:tcPr>
            <w:tcW w:w="1254"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16" w:hRule="exact"/>
        </w:trPr>
        <w:tc>
          <w:tcPr>
            <w:tcW w:w="1254"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r>
      <w:tr>
        <w:trPr>
          <w:trHeight w:val="98" w:hRule="exact"/>
        </w:trPr>
        <w:tc>
          <w:tcPr>
            <w:tcW w:w="1254"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5"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6"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73" w:hRule="exact"/>
        </w:trPr>
        <w:tc>
          <w:tcPr>
            <w:tcW w:w="1254" w:type="dxa"/>
            <w:tcBorders>
              <w:top w:val="single" w:sz="6" w:space="0" w:color="000000"/>
              <w:left w:val="single" w:sz="6" w:space="0" w:color="000000"/>
              <w:bottom w:val="nil" w:sz="6" w:space="0" w:color="auto"/>
              <w:right w:val="single" w:sz="6" w:space="0" w:color="000000"/>
            </w:tcBorders>
            <w:shd w:val="clear" w:color="auto" w:fill="D2D2D2"/>
          </w:tcPr>
          <w:p>
            <w:pPr/>
          </w:p>
        </w:tc>
        <w:tc>
          <w:tcPr>
            <w:tcW w:w="481" w:type="dxa"/>
            <w:vMerge w:val="restart"/>
            <w:tcBorders>
              <w:top w:val="single" w:sz="6" w:space="0" w:color="000000"/>
              <w:left w:val="single" w:sz="12" w:space="0" w:color="D2D2D2"/>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r>
              <w:rPr>
                <w:rFonts w:ascii="Times New Roman"/>
                <w:sz w:val="18"/>
              </w:rPr>
              <w:t>373,3</w:t>
            </w:r>
          </w:p>
          <w:p>
            <w:pPr>
              <w:pStyle w:val="TableParagraph"/>
              <w:spacing w:line="240" w:lineRule="auto" w:before="108"/>
              <w:ind w:left="37" w:right="0"/>
              <w:jc w:val="left"/>
              <w:rPr>
                <w:rFonts w:ascii="Times New Roman" w:hAnsi="Times New Roman" w:cs="Times New Roman" w:eastAsia="Times New Roman" w:hint="default"/>
                <w:sz w:val="18"/>
                <w:szCs w:val="18"/>
              </w:rPr>
            </w:pPr>
            <w:r>
              <w:rPr>
                <w:rFonts w:ascii="Times New Roman"/>
                <w:sz w:val="18"/>
              </w:rPr>
              <w:t>18,05</w:t>
            </w:r>
          </w:p>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4.00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255,03</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0,524.</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77</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-2,257,</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000.48</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78,166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,131.1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586" w:type="dxa"/>
            <w:vMerge w:val="restart"/>
            <w:tcBorders>
              <w:top w:val="single" w:sz="24" w:space="0" w:color="D2D2D2"/>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634,93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6,476.</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35</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1,339,</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194,18</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5.80</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55,948</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.80</w:t>
            </w:r>
          </w:p>
        </w:tc>
        <w:tc>
          <w:tcPr>
            <w:tcW w:w="586" w:type="dxa"/>
            <w:vMerge w:val="restart"/>
            <w:tcBorders>
              <w:top w:val="single" w:sz="42" w:space="0" w:color="D2D2D2"/>
              <w:left w:val="single" w:sz="6" w:space="0" w:color="000000"/>
              <w:right w:val="single" w:sz="6" w:space="0" w:color="000000"/>
            </w:tcBorders>
          </w:tcPr>
          <w:p>
            <w:pPr>
              <w:pStyle w:val="TableParagraph"/>
              <w:spacing w:line="240" w:lineRule="auto" w:before="56"/>
              <w:ind w:left="60" w:right="0"/>
              <w:jc w:val="center"/>
              <w:rPr>
                <w:rFonts w:ascii="Times New Roman" w:hAnsi="Times New Roman" w:cs="Times New Roman" w:eastAsia="Times New Roman" w:hint="default"/>
                <w:sz w:val="18"/>
                <w:szCs w:val="18"/>
              </w:rPr>
            </w:pPr>
            <w:r>
              <w:rPr>
                <w:rFonts w:ascii="Times New Roman"/>
                <w:sz w:val="18"/>
              </w:rPr>
              <w:t>1,339,</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250,13</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4.60</w:t>
            </w:r>
          </w:p>
        </w:tc>
      </w:tr>
      <w:tr>
        <w:trPr>
          <w:trHeight w:val="691" w:hRule="exact"/>
        </w:trPr>
        <w:tc>
          <w:tcPr>
            <w:tcW w:w="125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4"/>
              <w:ind w:left="7" w:right="2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73" w:hRule="exact"/>
        </w:trPr>
        <w:tc>
          <w:tcPr>
            <w:tcW w:w="1254" w:type="dxa"/>
            <w:tcBorders>
              <w:top w:val="nil" w:sz="6" w:space="0" w:color="auto"/>
              <w:left w:val="single" w:sz="6" w:space="0" w:color="000000"/>
              <w:bottom w:val="single" w:sz="6" w:space="0" w:color="000000"/>
              <w:right w:val="single" w:sz="6" w:space="0" w:color="000000"/>
            </w:tcBorders>
            <w:shd w:val="clear" w:color="auto" w:fill="D2D2D2"/>
          </w:tcPr>
          <w:p>
            <w:pPr/>
          </w:p>
        </w:tc>
        <w:tc>
          <w:tcPr>
            <w:tcW w:w="481"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706"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8"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48"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8"/>
              <w:jc w:val="righ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1254" w:type="dxa"/>
            <w:tcBorders>
              <w:top w:val="single" w:sz="6" w:space="0" w:color="000000"/>
              <w:left w:val="single" w:sz="6" w:space="0" w:color="000000"/>
              <w:bottom w:val="nil" w:sz="6" w:space="0" w:color="auto"/>
              <w:right w:val="single" w:sz="6" w:space="0" w:color="000000"/>
            </w:tcBorders>
            <w:shd w:val="clear" w:color="auto" w:fill="D2D2D2"/>
          </w:tcPr>
          <w:p>
            <w:pPr/>
          </w:p>
        </w:tc>
        <w:tc>
          <w:tcPr>
            <w:tcW w:w="481" w:type="dxa"/>
            <w:vMerge w:val="restart"/>
            <w:tcBorders>
              <w:top w:val="single" w:sz="6" w:space="0" w:color="000000"/>
              <w:left w:val="single" w:sz="12" w:space="0" w:color="D2D2D2"/>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r>
              <w:rPr>
                <w:rFonts w:ascii="Times New Roman"/>
                <w:sz w:val="18"/>
              </w:rPr>
              <w:t>373,3</w:t>
            </w:r>
          </w:p>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18,05</w:t>
            </w:r>
          </w:p>
          <w:p>
            <w:pPr>
              <w:pStyle w:val="TableParagraph"/>
              <w:spacing w:line="240" w:lineRule="auto" w:before="108"/>
              <w:ind w:left="127" w:right="0"/>
              <w:jc w:val="left"/>
              <w:rPr>
                <w:rFonts w:ascii="Times New Roman" w:hAnsi="Times New Roman" w:cs="Times New Roman" w:eastAsia="Times New Roman" w:hint="default"/>
                <w:sz w:val="18"/>
                <w:szCs w:val="18"/>
              </w:rPr>
            </w:pPr>
            <w:r>
              <w:rPr>
                <w:rFonts w:ascii="Times New Roman"/>
                <w:sz w:val="18"/>
              </w:rPr>
              <w:t>4.00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255,03</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0,524.</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77</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-2,257,</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000.48</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78,166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,131.1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634,93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6,476.</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35</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1,339,</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194,18</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5.80</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55,948</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.80</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1,339,</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250,13</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4.60</w:t>
            </w:r>
          </w:p>
        </w:tc>
      </w:tr>
      <w:tr>
        <w:trPr>
          <w:trHeight w:val="705" w:hRule="exact"/>
        </w:trPr>
        <w:tc>
          <w:tcPr>
            <w:tcW w:w="125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4"/>
              <w:ind w:left="7" w:right="2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73" w:hRule="exact"/>
        </w:trPr>
        <w:tc>
          <w:tcPr>
            <w:tcW w:w="1254" w:type="dxa"/>
            <w:tcBorders>
              <w:top w:val="nil" w:sz="6" w:space="0" w:color="auto"/>
              <w:left w:val="single" w:sz="6" w:space="0" w:color="000000"/>
              <w:bottom w:val="single" w:sz="6" w:space="0" w:color="000000"/>
              <w:right w:val="single" w:sz="6" w:space="0" w:color="000000"/>
            </w:tcBorders>
            <w:shd w:val="clear" w:color="auto" w:fill="D2D2D2"/>
          </w:tcPr>
          <w:p>
            <w:pPr/>
          </w:p>
        </w:tc>
        <w:tc>
          <w:tcPr>
            <w:tcW w:w="481"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1021"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30"/>
              <w:ind w:left="7" w:right="2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-2,738,</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424.68</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3,724,</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058.20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41,674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,134.8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42,659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,768.3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40,568</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42,700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,337.2</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w:t>
            </w:r>
          </w:p>
        </w:tc>
      </w:tr>
      <w:tr>
        <w:trPr>
          <w:trHeight w:val="405"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9"/>
              <w:jc w:val="right"/>
              <w:rPr>
                <w:rFonts w:ascii="宋体" w:hAnsi="宋体" w:cs="宋体" w:eastAsia="宋体" w:hint="default"/>
                <w:sz w:val="18"/>
                <w:szCs w:val="18"/>
              </w:rPr>
            </w:pPr>
            <w:r>
              <w:rPr>
                <w:rFonts w:ascii="宋体" w:hAnsi="宋体" w:cs="宋体" w:eastAsia="宋体" w:hint="default"/>
                <w:spacing w:val="-9"/>
                <w:sz w:val="18"/>
                <w:szCs w:val="18"/>
              </w:rPr>
              <w:t>（一）综合收益</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-2,738,</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62,942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60,204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40,568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60,244</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67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5" w:right="0"/>
              <w:jc w:val="left"/>
              <w:rPr>
                <w:rFonts w:ascii="Times New Roman" w:hAnsi="Times New Roman" w:cs="Times New Roman" w:eastAsia="Times New Roman" w:hint="default"/>
                <w:sz w:val="18"/>
                <w:szCs w:val="18"/>
              </w:rPr>
            </w:pPr>
            <w:r>
              <w:rPr>
                <w:rFonts w:ascii="Times New Roman"/>
                <w:sz w:val="18"/>
              </w:rPr>
              <w:t>424.68</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,762.7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,338.0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30"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sz w:val="18"/>
              </w:rPr>
              <w:t>,906.8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w:t>
            </w: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5"/>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3,724,</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058.20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-21,26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8,627.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86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-17,54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4,569.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66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-17,54</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4,569.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66</w:t>
            </w: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3,724,</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058.20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-3,724,</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058.20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88"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．对所有者（或</w:t>
            </w:r>
            <w:r>
              <w:rPr>
                <w:rFonts w:ascii="宋体" w:hAnsi="宋体" w:cs="宋体" w:eastAsia="宋体" w:hint="default"/>
                <w:sz w:val="18"/>
                <w:szCs w:val="18"/>
              </w:rPr>
              <w:t> 股东）的分配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-17,54</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4,569.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66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-17,54</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4,569.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66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-17,54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4,569.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66</w:t>
            </w: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67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36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373,3</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18,05</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4.00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255,03</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0,524.</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77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-4,995,</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425.16</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81,890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,189.3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676,61</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0,611.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21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1,381,</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853,95</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4.18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96,517</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.64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1,381,</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950,47</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1.82</w:t>
            </w:r>
          </w:p>
        </w:tc>
      </w:tr>
    </w:tbl>
    <w:p>
      <w:pPr>
        <w:pStyle w:val="BodyText"/>
        <w:spacing w:line="240" w:lineRule="auto"/>
        <w:ind w:right="0"/>
        <w:jc w:val="left"/>
      </w:pPr>
      <w:r>
        <w:rPr/>
        <w:t>上期金额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09"/>
        <w:gridCol w:w="481"/>
        <w:gridCol w:w="450"/>
        <w:gridCol w:w="451"/>
        <w:gridCol w:w="496"/>
        <w:gridCol w:w="570"/>
        <w:gridCol w:w="586"/>
        <w:gridCol w:w="571"/>
        <w:gridCol w:w="585"/>
        <w:gridCol w:w="571"/>
        <w:gridCol w:w="586"/>
        <w:gridCol w:w="586"/>
        <w:gridCol w:w="571"/>
        <w:gridCol w:w="571"/>
        <w:gridCol w:w="631"/>
        <w:gridCol w:w="661"/>
      </w:tblGrid>
      <w:tr>
        <w:trPr>
          <w:trHeight w:val="406" w:hRule="exact"/>
        </w:trPr>
        <w:tc>
          <w:tcPr>
            <w:tcW w:w="120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365"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47" w:hRule="exact"/>
        </w:trPr>
        <w:tc>
          <w:tcPr>
            <w:tcW w:w="1209" w:type="dxa"/>
            <w:vMerge/>
            <w:tcBorders>
              <w:left w:val="single" w:sz="6" w:space="0" w:color="000000"/>
              <w:right w:val="single" w:sz="6" w:space="0" w:color="000000"/>
            </w:tcBorders>
            <w:shd w:val="clear" w:color="auto" w:fill="D2D2D2"/>
          </w:tcPr>
          <w:p>
            <w:pPr/>
          </w:p>
        </w:tc>
        <w:tc>
          <w:tcPr>
            <w:tcW w:w="7074"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32"/>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31" w:type="dxa"/>
            <w:vMerge w:val="restart"/>
            <w:tcBorders>
              <w:top w:val="single" w:sz="6" w:space="0" w:color="000000"/>
              <w:left w:val="single" w:sz="6" w:space="0" w:color="000000"/>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43" w:hRule="exact"/>
        </w:trPr>
        <w:tc>
          <w:tcPr>
            <w:tcW w:w="1209" w:type="dxa"/>
            <w:vMerge/>
            <w:tcBorders>
              <w:left w:val="single" w:sz="6" w:space="0" w:color="000000"/>
              <w:right w:val="single" w:sz="6" w:space="0" w:color="000000"/>
            </w:tcBorders>
            <w:shd w:val="clear" w:color="auto" w:fill="D2D2D2"/>
          </w:tcPr>
          <w:p>
            <w:pPr/>
          </w:p>
        </w:tc>
        <w:tc>
          <w:tcPr>
            <w:tcW w:w="7074" w:type="dxa"/>
            <w:gridSpan w:val="13"/>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60"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3" w:hRule="exact"/>
        </w:trPr>
        <w:tc>
          <w:tcPr>
            <w:tcW w:w="1209" w:type="dxa"/>
            <w:vMerge/>
            <w:tcBorders>
              <w:left w:val="single" w:sz="6" w:space="0" w:color="000000"/>
              <w:right w:val="single" w:sz="6" w:space="0" w:color="000000"/>
            </w:tcBorders>
            <w:shd w:val="clear" w:color="auto" w:fill="D2D2D2"/>
          </w:tcPr>
          <w:p>
            <w:pPr/>
          </w:p>
        </w:tc>
        <w:tc>
          <w:tcPr>
            <w:tcW w:w="481" w:type="dxa"/>
            <w:vMerge w:val="restart"/>
            <w:tcBorders>
              <w:top w:val="single" w:sz="6" w:space="0" w:color="000000"/>
              <w:left w:val="single" w:sz="6" w:space="0" w:color="000000"/>
              <w:right w:val="single" w:sz="6" w:space="0" w:color="000000"/>
            </w:tcBorders>
            <w:shd w:val="clear" w:color="auto" w:fill="D2D2D2"/>
          </w:tcPr>
          <w:p>
            <w:pPr/>
          </w:p>
        </w:tc>
        <w:tc>
          <w:tcPr>
            <w:tcW w:w="139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0"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90"/>
              <w:ind w:left="90"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2"/>
              <w:ind w:left="30"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09" w:type="dxa"/>
            <w:vMerge/>
            <w:tcBorders>
              <w:left w:val="single" w:sz="6" w:space="0" w:color="000000"/>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1397" w:type="dxa"/>
            <w:gridSpan w:val="3"/>
            <w:vMerge/>
            <w:tcBorders>
              <w:left w:val="single" w:sz="6" w:space="0" w:color="000000"/>
              <w:bottom w:val="single" w:sz="6" w:space="0" w:color="000000"/>
              <w:right w:val="single" w:sz="6" w:space="0" w:color="000000"/>
            </w:tcBorders>
            <w:shd w:val="clear" w:color="auto" w:fill="D2D2D2"/>
          </w:tcPr>
          <w:p>
            <w:pP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4" w:right="8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5" w:right="13"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71"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5"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90"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76" w:hRule="exact"/>
        </w:trPr>
        <w:tc>
          <w:tcPr>
            <w:tcW w:w="1209"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3"/>
              <w:ind w:left="135" w:right="2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3"/>
              <w:ind w:left="135" w:right="28"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09" w:type="dxa"/>
            <w:vMerge/>
            <w:tcBorders>
              <w:left w:val="single" w:sz="6" w:space="0" w:color="000000"/>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single" w:sz="18" w:space="0" w:color="FFFFFF"/>
              <w:right w:val="single" w:sz="6" w:space="0" w:color="000000"/>
            </w:tcBorders>
            <w:shd w:val="clear" w:color="auto" w:fill="D2D2D2"/>
          </w:tcPr>
          <w:p>
            <w:pPr/>
          </w:p>
        </w:tc>
        <w:tc>
          <w:tcPr>
            <w:tcW w:w="631"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39" w:hRule="exact"/>
        </w:trPr>
        <w:tc>
          <w:tcPr>
            <w:tcW w:w="1209"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val="restart"/>
            <w:tcBorders>
              <w:top w:val="single" w:sz="18" w:space="0" w:color="FFFFFF"/>
              <w:left w:val="single" w:sz="6" w:space="0" w:color="000000"/>
              <w:right w:val="single" w:sz="6" w:space="0" w:color="000000"/>
            </w:tcBorders>
            <w:shd w:val="clear" w:color="auto" w:fill="D2D2D2"/>
          </w:tcPr>
          <w:p>
            <w:pPr/>
          </w:p>
        </w:tc>
        <w:tc>
          <w:tcPr>
            <w:tcW w:w="631" w:type="dxa"/>
            <w:vMerge w:val="restart"/>
            <w:tcBorders>
              <w:top w:val="single" w:sz="18" w:space="0" w:color="FFFFFF"/>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r>
      <w:tr>
        <w:trPr>
          <w:trHeight w:val="229" w:hRule="exact"/>
        </w:trPr>
        <w:tc>
          <w:tcPr>
            <w:tcW w:w="1209"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50" w:type="dxa"/>
            <w:vMerge/>
            <w:tcBorders>
              <w:left w:val="single" w:sz="6" w:space="0" w:color="000000"/>
              <w:bottom w:val="single" w:sz="6" w:space="0" w:color="000000"/>
              <w:right w:val="single" w:sz="6" w:space="0" w:color="000000"/>
            </w:tcBorders>
            <w:shd w:val="clear" w:color="auto" w:fill="D2D2D2"/>
          </w:tcPr>
          <w:p>
            <w:pPr/>
          </w:p>
        </w:tc>
        <w:tc>
          <w:tcPr>
            <w:tcW w:w="451" w:type="dxa"/>
            <w:vMerge/>
            <w:tcBorders>
              <w:left w:val="single" w:sz="6" w:space="0" w:color="000000"/>
              <w:bottom w:val="single" w:sz="6" w:space="0" w:color="000000"/>
              <w:right w:val="single" w:sz="6" w:space="0" w:color="000000"/>
            </w:tcBorders>
            <w:shd w:val="clear" w:color="auto" w:fill="D2D2D2"/>
          </w:tcPr>
          <w:p>
            <w:pPr/>
          </w:p>
        </w:tc>
        <w:tc>
          <w:tcPr>
            <w:tcW w:w="49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21"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7" w:right="104"/>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37" w:right="0"/>
              <w:jc w:val="left"/>
              <w:rPr>
                <w:rFonts w:ascii="Times New Roman" w:hAnsi="Times New Roman" w:cs="Times New Roman" w:eastAsia="Times New Roman" w:hint="default"/>
                <w:sz w:val="18"/>
                <w:szCs w:val="18"/>
              </w:rPr>
            </w:pPr>
            <w:r>
              <w:rPr>
                <w:rFonts w:ascii="Times New Roman"/>
                <w:sz w:val="18"/>
              </w:rPr>
              <w:t>376,5</w:t>
            </w:r>
          </w:p>
          <w:p>
            <w:pPr>
              <w:pStyle w:val="TableParagraph"/>
              <w:spacing w:line="240" w:lineRule="auto" w:before="108"/>
              <w:ind w:left="37" w:right="0"/>
              <w:jc w:val="left"/>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8"/>
              <w:ind w:left="127" w:right="0"/>
              <w:jc w:val="left"/>
              <w:rPr>
                <w:rFonts w:ascii="Times New Roman" w:hAnsi="Times New Roman" w:cs="Times New Roman" w:eastAsia="Times New Roman" w:hint="default"/>
                <w:sz w:val="18"/>
                <w:szCs w:val="18"/>
              </w:rPr>
            </w:pPr>
            <w:r>
              <w:rPr>
                <w:rFonts w:ascii="Times New Roman"/>
                <w:sz w:val="18"/>
              </w:rPr>
              <w:t>8.00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295,38</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4,392.</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38,054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,845.4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5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3,592,</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061.63</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68,621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,689.5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24" w:space="0" w:color="D2D2D2"/>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554,79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1,054.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1,260,</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847,96</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0.28</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1,260,8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47,960.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28</w:t>
            </w:r>
          </w:p>
        </w:tc>
      </w:tr>
      <w:tr>
        <w:trPr>
          <w:trHeight w:val="721"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0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03"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03"/>
              <w:jc w:val="righ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 w:right="104"/>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37" w:right="0"/>
              <w:jc w:val="left"/>
              <w:rPr>
                <w:rFonts w:ascii="Times New Roman" w:hAnsi="Times New Roman" w:cs="Times New Roman" w:eastAsia="Times New Roman" w:hint="default"/>
                <w:sz w:val="18"/>
                <w:szCs w:val="18"/>
              </w:rPr>
            </w:pPr>
            <w:r>
              <w:rPr>
                <w:rFonts w:ascii="Times New Roman"/>
                <w:sz w:val="18"/>
              </w:rPr>
              <w:t>376,5</w:t>
            </w:r>
          </w:p>
          <w:p>
            <w:pPr>
              <w:pStyle w:val="TableParagraph"/>
              <w:spacing w:line="240" w:lineRule="auto" w:before="108"/>
              <w:ind w:left="37" w:right="0"/>
              <w:jc w:val="left"/>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8"/>
              <w:ind w:left="127" w:right="0"/>
              <w:jc w:val="left"/>
              <w:rPr>
                <w:rFonts w:ascii="Times New Roman" w:hAnsi="Times New Roman" w:cs="Times New Roman" w:eastAsia="Times New Roman" w:hint="default"/>
                <w:sz w:val="18"/>
                <w:szCs w:val="18"/>
              </w:rPr>
            </w:pPr>
            <w:r>
              <w:rPr>
                <w:rFonts w:ascii="Times New Roman"/>
                <w:sz w:val="18"/>
              </w:rPr>
              <w:t>8.00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295,38</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4,392.</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38,054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,845.4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3,592,</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061.63</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68,621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,689.5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554,79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1,054.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1,260,</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847,96</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0.28</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1,260,8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47,960.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28</w:t>
            </w:r>
          </w:p>
        </w:tc>
      </w:tr>
      <w:tr>
        <w:trPr>
          <w:trHeight w:val="1336"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04"/>
              <w:jc w:val="left"/>
              <w:rPr>
                <w:rFonts w:ascii="宋体" w:hAnsi="宋体" w:cs="宋体" w:eastAsia="宋体" w:hint="default"/>
                <w:sz w:val="18"/>
                <w:szCs w:val="18"/>
              </w:rPr>
            </w:pPr>
            <w:r>
              <w:rPr>
                <w:rFonts w:ascii="宋体" w:hAnsi="宋体" w:cs="宋体" w:eastAsia="宋体" w:hint="default"/>
                <w:sz w:val="18"/>
                <w:szCs w:val="18"/>
              </w:rPr>
              <w:t>三、本期增减 变动金额（减</w:t>
            </w:r>
          </w:p>
          <w:p>
            <w:pPr>
              <w:pStyle w:val="TableParagraph"/>
              <w:spacing w:line="290" w:lineRule="auto" w:before="44"/>
              <w:ind w:left="7" w:right="118"/>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-3,19</w:t>
            </w:r>
          </w:p>
          <w:p>
            <w:pPr>
              <w:pStyle w:val="TableParagraph"/>
              <w:spacing w:line="240" w:lineRule="auto" w:before="108"/>
              <w:ind w:left="21" w:right="0"/>
              <w:jc w:val="center"/>
              <w:rPr>
                <w:rFonts w:ascii="Times New Roman" w:hAnsi="Times New Roman" w:cs="Times New Roman" w:eastAsia="Times New Roman" w:hint="default"/>
                <w:sz w:val="18"/>
                <w:szCs w:val="18"/>
              </w:rPr>
            </w:pPr>
            <w:r>
              <w:rPr>
                <w:rFonts w:ascii="Times New Roman"/>
                <w:sz w:val="18"/>
              </w:rPr>
              <w:t>5,554</w:t>
            </w:r>
          </w:p>
          <w:p>
            <w:pPr>
              <w:pStyle w:val="TableParagraph"/>
              <w:spacing w:line="240" w:lineRule="auto" w:before="93"/>
              <w:ind w:left="201"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-40,35</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3,867.</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38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-38,05</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4,845.</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44</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-5,849,</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062.11</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9,544,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441.61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80,145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,421.9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78,346</w:t>
            </w:r>
          </w:p>
          <w:p>
            <w:pPr>
              <w:pStyle w:val="TableParagraph"/>
              <w:spacing w:line="240" w:lineRule="auto" w:before="108"/>
              <w:ind w:right="30"/>
              <w:jc w:val="right"/>
              <w:rPr>
                <w:rFonts w:ascii="Times New Roman" w:hAnsi="Times New Roman" w:cs="Times New Roman" w:eastAsia="Times New Roman" w:hint="default"/>
                <w:sz w:val="18"/>
                <w:szCs w:val="18"/>
              </w:rPr>
            </w:pPr>
            <w:r>
              <w:rPr>
                <w:rFonts w:ascii="Times New Roman"/>
                <w:sz w:val="18"/>
              </w:rPr>
              <w:t>,225.5</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55,948.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78,402,</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174.32</w:t>
            </w:r>
          </w:p>
        </w:tc>
      </w:tr>
      <w:tr>
        <w:trPr>
          <w:trHeight w:val="1036"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104"/>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-5,849,</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062.11</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102,11</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2,535.</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47</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96,263</w:t>
            </w:r>
          </w:p>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z w:val="18"/>
              </w:rPr>
              <w:t>,473.3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51,655.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96,315,</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128.78</w:t>
            </w:r>
          </w:p>
        </w:tc>
      </w:tr>
      <w:tr>
        <w:trPr>
          <w:trHeight w:val="390"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04"/>
              <w:jc w:val="right"/>
              <w:rPr>
                <w:rFonts w:ascii="宋体" w:hAnsi="宋体" w:cs="宋体" w:eastAsia="宋体" w:hint="default"/>
                <w:sz w:val="18"/>
                <w:szCs w:val="18"/>
              </w:rPr>
            </w:pPr>
            <w:r>
              <w:rPr>
                <w:rFonts w:ascii="宋体" w:hAnsi="宋体" w:cs="宋体" w:eastAsia="宋体" w:hint="default"/>
                <w:sz w:val="18"/>
                <w:szCs w:val="18"/>
              </w:rPr>
              <w:t>（二）所有者</w:t>
            </w:r>
          </w:p>
        </w:tc>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67" w:right="0"/>
              <w:jc w:val="left"/>
              <w:rPr>
                <w:rFonts w:ascii="Times New Roman" w:hAnsi="Times New Roman" w:cs="Times New Roman" w:eastAsia="Times New Roman" w:hint="default"/>
                <w:sz w:val="18"/>
                <w:szCs w:val="18"/>
              </w:rPr>
            </w:pPr>
            <w:r>
              <w:rPr>
                <w:rFonts w:ascii="Times New Roman"/>
                <w:sz w:val="18"/>
              </w:rPr>
              <w:t>-3,19</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89" w:right="0"/>
              <w:jc w:val="left"/>
              <w:rPr>
                <w:rFonts w:ascii="Times New Roman" w:hAnsi="Times New Roman" w:cs="Times New Roman" w:eastAsia="Times New Roman" w:hint="default"/>
                <w:sz w:val="18"/>
                <w:szCs w:val="18"/>
              </w:rPr>
            </w:pPr>
            <w:r>
              <w:rPr>
                <w:rFonts w:ascii="Times New Roman"/>
                <w:sz w:val="18"/>
              </w:rPr>
              <w:t>-40,35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0" w:right="0"/>
              <w:jc w:val="left"/>
              <w:rPr>
                <w:rFonts w:ascii="Times New Roman" w:hAnsi="Times New Roman" w:cs="Times New Roman" w:eastAsia="Times New Roman" w:hint="default"/>
                <w:sz w:val="18"/>
                <w:szCs w:val="18"/>
              </w:rPr>
            </w:pPr>
            <w:r>
              <w:rPr>
                <w:rFonts w:ascii="Times New Roman"/>
                <w:sz w:val="18"/>
              </w:rPr>
              <w:t>-38,05</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5" w:right="0"/>
              <w:jc w:val="left"/>
              <w:rPr>
                <w:rFonts w:ascii="Times New Roman" w:hAnsi="Times New Roman" w:cs="Times New Roman" w:eastAsia="Times New Roman" w:hint="default"/>
                <w:sz w:val="18"/>
                <w:szCs w:val="18"/>
              </w:rPr>
            </w:pPr>
            <w:r>
              <w:rPr>
                <w:rFonts w:ascii="Times New Roman"/>
                <w:sz w:val="18"/>
              </w:rPr>
              <w:t>-5,494,</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4,293.3</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20" w:right="0"/>
              <w:jc w:val="left"/>
              <w:rPr>
                <w:rFonts w:ascii="Times New Roman" w:hAnsi="Times New Roman" w:cs="Times New Roman" w:eastAsia="Times New Roman" w:hint="default"/>
                <w:sz w:val="18"/>
                <w:szCs w:val="18"/>
              </w:rPr>
            </w:pPr>
            <w:r>
              <w:rPr>
                <w:rFonts w:ascii="Times New Roman"/>
                <w:sz w:val="18"/>
              </w:rPr>
              <w:t>-5,490,</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67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5" w:right="104"/>
              <w:jc w:val="left"/>
              <w:rPr>
                <w:rFonts w:ascii="宋体" w:hAnsi="宋体" w:cs="宋体" w:eastAsia="宋体" w:hint="default"/>
                <w:sz w:val="18"/>
                <w:szCs w:val="18"/>
              </w:rPr>
            </w:pPr>
            <w:r>
              <w:rPr>
                <w:rFonts w:ascii="宋体" w:hAnsi="宋体" w:cs="宋体" w:eastAsia="宋体" w:hint="default"/>
                <w:sz w:val="18"/>
                <w:szCs w:val="18"/>
              </w:rPr>
              <w:t>投入和减少资 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9" w:right="0"/>
              <w:jc w:val="center"/>
              <w:rPr>
                <w:rFonts w:ascii="Times New Roman" w:hAnsi="Times New Roman" w:cs="Times New Roman" w:eastAsia="Times New Roman" w:hint="default"/>
                <w:sz w:val="18"/>
                <w:szCs w:val="18"/>
              </w:rPr>
            </w:pPr>
            <w:r>
              <w:rPr>
                <w:rFonts w:ascii="Times New Roman"/>
                <w:sz w:val="18"/>
              </w:rPr>
              <w:t>5,554</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3,867.</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38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5" w:right="0"/>
              <w:jc w:val="left"/>
              <w:rPr>
                <w:rFonts w:ascii="Times New Roman" w:hAnsi="Times New Roman" w:cs="Times New Roman" w:eastAsia="Times New Roman" w:hint="default"/>
                <w:sz w:val="18"/>
                <w:szCs w:val="18"/>
              </w:rPr>
            </w:pPr>
            <w:r>
              <w:rPr>
                <w:rFonts w:ascii="Times New Roman"/>
                <w:sz w:val="18"/>
              </w:rPr>
              <w:t>4,845.</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44</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0" w:right="0"/>
              <w:jc w:val="left"/>
              <w:rPr>
                <w:rFonts w:ascii="Times New Roman" w:hAnsi="Times New Roman" w:cs="Times New Roman" w:eastAsia="Times New Roman" w:hint="default"/>
                <w:sz w:val="18"/>
                <w:szCs w:val="18"/>
              </w:rPr>
            </w:pPr>
            <w:r>
              <w:rPr>
                <w:rFonts w:ascii="Times New Roman"/>
                <w:sz w:val="18"/>
              </w:rPr>
              <w:t>575.94</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8</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35" w:right="0"/>
              <w:jc w:val="left"/>
              <w:rPr>
                <w:rFonts w:ascii="Times New Roman" w:hAnsi="Times New Roman" w:cs="Times New Roman" w:eastAsia="Times New Roman" w:hint="default"/>
                <w:sz w:val="18"/>
                <w:szCs w:val="18"/>
              </w:rPr>
            </w:pPr>
            <w:r>
              <w:rPr>
                <w:rFonts w:ascii="Times New Roman"/>
                <w:sz w:val="18"/>
              </w:rPr>
              <w:t>282.56</w:t>
            </w: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4,293.3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4,293.3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-3,19</w:t>
            </w:r>
          </w:p>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5,554</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-40,35</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3,867.</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38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-38,05</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4,845.</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44</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-5,494,</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575.94</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-5,494,</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575.94</w:t>
            </w: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9,544,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441.61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-21,96</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7,113.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-12,42</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2,671.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90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-12,422</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,671.90</w:t>
            </w: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9,544,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441.61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-9,544,</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441.61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1"/>
              <w:ind w:left="15" w:right="104"/>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-12,42</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2,671.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90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-12,42</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2,671.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90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-12,422</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,671.90</w:t>
            </w: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4"/>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373,3</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18,05</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4.00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255,03</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0,524.</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77</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-2,257,</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000.48</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78,166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,131.1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634,93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6,476.</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35</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1,339,</w:t>
            </w:r>
          </w:p>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194,18</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5.80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55,948.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1,339,2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50,134.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60</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t>本期金额</w:t>
      </w:r>
    </w:p>
    <w:p>
      <w:pPr>
        <w:pStyle w:val="BodyText"/>
        <w:spacing w:line="240" w:lineRule="auto" w:before="109"/>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92"/>
        <w:gridCol w:w="638"/>
        <w:gridCol w:w="601"/>
        <w:gridCol w:w="601"/>
        <w:gridCol w:w="615"/>
        <w:gridCol w:w="721"/>
        <w:gridCol w:w="736"/>
        <w:gridCol w:w="721"/>
        <w:gridCol w:w="736"/>
        <w:gridCol w:w="721"/>
        <w:gridCol w:w="616"/>
        <w:gridCol w:w="706"/>
        <w:gridCol w:w="871"/>
      </w:tblGrid>
      <w:tr>
        <w:trPr>
          <w:trHeight w:val="398" w:hRule="exact"/>
        </w:trPr>
        <w:tc>
          <w:tcPr>
            <w:tcW w:w="12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283"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10" w:hRule="exact"/>
        </w:trPr>
        <w:tc>
          <w:tcPr>
            <w:tcW w:w="1292" w:type="dxa"/>
            <w:vMerge/>
            <w:tcBorders>
              <w:left w:val="single" w:sz="6" w:space="0" w:color="000000"/>
              <w:right w:val="single" w:sz="6" w:space="0" w:color="000000"/>
            </w:tcBorders>
            <w:shd w:val="clear" w:color="auto" w:fill="D2D2D2"/>
          </w:tcPr>
          <w:p>
            <w:pPr/>
          </w:p>
        </w:tc>
        <w:tc>
          <w:tcPr>
            <w:tcW w:w="638" w:type="dxa"/>
            <w:tcBorders>
              <w:top w:val="single" w:sz="6" w:space="0" w:color="000000"/>
              <w:left w:val="single" w:sz="6" w:space="0" w:color="000000"/>
              <w:bottom w:val="nil" w:sz="6" w:space="0" w:color="auto"/>
              <w:right w:val="single" w:sz="6" w:space="0" w:color="000000"/>
            </w:tcBorders>
            <w:shd w:val="clear" w:color="auto" w:fill="D2D2D2"/>
          </w:tcPr>
          <w:p>
            <w:pPr/>
          </w:p>
        </w:tc>
        <w:tc>
          <w:tcPr>
            <w:tcW w:w="181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3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5" w:right="9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15" w:hanging="241"/>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75" w:right="9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4" w:right="8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44"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65" w:right="5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92" w:type="dxa"/>
            <w:vMerge/>
            <w:tcBorders>
              <w:left w:val="single" w:sz="6" w:space="0" w:color="000000"/>
              <w:right w:val="single" w:sz="6" w:space="0" w:color="000000"/>
            </w:tcBorders>
            <w:shd w:val="clear" w:color="auto" w:fill="D2D2D2"/>
          </w:tcPr>
          <w:p>
            <w:pPr/>
          </w:p>
        </w:tc>
        <w:tc>
          <w:tcPr>
            <w:tcW w:w="63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7" w:type="dxa"/>
            <w:gridSpan w:val="3"/>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6" w:space="0" w:color="000000"/>
              <w:right w:val="single" w:sz="6" w:space="0" w:color="000000"/>
            </w:tcBorders>
            <w:shd w:val="clear" w:color="auto" w:fill="D2D2D2"/>
          </w:tcPr>
          <w:p>
            <w:pPr/>
          </w:p>
        </w:tc>
      </w:tr>
      <w:tr>
        <w:trPr>
          <w:trHeight w:val="203" w:hRule="exact"/>
        </w:trPr>
        <w:tc>
          <w:tcPr>
            <w:tcW w:w="1292" w:type="dxa"/>
            <w:vMerge/>
            <w:tcBorders>
              <w:left w:val="single" w:sz="6" w:space="0" w:color="000000"/>
              <w:right w:val="single" w:sz="6" w:space="0" w:color="000000"/>
            </w:tcBorders>
            <w:shd w:val="clear" w:color="auto" w:fill="D2D2D2"/>
          </w:tcPr>
          <w:p>
            <w:pPr/>
          </w:p>
        </w:tc>
        <w:tc>
          <w:tcPr>
            <w:tcW w:w="638" w:type="dxa"/>
            <w:vMerge/>
            <w:tcBorders>
              <w:left w:val="single" w:sz="6" w:space="0" w:color="000000"/>
              <w:bottom w:val="nil" w:sz="6" w:space="0" w:color="auto"/>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bottom w:val="nil" w:sz="6" w:space="0" w:color="auto"/>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r>
      <w:tr>
        <w:trPr>
          <w:trHeight w:val="203" w:hRule="exact"/>
        </w:trPr>
        <w:tc>
          <w:tcPr>
            <w:tcW w:w="1292" w:type="dxa"/>
            <w:vMerge/>
            <w:tcBorders>
              <w:left w:val="single" w:sz="6" w:space="0" w:color="000000"/>
              <w:bottom w:val="single" w:sz="6" w:space="0" w:color="000000"/>
              <w:right w:val="single" w:sz="6" w:space="0" w:color="000000"/>
            </w:tcBorders>
            <w:shd w:val="clear" w:color="auto" w:fill="D2D2D2"/>
          </w:tcPr>
          <w:p>
            <w:pPr/>
          </w:p>
        </w:tc>
        <w:tc>
          <w:tcPr>
            <w:tcW w:w="638" w:type="dxa"/>
            <w:tcBorders>
              <w:top w:val="nil" w:sz="6" w:space="0" w:color="auto"/>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15"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616"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1"/>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373,31</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8,054.0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255,030,</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524.77</w:t>
            </w: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78,166,1</w:t>
            </w:r>
          </w:p>
          <w:p>
            <w:pPr>
              <w:pStyle w:val="TableParagraph"/>
              <w:spacing w:line="240" w:lineRule="auto" w:before="108"/>
              <w:ind w:left="284" w:right="0"/>
              <w:jc w:val="left"/>
              <w:rPr>
                <w:rFonts w:ascii="Times New Roman" w:hAnsi="Times New Roman" w:cs="Times New Roman" w:eastAsia="Times New Roman" w:hint="default"/>
                <w:sz w:val="18"/>
                <w:szCs w:val="18"/>
              </w:rPr>
            </w:pPr>
            <w:r>
              <w:rPr>
                <w:rFonts w:ascii="Times New Roman"/>
                <w:sz w:val="18"/>
              </w:rPr>
              <w:t>31.16</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560,91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3,160.5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1,267,427,</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870.43</w:t>
            </w:r>
          </w:p>
        </w:tc>
      </w:tr>
      <w:tr>
        <w:trPr>
          <w:trHeight w:val="70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21" w:firstLine="360"/>
              <w:jc w:val="left"/>
              <w:rPr>
                <w:rFonts w:ascii="宋体" w:hAnsi="宋体" w:cs="宋体" w:eastAsia="宋体" w:hint="default"/>
                <w:sz w:val="18"/>
                <w:szCs w:val="18"/>
              </w:rPr>
            </w:pPr>
            <w:r>
              <w:rPr>
                <w:rFonts w:ascii="宋体" w:hAnsi="宋体" w:cs="宋体" w:eastAsia="宋体" w:hint="default"/>
                <w:spacing w:val="-3"/>
                <w:sz w:val="18"/>
                <w:szCs w:val="18"/>
              </w:rPr>
              <w:t>加：会计政</w:t>
            </w:r>
            <w:r>
              <w:rPr>
                <w:rFonts w:ascii="宋体" w:hAnsi="宋体" w:cs="宋体" w:eastAsia="宋体" w:hint="default"/>
                <w:sz w:val="18"/>
                <w:szCs w:val="18"/>
              </w:rPr>
              <w:t> 策变更</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7" w:right="21"/>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373,31</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8,054.0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255,030,</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524.77</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78,166,1</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31.16</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560,91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3,160.5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1,267,427,</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870.43</w:t>
            </w:r>
          </w:p>
        </w:tc>
      </w:tr>
      <w:tr>
        <w:trPr>
          <w:trHeight w:val="10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21"/>
              <w:jc w:val="both"/>
              <w:rPr>
                <w:rFonts w:ascii="宋体" w:hAnsi="宋体" w:cs="宋体" w:eastAsia="宋体" w:hint="default"/>
                <w:sz w:val="18"/>
                <w:szCs w:val="18"/>
              </w:rPr>
            </w:pPr>
            <w:r>
              <w:rPr>
                <w:rFonts w:ascii="宋体" w:hAnsi="宋体" w:cs="宋体" w:eastAsia="宋体" w:hint="default"/>
                <w:spacing w:val="-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3,724,05</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8.20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15,971,</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954.12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19,696,01</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2.32</w:t>
            </w:r>
          </w:p>
        </w:tc>
      </w:tr>
      <w:tr>
        <w:trPr>
          <w:trHeight w:val="7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21"/>
              <w:jc w:val="left"/>
              <w:rPr>
                <w:rFonts w:ascii="宋体" w:hAnsi="宋体" w:cs="宋体" w:eastAsia="宋体" w:hint="default"/>
                <w:sz w:val="18"/>
                <w:szCs w:val="18"/>
              </w:rPr>
            </w:pPr>
            <w:r>
              <w:rPr>
                <w:rFonts w:ascii="宋体" w:hAnsi="宋体" w:cs="宋体" w:eastAsia="宋体" w:hint="default"/>
                <w:spacing w:val="-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37,240,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581.98</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37,240,58</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1.98</w:t>
            </w:r>
          </w:p>
        </w:tc>
      </w:tr>
      <w:tr>
        <w:trPr>
          <w:trHeight w:val="720"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21"/>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10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3,724,05</w:t>
            </w:r>
          </w:p>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8.20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-21,268</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,627.86</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-17,544,56</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9.66</w:t>
            </w: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3,724,05</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8.20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-3,724,</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058.20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14"/>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-17,544</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,569.66</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-17,544,56</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9.66</w:t>
            </w: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373,31</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8,054.0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255,030,</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524.77</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81,890,1</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89.36</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576,88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5,114.6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1,287,123,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882.75</w:t>
            </w:r>
          </w:p>
        </w:tc>
      </w:tr>
    </w:tbl>
    <w:p>
      <w:pPr>
        <w:pStyle w:val="BodyText"/>
        <w:spacing w:line="240" w:lineRule="auto"/>
        <w:ind w:right="0"/>
        <w:jc w:val="left"/>
      </w:pPr>
      <w:r>
        <w:rPr/>
        <w:t>上期金额</w:t>
      </w:r>
    </w:p>
    <w:p>
      <w:pPr>
        <w:pStyle w:val="BodyText"/>
        <w:spacing w:line="240" w:lineRule="auto" w:before="11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32"/>
        <w:gridCol w:w="8350"/>
      </w:tblGrid>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83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1217"/>
        <w:gridCol w:w="608"/>
        <w:gridCol w:w="571"/>
        <w:gridCol w:w="570"/>
        <w:gridCol w:w="571"/>
        <w:gridCol w:w="691"/>
        <w:gridCol w:w="676"/>
        <w:gridCol w:w="691"/>
        <w:gridCol w:w="781"/>
        <w:gridCol w:w="675"/>
        <w:gridCol w:w="796"/>
        <w:gridCol w:w="796"/>
        <w:gridCol w:w="931"/>
      </w:tblGrid>
      <w:tr>
        <w:trPr>
          <w:trHeight w:val="203" w:hRule="exact"/>
        </w:trPr>
        <w:tc>
          <w:tcPr>
            <w:tcW w:w="1217" w:type="dxa"/>
            <w:vMerge w:val="restart"/>
            <w:tcBorders>
              <w:top w:val="single" w:sz="6" w:space="0" w:color="000000"/>
              <w:left w:val="single" w:sz="6" w:space="0" w:color="000000"/>
              <w:right w:val="single" w:sz="6" w:space="0" w:color="000000"/>
            </w:tcBorders>
            <w:shd w:val="clear" w:color="auto" w:fill="D2D2D2"/>
          </w:tcPr>
          <w:p>
            <w:pPr/>
          </w:p>
        </w:tc>
        <w:tc>
          <w:tcPr>
            <w:tcW w:w="608" w:type="dxa"/>
            <w:vMerge w:val="restart"/>
            <w:tcBorders>
              <w:top w:val="single" w:sz="6" w:space="0" w:color="000000"/>
              <w:left w:val="single" w:sz="6" w:space="0" w:color="000000"/>
              <w:right w:val="single" w:sz="6" w:space="0" w:color="000000"/>
            </w:tcBorders>
            <w:shd w:val="clear" w:color="auto" w:fill="D2D2D2"/>
          </w:tcPr>
          <w:p>
            <w:pPr/>
          </w:p>
        </w:tc>
        <w:tc>
          <w:tcPr>
            <w:tcW w:w="17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
        </w:tc>
        <w:tc>
          <w:tcPr>
            <w:tcW w:w="675"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21" w:lineRule="auto"/>
              <w:ind w:left="180" w:right="10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76" w:hRule="exact"/>
        </w:trPr>
        <w:tc>
          <w:tcPr>
            <w:tcW w:w="1217" w:type="dxa"/>
            <w:vMerge/>
            <w:tcBorders>
              <w:left w:val="single" w:sz="6" w:space="0" w:color="000000"/>
              <w:right w:val="single" w:sz="6" w:space="0" w:color="000000"/>
            </w:tcBorders>
            <w:shd w:val="clear" w:color="auto" w:fill="D2D2D2"/>
          </w:tcPr>
          <w:p>
            <w:pPr/>
          </w:p>
        </w:tc>
        <w:tc>
          <w:tcPr>
            <w:tcW w:w="608" w:type="dxa"/>
            <w:vMerge/>
            <w:tcBorders>
              <w:left w:val="single" w:sz="6" w:space="0" w:color="000000"/>
              <w:bottom w:val="nil" w:sz="6" w:space="0" w:color="auto"/>
              <w:right w:val="single" w:sz="6" w:space="0" w:color="000000"/>
            </w:tcBorders>
            <w:shd w:val="clear" w:color="auto" w:fill="D2D2D2"/>
          </w:tcPr>
          <w:p>
            <w:pPr/>
          </w:p>
        </w:tc>
        <w:tc>
          <w:tcPr>
            <w:tcW w:w="1712" w:type="dxa"/>
            <w:gridSpan w:val="3"/>
            <w:vMerge/>
            <w:tcBorders>
              <w:left w:val="single" w:sz="6" w:space="0" w:color="000000"/>
              <w:bottom w:val="single" w:sz="6" w:space="0" w:color="000000"/>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255" w:right="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240" w:right="15"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75" w:right="6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tcBorders>
              <w:left w:val="single" w:sz="6" w:space="0" w:color="000000"/>
              <w:bottom w:val="nil" w:sz="6" w:space="0" w:color="auto"/>
              <w:right w:val="single" w:sz="6" w:space="0" w:color="000000"/>
            </w:tcBorders>
            <w:shd w:val="clear" w:color="auto" w:fill="D2D2D2"/>
          </w:tcPr>
          <w:p>
            <w:pPr/>
          </w:p>
        </w:tc>
        <w:tc>
          <w:tcPr>
            <w:tcW w:w="67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240"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285" w:right="4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379" w:hRule="exact"/>
        </w:trPr>
        <w:tc>
          <w:tcPr>
            <w:tcW w:w="1217" w:type="dxa"/>
            <w:vMerge/>
            <w:tcBorders>
              <w:left w:val="single" w:sz="6" w:space="0" w:color="000000"/>
              <w:right w:val="single" w:sz="6" w:space="0" w:color="000000"/>
            </w:tcBorders>
            <w:shd w:val="clear" w:color="auto" w:fill="D2D2D2"/>
          </w:tcPr>
          <w:p>
            <w:pPr/>
          </w:p>
        </w:tc>
        <w:tc>
          <w:tcPr>
            <w:tcW w:w="60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9"/>
              <w:ind w:left="12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6"/>
              <w:ind w:left="180" w:right="10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6"/>
              <w:ind w:left="180" w:right="10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91" w:type="dxa"/>
            <w:vMerge/>
            <w:tcBorders>
              <w:left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75"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0" w:hRule="exact"/>
        </w:trPr>
        <w:tc>
          <w:tcPr>
            <w:tcW w:w="1217" w:type="dxa"/>
            <w:vMerge/>
            <w:tcBorders>
              <w:left w:val="single" w:sz="6" w:space="0" w:color="000000"/>
              <w:right w:val="single" w:sz="6" w:space="0" w:color="000000"/>
            </w:tcBorders>
            <w:shd w:val="clear" w:color="auto" w:fill="D2D2D2"/>
          </w:tcPr>
          <w:p>
            <w:pPr/>
          </w:p>
        </w:tc>
        <w:tc>
          <w:tcPr>
            <w:tcW w:w="608" w:type="dxa"/>
            <w:vMerge w:val="restart"/>
            <w:tcBorders>
              <w:top w:val="nil" w:sz="6" w:space="0" w:color="auto"/>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
        </w:tc>
        <w:tc>
          <w:tcPr>
            <w:tcW w:w="675"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203" w:hRule="exact"/>
        </w:trPr>
        <w:tc>
          <w:tcPr>
            <w:tcW w:w="1217" w:type="dxa"/>
            <w:vMerge/>
            <w:tcBorders>
              <w:left w:val="single" w:sz="6" w:space="0" w:color="000000"/>
              <w:bottom w:val="single" w:sz="6" w:space="0" w:color="000000"/>
              <w:right w:val="single" w:sz="6" w:space="0" w:color="000000"/>
            </w:tcBorders>
            <w:shd w:val="clear" w:color="auto" w:fill="D2D2D2"/>
          </w:tcPr>
          <w:p>
            <w:pPr/>
          </w:p>
        </w:tc>
        <w:tc>
          <w:tcPr>
            <w:tcW w:w="608"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675"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7" w:right="23"/>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z w:val="18"/>
                <w:szCs w:val="18"/>
              </w:rPr>
              <w:t> 额</w:t>
            </w:r>
          </w:p>
        </w:tc>
        <w:tc>
          <w:tcPr>
            <w:tcW w:w="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3,608.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295,384</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,392.15</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38,054,8</w:t>
            </w:r>
          </w:p>
          <w:p>
            <w:pPr>
              <w:pStyle w:val="TableParagraph"/>
              <w:spacing w:line="240" w:lineRule="auto" w:before="108"/>
              <w:ind w:left="240" w:right="0"/>
              <w:jc w:val="left"/>
              <w:rPr>
                <w:rFonts w:ascii="Times New Roman" w:hAnsi="Times New Roman" w:cs="Times New Roman" w:eastAsia="Times New Roman" w:hint="default"/>
                <w:sz w:val="18"/>
                <w:szCs w:val="18"/>
              </w:rPr>
            </w:pPr>
            <w:r>
              <w:rPr>
                <w:rFonts w:ascii="Times New Roman"/>
                <w:sz w:val="18"/>
              </w:rPr>
              <w:t>45.44</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68,621,</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689.55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487,435,8</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57.91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1,189,900,7</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02.17</w:t>
            </w: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21"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7" w:right="23"/>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z w:val="18"/>
                <w:szCs w:val="18"/>
              </w:rPr>
              <w:t> 额</w:t>
            </w:r>
          </w:p>
        </w:tc>
        <w:tc>
          <w:tcPr>
            <w:tcW w:w="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376,51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3,608.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295,384</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,392.15</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38,054,8</w:t>
            </w:r>
          </w:p>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45.44</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68,621,</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689.55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487,435,8</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57.91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1,189,900,7</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02.17</w:t>
            </w: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23"/>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z w:val="18"/>
                <w:szCs w:val="18"/>
              </w:rPr>
              <w:t> </w:t>
            </w:r>
            <w:r>
              <w:rPr>
                <w:rFonts w:ascii="宋体" w:hAnsi="宋体" w:cs="宋体" w:eastAsia="宋体" w:hint="default"/>
                <w:spacing w:val="-13"/>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-3,195,</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554.00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-40,353,</w:t>
            </w:r>
          </w:p>
          <w:p>
            <w:pPr>
              <w:pStyle w:val="TableParagraph"/>
              <w:spacing w:line="240" w:lineRule="auto" w:before="108"/>
              <w:ind w:left="149" w:right="0"/>
              <w:jc w:val="center"/>
              <w:rPr>
                <w:rFonts w:ascii="Times New Roman" w:hAnsi="Times New Roman" w:cs="Times New Roman" w:eastAsia="Times New Roman" w:hint="default"/>
                <w:sz w:val="18"/>
                <w:szCs w:val="18"/>
              </w:rPr>
            </w:pPr>
            <w:r>
              <w:rPr>
                <w:rFonts w:ascii="Times New Roman"/>
                <w:sz w:val="18"/>
              </w:rPr>
              <w:t>867.38</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-38,054,</w:t>
            </w:r>
          </w:p>
          <w:p>
            <w:pPr>
              <w:pStyle w:val="TableParagraph"/>
              <w:spacing w:line="240" w:lineRule="auto" w:before="108"/>
              <w:ind w:left="134" w:right="0"/>
              <w:jc w:val="center"/>
              <w:rPr>
                <w:rFonts w:ascii="Times New Roman" w:hAnsi="Times New Roman" w:cs="Times New Roman" w:eastAsia="Times New Roman" w:hint="default"/>
                <w:sz w:val="18"/>
                <w:szCs w:val="18"/>
              </w:rPr>
            </w:pPr>
            <w:r>
              <w:rPr>
                <w:rFonts w:ascii="Times New Roman"/>
                <w:sz w:val="18"/>
              </w:rPr>
              <w:t>845.44</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9,544,4</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41.61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73,477,30</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2.59</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77,527,168.</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26</w:t>
            </w: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23"/>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z w:val="18"/>
                <w:szCs w:val="18"/>
              </w:rPr>
              <w:t> 总额</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95,444,41</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6.10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95,444,416.</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10</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3"/>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z w:val="18"/>
                <w:szCs w:val="18"/>
              </w:rPr>
              <w:t> 入和减少资本</w:t>
            </w:r>
          </w:p>
        </w:tc>
        <w:tc>
          <w:tcPr>
            <w:tcW w:w="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-3,195,</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554.00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-40,353,</w:t>
            </w:r>
          </w:p>
          <w:p>
            <w:pPr>
              <w:pStyle w:val="TableParagraph"/>
              <w:spacing w:line="240" w:lineRule="auto" w:before="93"/>
              <w:ind w:left="149" w:right="0"/>
              <w:jc w:val="center"/>
              <w:rPr>
                <w:rFonts w:ascii="Times New Roman" w:hAnsi="Times New Roman" w:cs="Times New Roman" w:eastAsia="Times New Roman" w:hint="default"/>
                <w:sz w:val="18"/>
                <w:szCs w:val="18"/>
              </w:rPr>
            </w:pPr>
            <w:r>
              <w:rPr>
                <w:rFonts w:ascii="Times New Roman"/>
                <w:sz w:val="18"/>
              </w:rPr>
              <w:t>867.38</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-38,054,</w:t>
            </w:r>
          </w:p>
          <w:p>
            <w:pPr>
              <w:pStyle w:val="TableParagraph"/>
              <w:spacing w:line="240" w:lineRule="auto" w:before="93"/>
              <w:ind w:left="134" w:right="0"/>
              <w:jc w:val="center"/>
              <w:rPr>
                <w:rFonts w:ascii="Times New Roman" w:hAnsi="Times New Roman" w:cs="Times New Roman" w:eastAsia="Times New Roman" w:hint="default"/>
                <w:sz w:val="18"/>
                <w:szCs w:val="18"/>
              </w:rPr>
            </w:pPr>
            <w:r>
              <w:rPr>
                <w:rFonts w:ascii="Times New Roman"/>
                <w:sz w:val="18"/>
              </w:rPr>
              <w:t>845.44</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-5,494,575.</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94</w:t>
            </w: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7"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7"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-3,195,</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554.00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-40,353,</w:t>
            </w:r>
          </w:p>
          <w:p>
            <w:pPr>
              <w:pStyle w:val="TableParagraph"/>
              <w:spacing w:line="240" w:lineRule="auto" w:before="93"/>
              <w:ind w:left="149" w:right="0"/>
              <w:jc w:val="center"/>
              <w:rPr>
                <w:rFonts w:ascii="Times New Roman" w:hAnsi="Times New Roman" w:cs="Times New Roman" w:eastAsia="Times New Roman" w:hint="default"/>
                <w:sz w:val="18"/>
                <w:szCs w:val="18"/>
              </w:rPr>
            </w:pPr>
            <w:r>
              <w:rPr>
                <w:rFonts w:ascii="Times New Roman"/>
                <w:sz w:val="18"/>
              </w:rPr>
              <w:t>867.38</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-38,054,</w:t>
            </w:r>
          </w:p>
          <w:p>
            <w:pPr>
              <w:pStyle w:val="TableParagraph"/>
              <w:spacing w:line="240" w:lineRule="auto" w:before="93"/>
              <w:ind w:left="134" w:right="0"/>
              <w:jc w:val="center"/>
              <w:rPr>
                <w:rFonts w:ascii="Times New Roman" w:hAnsi="Times New Roman" w:cs="Times New Roman" w:eastAsia="Times New Roman" w:hint="default"/>
                <w:sz w:val="18"/>
                <w:szCs w:val="18"/>
              </w:rPr>
            </w:pPr>
            <w:r>
              <w:rPr>
                <w:rFonts w:ascii="Times New Roman"/>
                <w:sz w:val="18"/>
              </w:rPr>
              <w:t>845.44</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-5,494,575.</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94</w:t>
            </w: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利润分配</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9,544,4</w:t>
            </w:r>
          </w:p>
          <w:p>
            <w:pPr>
              <w:pStyle w:val="TableParagraph"/>
              <w:spacing w:line="240" w:lineRule="auto" w:before="93"/>
              <w:ind w:left="224" w:right="0"/>
              <w:jc w:val="center"/>
              <w:rPr>
                <w:rFonts w:ascii="Times New Roman" w:hAnsi="Times New Roman" w:cs="Times New Roman" w:eastAsia="Times New Roman" w:hint="default"/>
                <w:sz w:val="18"/>
                <w:szCs w:val="18"/>
              </w:rPr>
            </w:pPr>
            <w:r>
              <w:rPr>
                <w:rFonts w:ascii="Times New Roman"/>
                <w:sz w:val="18"/>
              </w:rPr>
              <w:t>41.61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-21,967,1</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13.51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-12,422,671</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.90</w:t>
            </w: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9,544,4</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41.61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-9,544,44</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1.61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3"/>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-12,422,6</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71.90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-12,422,671</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.90</w:t>
            </w: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23"/>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z w:val="18"/>
                <w:szCs w:val="18"/>
              </w:rPr>
              <w:t> 益内部结转</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10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专项储备</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373,31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8,054.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255,030</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,524.77</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78,166,</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131.16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560,913,1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60.50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1,267,427,8</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70.43</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4"/>
      <w:bookmarkEnd w:id="164"/>
      <w:r>
        <w:rPr>
          <w:b w:val="0"/>
          <w:bCs w:val="0"/>
        </w:rPr>
      </w:r>
      <w:r>
        <w:rPr/>
        <w:t>三、公司基本情况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公司注册地、组织形式和总部地址</w:t>
      </w:r>
    </w:p>
    <w:p>
      <w:pPr>
        <w:pStyle w:val="BodyText"/>
        <w:spacing w:line="300" w:lineRule="auto" w:before="66"/>
        <w:ind w:right="0"/>
        <w:jc w:val="left"/>
      </w:pPr>
      <w:r>
        <w:rPr>
          <w:spacing w:val="-1"/>
        </w:rPr>
        <w:t>深圳市普路通供应链管理股份有限公司（以下简称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）前身为深圳市普路通供应链管理有限公司。</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3"/>
        </w:rPr>
        <w:t> </w:t>
      </w:r>
      <w:r>
        <w:rPr>
          <w:spacing w:val="-2"/>
        </w:rPr>
        <w:t>月</w:t>
      </w:r>
      <w:r>
        <w:rPr>
          <w:rFonts w:ascii="Times New Roman" w:hAnsi="Times New Roman" w:cs="Times New Roman" w:eastAsia="Times New Roman" w:hint="default"/>
          <w:spacing w:val="-2"/>
        </w:rPr>
        <w:t>22</w:t>
      </w:r>
      <w:r>
        <w:rPr>
          <w:spacing w:val="-2"/>
        </w:rPr>
        <w:t>日，深圳市普路通供应链管理有限公司依法整体变更为深圳市普路通供应链管理股份有限公司，并于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日深</w:t>
      </w:r>
      <w:r>
        <w:rPr>
          <w:spacing w:val="-53"/>
        </w:rPr>
        <w:t> </w:t>
      </w:r>
      <w:r>
        <w:rPr/>
        <w:t>圳市工商行政管理局办理了公司设立登记。公司于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日在深圳证券交易所上市，现持有统一社会信用代码为</w:t>
      </w:r>
      <w:r>
        <w:rPr>
          <w:spacing w:val="-85"/>
        </w:rPr>
        <w:t> </w:t>
      </w:r>
      <w:r>
        <w:rPr>
          <w:rFonts w:ascii="Times New Roman" w:hAnsi="Times New Roman" w:cs="Times New Roman" w:eastAsia="Times New Roman" w:hint="default"/>
        </w:rPr>
        <w:t>91440300783905518J</w:t>
      </w:r>
      <w:r>
        <w:rPr/>
        <w:t>的营业执照。</w:t>
      </w:r>
    </w:p>
    <w:p>
      <w:pPr>
        <w:pStyle w:val="BodyText"/>
        <w:spacing w:line="300" w:lineRule="auto" w:before="16"/>
        <w:ind w:right="1029"/>
        <w:jc w:val="left"/>
      </w:pPr>
      <w:r>
        <w:rPr/>
        <w:t>经过历年的派送红股、配售新股、转增股本及增发新股，截止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37,331.8054</w:t>
      </w:r>
      <w:r>
        <w:rPr/>
        <w:t>万股，</w:t>
      </w:r>
      <w:r>
        <w:rPr>
          <w:spacing w:val="-80"/>
        </w:rPr>
        <w:t> </w:t>
      </w:r>
      <w:r>
        <w:rPr/>
        <w:t>注册资本为</w:t>
      </w:r>
      <w:r>
        <w:rPr>
          <w:rFonts w:ascii="Times New Roman" w:hAnsi="Times New Roman" w:cs="Times New Roman" w:eastAsia="Times New Roman" w:hint="default"/>
        </w:rPr>
        <w:t>37,331.8054</w:t>
      </w:r>
      <w:r>
        <w:rPr/>
        <w:t>万元，注册地址：深圳市福田区深南大道</w:t>
      </w:r>
      <w:r>
        <w:rPr>
          <w:rFonts w:ascii="Times New Roman" w:hAnsi="Times New Roman" w:cs="Times New Roman" w:eastAsia="Times New Roman" w:hint="default"/>
        </w:rPr>
        <w:t>1006</w:t>
      </w:r>
      <w:r>
        <w:rPr/>
        <w:t>号深圳国际创新中心</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21</w:t>
      </w:r>
      <w:r>
        <w:rPr/>
        <w:t>楼，总部地址：深圳市福田 区深南大道</w:t>
      </w:r>
      <w:r>
        <w:rPr>
          <w:rFonts w:ascii="Times New Roman" w:hAnsi="Times New Roman" w:cs="Times New Roman" w:eastAsia="Times New Roman" w:hint="default"/>
        </w:rPr>
        <w:t>1006</w:t>
      </w:r>
      <w:r>
        <w:rPr/>
        <w:t>号深圳国际创新中心</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21</w:t>
      </w:r>
      <w:r>
        <w:rPr/>
        <w:t>楼，母公司为广东省绿色金融投资控股集团有限公司，本公司最终实际控制人为 广州市人民政府。</w:t>
      </w:r>
    </w:p>
    <w:p>
      <w:pPr>
        <w:pStyle w:val="BodyText"/>
        <w:spacing w:line="312" w:lineRule="auto" w:before="34"/>
        <w:ind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公司业务性质和主要经营活动</w:t>
      </w:r>
      <w:r>
        <w:rPr>
          <w:w w:val="99"/>
        </w:rPr>
        <w:t> </w:t>
      </w:r>
      <w:r>
        <w:rPr>
          <w:spacing w:val="-2"/>
        </w:rPr>
        <w:t>本公司属供应链行业，主要产品和服务为：供应链的管理；国际、国内货运代理服务；兴办实业（具体项目另行申报）；信</w:t>
      </w:r>
      <w:r>
        <w:rPr>
          <w:spacing w:val="-75"/>
        </w:rPr>
        <w:t> </w:t>
      </w:r>
      <w:r>
        <w:rPr>
          <w:spacing w:val="-75"/>
        </w:rPr>
      </w:r>
      <w:r>
        <w:rPr>
          <w:spacing w:val="-2"/>
        </w:rPr>
        <w:t>息咨询（不含人才信息咨询，不含法律、行政法规、国务院规定禁止及决定需前置审批的项目）；国内贸易（不含专营、专</w:t>
      </w:r>
      <w:r>
        <w:rPr>
          <w:spacing w:val="-75"/>
        </w:rPr>
        <w:t> </w:t>
      </w:r>
      <w:r>
        <w:rPr>
          <w:spacing w:val="-75"/>
        </w:rPr>
      </w:r>
      <w:r>
        <w:rPr>
          <w:spacing w:val="-2"/>
        </w:rPr>
        <w:t>控、专卖商品）；经营进出口业务；汽车的销售；钢材批发；钢材零售；建材、装饰材料批发；金属制品批发；机械设备的</w:t>
      </w:r>
      <w:r>
        <w:rPr>
          <w:spacing w:val="-77"/>
        </w:rPr>
        <w:t> </w:t>
      </w:r>
      <w:r>
        <w:rPr>
          <w:spacing w:val="-77"/>
        </w:rPr>
      </w:r>
      <w:r>
        <w:rPr>
          <w:spacing w:val="-2"/>
        </w:rPr>
        <w:t>安装。（以上法律、行政法规、国务院决定禁止的项目除外，限制的项目须取得许可后方可经营不含限制项目），许可经营</w:t>
      </w:r>
      <w:r>
        <w:rPr>
          <w:spacing w:val="-75"/>
        </w:rPr>
        <w:t> </w:t>
      </w:r>
      <w:r>
        <w:rPr>
          <w:spacing w:val="-75"/>
        </w:rPr>
      </w:r>
      <w:r>
        <w:rPr>
          <w:spacing w:val="-2"/>
        </w:rPr>
        <w:t>项目是：医疗器械生产、经营（二类、三类），食品流通（含定型包装食品、保健食品）；农副产品、预包装食品（不含复</w:t>
      </w:r>
    </w:p>
    <w:p>
      <w:pPr>
        <w:pStyle w:val="BodyText"/>
        <w:spacing w:line="240" w:lineRule="auto" w:before="26"/>
        <w:ind w:right="0"/>
        <w:jc w:val="left"/>
      </w:pPr>
      <w:r>
        <w:rPr/>
        <w:t>热）的批发；硫化镍、氢氧化镍、氢氧化钴的销售。</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2" w:lineRule="auto"/>
        <w:ind w:right="525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财务报表的批准报出</w:t>
      </w:r>
      <w:r>
        <w:rPr>
          <w:w w:val="99"/>
        </w:rPr>
        <w:t> </w:t>
      </w:r>
      <w:r>
        <w:rPr/>
        <w:t>本财务报表业经公司全体董事（董事会）于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日批准报出。</w:t>
      </w:r>
    </w:p>
    <w:p>
      <w:pPr>
        <w:pStyle w:val="BodyText"/>
        <w:spacing w:line="240" w:lineRule="auto" w:before="14"/>
        <w:ind w:left="501" w:right="0"/>
        <w:jc w:val="left"/>
      </w:pPr>
      <w:r>
        <w:rPr/>
        <w:t>本期纳入合并财务报表范围的子公司共</w:t>
      </w:r>
      <w:r>
        <w:rPr>
          <w:rFonts w:ascii="Times New Roman" w:hAnsi="Times New Roman" w:cs="Times New Roman" w:eastAsia="Times New Roman" w:hint="default"/>
        </w:rPr>
        <w:t>29</w:t>
      </w:r>
      <w:r>
        <w:rPr/>
        <w:t>户，具体包括：</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515"/>
        <w:gridCol w:w="1262"/>
        <w:gridCol w:w="721"/>
        <w:gridCol w:w="1516"/>
        <w:gridCol w:w="1532"/>
      </w:tblGrid>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级次</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44"/>
              <w:jc w:val="right"/>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深圳市前海瑞智供应链管理有限公司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深圳市丝路纪元供应链科技有限公司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普路通全球物流（深圳）有限公司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676"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77"/>
              <w:jc w:val="left"/>
              <w:rPr>
                <w:rFonts w:ascii="宋体" w:hAnsi="宋体" w:cs="宋体" w:eastAsia="宋体" w:hint="default"/>
                <w:sz w:val="18"/>
                <w:szCs w:val="18"/>
              </w:rPr>
            </w:pPr>
            <w:r>
              <w:rPr>
                <w:rFonts w:ascii="宋体" w:hAnsi="宋体" w:cs="宋体" w:eastAsia="宋体" w:hint="default"/>
                <w:sz w:val="18"/>
                <w:szCs w:val="18"/>
              </w:rPr>
              <w:t>深圳市前海普路通电子商务综合服务有限公 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深圳市联动量子股权投资管理有限公司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广州市普路通供应链管理有限公司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珠海市普路通供应链管理有限公司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武汉市瑞亿通供应链管理有限公司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荆门市普路通供应链管理有限公司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荆门市赢洲电子商务有限公司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6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77"/>
              <w:jc w:val="left"/>
              <w:rPr>
                <w:rFonts w:ascii="宋体" w:hAnsi="宋体" w:cs="宋体" w:eastAsia="宋体" w:hint="default"/>
                <w:sz w:val="18"/>
                <w:szCs w:val="18"/>
              </w:rPr>
            </w:pPr>
            <w:r>
              <w:rPr>
                <w:rFonts w:ascii="宋体" w:hAnsi="宋体" w:cs="宋体" w:eastAsia="宋体" w:hint="default"/>
                <w:sz w:val="18"/>
                <w:szCs w:val="18"/>
              </w:rPr>
              <w:t>荆门保税物流中心普路通供应链管理有限公 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重庆市普路通供应链管理有限公司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厦门市普路通供应链管理有限公司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广西慧通供应链管理有限公司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一级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香港智慧云国际有限公司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香港云泰国际有限公司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香港雪梨小姐国际有限公司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二级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51.00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51.00</w:t>
            </w:r>
          </w:p>
        </w:tc>
      </w:tr>
      <w:tr>
        <w:trPr>
          <w:trHeight w:val="360"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香港坎普国际贸易科技有限公司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三级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5" w:hRule="exact"/>
        </w:trPr>
        <w:tc>
          <w:tcPr>
            <w:tcW w:w="3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center"/>
              <w:rPr>
                <w:rFonts w:ascii="宋体" w:hAnsi="宋体" w:cs="宋体" w:eastAsia="宋体" w:hint="default"/>
                <w:sz w:val="18"/>
                <w:szCs w:val="18"/>
              </w:rPr>
            </w:pPr>
            <w:r>
              <w:rPr>
                <w:rFonts w:ascii="宋体" w:hAnsi="宋体" w:cs="宋体" w:eastAsia="宋体" w:hint="default"/>
                <w:sz w:val="18"/>
                <w:szCs w:val="18"/>
              </w:rPr>
              <w:t>三级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14"/>
        <w:ind w:left="501" w:right="0"/>
        <w:jc w:val="left"/>
      </w:pPr>
      <w:r>
        <w:rPr/>
        <w:t>本期纳入合并财务报表范围的主体较上期相比，增加</w:t>
      </w:r>
      <w:r>
        <w:rPr>
          <w:rFonts w:ascii="Times New Roman" w:hAnsi="Times New Roman" w:cs="Times New Roman" w:eastAsia="Times New Roman" w:hint="default"/>
        </w:rPr>
        <w:t>2</w:t>
      </w:r>
      <w:r>
        <w:rPr/>
        <w:t>户，减少</w:t>
      </w:r>
      <w:r>
        <w:rPr>
          <w:rFonts w:ascii="Times New Roman" w:hAnsi="Times New Roman" w:cs="Times New Roman" w:eastAsia="Times New Roman" w:hint="default"/>
        </w:rPr>
        <w:t>1</w:t>
      </w:r>
      <w:r>
        <w:rPr/>
        <w:t>户，其中：</w:t>
      </w:r>
    </w:p>
    <w:p>
      <w:pPr>
        <w:pStyle w:val="BodyText"/>
        <w:spacing w:line="240" w:lineRule="auto" w:before="51"/>
        <w:ind w:right="0"/>
        <w:jc w:val="left"/>
      </w:pPr>
      <w:r>
        <w:rPr>
          <w:rFonts w:ascii="宋体" w:hAnsi="宋体" w:cs="宋体" w:eastAsia="宋体" w:hint="default"/>
        </w:rPr>
        <w:t>1.  </w:t>
      </w:r>
      <w:r>
        <w:rPr/>
        <w:t>本期新纳入合并范围的子公司、特殊目的主体、通过受托经营或承租等方式形成控制权的经营实体</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379"/>
        <w:gridCol w:w="5166"/>
      </w:tblGrid>
      <w:tr>
        <w:trPr>
          <w:trHeight w:val="346"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7"/>
              <w:jc w:val="center"/>
              <w:rPr>
                <w:rFonts w:ascii="宋体" w:hAnsi="宋体" w:cs="宋体" w:eastAsia="宋体" w:hint="default"/>
                <w:sz w:val="18"/>
                <w:szCs w:val="18"/>
              </w:rPr>
            </w:pPr>
            <w:r>
              <w:rPr>
                <w:rFonts w:ascii="宋体" w:hAnsi="宋体" w:cs="宋体" w:eastAsia="宋体" w:hint="default"/>
                <w:sz w:val="18"/>
                <w:szCs w:val="18"/>
              </w:rPr>
              <w:t>名称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0"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广州市普路通供应链管理有限公司</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50"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left"/>
              <w:rPr>
                <w:rFonts w:ascii="宋体" w:hAnsi="宋体" w:cs="宋体" w:eastAsia="宋体" w:hint="default"/>
                <w:sz w:val="18"/>
                <w:szCs w:val="18"/>
              </w:rPr>
            </w:pPr>
            <w:r>
              <w:rPr>
                <w:rFonts w:ascii="宋体" w:hAnsi="宋体" w:cs="宋体" w:eastAsia="宋体" w:hint="default"/>
                <w:sz w:val="18"/>
                <w:szCs w:val="18"/>
              </w:rPr>
              <w:t>荆门保税物流中心普路通供应链管理有限</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12"/>
        <w:rPr>
          <w:rFonts w:ascii="宋体" w:hAnsi="宋体" w:cs="宋体" w:eastAsia="宋体" w:hint="default"/>
          <w:sz w:val="28"/>
          <w:szCs w:val="28"/>
        </w:rPr>
      </w:pPr>
    </w:p>
    <w:p>
      <w:pPr>
        <w:spacing w:line="480" w:lineRule="exact"/>
        <w:ind w:left="126"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28.05pt;height:24pt;mso-position-horizontal-relative:char;mso-position-vertical-relative:line" coordorigin="0,0" coordsize="8561,480">
            <v:group style="position:absolute;left:15;top:15;width:3364;height:2" coordorigin="15,15" coordsize="3364,2">
              <v:shape style="position:absolute;left:15;top:15;width:3364;height:2" coordorigin="15,15" coordsize="3364,0" path="m15,15l3379,15e" filled="false" stroked="true" strokeweight=".75pt" strokecolor="#000000">
                <v:path arrowok="t"/>
              </v:shape>
            </v:group>
            <v:group style="position:absolute;left:3394;top:15;width:5152;height:2" coordorigin="3394,15" coordsize="5152,2">
              <v:shape style="position:absolute;left:3394;top:15;width:5152;height:2" coordorigin="3394,15" coordsize="5152,0" path="m3394,15l8546,15e" filled="false" stroked="true" strokeweight=".75pt" strokecolor="#000000">
                <v:path arrowok="t"/>
              </v:shape>
            </v:group>
            <v:group style="position:absolute;left:8;top:8;width:2;height:465" coordorigin="8,8" coordsize="2,465">
              <v:shape style="position:absolute;left:8;top:8;width:2;height:465" coordorigin="8,8" coordsize="0,465" path="m8,8l8,473e" filled="false" stroked="true" strokeweight=".75pt" strokecolor="#000000">
                <v:path arrowok="t"/>
              </v:shape>
            </v:group>
            <v:group style="position:absolute;left:15;top:465;width:3364;height:2" coordorigin="15,465" coordsize="3364,2">
              <v:shape style="position:absolute;left:15;top:465;width:3364;height:2" coordorigin="15,465" coordsize="3364,0" path="m15,465l3379,465e" filled="false" stroked="true" strokeweight=".75pt" strokecolor="#000000">
                <v:path arrowok="t"/>
              </v:shape>
            </v:group>
            <v:group style="position:absolute;left:3387;top:8;width:2;height:465" coordorigin="3387,8" coordsize="2,465">
              <v:shape style="position:absolute;left:3387;top:8;width:2;height:465" coordorigin="3387,8" coordsize="0,465" path="m3387,8l3387,473e" filled="false" stroked="true" strokeweight=".75pt" strokecolor="#000000">
                <v:path arrowok="t"/>
              </v:shape>
            </v:group>
            <v:group style="position:absolute;left:3394;top:465;width:5152;height:2" coordorigin="3394,465" coordsize="5152,2">
              <v:shape style="position:absolute;left:3394;top:465;width:5152;height:2" coordorigin="3394,465" coordsize="5152,0" path="m3394,465l8546,465e" filled="false" stroked="true" strokeweight=".75pt" strokecolor="#000000">
                <v:path arrowok="t"/>
              </v:shape>
            </v:group>
            <v:group style="position:absolute;left:8553;top:8;width:2;height:465" coordorigin="8553,8" coordsize="2,465">
              <v:shape style="position:absolute;left:8553;top:8;width:2;height:465" coordorigin="8553,8" coordsize="0,465" path="m8553,8l8553,473e" filled="false" stroked="true" strokeweight=".75pt" strokecolor="#000000">
                <v:path arrowok="t"/>
              </v:shape>
              <v:shape style="position:absolute;left:15;top:9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w:t>
                      </w:r>
                    </w:p>
                  </w:txbxContent>
                </v:textbox>
                <w10:wrap type="none"/>
              </v:shape>
            </v:group>
          </v:group>
        </w:pict>
      </w:r>
      <w:r>
        <w:rPr>
          <w:rFonts w:ascii="宋体" w:hAnsi="宋体" w:cs="宋体" w:eastAsia="宋体" w:hint="default"/>
          <w:position w:val="-9"/>
          <w:sz w:val="20"/>
          <w:szCs w:val="20"/>
        </w:rPr>
      </w:r>
    </w:p>
    <w:p>
      <w:pPr>
        <w:spacing w:line="240" w:lineRule="auto" w:before="9"/>
        <w:rPr>
          <w:rFonts w:ascii="宋体" w:hAnsi="宋体" w:cs="宋体" w:eastAsia="宋体" w:hint="default"/>
          <w:sz w:val="8"/>
          <w:szCs w:val="8"/>
        </w:rPr>
      </w:pPr>
    </w:p>
    <w:p>
      <w:pPr>
        <w:pStyle w:val="BodyText"/>
        <w:spacing w:line="240" w:lineRule="auto"/>
        <w:ind w:right="0"/>
        <w:jc w:val="left"/>
      </w:pPr>
      <w:r>
        <w:rPr>
          <w:rFonts w:ascii="宋体" w:hAnsi="宋体" w:cs="宋体" w:eastAsia="宋体" w:hint="default"/>
        </w:rPr>
        <w:t>1.  </w:t>
      </w:r>
      <w:r>
        <w:rPr/>
        <w:t>本期不再纳入合并范围的子公司、特殊目的主体、通过委托经营或出租等方式丧失控制权的经营实体</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379"/>
        <w:gridCol w:w="5166"/>
      </w:tblGrid>
      <w:tr>
        <w:trPr>
          <w:trHeight w:val="345"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7"/>
              <w:jc w:val="center"/>
              <w:rPr>
                <w:rFonts w:ascii="宋体" w:hAnsi="宋体" w:cs="宋体" w:eastAsia="宋体" w:hint="default"/>
                <w:sz w:val="18"/>
                <w:szCs w:val="18"/>
              </w:rPr>
            </w:pPr>
            <w:r>
              <w:rPr>
                <w:rFonts w:ascii="宋体" w:hAnsi="宋体" w:cs="宋体" w:eastAsia="宋体" w:hint="default"/>
                <w:sz w:val="18"/>
                <w:szCs w:val="18"/>
              </w:rPr>
              <w:t>名称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556"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郑州市普路通供应链管理有限公司</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11"/>
        <w:rPr>
          <w:rFonts w:ascii="宋体" w:hAnsi="宋体" w:cs="宋体" w:eastAsia="宋体" w:hint="default"/>
          <w:sz w:val="21"/>
          <w:szCs w:val="21"/>
        </w:rPr>
      </w:pPr>
    </w:p>
    <w:p>
      <w:pPr>
        <w:pStyle w:val="BodyText"/>
        <w:spacing w:line="240" w:lineRule="auto"/>
        <w:ind w:right="0"/>
        <w:jc w:val="left"/>
        <w:rPr>
          <w:rFonts w:ascii="Times New Roman" w:hAnsi="Times New Roman" w:cs="Times New Roman" w:eastAsia="Times New Roman" w:hint="default"/>
        </w:rPr>
      </w:pPr>
      <w:r>
        <w:rPr/>
        <w:t>详情参见</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Heading2"/>
        <w:spacing w:line="240" w:lineRule="auto" w:before="104"/>
        <w:ind w:right="0"/>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295" w:lineRule="auto" w:before="0"/>
        <w:ind w:right="1098"/>
        <w:jc w:val="both"/>
      </w:pPr>
      <w:r>
        <w:rPr>
          <w:spacing w:val="-1"/>
        </w:rPr>
        <w:t>本公司根据实际发生的交易和事项，按照财政部颁布的《企业会计准则</w:t>
      </w:r>
      <w:r>
        <w:rPr>
          <w:rFonts w:ascii="Times New Roman" w:hAnsi="Times New Roman" w:cs="Times New Roman" w:eastAsia="Times New Roman" w:hint="default"/>
          <w:spacing w:val="-1"/>
        </w:rPr>
        <w:t>——</w:t>
      </w:r>
      <w:r>
        <w:rPr>
          <w:spacing w:val="-1"/>
        </w:rPr>
        <w:t>基本准则》和具体企业会计准则、企业会计准则</w:t>
      </w:r>
      <w:r>
        <w:rPr/>
        <w:t> </w:t>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）进行确认和计量，在此基础上，结合中国证券监</w:t>
      </w:r>
      <w:r>
        <w:rPr>
          <w:spacing w:val="-43"/>
        </w:rPr>
        <w:t> </w:t>
      </w:r>
      <w:r>
        <w:rPr>
          <w:spacing w:val="-43"/>
        </w:rPr>
      </w:r>
      <w:r>
        <w:rPr>
          <w:spacing w:val="-2"/>
        </w:rPr>
        <w:t>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年修订）的规定，编制财务</w:t>
      </w:r>
      <w:r>
        <w:rPr>
          <w:spacing w:val="-45"/>
        </w:rPr>
        <w:t> </w:t>
      </w:r>
      <w:r>
        <w:rPr>
          <w:spacing w:val="-45"/>
        </w:rPr>
      </w:r>
      <w:r>
        <w:rPr/>
        <w:t>报表。</w:t>
      </w:r>
    </w:p>
    <w:p>
      <w:pPr>
        <w:spacing w:line="240" w:lineRule="auto" w:before="6"/>
        <w:rPr>
          <w:rFonts w:ascii="宋体" w:hAnsi="宋体" w:cs="宋体" w:eastAsia="宋体" w:hint="default"/>
          <w:sz w:val="25"/>
          <w:szCs w:val="25"/>
        </w:rPr>
      </w:pPr>
    </w:p>
    <w:p>
      <w:pPr>
        <w:pStyle w:val="Heading3"/>
        <w:spacing w:line="240" w:lineRule="auto"/>
        <w:ind w:right="0"/>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88" w:lineRule="auto" w:before="0"/>
        <w:ind w:right="0"/>
        <w:jc w:val="left"/>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个月的持续经营能力进行了评价，未发现对持续经营能力产生重大怀疑的事项或情况。因此，本财务</w:t>
      </w:r>
      <w:r>
        <w:rPr>
          <w:spacing w:val="-71"/>
        </w:rPr>
        <w:t> </w:t>
      </w:r>
      <w:r>
        <w:rPr>
          <w:spacing w:val="-71"/>
        </w:rPr>
      </w:r>
      <w:r>
        <w:rPr/>
        <w:t>报表系在持续经营假设的基础上编制。</w:t>
      </w:r>
    </w:p>
    <w:p>
      <w:pPr>
        <w:spacing w:line="240" w:lineRule="auto" w:before="1"/>
        <w:rPr>
          <w:rFonts w:ascii="宋体" w:hAnsi="宋体" w:cs="宋体" w:eastAsia="宋体" w:hint="default"/>
          <w:sz w:val="22"/>
          <w:szCs w:val="22"/>
        </w:rPr>
      </w:pPr>
    </w:p>
    <w:p>
      <w:pPr>
        <w:pStyle w:val="Heading2"/>
        <w:spacing w:line="240" w:lineRule="auto"/>
        <w:ind w:right="0"/>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具体会计政策和会计估计提示：</w:t>
      </w:r>
    </w:p>
    <w:p>
      <w:pPr>
        <w:pStyle w:val="BodyText"/>
        <w:spacing w:line="307" w:lineRule="auto" w:before="125"/>
        <w:ind w:right="1029"/>
        <w:jc w:val="left"/>
      </w:pPr>
      <w:r>
        <w:rPr/>
        <w:t>本公司根据生产经营特点确定具体会计政策和会计估计，主要体现在存货的计价方法、应收款项预期信用损失计提的方法、 固定资产折旧和无形资产摊销、收入的确认时点等。</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091"/>
        <w:jc w:val="left"/>
      </w:pPr>
      <w:r>
        <w:rPr>
          <w:spacing w:val="-2"/>
        </w:rPr>
        <w:t>本公司所编制的财务报表符合企业会计准则的要求，真实、完整地反映了报告期公司的财务状况、经营成果、现金流量等有</w:t>
      </w:r>
      <w:r>
        <w:rPr>
          <w:spacing w:val="-42"/>
        </w:rPr>
        <w:t> </w:t>
      </w:r>
      <w:r>
        <w:rPr>
          <w:spacing w:val="-42"/>
        </w:rPr>
      </w:r>
      <w:r>
        <w:rPr/>
        <w:t>关信息。</w:t>
      </w:r>
    </w:p>
    <w:p>
      <w:pPr>
        <w:spacing w:line="240" w:lineRule="auto" w:before="0"/>
        <w:rPr>
          <w:rFonts w:ascii="宋体" w:hAnsi="宋体" w:cs="宋体" w:eastAsia="宋体" w:hint="default"/>
          <w:sz w:val="24"/>
          <w:szCs w:val="24"/>
        </w:rPr>
      </w:pPr>
    </w:p>
    <w:p>
      <w:pPr>
        <w:spacing w:line="542" w:lineRule="auto" w:before="0"/>
        <w:ind w:left="141" w:right="7149" w:firstLine="0"/>
        <w:jc w:val="left"/>
        <w:rPr>
          <w:rFonts w:ascii="宋体" w:hAnsi="宋体" w:cs="宋体" w:eastAsia="宋体" w:hint="default"/>
          <w:sz w:val="21"/>
          <w:szCs w:val="21"/>
        </w:rPr>
      </w:pPr>
      <w:bookmarkStart w:name="2、会计期间" w:id="170"/>
      <w:bookmarkEnd w:id="17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71"/>
      <w:bookmarkEnd w:id="171"/>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51"/>
        <w:ind w:right="0"/>
        <w:jc w:val="left"/>
      </w:pPr>
      <w:r>
        <w:rPr/>
        <w:t>本公司营业周期为</w:t>
      </w:r>
      <w:r>
        <w:rPr>
          <w:rFonts w:ascii="Times New Roman" w:hAnsi="Times New Roman" w:cs="Times New Roman" w:eastAsia="Times New Roman" w:hint="default"/>
        </w:rPr>
        <w:t>12</w:t>
      </w:r>
      <w:r>
        <w:rPr/>
        <w:t>个月。</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本公司采用人民币为记账本位币。</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90" w:lineRule="auto" w:before="0"/>
        <w:ind w:right="1149"/>
        <w:jc w:val="left"/>
      </w:pPr>
      <w:r>
        <w:rPr>
          <w:rFonts w:ascii="Times New Roman" w:hAnsi="Times New Roman" w:cs="Times New Roman" w:eastAsia="Times New Roman" w:hint="default"/>
        </w:rPr>
        <w:t>1</w:t>
      </w:r>
      <w:r>
        <w:rPr/>
        <w:t>．</w:t>
      </w:r>
      <w:r>
        <w:rPr>
          <w:spacing w:val="60"/>
        </w:rPr>
        <w:t> </w:t>
      </w:r>
      <w:r>
        <w:rPr/>
        <w:t>分步实现企业合并过程中的各项交易的条款、条件以及经济影响符合以下一种或多种情况，将多次交易事项作为一揽</w:t>
      </w:r>
      <w:r>
        <w:rPr/>
        <w:t> 子交易进行会计处理</w:t>
      </w:r>
    </w:p>
    <w:p>
      <w:pPr>
        <w:pStyle w:val="BodyText"/>
        <w:spacing w:line="240" w:lineRule="auto" w:before="41"/>
        <w:ind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6"/>
        <w:ind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6"/>
        <w:ind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6"/>
        <w:ind w:right="0"/>
        <w:jc w:val="left"/>
      </w:pPr>
      <w:r>
        <w:rPr/>
        <w:t>（</w:t>
      </w:r>
      <w:r>
        <w:rPr>
          <w:rFonts w:ascii="Times New Roman" w:hAnsi="Times New Roman" w:cs="Times New Roman" w:eastAsia="Times New Roman" w:hint="default"/>
        </w:rPr>
        <w:t>4</w:t>
      </w:r>
      <w:r>
        <w:rPr/>
        <w:t>）一项交易单独看是不经济的，但是和其他交易一并考虑时是经济的。</w:t>
      </w:r>
    </w:p>
    <w:p>
      <w:pPr>
        <w:pStyle w:val="BodyText"/>
        <w:spacing w:line="297" w:lineRule="auto" w:before="66"/>
        <w:ind w:right="1029"/>
        <w:jc w:val="left"/>
      </w:pPr>
      <w:r>
        <w:rPr>
          <w:rFonts w:ascii="Times New Roman" w:hAnsi="Times New Roman" w:cs="Times New Roman" w:eastAsia="Times New Roman" w:hint="default"/>
        </w:rPr>
        <w:t>2</w:t>
      </w:r>
      <w:r>
        <w:rPr/>
        <w:t>．</w:t>
      </w:r>
      <w:r>
        <w:rPr>
          <w:spacing w:val="60"/>
        </w:rPr>
        <w:t> </w:t>
      </w:r>
      <w:r>
        <w:rPr/>
        <w:t>同一控制下的企业合并</w:t>
      </w:r>
      <w:r>
        <w:rPr/>
        <w:t> 本公司在企业合并中取得的资产和负债，按照合并日在被合并方资产、负债（包括最终控制方收购被合并方而形成的商誉） </w:t>
      </w:r>
      <w:r>
        <w:rPr>
          <w:spacing w:val="-2"/>
        </w:rPr>
        <w:t>在最终控制方合并财务报表中的账面价值计量。在合并中取得的净资产账面价值与支付的合并对价账面价值（或发行股份面</w:t>
      </w:r>
    </w:p>
    <w:p>
      <w:pPr>
        <w:pStyle w:val="BodyText"/>
        <w:spacing w:line="316" w:lineRule="auto" w:before="36"/>
        <w:ind w:right="0"/>
        <w:jc w:val="left"/>
      </w:pPr>
      <w:r>
        <w:rPr/>
        <w:t>值总额）的差额，调整资本公积中的股本溢价，资本公积中的股本溢价不足冲减的，调整留存收益。</w:t>
      </w:r>
      <w:r>
        <w:rPr>
          <w:spacing w:val="-83"/>
        </w:rPr>
        <w:t> </w:t>
      </w:r>
      <w:r>
        <w:rPr>
          <w:spacing w:val="-83"/>
        </w:rPr>
      </w:r>
      <w:r>
        <w:rPr>
          <w:spacing w:val="-2"/>
        </w:rPr>
        <w:t>如果存在或有对价并需要确认预计负债或资产，该预计负债或资产金额与后续或有对价结算金额的差额，调整资本公积（资</w:t>
      </w:r>
      <w:r>
        <w:rPr>
          <w:spacing w:val="-75"/>
        </w:rPr>
        <w:t> </w:t>
      </w:r>
      <w:r>
        <w:rPr>
          <w:spacing w:val="-75"/>
        </w:rPr>
      </w:r>
      <w:r>
        <w:rPr/>
        <w:t>本溢价或股本溢价），资本公积不足的，调整留存收益。 </w:t>
      </w:r>
      <w:r>
        <w:rPr>
          <w:spacing w:val="-2"/>
        </w:rPr>
        <w:t>对于通过多次交易最终实现企业合并的，属于一揽子交易的，将各项交易作为一项取得控制权的交易进行会计处理；不属于</w:t>
      </w:r>
      <w:r>
        <w:rPr>
          <w:spacing w:val="-75"/>
        </w:rPr>
        <w:t> </w:t>
      </w:r>
      <w:r>
        <w:rPr>
          <w:spacing w:val="-75"/>
        </w:rPr>
      </w:r>
      <w:r>
        <w:rPr>
          <w:spacing w:val="-2"/>
        </w:rPr>
        <w:t>一揽子交易的，在取得控制权日，长期股权投资初始投资成本，与达到合并前的长期股权投资账面价值加上合并日进一步取</w:t>
      </w:r>
      <w:r>
        <w:rPr>
          <w:spacing w:val="-75"/>
        </w:rPr>
        <w:t> </w:t>
      </w:r>
      <w:r>
        <w:rPr>
          <w:spacing w:val="-75"/>
        </w:rPr>
      </w:r>
      <w:r>
        <w:rPr>
          <w:spacing w:val="-2"/>
        </w:rPr>
        <w:t>得股份新支付对价的账面价值之和的差额，调整资本公积；资本公积不足冲减的，调整留存收益。对于合并日之前持有的股</w:t>
      </w:r>
      <w:r>
        <w:rPr>
          <w:spacing w:val="-42"/>
        </w:rPr>
        <w:t> </w:t>
      </w:r>
      <w:r>
        <w:rPr>
          <w:spacing w:val="-42"/>
        </w:rPr>
      </w:r>
      <w:r>
        <w:rPr>
          <w:spacing w:val="-2"/>
        </w:rPr>
        <w:t>权投资，因采用权益法核算或金融工具确认和计量准则核算而确认的其他综合收益，暂不进行会计处理，直至处置该项投资</w:t>
      </w:r>
      <w:r>
        <w:rPr>
          <w:spacing w:val="-75"/>
        </w:rPr>
        <w:t> </w:t>
      </w:r>
      <w:r>
        <w:rPr>
          <w:spacing w:val="-75"/>
        </w:rPr>
      </w:r>
      <w:r>
        <w:rPr>
          <w:spacing w:val="-2"/>
        </w:rPr>
        <w:t>时采用与被投资单位直接处置相关资产或负债相同的基础进行会计处理；因采用权益法核算而确认的被投资单位净资产中除</w:t>
      </w:r>
      <w:r>
        <w:rPr>
          <w:spacing w:val="-58"/>
        </w:rPr>
        <w:t> </w:t>
      </w:r>
      <w:r>
        <w:rPr>
          <w:spacing w:val="-58"/>
        </w:rPr>
      </w:r>
      <w:r>
        <w:rPr/>
        <w:t>净损益、其他综合收益和利润分配以外的所有者权益其他变动，暂不进行会计处理，直至处置该项投资时转入当期损益。</w:t>
      </w:r>
    </w:p>
    <w:p>
      <w:pPr>
        <w:pStyle w:val="BodyText"/>
        <w:spacing w:line="304" w:lineRule="auto" w:before="37"/>
        <w:ind w:right="1029"/>
        <w:jc w:val="left"/>
      </w:pPr>
      <w:r>
        <w:rPr>
          <w:rFonts w:ascii="Times New Roman" w:hAnsi="Times New Roman" w:cs="Times New Roman" w:eastAsia="Times New Roman" w:hint="default"/>
        </w:rPr>
        <w:t>3</w:t>
      </w:r>
      <w:r>
        <w:rPr/>
        <w:t>．</w:t>
      </w:r>
      <w:r>
        <w:rPr>
          <w:spacing w:val="60"/>
        </w:rPr>
        <w:t> </w:t>
      </w:r>
      <w:r>
        <w:rPr/>
        <w:t>非同一控制下的企业合并</w:t>
      </w:r>
      <w:r>
        <w:rPr/>
        <w:t> 购买日是指本公司实际取得对被购买方控制权的日期，即被购买方的净资产或生产经营决策的控制权转移给本公司的日期。 同时满足下列条件时，本公司一般认为实现了控制权的转移：</w:t>
      </w:r>
    </w:p>
    <w:p>
      <w:pPr>
        <w:pStyle w:val="BodyText"/>
        <w:spacing w:line="240" w:lineRule="auto" w:before="31"/>
        <w:ind w:right="0"/>
        <w:jc w:val="left"/>
      </w:pPr>
      <w:r>
        <w:rPr/>
        <w:t>①企业合并合同或协议已获本公司内部权力机构通过。</w:t>
      </w:r>
    </w:p>
    <w:p>
      <w:pPr>
        <w:pStyle w:val="BodyText"/>
        <w:spacing w:line="240" w:lineRule="auto" w:before="64"/>
        <w:ind w:right="0"/>
        <w:jc w:val="left"/>
      </w:pPr>
      <w:r>
        <w:rPr/>
        <w:t>②企业合并事项需要经过国家有关主管部门审批的，已获得批准。</w:t>
      </w:r>
    </w:p>
    <w:p>
      <w:pPr>
        <w:pStyle w:val="BodyText"/>
        <w:spacing w:line="240" w:lineRule="auto" w:before="80"/>
        <w:ind w:right="0"/>
        <w:jc w:val="left"/>
      </w:pPr>
      <w:r>
        <w:rPr/>
        <w:t>③已办理了必要的财产权转移手续。</w:t>
      </w:r>
    </w:p>
    <w:p>
      <w:pPr>
        <w:pStyle w:val="BodyText"/>
        <w:spacing w:line="240" w:lineRule="auto" w:before="79"/>
        <w:ind w:right="0"/>
        <w:jc w:val="left"/>
      </w:pPr>
      <w:r>
        <w:rPr/>
        <w:t>④本公司已支付了合并价款的大部分，并且有能力、有计划支付剩余款项。</w:t>
      </w:r>
    </w:p>
    <w:p>
      <w:pPr>
        <w:pStyle w:val="BodyText"/>
        <w:spacing w:line="319" w:lineRule="auto" w:before="80"/>
        <w:ind w:right="1091"/>
        <w:jc w:val="left"/>
      </w:pPr>
      <w:r>
        <w:rPr/>
        <w:t>⑤本公司实际上已经控制了被购买方的财务和经营政策，并享有相应的利益、承担相应的风险。 </w:t>
      </w:r>
      <w:r>
        <w:rPr>
          <w:spacing w:val="-2"/>
        </w:rPr>
        <w:t>本公司在购买日对作为企业合并对价付出的资产、发生或承担的负债按照公允价值计量，公允价值与其账面价值的差额，计</w:t>
      </w:r>
      <w:r>
        <w:rPr>
          <w:spacing w:val="-75"/>
        </w:rPr>
        <w:t> </w:t>
      </w:r>
      <w:r>
        <w:rPr>
          <w:spacing w:val="-75"/>
        </w:rPr>
      </w:r>
      <w:r>
        <w:rPr/>
        <w:t>入当期损益。 </w:t>
      </w:r>
      <w:r>
        <w:rPr>
          <w:spacing w:val="-2"/>
        </w:rPr>
        <w:t>本公司对合并成本大于合并中取得的被购买方可辨认净资产公允价值份额的差额，确认为商誉；合并成本小于合并中取得的</w:t>
      </w:r>
      <w:r>
        <w:rPr>
          <w:spacing w:val="-62"/>
        </w:rPr>
        <w:t> </w:t>
      </w:r>
      <w:r>
        <w:rPr>
          <w:spacing w:val="-62"/>
        </w:rPr>
      </w:r>
      <w:r>
        <w:rPr/>
        <w:t>被购买方可辨认净资产公允价值份额的差额，经复核后，计入当期损益。 </w:t>
      </w:r>
      <w:r>
        <w:rPr>
          <w:spacing w:val="-2"/>
        </w:rPr>
        <w:t>通过多次交换交易分步实现的非同一控制下企业合并，属于一揽子交易的，将各项交易作为一项取得控制权的交易进行会计</w:t>
      </w:r>
      <w:r>
        <w:rPr>
          <w:spacing w:val="-72"/>
        </w:rPr>
        <w:t> </w:t>
      </w:r>
      <w:r>
        <w:rPr>
          <w:spacing w:val="-72"/>
        </w:rPr>
      </w:r>
      <w:r>
        <w:rPr>
          <w:spacing w:val="-2"/>
        </w:rPr>
        <w:t>处理；不属于一揽子交易的，合并日之前持有的股权投资采用权益法核算的，以购买日之前所持被购买方的股权投资的账面</w:t>
      </w:r>
      <w:r>
        <w:rPr>
          <w:spacing w:val="-75"/>
        </w:rPr>
        <w:t> </w:t>
      </w:r>
      <w:r>
        <w:rPr>
          <w:spacing w:val="-75"/>
        </w:rPr>
      </w:r>
      <w:r>
        <w:rPr>
          <w:spacing w:val="-2"/>
        </w:rPr>
        <w:t>价值与购买日新增投资成本之和，作为该项投资的初始投资成本；购买日之前持有的股权投资因采用权益法核算而确认的其</w:t>
      </w:r>
      <w:r>
        <w:rPr>
          <w:spacing w:val="-72"/>
        </w:rPr>
        <w:t> </w:t>
      </w:r>
      <w:r>
        <w:rPr>
          <w:spacing w:val="-72"/>
        </w:rPr>
      </w:r>
      <w:r>
        <w:rPr>
          <w:spacing w:val="-2"/>
        </w:rPr>
        <w:t>他综合收益，在处置该项投资时采用与被投资单位直接处置相关资产或负债相同的基础进行会计处理。合并日之前持有的股</w:t>
      </w:r>
      <w:r>
        <w:rPr>
          <w:spacing w:val="-61"/>
        </w:rPr>
        <w:t> </w:t>
      </w:r>
      <w:r>
        <w:rPr>
          <w:spacing w:val="-61"/>
        </w:rPr>
      </w:r>
      <w:r>
        <w:rPr>
          <w:spacing w:val="-2"/>
        </w:rPr>
        <w:t>权投资采用金融工具确认和计量准则核算的，以该股权投资在合并日的公允价值加上新增投资成本之和，作为合并日的初始</w:t>
      </w:r>
      <w:r>
        <w:rPr>
          <w:spacing w:val="-72"/>
        </w:rPr>
        <w:t> </w:t>
      </w:r>
      <w:r>
        <w:rPr>
          <w:spacing w:val="-72"/>
        </w:rPr>
      </w:r>
      <w:r>
        <w:rPr>
          <w:spacing w:val="-2"/>
        </w:rPr>
        <w:t>投资成本。原持有股权的公允价值与账面价值之间的差额以及原计入其他综合收益的累计公允价值变动应全部转入合并日当</w:t>
      </w:r>
      <w:r>
        <w:rPr>
          <w:spacing w:val="-58"/>
        </w:rPr>
        <w:t> </w:t>
      </w:r>
      <w:r>
        <w:rPr>
          <w:spacing w:val="-58"/>
        </w:rPr>
      </w:r>
      <w:r>
        <w:rPr/>
        <w:t>期的投资收益。</w:t>
      </w:r>
    </w:p>
    <w:p>
      <w:pPr>
        <w:pStyle w:val="BodyText"/>
        <w:spacing w:line="304" w:lineRule="auto" w:before="20"/>
        <w:ind w:right="0"/>
        <w:jc w:val="left"/>
      </w:pPr>
      <w:r>
        <w:rPr>
          <w:rFonts w:ascii="Times New Roman" w:hAnsi="Times New Roman" w:cs="Times New Roman" w:eastAsia="Times New Roman" w:hint="default"/>
        </w:rPr>
        <w:t>4</w:t>
      </w:r>
      <w:r>
        <w:rPr/>
        <w:t>．</w:t>
      </w:r>
      <w:r>
        <w:rPr>
          <w:spacing w:val="60"/>
        </w:rPr>
        <w:t> </w:t>
      </w:r>
      <w:r>
        <w:rPr/>
        <w:t>为合并发生的相关费用</w:t>
      </w:r>
      <w:r>
        <w:rPr/>
        <w:t> </w:t>
      </w:r>
      <w:r>
        <w:rPr>
          <w:spacing w:val="-2"/>
        </w:rPr>
        <w:t>为企业合并发生的审计、法律服务、评估咨询等中介费用以及其他直接相关费用，于发生时计入当期损益；为企业合并而发</w:t>
      </w:r>
      <w:r>
        <w:rPr>
          <w:spacing w:val="-42"/>
        </w:rPr>
        <w:t> </w:t>
      </w:r>
      <w:r>
        <w:rPr>
          <w:spacing w:val="-42"/>
        </w:rPr>
      </w:r>
      <w:r>
        <w:rPr/>
        <w:t>行权益性证券的交易费用，可直接归属于权益性交易的从权益中扣减。</w:t>
      </w:r>
    </w:p>
    <w:p>
      <w:pPr>
        <w:spacing w:after="0" w:line="304"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091"/>
        <w:jc w:val="left"/>
      </w:pPr>
      <w:r>
        <w:rPr>
          <w:rFonts w:ascii="Times New Roman" w:hAnsi="Times New Roman" w:cs="Times New Roman" w:eastAsia="Times New Roman" w:hint="default"/>
        </w:rPr>
        <w:t>1</w:t>
      </w:r>
      <w:r>
        <w:rPr/>
        <w:t>．</w:t>
      </w:r>
      <w:r>
        <w:rPr>
          <w:spacing w:val="60"/>
        </w:rPr>
        <w:t> </w:t>
      </w:r>
      <w:r>
        <w:rPr/>
        <w:t>合并范围</w:t>
      </w:r>
      <w:r>
        <w:rPr/>
        <w:t> 本公司合并财务报表的合并范围以控制为基础确定，所有子公司（包括本公司所控制的单独主体）均纳入合并财务报表。</w:t>
      </w:r>
      <w:r>
        <w:rPr>
          <w:spacing w:val="-87"/>
        </w:rPr>
        <w:t> </w:t>
      </w:r>
      <w:r>
        <w:rPr>
          <w:spacing w:val="-87"/>
        </w:rPr>
      </w:r>
      <w:r>
        <w:rPr>
          <w:rFonts w:ascii="Times New Roman" w:hAnsi="Times New Roman" w:cs="Times New Roman" w:eastAsia="Times New Roman" w:hint="default"/>
        </w:rPr>
        <w:t>2</w:t>
      </w:r>
      <w:r>
        <w:rPr/>
        <w:t>．</w:t>
      </w:r>
      <w:r>
        <w:rPr>
          <w:spacing w:val="60"/>
        </w:rPr>
        <w:t> </w:t>
      </w:r>
      <w:r>
        <w:rPr/>
        <w:t>合并程序</w:t>
      </w:r>
      <w:r>
        <w:rPr/>
        <w:t> </w:t>
      </w:r>
      <w:r>
        <w:rPr>
          <w:spacing w:val="-2"/>
        </w:rPr>
        <w:t>本公司以自身和各子公司的财务报表为基础，根据其他有关资料，编制合并财务报表。本公司编制合并财务报表，将整个企</w:t>
      </w:r>
      <w:r>
        <w:rPr>
          <w:spacing w:val="-42"/>
        </w:rPr>
        <w:t> </w:t>
      </w:r>
      <w:r>
        <w:rPr>
          <w:spacing w:val="-42"/>
        </w:rPr>
      </w:r>
      <w:r>
        <w:rPr>
          <w:spacing w:val="-2"/>
        </w:rPr>
        <w:t>业集团视为一个会计主体，依据相关企业会计准则的确认、计量和列报要求，按照统一的会计政策，反映本企业集团整体财</w:t>
      </w:r>
      <w:r>
        <w:rPr>
          <w:spacing w:val="-42"/>
        </w:rPr>
        <w:t> </w:t>
      </w:r>
      <w:r>
        <w:rPr>
          <w:spacing w:val="-42"/>
        </w:rPr>
      </w:r>
      <w:r>
        <w:rPr/>
        <w:t>务状况、经营成果和现金流量。 </w:t>
      </w:r>
      <w:r>
        <w:rPr>
          <w:spacing w:val="-2"/>
        </w:rPr>
        <w:t>所有纳入合并财务报表合并范围的子公司所采用的会计政策、会计期间与本公司一致，如子公司采用的会计政策、会计期间</w:t>
      </w:r>
      <w:r>
        <w:rPr>
          <w:spacing w:val="-75"/>
        </w:rPr>
        <w:t> </w:t>
      </w:r>
      <w:r>
        <w:rPr>
          <w:spacing w:val="-75"/>
        </w:rPr>
      </w:r>
      <w:r>
        <w:rPr/>
        <w:t>与本公司不一致的，在编制合并财务报表时，按本公司的会计政策、会计期间进行必要的调整。</w:t>
      </w:r>
      <w:r>
        <w:rPr>
          <w:spacing w:val="-84"/>
        </w:rPr>
        <w:t> </w:t>
      </w:r>
      <w:r>
        <w:rPr>
          <w:spacing w:val="-84"/>
        </w:rPr>
      </w:r>
      <w:r>
        <w:rPr>
          <w:spacing w:val="-2"/>
        </w:rPr>
        <w:t>合并财务报表时抵销本公司与各子公司、各子公司相互之间发生的内部交易对合并资产负债表、合并利润表、合并现金流量</w:t>
      </w:r>
      <w:r>
        <w:rPr>
          <w:spacing w:val="-75"/>
        </w:rPr>
        <w:t> </w:t>
      </w:r>
      <w:r>
        <w:rPr>
          <w:spacing w:val="-75"/>
        </w:rPr>
      </w:r>
      <w:r>
        <w:rPr>
          <w:spacing w:val="-2"/>
        </w:rPr>
        <w:t>表、合并股东权益变动表的影响。如果站在企业集团合并财务报表角度与以本公司或子公司为会计主体对同一交易的认定不</w:t>
      </w:r>
      <w:r>
        <w:rPr>
          <w:spacing w:val="-72"/>
        </w:rPr>
        <w:t> </w:t>
      </w:r>
      <w:r>
        <w:rPr>
          <w:spacing w:val="-72"/>
        </w:rPr>
      </w:r>
      <w:r>
        <w:rPr/>
        <w:t>同时，从企业集团的角度对该交易予以调整。</w:t>
      </w:r>
    </w:p>
    <w:p>
      <w:pPr>
        <w:pStyle w:val="BodyText"/>
        <w:spacing w:line="319" w:lineRule="auto" w:before="24"/>
        <w:ind w:right="0"/>
        <w:jc w:val="left"/>
      </w:pPr>
      <w:r>
        <w:rPr>
          <w:spacing w:val="-2"/>
        </w:rPr>
        <w:t>子公司所有者权益、当期净损益和当期综合收益中属于少数股东的份额分别在合并资产负债表中所有者权益项目下、合并利</w:t>
      </w:r>
      <w:r>
        <w:rPr>
          <w:spacing w:val="-72"/>
        </w:rPr>
        <w:t> </w:t>
      </w:r>
      <w:r>
        <w:rPr>
          <w:spacing w:val="-72"/>
        </w:rPr>
      </w:r>
      <w:r>
        <w:rPr>
          <w:spacing w:val="-2"/>
        </w:rPr>
        <w:t>润表中净利润项目下和综合收益总额项目下单独列示。子公司少数股东分担的当期亏损超过了少数股东在该子公司期初所有</w:t>
      </w:r>
      <w:r>
        <w:rPr>
          <w:spacing w:val="-58"/>
        </w:rPr>
        <w:t> </w:t>
      </w:r>
      <w:r>
        <w:rPr>
          <w:spacing w:val="-58"/>
        </w:rPr>
      </w:r>
      <w:r>
        <w:rPr/>
        <w:t>者权益中所享有份额而形成的余额，冲减少数股东权益。</w:t>
      </w:r>
      <w:r>
        <w:rPr/>
        <w:t> </w:t>
      </w:r>
      <w:r>
        <w:rPr>
          <w:spacing w:val="-2"/>
        </w:rPr>
        <w:t>对于同一控制下企业合并取得的子公司，以其资产、负债（包括最终控制方收购该子公司而形成的商誉）在最终控制方财务</w:t>
      </w:r>
      <w:r>
        <w:rPr>
          <w:spacing w:val="-42"/>
        </w:rPr>
        <w:t> </w:t>
      </w:r>
      <w:r>
        <w:rPr>
          <w:spacing w:val="-42"/>
        </w:rPr>
      </w:r>
      <w:r>
        <w:rPr/>
        <w:t>报表中的账面价值为基础对其财务报表进行调整。 对于非同一控制下企业合并取得的子公司，以购买日可辨认净资产公允价值为基础对其财务报表进行调整</w:t>
      </w:r>
    </w:p>
    <w:p>
      <w:pPr>
        <w:pStyle w:val="BodyText"/>
        <w:spacing w:line="312" w:lineRule="auto" w:before="20"/>
        <w:ind w:right="0"/>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在报告期内，若因同一控制下企业合并增加子公司或业务的，则调整合并资产负债表的期初数；将子公司或业务合并当期期</w:t>
      </w:r>
      <w:r>
        <w:rPr>
          <w:spacing w:val="-75"/>
        </w:rPr>
        <w:t> </w:t>
      </w:r>
      <w:r>
        <w:rPr>
          <w:spacing w:val="-75"/>
        </w:rPr>
      </w:r>
      <w:r>
        <w:rPr>
          <w:spacing w:val="-2"/>
        </w:rPr>
        <w:t>初至报告期末的收入、费用、利润纳入合并利润表；将子公司或业务合并当期期初至报告期末的现金流量纳入合并现金流量</w:t>
      </w:r>
      <w:r>
        <w:rPr>
          <w:spacing w:val="-65"/>
        </w:rPr>
        <w:t> </w:t>
      </w:r>
      <w:r>
        <w:rPr>
          <w:spacing w:val="-65"/>
        </w:rPr>
      </w:r>
      <w:r>
        <w:rPr/>
        <w:t>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58"/>
        </w:rPr>
        <w:t> </w:t>
      </w:r>
      <w:r>
        <w:rPr>
          <w:spacing w:val="-58"/>
        </w:rPr>
      </w:r>
      <w:r>
        <w:rPr>
          <w:spacing w:val="-2"/>
        </w:rPr>
        <w:t>存在进行调整。在取得被合并方控制权之前持有的股权投资，在取得原股权之日与合并方和被合并方同处于同一控制之日孰</w:t>
      </w:r>
    </w:p>
    <w:p>
      <w:pPr>
        <w:pStyle w:val="BodyText"/>
        <w:spacing w:line="319" w:lineRule="auto" w:before="26"/>
        <w:ind w:right="1029"/>
        <w:jc w:val="left"/>
      </w:pPr>
      <w:r>
        <w:rPr>
          <w:spacing w:val="-2"/>
        </w:rPr>
        <w:t>晚日起至合并日之间已确认有关损益、其他综合收益以及其他净资产变动，分别冲减比较报表期间的期初留存收益或当期损</w:t>
      </w:r>
      <w:r>
        <w:rPr>
          <w:spacing w:val="-72"/>
        </w:rPr>
        <w:t> </w:t>
      </w:r>
      <w:r>
        <w:rPr>
          <w:spacing w:val="-72"/>
        </w:rPr>
      </w:r>
      <w:r>
        <w:rPr/>
        <w:t>益。 </w:t>
      </w:r>
      <w:r>
        <w:rPr>
          <w:spacing w:val="-2"/>
        </w:rPr>
        <w:t>在报告期内，若因非同一控制下企业合并增加子公司或业务的，则不调整合并资产负债表期初数；将该子公司或业务自购买</w:t>
      </w:r>
      <w:r>
        <w:rPr>
          <w:spacing w:val="-67"/>
        </w:rPr>
        <w:t> </w:t>
      </w:r>
      <w:r>
        <w:rPr>
          <w:spacing w:val="-67"/>
        </w:rPr>
      </w:r>
      <w:r>
        <w:rPr/>
        <w:t>日至报告期末的收入、费用、利润纳入合并利润表；该子公司或业务自购买日至报告期末的现金流量纳入合并现金流量表。 </w:t>
      </w:r>
      <w:r>
        <w:rPr>
          <w:spacing w:val="-2"/>
        </w:rPr>
        <w:t>因追加投资等原因能够对非同一控制下的被投资方实施控制的，对于购买日之前持有的被购买方的股权，本公司按照该股权</w:t>
      </w:r>
      <w:r>
        <w:rPr>
          <w:spacing w:val="-72"/>
        </w:rPr>
        <w:t> </w:t>
      </w:r>
      <w:r>
        <w:rPr>
          <w:spacing w:val="-72"/>
        </w:rPr>
      </w:r>
      <w:r>
        <w:rPr>
          <w:spacing w:val="-2"/>
        </w:rPr>
        <w:t>在购买日的公允价值进行重新计量，公允价值与其账面价值的差额计入当期投资收益。购买日之前持有的被购买方的股权涉</w:t>
      </w:r>
      <w:r>
        <w:rPr>
          <w:spacing w:val="-72"/>
        </w:rPr>
        <w:t> </w:t>
      </w:r>
      <w:r>
        <w:rPr>
          <w:spacing w:val="-72"/>
        </w:rPr>
      </w:r>
      <w:r>
        <w:rPr>
          <w:spacing w:val="-2"/>
        </w:rPr>
        <w:t>及权益法核算下的其他综合收益以及除净损益、其他综合收益和利润分配之外的其他所有者权益变动的，与其相关的其他综</w:t>
      </w:r>
      <w:r>
        <w:rPr>
          <w:spacing w:val="-72"/>
        </w:rPr>
        <w:t> </w:t>
      </w:r>
      <w:r>
        <w:rPr>
          <w:spacing w:val="-72"/>
        </w:rPr>
      </w:r>
      <w:r>
        <w:rPr>
          <w:spacing w:val="-2"/>
        </w:rPr>
        <w:t>合收益、其他所有者权益变动转为购买日所属当期投资收益，由于被投资方重新计量设定受益计划净负债或净资产变动而产</w:t>
      </w:r>
      <w:r>
        <w:rPr>
          <w:spacing w:val="-67"/>
        </w:rPr>
        <w:t> </w:t>
      </w:r>
      <w:r>
        <w:rPr>
          <w:spacing w:val="-67"/>
        </w:rPr>
      </w:r>
      <w:r>
        <w:rPr/>
        <w:t>生的其他综合收益除外。</w:t>
      </w:r>
    </w:p>
    <w:p>
      <w:pPr>
        <w:pStyle w:val="BodyText"/>
        <w:spacing w:line="240" w:lineRule="auto" w:before="20"/>
        <w:ind w:right="0"/>
        <w:jc w:val="left"/>
      </w:pPr>
      <w:r>
        <w:rPr/>
        <w:t>（</w:t>
      </w:r>
      <w:r>
        <w:rPr>
          <w:rFonts w:ascii="Times New Roman" w:hAnsi="Times New Roman" w:cs="Times New Roman" w:eastAsia="Times New Roman" w:hint="default"/>
        </w:rPr>
        <w:t>2</w:t>
      </w:r>
      <w:r>
        <w:rPr/>
        <w:t>）处置子公司或业务</w:t>
      </w:r>
    </w:p>
    <w:p>
      <w:pPr>
        <w:pStyle w:val="BodyText"/>
        <w:spacing w:line="314" w:lineRule="auto" w:before="66"/>
        <w:ind w:right="0"/>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在报告期内，本公司处置子公司或业务，则该子公司或业务期初至处置日的收入、费用、利润纳入合并利润表；该子公司或</w:t>
      </w:r>
      <w:r>
        <w:rPr>
          <w:spacing w:val="-57"/>
        </w:rPr>
        <w:t> </w:t>
      </w:r>
      <w:r>
        <w:rPr>
          <w:spacing w:val="-57"/>
        </w:rPr>
      </w:r>
      <w:r>
        <w:rPr/>
        <w:t>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72"/>
        </w:rPr>
        <w:t> </w:t>
      </w:r>
      <w:r>
        <w:rPr>
          <w:spacing w:val="-72"/>
        </w:rPr>
      </w:r>
      <w:r>
        <w:rPr>
          <w:spacing w:val="-2"/>
        </w:rPr>
        <w:t>公允价值进行重新计量。处置股权取得的对价与剩余股权公允价值之和，减去按原持股比例计算应享有原有子公司自购买日</w:t>
      </w:r>
      <w:r>
        <w:rPr>
          <w:spacing w:val="-72"/>
        </w:rPr>
        <w:t> </w:t>
      </w:r>
      <w:r>
        <w:rPr>
          <w:spacing w:val="-72"/>
        </w:rPr>
      </w:r>
      <w:r>
        <w:rPr>
          <w:spacing w:val="-2"/>
        </w:rPr>
        <w:t>或合并日开始持续计算的净资产的份额与商誉之和的差额，计入丧失控制权当期的投资收益。与原有子公司股权投资相关的</w:t>
      </w:r>
      <w:r>
        <w:rPr>
          <w:spacing w:val="-72"/>
        </w:rPr>
        <w:t> </w:t>
      </w:r>
      <w:r>
        <w:rPr>
          <w:spacing w:val="-72"/>
        </w:rPr>
      </w:r>
      <w:r>
        <w:rPr>
          <w:spacing w:val="-2"/>
        </w:rPr>
        <w:t>其他综合收益或除净损益、其他综合收益及利润分配之外的其他所有者权益变动，在丧失控制权时转为当期投资收益，由于</w:t>
      </w:r>
    </w:p>
    <w:p>
      <w:pPr>
        <w:pStyle w:val="BodyText"/>
        <w:spacing w:line="240" w:lineRule="auto" w:before="24"/>
        <w:ind w:right="0"/>
        <w:jc w:val="left"/>
      </w:pPr>
      <w:r>
        <w:rPr/>
        <w:t>被投资方重新计量设定受益计划净负债或净资产变动而产生的其他综合收益除外。</w:t>
      </w:r>
    </w:p>
    <w:p>
      <w:pPr>
        <w:pStyle w:val="BodyText"/>
        <w:spacing w:line="240" w:lineRule="auto" w:before="95"/>
        <w:ind w:right="0"/>
        <w:jc w:val="left"/>
      </w:pPr>
      <w:r>
        <w:rPr>
          <w:rFonts w:ascii="Times New Roman" w:hAnsi="Times New Roman" w:cs="Times New Roman" w:eastAsia="Times New Roman" w:hint="default"/>
        </w:rPr>
        <w:t>2</w:t>
      </w:r>
      <w:r>
        <w:rPr/>
        <w:t>）分步处置子公司</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8" w:lineRule="auto"/>
        <w:ind w:right="0"/>
        <w:jc w:val="left"/>
      </w:pPr>
      <w:r>
        <w:rPr>
          <w:spacing w:val="-2"/>
        </w:rPr>
        <w:t>通过多次交易分步处置对子公司股权投资直至丧失控制权的，处置对子公司股权投资的各项交易的条款、条件以及经济影响</w:t>
      </w:r>
      <w:r>
        <w:rPr>
          <w:spacing w:val="-72"/>
        </w:rPr>
        <w:t> </w:t>
      </w:r>
      <w:r>
        <w:rPr>
          <w:spacing w:val="-72"/>
        </w:rPr>
      </w:r>
      <w:r>
        <w:rPr/>
        <w:t>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w:t>
      </w:r>
    </w:p>
    <w:p>
      <w:pPr>
        <w:pStyle w:val="BodyText"/>
        <w:spacing w:line="227" w:lineRule="exact" w:before="0"/>
        <w:ind w:right="0"/>
        <w:jc w:val="left"/>
      </w:pPr>
      <w:r>
        <w:rPr>
          <w:rFonts w:ascii="Times New Roman" w:hAnsi="Times New Roman" w:cs="Times New Roman" w:eastAsia="Times New Roman" w:hint="default"/>
        </w:rPr>
        <w:t>B.</w:t>
      </w:r>
      <w:r>
        <w:rPr/>
        <w:t>这些交易整体才能达成一项完整的商业结果；</w:t>
      </w:r>
    </w:p>
    <w:p>
      <w:pPr>
        <w:pStyle w:val="BodyText"/>
        <w:spacing w:line="309" w:lineRule="auto" w:before="66"/>
        <w:ind w:right="1091"/>
        <w:jc w:val="left"/>
      </w:pP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r>
        <w:rPr>
          <w:spacing w:val="-86"/>
        </w:rPr>
        <w:t> </w:t>
      </w:r>
      <w:r>
        <w:rPr>
          <w:spacing w:val="-2"/>
        </w:rPr>
        <w:t>处置对子公司股权投资直至丧失控制权的各项交易属于一揽子交易的，本公司将各项交易作为一项处置子公司并丧失控制权</w:t>
      </w:r>
      <w:r>
        <w:rPr>
          <w:spacing w:val="-58"/>
        </w:rPr>
        <w:t> </w:t>
      </w:r>
      <w:r>
        <w:rPr>
          <w:spacing w:val="-58"/>
        </w:rPr>
      </w:r>
      <w:r>
        <w:rPr>
          <w:spacing w:val="-2"/>
        </w:rPr>
        <w:t>的交易进行会计处理；但是，在丧失控制权之前每一次处置价款与处置投资对应的享有该子公司净资产份额的差额，在合并</w:t>
      </w:r>
      <w:r>
        <w:rPr>
          <w:spacing w:val="-75"/>
        </w:rPr>
        <w:t> </w:t>
      </w:r>
      <w:r>
        <w:rPr>
          <w:spacing w:val="-75"/>
        </w:rPr>
      </w:r>
      <w:r>
        <w:rPr/>
        <w:t>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r>
        <w:rPr>
          <w:spacing w:val="-69"/>
        </w:rPr>
        <w:t> </w:t>
      </w:r>
      <w:r>
        <w:rPr>
          <w:spacing w:val="-69"/>
        </w:rPr>
      </w:r>
      <w:r>
        <w:rPr/>
        <w:t>处置对子公司的股权投资的相关政策进行会计处理；在丧失控制权时，按处置子公司一般处理方法进行会计处理。</w:t>
      </w:r>
    </w:p>
    <w:p>
      <w:pPr>
        <w:pStyle w:val="BodyText"/>
        <w:spacing w:line="304" w:lineRule="auto" w:before="42"/>
        <w:ind w:right="1091"/>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本公司因购买少数股权新取得的长期股权投资与按照新增持股比例计算应享有子公司自购买日（或合并日）开始持续计算的</w:t>
      </w:r>
      <w:r>
        <w:rPr>
          <w:spacing w:val="-72"/>
        </w:rPr>
        <w:t> </w:t>
      </w:r>
      <w:r>
        <w:rPr>
          <w:spacing w:val="-72"/>
        </w:rPr>
      </w:r>
      <w:r>
        <w:rPr>
          <w:spacing w:val="-2"/>
        </w:rPr>
        <w:t>净资产份额之间的差额，调整合并资产负债表中的资本公积中的股本溢价，资本公积中的股本溢价不足冲减的，调整留存收</w:t>
      </w:r>
      <w:r>
        <w:rPr>
          <w:spacing w:val="-75"/>
        </w:rPr>
        <w:t> </w:t>
      </w:r>
      <w:r>
        <w:rPr>
          <w:spacing w:val="-75"/>
        </w:rPr>
      </w:r>
      <w:r>
        <w:rPr/>
        <w:t>益。</w:t>
      </w:r>
    </w:p>
    <w:p>
      <w:pPr>
        <w:pStyle w:val="BodyText"/>
        <w:spacing w:line="304" w:lineRule="auto" w:before="46"/>
        <w:ind w:right="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w:t>
      </w:r>
      <w:r>
        <w:rPr>
          <w:spacing w:val="-87"/>
        </w:rPr>
        <w:t> </w:t>
      </w:r>
      <w:r>
        <w:rPr>
          <w:spacing w:val="-87"/>
        </w:rPr>
      </w:r>
      <w:r>
        <w:rPr>
          <w:spacing w:val="-2"/>
        </w:rPr>
        <w:t>购买日或合并日开始持续计算的净资产份额之间的差额，调整合并资产负债表中的资本公积中的股本溢价，资本公积中的股</w:t>
      </w:r>
      <w:r>
        <w:rPr>
          <w:spacing w:val="-72"/>
        </w:rPr>
        <w:t> </w:t>
      </w:r>
      <w:r>
        <w:rPr>
          <w:spacing w:val="-72"/>
        </w:rPr>
      </w:r>
      <w:r>
        <w:rPr/>
        <w:t>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3"/>
        <w:spacing w:line="240" w:lineRule="auto"/>
        <w:ind w:right="0"/>
        <w:jc w:val="left"/>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09" w:lineRule="auto" w:before="0"/>
        <w:ind w:right="1083"/>
        <w:jc w:val="left"/>
      </w:pPr>
      <w:r>
        <w:rPr>
          <w:rFonts w:ascii="Times New Roman" w:hAnsi="Times New Roman" w:cs="Times New Roman" w:eastAsia="Times New Roman" w:hint="default"/>
        </w:rPr>
        <w:t>1</w:t>
      </w:r>
      <w:r>
        <w:rPr/>
        <w:t>．</w:t>
      </w:r>
      <w:r>
        <w:rPr>
          <w:spacing w:val="60"/>
        </w:rPr>
        <w:t> </w:t>
      </w:r>
      <w:r>
        <w:rPr/>
        <w:t>合营安排的分类</w:t>
      </w:r>
      <w:r>
        <w:rPr/>
        <w:t> </w:t>
      </w:r>
      <w:r>
        <w:rPr>
          <w:spacing w:val="-2"/>
        </w:rPr>
        <w:t>本公司根据合营安排的结构、法律形式以及合营安排中约定的条款、其他相关事实和情况等因素，将合营安排分为共同经营</w:t>
      </w:r>
      <w:r>
        <w:rPr>
          <w:spacing w:val="-75"/>
        </w:rPr>
        <w:t> </w:t>
      </w:r>
      <w:r>
        <w:rPr>
          <w:spacing w:val="-75"/>
        </w:rPr>
      </w:r>
      <w:r>
        <w:rPr/>
        <w:t>和合营企业。 </w:t>
      </w:r>
      <w:r>
        <w:rPr>
          <w:spacing w:val="-1"/>
        </w:rPr>
        <w:t>未通过单独主体达成的合营安排，划分为共同经营；通过单独主体达成的合营安排，通常划分为合营企业；但有确凿证据表</w:t>
      </w:r>
      <w:r>
        <w:rPr>
          <w:spacing w:val="-85"/>
        </w:rPr>
        <w:t> </w:t>
      </w:r>
      <w:r>
        <w:rPr>
          <w:spacing w:val="-85"/>
        </w:rPr>
      </w:r>
      <w:r>
        <w:rPr/>
        <w:t>明满足下列任一条件并且符合相关法律法规规定的合营安排划分为共同经营：</w:t>
      </w:r>
    </w:p>
    <w:p>
      <w:pPr>
        <w:pStyle w:val="BodyText"/>
        <w:spacing w:line="240" w:lineRule="auto" w:before="42"/>
        <w:ind w:right="0"/>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66"/>
        <w:ind w:right="0"/>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290" w:lineRule="auto" w:before="51"/>
        <w:ind w:right="1119"/>
        <w:jc w:val="left"/>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）其他相关事实和情况表明，合营方对该安排中的相关资产和负债分别享有权利和承担义务，如合营方享有与合营安排 相关的几乎所有产出，并且该安排中负债的清偿持续依赖于合营方的支持。</w:t>
      </w:r>
    </w:p>
    <w:p>
      <w:pPr>
        <w:pStyle w:val="BodyText"/>
        <w:spacing w:line="290" w:lineRule="auto" w:before="56"/>
        <w:ind w:right="2109"/>
        <w:jc w:val="left"/>
      </w:pPr>
      <w:r>
        <w:rPr>
          <w:rFonts w:ascii="Times New Roman" w:hAnsi="Times New Roman" w:cs="Times New Roman" w:eastAsia="Times New Roman" w:hint="default"/>
        </w:rPr>
        <w:t>2</w:t>
      </w:r>
      <w:r>
        <w:rPr/>
        <w:t>．</w:t>
      </w:r>
      <w:r>
        <w:rPr>
          <w:spacing w:val="60"/>
        </w:rPr>
        <w:t> </w:t>
      </w:r>
      <w:r>
        <w:rPr/>
        <w:t>共同经营会计处理方法</w:t>
      </w:r>
      <w:r>
        <w:rPr/>
        <w:t> 本公司确认共同经营中利益份额中与本公司相关的下列项目，并按照相关企业会计准则的规定进行会计处理：</w:t>
      </w:r>
    </w:p>
    <w:p>
      <w:pPr>
        <w:pStyle w:val="BodyText"/>
        <w:spacing w:line="240" w:lineRule="auto" w:before="57"/>
        <w:ind w:right="0"/>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51"/>
        <w:ind w:right="0"/>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6"/>
        <w:ind w:right="0"/>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6"/>
        <w:ind w:right="0"/>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04" w:lineRule="auto" w:before="66"/>
        <w:ind w:right="0"/>
        <w:jc w:val="left"/>
      </w:pPr>
      <w:r>
        <w:rPr/>
        <w:t>（</w:t>
      </w:r>
      <w:r>
        <w:rPr>
          <w:rFonts w:ascii="Times New Roman" w:hAnsi="Times New Roman" w:cs="Times New Roman" w:eastAsia="Times New Roman"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本公司向共同经营投出或出售资产等（该资产构成业务的除外），在该资产等由共同经营出售给第三方之前，仅确认因该交</w:t>
      </w:r>
      <w:r>
        <w:rPr>
          <w:spacing w:val="-42"/>
        </w:rPr>
        <w:t> </w:t>
      </w:r>
      <w:r>
        <w:rPr>
          <w:spacing w:val="-42"/>
        </w:rPr>
      </w:r>
      <w:r>
        <w:rPr/>
        <w:t>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w:t>
      </w:r>
      <w:r>
        <w:rPr>
          <w:spacing w:val="-81"/>
        </w:rPr>
        <w:t> </w:t>
      </w:r>
      <w:r>
        <w:rPr/>
        <w:t>定的资产减值损失的，本公司全额确认该损失。 </w:t>
      </w:r>
      <w:r>
        <w:rPr>
          <w:spacing w:val="-2"/>
        </w:rPr>
        <w:t>本公司自共同经营购买资产等（该资产构成业务的除外），在将该资产等出售给第三方之前，仅确认因该交易产生的损益中</w:t>
      </w:r>
    </w:p>
    <w:p>
      <w:pPr>
        <w:pStyle w:val="BodyText"/>
        <w:spacing w:line="240" w:lineRule="auto" w:before="46"/>
        <w:ind w:right="0"/>
        <w:jc w:val="left"/>
      </w:pPr>
      <w:r>
        <w:rPr/>
        <w:t>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w:t>
      </w:r>
    </w:p>
    <w:p>
      <w:pPr>
        <w:spacing w:after="0" w:line="240" w:lineRule="auto"/>
        <w:jc w:val="left"/>
        <w:sectPr>
          <w:footerReference w:type="default" r:id="rId14"/>
          <w:pgSz w:w="11910" w:h="16850"/>
          <w:pgMar w:footer="981" w:header="73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0"/>
        <w:jc w:val="left"/>
      </w:pPr>
      <w:r>
        <w:rPr/>
        <w:t>本公司按承担的份额确认该部分损失。 </w:t>
      </w:r>
      <w:r>
        <w:rPr>
          <w:spacing w:val="-2"/>
        </w:rPr>
        <w:t>本公司对共同经营不享有共同控制，如果本公司享有该共同经营相关资产且承担该共同经营相关负债的，仍按上述原则进行</w:t>
      </w:r>
      <w:r>
        <w:rPr>
          <w:spacing w:val="-72"/>
        </w:rPr>
        <w:t> </w:t>
      </w:r>
      <w:r>
        <w:rPr>
          <w:spacing w:val="-72"/>
        </w:rPr>
      </w:r>
      <w:r>
        <w:rPr/>
        <w:t>会计处理，否则，应当按照相关企业会计准则的规定进行会计处理。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left"/>
        <w:rPr>
          <w:b w:val="0"/>
          <w:bCs w:val="0"/>
        </w:rPr>
      </w:pPr>
      <w:bookmarkStart w:name="8、现金及现金等价物的确定标准" w:id="176"/>
      <w:bookmarkEnd w:id="17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0"/>
        <w:jc w:val="left"/>
      </w:pPr>
      <w:r>
        <w:rPr>
          <w:spacing w:val="-2"/>
        </w:rPr>
        <w:t>在编制现金流量表时，将本公司库存现金以及可以随时用于支付的存款确认为现金。将同时具备期限短（一般从购买日起三</w:t>
      </w:r>
      <w:r>
        <w:rPr>
          <w:spacing w:val="-75"/>
        </w:rPr>
        <w:t> </w:t>
      </w:r>
      <w:r>
        <w:rPr>
          <w:spacing w:val="-75"/>
        </w:rPr>
      </w:r>
      <w:r>
        <w:rPr/>
        <w:t>个月内到期）、流动性强、易于转换为已知金额的现金、价值变动风险很小四个条件的投资，确定为现金等价物。</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276" w:lineRule="auto" w:before="0"/>
        <w:ind w:right="3549"/>
        <w:jc w:val="left"/>
      </w:pPr>
      <w:r>
        <w:rPr>
          <w:rFonts w:ascii="Times New Roman" w:hAnsi="Times New Roman" w:cs="Times New Roman" w:eastAsia="Times New Roman" w:hint="default"/>
        </w:rPr>
        <w:t>1</w:t>
      </w:r>
      <w:r>
        <w:rPr/>
        <w:t>．</w:t>
      </w:r>
      <w:r>
        <w:rPr>
          <w:spacing w:val="60"/>
        </w:rPr>
        <w:t> </w:t>
      </w:r>
      <w:r>
        <w:rPr/>
        <w:t>外币业务</w:t>
      </w:r>
      <w:r>
        <w:rPr/>
        <w:t> 外币业务交易在初始确认时，采用交易发生日的即期汇率作为折算汇率折合成人民币记账。</w:t>
      </w:r>
    </w:p>
    <w:p>
      <w:pPr>
        <w:pStyle w:val="BodyText"/>
        <w:spacing w:line="316" w:lineRule="auto" w:before="53"/>
        <w:ind w:right="0"/>
        <w:jc w:val="left"/>
      </w:pPr>
      <w:r>
        <w:rPr>
          <w:spacing w:val="-2"/>
        </w:rPr>
        <w:t>资产负债表日，外币货币性项目按资产负债表日即期汇率折算，由此产生的汇兑差额，除属于与购建符合资本化条件的资产</w:t>
      </w:r>
      <w:r>
        <w:rPr>
          <w:spacing w:val="-75"/>
        </w:rPr>
        <w:t> </w:t>
      </w:r>
      <w:r>
        <w:rPr>
          <w:spacing w:val="-75"/>
        </w:rPr>
      </w:r>
      <w:r>
        <w:rPr>
          <w:spacing w:val="-2"/>
        </w:rPr>
        <w:t>相关的外币专门借款产生的汇兑差额按照借款费用资本化的原则处理外，均计入当期损益。以历史成本计量的外币非货币性</w:t>
      </w:r>
      <w:r>
        <w:rPr>
          <w:spacing w:val="-68"/>
        </w:rPr>
        <w:t> </w:t>
      </w:r>
      <w:r>
        <w:rPr>
          <w:spacing w:val="-68"/>
        </w:rPr>
      </w:r>
      <w:r>
        <w:rPr/>
        <w:t>项目，仍采用交易发生日的即期汇率折算，不改变其记账本位币金额。 </w:t>
      </w:r>
      <w:r>
        <w:rPr>
          <w:spacing w:val="-2"/>
        </w:rPr>
        <w:t>以公允价值计量的外币非货币性项目，采用公允价值确定日的即期汇率折算，由此产生的汇兑差额作为公允价值变动损益计</w:t>
      </w:r>
      <w:r>
        <w:rPr>
          <w:spacing w:val="-72"/>
        </w:rPr>
        <w:t> </w:t>
      </w:r>
      <w:r>
        <w:rPr>
          <w:spacing w:val="-72"/>
        </w:rPr>
      </w:r>
      <w:r>
        <w:rPr/>
        <w:t>入当期损益。如属于可供出售外币非货币性项目的，形成的汇兑差额计入其他综合收益。</w:t>
      </w:r>
    </w:p>
    <w:p>
      <w:pPr>
        <w:pStyle w:val="BodyText"/>
        <w:spacing w:line="240" w:lineRule="auto" w:before="37"/>
        <w:ind w:right="0"/>
        <w:jc w:val="left"/>
      </w:pPr>
      <w:r>
        <w:rPr>
          <w:rFonts w:ascii="Times New Roman" w:hAnsi="Times New Roman" w:cs="Times New Roman" w:eastAsia="Times New Roman" w:hint="default"/>
        </w:rPr>
        <w:t>2</w:t>
      </w:r>
      <w:r>
        <w:rPr/>
        <w:t>．</w:t>
      </w:r>
      <w:r>
        <w:rPr>
          <w:spacing w:val="60"/>
        </w:rPr>
        <w:t> </w:t>
      </w:r>
      <w:r>
        <w:rPr/>
        <w:t>外币财务报表的折算</w:t>
      </w:r>
    </w:p>
    <w:p>
      <w:pPr>
        <w:pStyle w:val="BodyText"/>
        <w:spacing w:line="312" w:lineRule="auto" w:before="66"/>
        <w:ind w:right="1029"/>
        <w:jc w:val="left"/>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 </w:t>
      </w:r>
      <w:r>
        <w:rPr>
          <w:spacing w:val="-2"/>
        </w:rPr>
        <w:t>用发生时的即期汇率折算。利润表中的收入和费用项目，采用交易发生日的即期汇率折算。按照上述折算产生的外币财务报</w:t>
      </w:r>
      <w:r>
        <w:rPr>
          <w:spacing w:val="-69"/>
        </w:rPr>
        <w:t> </w:t>
      </w:r>
      <w:r>
        <w:rPr>
          <w:spacing w:val="-69"/>
        </w:rPr>
      </w:r>
      <w:r>
        <w:rPr/>
        <w:t>表折算差额计入其他综合收益。 </w:t>
      </w:r>
      <w:r>
        <w:rPr>
          <w:spacing w:val="-2"/>
        </w:rPr>
        <w:t>处置境外经营时，将资产负债表中其他综合收益项目中列示的、与该境外经营相关的外币财务报表折算差额，自其他综合收</w:t>
      </w:r>
      <w:r>
        <w:rPr>
          <w:spacing w:val="-75"/>
        </w:rPr>
        <w:t> </w:t>
      </w:r>
      <w:r>
        <w:rPr>
          <w:spacing w:val="-75"/>
        </w:rPr>
      </w:r>
      <w:r>
        <w:rPr/>
        <w:t>益项目转入处置当期损益；在处置部分股权投资或其他原因导致持有境外经营权益比例降低但不丧失对境外经营控制权时， </w:t>
      </w:r>
      <w:r>
        <w:rPr>
          <w:spacing w:val="-2"/>
        </w:rPr>
        <w:t>与该境外经营处置部分相关的外币报表折算差额将归属于少数股东权益，不转入当期损益。在处置境外经营为联营企业或合</w:t>
      </w:r>
    </w:p>
    <w:p>
      <w:pPr>
        <w:pStyle w:val="BodyText"/>
        <w:spacing w:line="240" w:lineRule="auto" w:before="25"/>
        <w:ind w:right="0"/>
        <w:jc w:val="left"/>
      </w:pPr>
      <w:r>
        <w:rPr/>
        <w:t>营企业的部分股权时，与该境外经营相关的外币报表折算差额，按处置该境外经营的比例转入处置当期损益。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3"/>
        <w:rPr>
          <w:rFonts w:ascii="宋体" w:hAnsi="宋体" w:cs="宋体" w:eastAsia="宋体" w:hint="default"/>
          <w:b/>
          <w:bCs/>
          <w:sz w:val="25"/>
          <w:szCs w:val="25"/>
        </w:rPr>
      </w:pPr>
    </w:p>
    <w:p>
      <w:pPr>
        <w:pStyle w:val="BodyText"/>
        <w:spacing w:line="312" w:lineRule="auto" w:before="0"/>
        <w:ind w:right="0"/>
        <w:jc w:val="left"/>
      </w:pPr>
      <w:r>
        <w:rPr/>
        <w:t>在本公司成为金融工具合同的一方时确认一项金融资产或金融负债。 实际利率法是指计算金融资产或金融负债的摊余成本以及将利息收入或利息费用分摊计入各会计期间的方法。 </w:t>
      </w:r>
      <w:r>
        <w:rPr>
          <w:spacing w:val="-2"/>
        </w:rPr>
        <w:t>实际利率，是指将金融资产或金融负债在预计存续期的估计未来现金流量，折现为该金融资产账面余额或该金融负债摊余成</w:t>
      </w:r>
      <w:r>
        <w:rPr>
          <w:spacing w:val="-72"/>
        </w:rPr>
        <w:t> </w:t>
      </w:r>
      <w:r>
        <w:rPr>
          <w:spacing w:val="-72"/>
        </w:rPr>
      </w:r>
      <w:r>
        <w:rPr/>
        <w:t>本所使用的利率。在确定实际利率时，在考虑金融资产或金融负债所有合同条款</w:t>
      </w:r>
      <w:r>
        <w:rPr>
          <w:rFonts w:ascii="Times New Roman" w:hAnsi="Times New Roman" w:cs="Times New Roman" w:eastAsia="Times New Roman" w:hint="default"/>
        </w:rPr>
        <w:t>(</w:t>
      </w:r>
      <w:r>
        <w:rPr/>
        <w:t>如提前还款、展期、看涨期权或其他类似</w:t>
      </w:r>
      <w:r>
        <w:rPr>
          <w:spacing w:val="-82"/>
        </w:rPr>
        <w:t> </w:t>
      </w:r>
      <w:r>
        <w:rPr/>
        <w:t>期权等</w:t>
      </w:r>
      <w:r>
        <w:rPr>
          <w:rFonts w:ascii="Times New Roman" w:hAnsi="Times New Roman" w:cs="Times New Roman" w:eastAsia="Times New Roman" w:hint="default"/>
        </w:rPr>
        <w:t>)</w:t>
      </w:r>
      <w:r>
        <w:rPr/>
        <w:t>的基础上估计预期现金流量，但不考虑预期信用损失。 </w:t>
      </w:r>
      <w:r>
        <w:rPr>
          <w:spacing w:val="-2"/>
        </w:rPr>
        <w:t>金融资产或金融负债的摊余成本是以该金融资产或金融负债的初始确认金额扣除已偿还的本金，加上或减去采用实际利率法</w:t>
      </w:r>
    </w:p>
    <w:p>
      <w:pPr>
        <w:pStyle w:val="BodyText"/>
        <w:spacing w:line="288" w:lineRule="auto" w:before="41"/>
        <w:ind w:right="1089"/>
        <w:jc w:val="left"/>
      </w:pPr>
      <w:r>
        <w:rPr/>
        <w:t>将该初始确认金额与到期日金额之间的差额进行摊销形成的累计摊销额，再扣除累计计提的损失准备</w:t>
      </w:r>
      <w:r>
        <w:rPr>
          <w:rFonts w:ascii="Times New Roman" w:hAnsi="Times New Roman" w:cs="Times New Roman" w:eastAsia="Times New Roman" w:hint="default"/>
        </w:rPr>
        <w:t>(</w:t>
      </w:r>
      <w:r>
        <w:rPr/>
        <w:t>仅适用于金融资产</w:t>
      </w:r>
      <w:r>
        <w:rPr>
          <w:rFonts w:ascii="Times New Roman" w:hAnsi="Times New Roman" w:cs="Times New Roman" w:eastAsia="Times New Roman" w:hint="default"/>
        </w:rPr>
        <w:t>)</w:t>
      </w:r>
      <w:r>
        <w:rPr/>
        <w:t>。</w:t>
      </w:r>
      <w:r>
        <w:rPr>
          <w:spacing w:val="-79"/>
        </w:rPr>
        <w:t> </w:t>
      </w:r>
      <w:r>
        <w:rPr>
          <w:rFonts w:ascii="Times New Roman" w:hAnsi="Times New Roman" w:cs="Times New Roman" w:eastAsia="Times New Roman" w:hint="default"/>
        </w:rPr>
        <w:t>1</w:t>
      </w:r>
      <w:r>
        <w:rPr/>
        <w:t>．</w:t>
      </w:r>
      <w:r>
        <w:rPr>
          <w:spacing w:val="60"/>
        </w:rPr>
        <w:t> </w:t>
      </w:r>
      <w:r>
        <w:rPr/>
        <w:t>金融资产分类和计量</w:t>
      </w:r>
      <w:r>
        <w:rPr/>
        <w:t> 本公司根据所管理金融资产的业务模式和金融资产的合同现金流量特征，将金融资产划分为以下三类：</w:t>
      </w:r>
    </w:p>
    <w:p>
      <w:pPr>
        <w:pStyle w:val="BodyText"/>
        <w:spacing w:line="240" w:lineRule="auto" w:before="58"/>
        <w:ind w:right="0"/>
        <w:jc w:val="left"/>
      </w:pPr>
      <w:r>
        <w:rPr/>
        <w:t>（</w:t>
      </w:r>
      <w:r>
        <w:rPr>
          <w:rFonts w:ascii="Times New Roman" w:hAnsi="Times New Roman" w:cs="Times New Roman" w:eastAsia="Times New Roman" w:hint="default"/>
        </w:rPr>
        <w:t>1</w:t>
      </w:r>
      <w:r>
        <w:rPr/>
        <w:t>）以摊余成本计量的金融资产。</w:t>
      </w:r>
    </w:p>
    <w:p>
      <w:pPr>
        <w:pStyle w:val="BodyText"/>
        <w:spacing w:line="240" w:lineRule="auto" w:before="66"/>
        <w:ind w:right="0"/>
        <w:jc w:val="left"/>
      </w:pPr>
      <w:r>
        <w:rPr/>
        <w:t>（</w:t>
      </w:r>
      <w:r>
        <w:rPr>
          <w:rFonts w:ascii="Times New Roman" w:hAnsi="Times New Roman" w:cs="Times New Roman" w:eastAsia="Times New Roman" w:hint="default"/>
        </w:rPr>
        <w:t>2</w:t>
      </w:r>
      <w:r>
        <w:rPr/>
        <w:t>）以公允价值计量且其变动计入其他综合收益的金融资产。</w:t>
      </w:r>
    </w:p>
    <w:p>
      <w:pPr>
        <w:pStyle w:val="BodyText"/>
        <w:spacing w:line="290" w:lineRule="auto" w:before="66"/>
        <w:ind w:right="0"/>
        <w:jc w:val="left"/>
      </w:pPr>
      <w:r>
        <w:rPr/>
        <w:t>（</w:t>
      </w:r>
      <w:r>
        <w:rPr>
          <w:rFonts w:ascii="Times New Roman" w:hAnsi="Times New Roman" w:cs="Times New Roman" w:eastAsia="Times New Roman" w:hint="default"/>
        </w:rPr>
        <w:t>3</w:t>
      </w:r>
      <w:r>
        <w:rPr/>
        <w:t>）以公允价值计量且其变动计入当期损益的金融资产。 </w:t>
      </w:r>
      <w:r>
        <w:rPr>
          <w:spacing w:val="-2"/>
        </w:rPr>
        <w:t>金融资产在初始确认时以公允价值计量，但是因销售商品或提供服务等产生的应收账款或应收票据未包含重大融资成分或不</w:t>
      </w:r>
    </w:p>
    <w:p>
      <w:pPr>
        <w:spacing w:after="0" w:line="290" w:lineRule="auto"/>
        <w:jc w:val="left"/>
        <w:sectPr>
          <w:footerReference w:type="default" r:id="rId15"/>
          <w:pgSz w:w="11910" w:h="16850"/>
          <w:pgMar w:footer="981" w:header="731" w:top="1040" w:bottom="1180" w:left="1000" w:right="0"/>
          <w:pgNumType w:start="101"/>
        </w:sectPr>
      </w:pPr>
    </w:p>
    <w:p>
      <w:pPr>
        <w:spacing w:line="240" w:lineRule="auto" w:before="1"/>
        <w:rPr>
          <w:rFonts w:ascii="宋体" w:hAnsi="宋体" w:cs="宋体" w:eastAsia="宋体" w:hint="default"/>
          <w:sz w:val="26"/>
          <w:szCs w:val="26"/>
        </w:rPr>
      </w:pPr>
    </w:p>
    <w:p>
      <w:pPr>
        <w:pStyle w:val="BodyText"/>
        <w:spacing w:line="316" w:lineRule="auto"/>
        <w:ind w:right="1091"/>
        <w:jc w:val="left"/>
      </w:pPr>
      <w:r>
        <w:rPr/>
        <w:t>考虑不超过一年的融资成分的，按照交易价格进行初始计量。 </w:t>
      </w:r>
      <w:r>
        <w:rPr>
          <w:spacing w:val="-2"/>
        </w:rPr>
        <w:t>对于以公允价值计量且其变动计入当期损益的金融资产，相关交易费用直接计入当期损益，其他类别的金融资产相关交易费</w:t>
      </w:r>
      <w:r>
        <w:rPr>
          <w:spacing w:val="-72"/>
        </w:rPr>
        <w:t> </w:t>
      </w:r>
      <w:r>
        <w:rPr>
          <w:spacing w:val="-72"/>
        </w:rPr>
      </w:r>
      <w:r>
        <w:rPr/>
        <w:t>用计入其初始确认金额。 </w:t>
      </w:r>
      <w:r>
        <w:rPr>
          <w:spacing w:val="-2"/>
        </w:rPr>
        <w:t>金融资产的后续计量取决于其分类，当且仅当本公司改变管理金融资产的业务模式时，才对所有受影响的相关金融资产进行</w:t>
      </w:r>
      <w:r>
        <w:rPr>
          <w:spacing w:val="-72"/>
        </w:rPr>
        <w:t> </w:t>
      </w:r>
      <w:r>
        <w:rPr>
          <w:spacing w:val="-72"/>
        </w:rPr>
      </w:r>
      <w:r>
        <w:rPr/>
        <w:t>重分类。</w:t>
      </w:r>
    </w:p>
    <w:p>
      <w:pPr>
        <w:pStyle w:val="BodyText"/>
        <w:spacing w:line="312" w:lineRule="auto" w:before="37"/>
        <w:ind w:right="0"/>
        <w:jc w:val="left"/>
      </w:pPr>
      <w:r>
        <w:rPr/>
        <w:t>（</w:t>
      </w:r>
      <w:r>
        <w:rPr>
          <w:rFonts w:ascii="Times New Roman" w:hAnsi="Times New Roman" w:cs="Times New Roman" w:eastAsia="Times New Roman" w:hint="default"/>
        </w:rPr>
        <w:t>1</w:t>
      </w:r>
      <w:r>
        <w:rPr/>
        <w:t>）分类为以摊余成本计量的金融资产 </w:t>
      </w:r>
      <w:r>
        <w:rPr>
          <w:spacing w:val="-2"/>
        </w:rPr>
        <w:t>金融资产的合同条款规定在特定日期产生的现金流量仅为对本金和以未偿付本金金额为基础的利息的支付，且管理该金融资</w:t>
      </w:r>
      <w:r>
        <w:rPr>
          <w:spacing w:val="-58"/>
        </w:rPr>
        <w:t> </w:t>
      </w:r>
      <w:r>
        <w:rPr>
          <w:spacing w:val="-58"/>
        </w:rPr>
      </w:r>
      <w:r>
        <w:rPr>
          <w:spacing w:val="-2"/>
        </w:rPr>
        <w:t>产的业务模式是以收取合同现金流量为目标，则本公司将该金融资产分类为以摊余成本计量的金融资产。本公司分类为以摊</w:t>
      </w:r>
      <w:r>
        <w:rPr>
          <w:spacing w:val="-67"/>
        </w:rPr>
        <w:t> </w:t>
      </w:r>
      <w:r>
        <w:rPr>
          <w:spacing w:val="-67"/>
        </w:rPr>
      </w:r>
      <w:r>
        <w:rPr/>
        <w:t>余成本计量的金融资产包括货币资金、应收票据及应收账款、其他应收款、长期应收款、债权投资等。 </w:t>
      </w:r>
      <w:r>
        <w:rPr>
          <w:spacing w:val="-2"/>
        </w:rPr>
        <w:t>本公司对此类金融资产采用实际利率法确认利息收入，按摊余成本进行后续计量，其发生减值时或终止确认、修改产生的利</w:t>
      </w:r>
      <w:r>
        <w:rPr>
          <w:spacing w:val="-75"/>
        </w:rPr>
        <w:t> </w:t>
      </w:r>
      <w:r>
        <w:rPr>
          <w:spacing w:val="-75"/>
        </w:rPr>
      </w:r>
      <w:r>
        <w:rPr/>
        <w:t>得或损失，计入当期损益。除下列情况外，本公司根据金融资产账面余额乘以实际利率计算确定利息收入：</w:t>
      </w:r>
    </w:p>
    <w:p>
      <w:pPr>
        <w:pStyle w:val="BodyText"/>
        <w:spacing w:line="304" w:lineRule="auto" w:before="41"/>
        <w:ind w:right="1119"/>
        <w:jc w:val="left"/>
      </w:pPr>
      <w:r>
        <w:rPr>
          <w:rFonts w:ascii="Times New Roman" w:hAnsi="Times New Roman" w:cs="Times New Roman" w:eastAsia="Times New Roman" w:hint="default"/>
        </w:rPr>
        <w:t>1</w:t>
      </w:r>
      <w:r>
        <w:rPr/>
        <w:t>）对于购入或源生的已发生信用减值的金融资产，本公司自初始确认起，按照该金融资产的摊余成本和经信用调整的实际 利率计算确定其利息收入。 </w:t>
      </w:r>
      <w:r>
        <w:rPr>
          <w:rFonts w:ascii="Times New Roman" w:hAnsi="Times New Roman" w:cs="Times New Roman" w:eastAsia="Times New Roman" w:hint="default"/>
        </w:rPr>
        <w:t>2</w:t>
      </w:r>
      <w:r>
        <w:rPr/>
        <w:t>）对于购入或源生的未发生信用减值、但在后续期间成为已发生信用减值的金融资产，本公司在后续期间，按照该金融资 </w:t>
      </w:r>
      <w:r>
        <w:rPr>
          <w:spacing w:val="-2"/>
        </w:rPr>
        <w:t>产的摊余成本和实际利率计算确定其利息收入。若该金融工具在后续期间因其信用风险有所改善而不再存在信用减值，本公</w:t>
      </w:r>
      <w:r>
        <w:rPr>
          <w:spacing w:val="-72"/>
        </w:rPr>
        <w:t> </w:t>
      </w:r>
      <w:r>
        <w:rPr>
          <w:spacing w:val="-72"/>
        </w:rPr>
      </w:r>
      <w:r>
        <w:rPr/>
        <w:t>司转按实际利率乘以该金融资产账面余额来计算确定利息收入。</w:t>
      </w:r>
    </w:p>
    <w:p>
      <w:pPr>
        <w:pStyle w:val="BodyText"/>
        <w:spacing w:line="312" w:lineRule="auto" w:before="46"/>
        <w:ind w:right="0"/>
        <w:jc w:val="left"/>
      </w:pPr>
      <w:r>
        <w:rPr/>
        <w:t>（</w:t>
      </w:r>
      <w:r>
        <w:rPr>
          <w:rFonts w:ascii="Times New Roman" w:hAnsi="Times New Roman" w:cs="Times New Roman" w:eastAsia="Times New Roman" w:hint="default"/>
        </w:rPr>
        <w:t>2</w:t>
      </w:r>
      <w:r>
        <w:rPr/>
        <w:t>）分类为以公允价值计量且其变动计入其他综合收益的金融资产 </w:t>
      </w:r>
      <w:r>
        <w:rPr>
          <w:spacing w:val="-2"/>
        </w:rPr>
        <w:t>金融资产的合同条款规定在特定日期产生的现金流量仅为对本金和以未偿付本金金额为基础的利息的支付，且管理该金融资</w:t>
      </w:r>
      <w:r>
        <w:rPr>
          <w:spacing w:val="-58"/>
        </w:rPr>
        <w:t> </w:t>
      </w:r>
      <w:r>
        <w:rPr>
          <w:spacing w:val="-58"/>
        </w:rPr>
      </w:r>
      <w:r>
        <w:rPr>
          <w:spacing w:val="-2"/>
        </w:rPr>
        <w:t>产的业务模式既以收取合同现金流量为目标又以出售该金融资产为目标，则本公司将该金融资产分类为以公允价值计量且其</w:t>
      </w:r>
      <w:r>
        <w:rPr>
          <w:spacing w:val="-48"/>
        </w:rPr>
        <w:t> </w:t>
      </w:r>
      <w:r>
        <w:rPr>
          <w:spacing w:val="-48"/>
        </w:rPr>
      </w:r>
      <w:r>
        <w:rPr/>
        <w:t>变动计入其他综合收益的金融资产。 </w:t>
      </w:r>
      <w:r>
        <w:rPr>
          <w:spacing w:val="-2"/>
        </w:rPr>
        <w:t>本公司对此类金融资产采用实际利率法确认利息收入。除利息收入、减值损失及汇兑差额确认为当期损益外，其余公允价值</w:t>
      </w:r>
      <w:r>
        <w:rPr>
          <w:spacing w:val="-75"/>
        </w:rPr>
        <w:t> </w:t>
      </w:r>
      <w:r>
        <w:rPr>
          <w:spacing w:val="-75"/>
        </w:rPr>
      </w:r>
      <w:r>
        <w:rPr>
          <w:spacing w:val="-2"/>
        </w:rPr>
        <w:t>变动计入其他综合收益。当该金融资产终止确认时，之前计入其他综合收益的累计利得或损失从其他综合收益中转出，计入</w:t>
      </w:r>
    </w:p>
    <w:p>
      <w:pPr>
        <w:pStyle w:val="BodyText"/>
        <w:spacing w:line="316" w:lineRule="auto" w:before="26"/>
        <w:ind w:right="1091"/>
        <w:jc w:val="left"/>
      </w:pPr>
      <w:r>
        <w:rPr/>
        <w:t>当期损益。 </w:t>
      </w:r>
      <w:r>
        <w:rPr>
          <w:spacing w:val="-2"/>
        </w:rPr>
        <w:t>以公允价值计量且变动计入其他综合收益的应收票据及应收账款列报为应收款项融资，其他此类金融资产列报为其他债权投</w:t>
      </w:r>
      <w:r>
        <w:rPr>
          <w:spacing w:val="-58"/>
        </w:rPr>
        <w:t> </w:t>
      </w:r>
      <w:r>
        <w:rPr>
          <w:spacing w:val="-58"/>
        </w:rPr>
      </w:r>
      <w:r>
        <w:rPr>
          <w:spacing w:val="-2"/>
        </w:rPr>
        <w:t>资，其中：自资产负债表日起一年内到期的其他债权投资列报为一年内到期的非流动资产，原到期日在一年以内的其他债权</w:t>
      </w:r>
      <w:r>
        <w:rPr>
          <w:spacing w:val="-75"/>
        </w:rPr>
        <w:t> </w:t>
      </w:r>
      <w:r>
        <w:rPr>
          <w:spacing w:val="-75"/>
        </w:rPr>
      </w:r>
      <w:r>
        <w:rPr/>
        <w:t>投资列报为其他流动资产。</w:t>
      </w:r>
    </w:p>
    <w:p>
      <w:pPr>
        <w:pStyle w:val="BodyText"/>
        <w:spacing w:line="314" w:lineRule="auto" w:before="37"/>
        <w:ind w:right="0"/>
        <w:jc w:val="left"/>
      </w:pPr>
      <w:r>
        <w:rPr/>
        <w:t>（</w:t>
      </w:r>
      <w:r>
        <w:rPr>
          <w:rFonts w:ascii="Times New Roman" w:hAnsi="Times New Roman" w:cs="Times New Roman" w:eastAsia="Times New Roman" w:hint="default"/>
        </w:rPr>
        <w:t>3</w:t>
      </w:r>
      <w:r>
        <w:rPr/>
        <w:t>）指定为以公允价值计量且其变动计入其他综合收益的金融资产 </w:t>
      </w:r>
      <w:r>
        <w:rPr>
          <w:spacing w:val="-2"/>
        </w:rPr>
        <w:t>在初始确认时，本公司可以单项金融资产为基础不可撤销地将非交易性权益工具投资指定为以公允价值计量且其变动计入其</w:t>
      </w:r>
      <w:r>
        <w:rPr>
          <w:spacing w:val="-58"/>
        </w:rPr>
        <w:t> </w:t>
      </w:r>
      <w:r>
        <w:rPr>
          <w:spacing w:val="-58"/>
        </w:rPr>
      </w:r>
      <w:r>
        <w:rPr/>
        <w:t>他综合收益的金融资产。 </w:t>
      </w:r>
      <w:r>
        <w:rPr>
          <w:spacing w:val="-2"/>
        </w:rPr>
        <w:t>此类金融资产的公允价值变动计入其他综合收益，不需计提减值准备。该金融资产终止确认时，之前计入其他综合收益的累</w:t>
      </w:r>
      <w:r>
        <w:rPr>
          <w:spacing w:val="-75"/>
        </w:rPr>
        <w:t> </w:t>
      </w:r>
      <w:r>
        <w:rPr>
          <w:spacing w:val="-75"/>
        </w:rPr>
      </w:r>
      <w:r>
        <w:rPr>
          <w:spacing w:val="-4"/>
        </w:rPr>
        <w:t>计利得或损失从其他综合收益中转出，计入留存收益。本公司持有该权益工具投资期间，在本公司收取股利的权利已经确立，</w:t>
      </w:r>
      <w:r>
        <w:rPr>
          <w:spacing w:val="-50"/>
        </w:rPr>
        <w:t> </w:t>
      </w:r>
      <w:r>
        <w:rPr>
          <w:spacing w:val="-50"/>
        </w:rPr>
      </w:r>
      <w:r>
        <w:rPr>
          <w:spacing w:val="-2"/>
        </w:rPr>
        <w:t>与股利相关的经济利益很可能流入本公司，且股利的金额能够可靠计量时，确认股利收入并计入当期损益。本公司对此类金</w:t>
      </w:r>
      <w:r>
        <w:rPr>
          <w:spacing w:val="-65"/>
        </w:rPr>
        <w:t> </w:t>
      </w:r>
      <w:r>
        <w:rPr>
          <w:spacing w:val="-65"/>
        </w:rPr>
      </w:r>
      <w:r>
        <w:rPr/>
        <w:t>融资产在其他权益工具投资项目下列报。 </w:t>
      </w:r>
      <w:r>
        <w:rPr>
          <w:spacing w:val="-2"/>
        </w:rPr>
        <w:t>权益工具投资满足下列条件之一的，属于以公允价值计量且其变动计入当期损益的金融资产：取得该金融资产的目的主要是</w:t>
      </w:r>
      <w:r>
        <w:rPr>
          <w:spacing w:val="-72"/>
        </w:rPr>
        <w:t> </w:t>
      </w:r>
      <w:r>
        <w:rPr>
          <w:spacing w:val="-72"/>
        </w:rPr>
      </w:r>
      <w:r>
        <w:rPr>
          <w:spacing w:val="-2"/>
        </w:rPr>
        <w:t>为了近期出售；初始确认时属于集中管理的可辨认金融资产工具组合的一部分，且有客观证据表明近期实际存在短期获利模</w:t>
      </w:r>
    </w:p>
    <w:p>
      <w:pPr>
        <w:pStyle w:val="BodyText"/>
        <w:spacing w:line="240" w:lineRule="auto" w:before="23"/>
        <w:ind w:right="0"/>
        <w:jc w:val="left"/>
      </w:pPr>
      <w:r>
        <w:rPr/>
        <w:t>式；属于衍生工具（符合财务担保合同定义的以及被指定为有效套期工具的衍生工具除外）。</w:t>
      </w:r>
    </w:p>
    <w:p>
      <w:pPr>
        <w:pStyle w:val="BodyText"/>
        <w:spacing w:line="309" w:lineRule="auto" w:before="95"/>
        <w:ind w:right="0"/>
        <w:jc w:val="left"/>
      </w:pPr>
      <w:r>
        <w:rPr/>
        <w:t>（</w:t>
      </w:r>
      <w:r>
        <w:rPr>
          <w:rFonts w:ascii="Times New Roman" w:hAnsi="Times New Roman" w:cs="Times New Roman" w:eastAsia="Times New Roman" w:hint="default"/>
        </w:rPr>
        <w:t>4</w:t>
      </w:r>
      <w:r>
        <w:rPr/>
        <w:t>）分类为以公允价值计量且其变动计入当期损益的金融资产 </w:t>
      </w:r>
      <w:r>
        <w:rPr>
          <w:spacing w:val="-2"/>
        </w:rPr>
        <w:t>不符合分类为以摊余成本计量或以公允价值计量且其变动计入其他综合收益的金融资产条件、亦不指定为以公允价值计量且</w:t>
      </w:r>
      <w:r>
        <w:rPr>
          <w:spacing w:val="-47"/>
        </w:rPr>
        <w:t> </w:t>
      </w:r>
      <w:r>
        <w:rPr>
          <w:spacing w:val="-47"/>
        </w:rPr>
      </w:r>
      <w:r>
        <w:rPr/>
        <w:t>其变动计入其他综合收益的金融资产均分类为以公允价值计量且其变动计入当期损益的金融资产。 </w:t>
      </w:r>
      <w:r>
        <w:rPr>
          <w:spacing w:val="-2"/>
        </w:rPr>
        <w:t>本公司对此类金融资产采用公允价值进行后续计量，将公允价值变动形成的利得或损失以及与此类金融资产相关的股利和利</w:t>
      </w:r>
      <w:r>
        <w:rPr>
          <w:spacing w:val="-58"/>
        </w:rPr>
        <w:t> </w:t>
      </w:r>
      <w:r>
        <w:rPr>
          <w:spacing w:val="-58"/>
        </w:rPr>
      </w:r>
      <w:r>
        <w:rPr/>
        <w:t>息收入计入当期损益。</w:t>
      </w:r>
    </w:p>
    <w:p>
      <w:pPr>
        <w:pStyle w:val="BodyText"/>
        <w:spacing w:line="240" w:lineRule="auto" w:before="27"/>
        <w:ind w:right="0"/>
        <w:jc w:val="left"/>
      </w:pPr>
      <w:r>
        <w:rPr/>
        <w:t>本公司对此类金融资产根据其流动性在交易性金融资产、其他非流动金融资产项目列报。</w:t>
      </w:r>
    </w:p>
    <w:p>
      <w:pPr>
        <w:pStyle w:val="BodyText"/>
        <w:spacing w:line="276" w:lineRule="auto" w:before="95"/>
        <w:ind w:right="0"/>
        <w:jc w:val="left"/>
      </w:pPr>
      <w:r>
        <w:rPr/>
        <w:t>（</w:t>
      </w:r>
      <w:r>
        <w:rPr>
          <w:rFonts w:ascii="Times New Roman" w:hAnsi="Times New Roman" w:cs="Times New Roman" w:eastAsia="Times New Roman" w:hint="default"/>
        </w:rPr>
        <w:t>5</w:t>
      </w:r>
      <w:r>
        <w:rPr/>
        <w:t>）指定为以公允价值计量且其变动计入当期损益的金融资产 </w:t>
      </w:r>
      <w:r>
        <w:rPr>
          <w:spacing w:val="-2"/>
        </w:rPr>
        <w:t>在初始确认时，本公司为了消除或显著减少会计错配，可以单项金融资产为基础不可撤销地将金融资产指定为以公允价值计</w:t>
      </w:r>
    </w:p>
    <w:p>
      <w:pPr>
        <w:spacing w:after="0" w:line="276"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0"/>
        <w:jc w:val="left"/>
      </w:pPr>
      <w:r>
        <w:rPr/>
        <w:t>量且其变动计入当期损益的金融资产。 </w:t>
      </w:r>
      <w:r>
        <w:rPr>
          <w:spacing w:val="-2"/>
        </w:rPr>
        <w:t>混合合同包含一项或多项嵌入衍生工具，且其主合同不属于以上金融资产的，本公司可以将其整体指定为以公允价值计量且</w:t>
      </w:r>
      <w:r>
        <w:rPr>
          <w:spacing w:val="-72"/>
        </w:rPr>
        <w:t> </w:t>
      </w:r>
      <w:r>
        <w:rPr>
          <w:spacing w:val="-72"/>
        </w:rPr>
      </w:r>
      <w:r>
        <w:rPr/>
        <w:t>其变动计入当期损益的金融工具。但下列情况除外：</w:t>
      </w:r>
    </w:p>
    <w:p>
      <w:pPr>
        <w:pStyle w:val="BodyText"/>
        <w:spacing w:line="240" w:lineRule="auto" w:before="18"/>
        <w:ind w:right="0"/>
        <w:jc w:val="left"/>
      </w:pPr>
      <w:r>
        <w:rPr>
          <w:rFonts w:ascii="Times New Roman" w:hAnsi="Times New Roman" w:cs="Times New Roman" w:eastAsia="Times New Roman" w:hint="default"/>
        </w:rPr>
        <w:t>1</w:t>
      </w:r>
      <w:r>
        <w:rPr/>
        <w:t>）嵌入衍生工具不会对混合合同的现金流量产生重大改变。</w:t>
      </w:r>
    </w:p>
    <w:p>
      <w:pPr>
        <w:pStyle w:val="BodyText"/>
        <w:spacing w:line="309" w:lineRule="auto" w:before="66"/>
        <w:ind w:right="1119"/>
        <w:jc w:val="left"/>
      </w:pPr>
      <w:r>
        <w:rPr>
          <w:rFonts w:ascii="Times New Roman" w:hAnsi="Times New Roman" w:cs="Times New Roman" w:eastAsia="Times New Roman" w:hint="default"/>
        </w:rPr>
        <w:t>2</w:t>
      </w:r>
      <w:r>
        <w:rPr/>
        <w:t>）在初次确定类似的混合合同是否需要分拆时，几乎不需分析就能明确其包含的嵌入衍生工具不应分拆。如嵌入贷款的提 前还款权，允许持有人以接近摊余成本的金额提前偿还贷款，该提前还款权不需要分拆。 </w:t>
      </w:r>
      <w:r>
        <w:rPr>
          <w:spacing w:val="-2"/>
        </w:rPr>
        <w:t>本公司对此类金融资产采用公允价值进行后续计量，将公允价值变动形成的利得或损失以及与此类金融资产相关的股利和利</w:t>
      </w:r>
      <w:r>
        <w:rPr>
          <w:spacing w:val="-58"/>
        </w:rPr>
        <w:t> </w:t>
      </w:r>
      <w:r>
        <w:rPr>
          <w:spacing w:val="-58"/>
        </w:rPr>
      </w:r>
      <w:r>
        <w:rPr/>
        <w:t>息收入计入当期损益。</w:t>
      </w:r>
    </w:p>
    <w:p>
      <w:pPr>
        <w:pStyle w:val="BodyText"/>
        <w:spacing w:line="240" w:lineRule="auto" w:before="12"/>
        <w:ind w:right="0"/>
        <w:jc w:val="left"/>
      </w:pPr>
      <w:r>
        <w:rPr/>
        <w:t>本公司对此类金融资产根据其流动性在交易性金融资产、其他非流动金融资产项目列报。</w:t>
      </w:r>
    </w:p>
    <w:p>
      <w:pPr>
        <w:pStyle w:val="BodyText"/>
        <w:spacing w:line="312" w:lineRule="auto" w:before="95"/>
        <w:ind w:right="0"/>
        <w:jc w:val="left"/>
      </w:pPr>
      <w:r>
        <w:rPr>
          <w:rFonts w:ascii="Times New Roman" w:hAnsi="Times New Roman" w:cs="Times New Roman" w:eastAsia="Times New Roman" w:hint="default"/>
        </w:rPr>
        <w:t>2</w:t>
      </w:r>
      <w:r>
        <w:rPr/>
        <w:t>．</w:t>
      </w:r>
      <w:r>
        <w:rPr>
          <w:spacing w:val="60"/>
        </w:rPr>
        <w:t> </w:t>
      </w:r>
      <w:r>
        <w:rPr/>
        <w:t>金融负债分类和计量</w:t>
      </w:r>
      <w:r>
        <w:rPr/>
        <w:t> </w:t>
      </w:r>
      <w:r>
        <w:rPr>
          <w:spacing w:val="-2"/>
        </w:rPr>
        <w:t>本公司根据所发行金融工具的合同条款及其所反映的经济实质而非仅以法律形式，结合金融负债和权益工具的定义，在初始</w:t>
      </w:r>
      <w:r>
        <w:rPr>
          <w:spacing w:val="-72"/>
        </w:rPr>
        <w:t> </w:t>
      </w:r>
      <w:r>
        <w:rPr>
          <w:spacing w:val="-72"/>
        </w:rPr>
      </w:r>
      <w:r>
        <w:rPr>
          <w:spacing w:val="-2"/>
        </w:rPr>
        <w:t>确认时将该金融工具或其组成部分分类为金融负债或权益工具。金融负债在初始确认时分类为：以公允价值计量且其变动计</w:t>
      </w:r>
      <w:r>
        <w:rPr>
          <w:spacing w:val="-72"/>
        </w:rPr>
        <w:t> </w:t>
      </w:r>
      <w:r>
        <w:rPr>
          <w:spacing w:val="-72"/>
        </w:rPr>
      </w:r>
      <w:r>
        <w:rPr/>
        <w:t>入当期损益的金融负债、其他金融负债、被指定为有效套期工具的衍生工具。 </w:t>
      </w:r>
      <w:r>
        <w:rPr>
          <w:spacing w:val="-2"/>
        </w:rPr>
        <w:t>金融负债在初始确认时以公允价值计量。对于以公允价值计量且其变动计入当期损益的金融负债，相关的交易费用直接计入</w:t>
      </w:r>
      <w:r>
        <w:rPr>
          <w:spacing w:val="-61"/>
        </w:rPr>
        <w:t> </w:t>
      </w:r>
      <w:r>
        <w:rPr>
          <w:spacing w:val="-61"/>
        </w:rPr>
      </w:r>
      <w:r>
        <w:rPr/>
        <w:t>当期损益；对于其他类别的金融负债，相关交易费用计入初始确认金额。</w:t>
      </w:r>
    </w:p>
    <w:p>
      <w:pPr>
        <w:pStyle w:val="BodyText"/>
        <w:spacing w:line="240" w:lineRule="auto" w:before="25"/>
        <w:ind w:right="0"/>
        <w:jc w:val="left"/>
      </w:pPr>
      <w:r>
        <w:rPr/>
        <w:t>金融负债的后续计量取决于其分类：</w:t>
      </w:r>
    </w:p>
    <w:p>
      <w:pPr>
        <w:pStyle w:val="BodyText"/>
        <w:spacing w:line="312" w:lineRule="auto" w:before="95"/>
        <w:ind w:right="0"/>
        <w:jc w:val="left"/>
      </w:pPr>
      <w:r>
        <w:rPr/>
        <w:t>（</w:t>
      </w:r>
      <w:r>
        <w:rPr>
          <w:rFonts w:ascii="Times New Roman" w:hAnsi="Times New Roman" w:cs="Times New Roman" w:eastAsia="Times New Roman" w:hint="default"/>
        </w:rPr>
        <w:t>1</w:t>
      </w:r>
      <w:r>
        <w:rPr/>
        <w:t>）以公允价值计量且其变动计入当期损益的金融负债 </w:t>
      </w:r>
      <w:r>
        <w:rPr>
          <w:spacing w:val="-2"/>
        </w:rPr>
        <w:t>此类金融负债包括交易性金融负债（含属于金融负债的衍生工具）和初始确认时指定为以公允价值计量且其变动计入当期损</w:t>
      </w:r>
      <w:r>
        <w:rPr>
          <w:spacing w:val="-72"/>
        </w:rPr>
        <w:t> </w:t>
      </w:r>
      <w:r>
        <w:rPr>
          <w:spacing w:val="-72"/>
        </w:rPr>
      </w:r>
      <w:r>
        <w:rPr/>
        <w:t>益的金融负债。 </w:t>
      </w:r>
      <w:r>
        <w:rPr>
          <w:spacing w:val="-2"/>
        </w:rPr>
        <w:t>满足下列条件之一的，属于交易性金融负债：承担相关金融负债的目的主要是为了在近期内出售或回购；属于集中管理的可</w:t>
      </w:r>
      <w:r>
        <w:rPr>
          <w:spacing w:val="-75"/>
        </w:rPr>
        <w:t> </w:t>
      </w:r>
      <w:r>
        <w:rPr>
          <w:spacing w:val="-75"/>
        </w:rPr>
      </w:r>
      <w:r>
        <w:rPr>
          <w:spacing w:val="-2"/>
        </w:rPr>
        <w:t>辨认金融工具组合的一部分，且有客观证据表明企业近期采用短期获利方式模式；属于衍生工具，但是，被指定且为有效套</w:t>
      </w:r>
      <w:r>
        <w:rPr>
          <w:spacing w:val="-42"/>
        </w:rPr>
        <w:t> </w:t>
      </w:r>
      <w:r>
        <w:rPr>
          <w:spacing w:val="-42"/>
        </w:rPr>
      </w:r>
      <w:r>
        <w:rPr>
          <w:spacing w:val="-2"/>
        </w:rPr>
        <w:t>期工具的衍生工具、符合财务担保合同的衍生工具除外。交易性金融负债（含属于金融负债的衍生工具），按照公允价值进</w:t>
      </w:r>
    </w:p>
    <w:p>
      <w:pPr>
        <w:pStyle w:val="BodyText"/>
        <w:spacing w:line="314" w:lineRule="auto" w:before="26"/>
        <w:ind w:right="0"/>
        <w:jc w:val="left"/>
      </w:pPr>
      <w:r>
        <w:rPr/>
        <w:t>行后续计量，除与套期会计有关外，所有公允价值变动均计入当期损益。 </w:t>
      </w:r>
      <w:r>
        <w:rPr>
          <w:spacing w:val="-2"/>
        </w:rPr>
        <w:t>在初始确认时，为了提供更相关的会计信息，本公司将满足下列条件之一的金融负债不可撤销地指定为以公允价值计量且其</w:t>
      </w:r>
      <w:r>
        <w:rPr>
          <w:spacing w:val="-72"/>
        </w:rPr>
        <w:t> </w:t>
      </w:r>
      <w:r>
        <w:rPr>
          <w:spacing w:val="-72"/>
        </w:rPr>
      </w:r>
      <w:r>
        <w:rPr/>
        <w:t>变动计入当期损益的金融负债：</w:t>
      </w:r>
    </w:p>
    <w:p>
      <w:pPr>
        <w:pStyle w:val="BodyText"/>
        <w:spacing w:line="240" w:lineRule="auto" w:before="39"/>
        <w:ind w:right="0"/>
        <w:jc w:val="left"/>
      </w:pPr>
      <w:r>
        <w:rPr>
          <w:rFonts w:ascii="Times New Roman" w:hAnsi="Times New Roman" w:cs="Times New Roman" w:eastAsia="Times New Roman" w:hint="default"/>
        </w:rPr>
        <w:t>1</w:t>
      </w:r>
      <w:r>
        <w:rPr/>
        <w:t>）能够消除或显著减少会计错配。</w:t>
      </w:r>
    </w:p>
    <w:p>
      <w:pPr>
        <w:pStyle w:val="BodyText"/>
        <w:spacing w:line="309" w:lineRule="auto" w:before="66"/>
        <w:ind w:right="1119"/>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）根据正式书面文件载明的企业风险管理或投资策略，以公允价值为基础对金融负债组合或金融资产和金融负债组合进行 管理和业绩评价，并在企业内部以此为基础向关键管理人员报告。 </w:t>
      </w:r>
      <w:r>
        <w:rPr>
          <w:spacing w:val="-2"/>
        </w:rPr>
        <w:t>本公司对此类金融负债采用公允价值进行后续计量，除由本公司自身信用风险变动引起的公允价值变动计入其他综合收益之</w:t>
      </w:r>
      <w:r>
        <w:rPr>
          <w:spacing w:val="-57"/>
        </w:rPr>
        <w:t> </w:t>
      </w:r>
      <w:r>
        <w:rPr>
          <w:spacing w:val="-57"/>
        </w:rPr>
      </w:r>
      <w:r>
        <w:rPr>
          <w:spacing w:val="-2"/>
        </w:rPr>
        <w:t>外，其他公允价值变动计入当期损益。除非由本公司自身信用风险变动引起的公允价值变动计入其他综合收益会造成或扩大</w:t>
      </w:r>
      <w:r>
        <w:rPr>
          <w:spacing w:val="-72"/>
        </w:rPr>
        <w:t> </w:t>
      </w:r>
      <w:r>
        <w:rPr>
          <w:spacing w:val="-72"/>
        </w:rPr>
      </w:r>
      <w:r>
        <w:rPr/>
        <w:t>损益中的会计错配，本公司将所有公允价值变动（包括自身信用风险变动的影响金额）计入当期损益。</w:t>
      </w:r>
    </w:p>
    <w:p>
      <w:pPr>
        <w:pStyle w:val="BodyText"/>
        <w:spacing w:line="297" w:lineRule="auto" w:before="43"/>
        <w:ind w:right="0"/>
        <w:jc w:val="left"/>
      </w:pPr>
      <w:r>
        <w:rPr/>
        <w:t>（</w:t>
      </w:r>
      <w:r>
        <w:rPr>
          <w:rFonts w:ascii="Times New Roman" w:hAnsi="Times New Roman" w:cs="Times New Roman" w:eastAsia="Times New Roman" w:hint="default"/>
        </w:rPr>
        <w:t>2</w:t>
      </w:r>
      <w:r>
        <w:rPr/>
        <w:t>）其他金融负债 </w:t>
      </w:r>
      <w:r>
        <w:rPr>
          <w:spacing w:val="-2"/>
        </w:rPr>
        <w:t>除下列各项外，公司将金融负债分类为以摊余成本计量的金融负债，对此类金融负债采用实际利率法，按照摊余成本进行后</w:t>
      </w:r>
      <w:r>
        <w:rPr>
          <w:spacing w:val="-75"/>
        </w:rPr>
        <w:t> </w:t>
      </w:r>
      <w:r>
        <w:rPr>
          <w:spacing w:val="-75"/>
        </w:rPr>
      </w:r>
      <w:r>
        <w:rPr/>
        <w:t>续计量，终止确认或摊销产生的利得或损失计入当期损益：</w:t>
      </w:r>
    </w:p>
    <w:p>
      <w:pPr>
        <w:pStyle w:val="BodyText"/>
        <w:spacing w:line="240" w:lineRule="auto" w:before="51"/>
        <w:ind w:right="0"/>
        <w:jc w:val="left"/>
      </w:pPr>
      <w:r>
        <w:rPr>
          <w:rFonts w:ascii="Times New Roman" w:hAnsi="Times New Roman" w:cs="Times New Roman" w:eastAsia="Times New Roman" w:hint="default"/>
        </w:rPr>
        <w:t>1</w:t>
      </w:r>
      <w:r>
        <w:rPr/>
        <w:t>）以公允价值计量且其变动计入当期损益的金融负债。</w:t>
      </w:r>
    </w:p>
    <w:p>
      <w:pPr>
        <w:pStyle w:val="BodyText"/>
        <w:spacing w:line="240" w:lineRule="auto" w:before="66"/>
        <w:ind w:right="0"/>
        <w:jc w:val="left"/>
      </w:pPr>
      <w:r>
        <w:rPr>
          <w:rFonts w:ascii="Times New Roman" w:hAnsi="Times New Roman" w:cs="Times New Roman" w:eastAsia="Times New Roman" w:hint="default"/>
        </w:rPr>
        <w:t>2</w:t>
      </w:r>
      <w:r>
        <w:rPr/>
        <w:t>）金融资产转移不符合终止确认条件或继续涉入被转移金融资产所形成的金融负债。</w:t>
      </w:r>
    </w:p>
    <w:p>
      <w:pPr>
        <w:pStyle w:val="BodyText"/>
        <w:spacing w:line="304" w:lineRule="auto" w:before="66"/>
        <w:ind w:right="0"/>
        <w:jc w:val="left"/>
      </w:pPr>
      <w:r>
        <w:rPr>
          <w:rFonts w:ascii="Times New Roman" w:hAnsi="Times New Roman" w:cs="Times New Roman" w:eastAsia="Times New Roman" w:hint="default"/>
        </w:rPr>
        <w:t>3</w:t>
      </w:r>
      <w:r>
        <w:rPr/>
        <w:t>）不属于本条前两类情形的财务担保合同，以及不属于本条第</w:t>
      </w:r>
      <w:r>
        <w:rPr>
          <w:rFonts w:ascii="Times New Roman" w:hAnsi="Times New Roman" w:cs="Times New Roman" w:eastAsia="Times New Roman" w:hint="default"/>
        </w:rPr>
        <w:t>1</w:t>
      </w:r>
      <w:r>
        <w:rPr/>
        <w:t>）类情形的以低于市场利率贷款的贷款承诺。</w:t>
      </w:r>
      <w:r>
        <w:rPr>
          <w:spacing w:val="-84"/>
        </w:rPr>
        <w:t> </w:t>
      </w:r>
      <w:r>
        <w:rPr>
          <w:spacing w:val="-2"/>
        </w:rPr>
        <w:t>财务担保合同是指当特定债务人到期不能按照最初或修改后的债务工具条款偿付债务时，要求发行方向蒙受损失的合同持有</w:t>
      </w:r>
      <w:r>
        <w:rPr>
          <w:spacing w:val="-58"/>
        </w:rPr>
        <w:t> </w:t>
      </w:r>
      <w:r>
        <w:rPr>
          <w:spacing w:val="-58"/>
        </w:rPr>
      </w:r>
      <w:r>
        <w:rPr>
          <w:spacing w:val="-2"/>
        </w:rPr>
        <w:t>人赔付特定金额的合同。不属于指定为以公允价值计量且其变动计入当期损益的金融负债的财务担保合同，在初始确认后按</w:t>
      </w:r>
      <w:r>
        <w:rPr>
          <w:spacing w:val="-72"/>
        </w:rPr>
        <w:t> </w:t>
      </w:r>
      <w:r>
        <w:rPr>
          <w:spacing w:val="-72"/>
        </w:rPr>
      </w:r>
      <w:r>
        <w:rPr/>
        <w:t>照损失准备金额以及初始确认金额扣除担保期内的累计摊销额后的余额孰高进行计量。</w:t>
      </w:r>
    </w:p>
    <w:p>
      <w:pPr>
        <w:pStyle w:val="BodyText"/>
        <w:spacing w:line="240" w:lineRule="auto" w:before="46"/>
        <w:ind w:right="0"/>
        <w:jc w:val="left"/>
      </w:pPr>
      <w:r>
        <w:rPr>
          <w:rFonts w:ascii="Times New Roman" w:hAnsi="Times New Roman" w:cs="Times New Roman" w:eastAsia="Times New Roman" w:hint="default"/>
        </w:rPr>
        <w:t>3</w:t>
      </w:r>
      <w:r>
        <w:rPr/>
        <w:t>．</w:t>
      </w:r>
      <w:r>
        <w:rPr>
          <w:spacing w:val="62"/>
        </w:rPr>
        <w:t> </w:t>
      </w:r>
      <w:r>
        <w:rPr/>
        <w:t>金融资产和金融负债的终止确认</w:t>
      </w:r>
    </w:p>
    <w:p>
      <w:pPr>
        <w:pStyle w:val="BodyText"/>
        <w:spacing w:line="240" w:lineRule="auto" w:before="66"/>
        <w:ind w:right="0"/>
        <w:jc w:val="left"/>
      </w:pPr>
      <w:r>
        <w:rPr/>
        <w:t>（</w:t>
      </w:r>
      <w:r>
        <w:rPr>
          <w:rFonts w:ascii="Times New Roman" w:hAnsi="Times New Roman" w:cs="Times New Roman" w:eastAsia="Times New Roman" w:hint="default"/>
        </w:rPr>
        <w:t>1</w:t>
      </w:r>
      <w:r>
        <w:rPr/>
        <w:t>）金融资产满足下列条件之一的，终止确认金融资产，即从其账户和资产负债表内予以转销：</w:t>
      </w:r>
    </w:p>
    <w:p>
      <w:pPr>
        <w:pStyle w:val="BodyText"/>
        <w:spacing w:line="240" w:lineRule="auto" w:before="66"/>
        <w:ind w:right="0"/>
        <w:jc w:val="left"/>
      </w:pPr>
      <w:r>
        <w:rPr>
          <w:rFonts w:ascii="Times New Roman" w:hAnsi="Times New Roman" w:cs="Times New Roman" w:eastAsia="Times New Roman" w:hint="default"/>
        </w:rPr>
        <w:t>1</w:t>
      </w:r>
      <w:r>
        <w:rPr/>
        <w:t>）收取该金融资产现金流量的合同权利终止。</w:t>
      </w:r>
    </w:p>
    <w:p>
      <w:pPr>
        <w:pStyle w:val="BodyText"/>
        <w:spacing w:line="240" w:lineRule="auto" w:before="51"/>
        <w:ind w:right="0"/>
        <w:jc w:val="left"/>
      </w:pPr>
      <w:r>
        <w:rPr>
          <w:rFonts w:ascii="Times New Roman" w:hAnsi="Times New Roman" w:cs="Times New Roman" w:eastAsia="Times New Roman" w:hint="default"/>
        </w:rPr>
        <w:t>2</w:t>
      </w:r>
      <w:r>
        <w:rPr/>
        <w:t>）该金融资产已转移，且该转移满足金融资产终止确认的规定。</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12" w:lineRule="auto"/>
        <w:ind w:right="1091"/>
        <w:jc w:val="left"/>
      </w:pPr>
      <w:r>
        <w:rPr/>
        <w:t>（</w:t>
      </w:r>
      <w:r>
        <w:rPr>
          <w:rFonts w:ascii="Times New Roman" w:hAnsi="Times New Roman" w:cs="Times New Roman" w:eastAsia="Times New Roman" w:hint="default"/>
        </w:rPr>
        <w:t>2</w:t>
      </w:r>
      <w:r>
        <w:rPr/>
        <w:t>）金融负债终止确认条件 金融负债（或其一部分）的现时义务已经解除的，则终止确认该金融负债（或该部分金融负债）。 </w:t>
      </w:r>
      <w:r>
        <w:rPr>
          <w:spacing w:val="-2"/>
        </w:rPr>
        <w:t>本公司与借出方之间签订协议，以承担新金融负债方式替换原金融负债，且新金融负债与原金融负债的合同条款实质上不同</w:t>
      </w:r>
      <w:r>
        <w:rPr>
          <w:spacing w:val="-72"/>
        </w:rPr>
        <w:t> </w:t>
      </w:r>
      <w:r>
        <w:rPr>
          <w:spacing w:val="-72"/>
        </w:rPr>
      </w:r>
      <w:r>
        <w:rPr>
          <w:spacing w:val="-2"/>
        </w:rPr>
        <w:t>的，或对原金融负债（或其一部分）的合同条款做出实质性修改的，则终止确认原金融负债，同时确认一项新金融负债，账</w:t>
      </w:r>
      <w:r>
        <w:rPr>
          <w:spacing w:val="-63"/>
        </w:rPr>
        <w:t> </w:t>
      </w:r>
      <w:r>
        <w:rPr>
          <w:spacing w:val="-63"/>
        </w:rPr>
      </w:r>
      <w:r>
        <w:rPr/>
        <w:t>面价值与支付的对价（包括转出的非现金资产或承担的负债）之间的差额，计入当期损益。 </w:t>
      </w:r>
      <w:r>
        <w:rPr>
          <w:spacing w:val="-2"/>
        </w:rPr>
        <w:t>本公司回购金融负债一部分的，按照继续确认部分和终止确认部分在回购日各自的公允价值占整体公允价值的比例，对该金</w:t>
      </w:r>
    </w:p>
    <w:p>
      <w:pPr>
        <w:pStyle w:val="BodyText"/>
        <w:spacing w:line="321" w:lineRule="auto" w:before="25"/>
        <w:ind w:right="0"/>
        <w:jc w:val="left"/>
      </w:pPr>
      <w:r>
        <w:rPr>
          <w:spacing w:val="-2"/>
        </w:rPr>
        <w:t>融负债整体的账面价值进行分配。分配给终止确认部分的账面价值与支付的对价（包括转出的非现金资产或承担的负债）之</w:t>
      </w:r>
      <w:r>
        <w:rPr>
          <w:spacing w:val="-75"/>
        </w:rPr>
        <w:t> </w:t>
      </w:r>
      <w:r>
        <w:rPr>
          <w:spacing w:val="-75"/>
        </w:rPr>
      </w:r>
      <w:r>
        <w:rPr/>
        <w:t>间的差额，应当计入当期损益。</w:t>
      </w:r>
    </w:p>
    <w:p>
      <w:pPr>
        <w:pStyle w:val="BodyText"/>
        <w:spacing w:line="290" w:lineRule="auto" w:before="18"/>
        <w:ind w:right="2289"/>
        <w:jc w:val="left"/>
      </w:pPr>
      <w:r>
        <w:rPr>
          <w:rFonts w:ascii="Times New Roman" w:hAnsi="Times New Roman" w:cs="Times New Roman" w:eastAsia="Times New Roman" w:hint="default"/>
        </w:rPr>
        <w:t>4</w:t>
      </w:r>
      <w:r>
        <w:rPr/>
        <w:t>．</w:t>
      </w:r>
      <w:r>
        <w:rPr>
          <w:spacing w:val="60"/>
        </w:rPr>
        <w:t> </w:t>
      </w:r>
      <w:r>
        <w:rPr/>
        <w:t>金融资产转移的确认依据和计量方法</w:t>
      </w:r>
      <w:r>
        <w:rPr/>
        <w:t> 本公司在发生金融资产转移时，评估其保留金融资产所有权上的风险和报酬的程度，并分别下列情形处理：</w:t>
      </w:r>
    </w:p>
    <w:p>
      <w:pPr>
        <w:pStyle w:val="BodyText"/>
        <w:spacing w:line="290" w:lineRule="auto" w:before="56"/>
        <w:ind w:right="1119"/>
        <w:jc w:val="left"/>
      </w:pPr>
      <w:r>
        <w:rPr/>
        <w:t>（</w:t>
      </w:r>
      <w:r>
        <w:rPr>
          <w:rFonts w:ascii="Times New Roman" w:hAnsi="Times New Roman" w:cs="Times New Roman" w:eastAsia="Times New Roman" w:hint="default"/>
        </w:rPr>
        <w:t>1</w:t>
      </w:r>
      <w:r>
        <w:rPr/>
        <w:t>）转移了金融资产所有权上几乎所有风险和报酬的，则终止确认该金融资产，并将转移中产生或保留的权利和义务单独 确认为资产或负债。</w:t>
      </w:r>
    </w:p>
    <w:p>
      <w:pPr>
        <w:pStyle w:val="BodyText"/>
        <w:spacing w:line="240" w:lineRule="auto" w:before="57"/>
        <w:ind w:right="0"/>
        <w:jc w:val="left"/>
      </w:pPr>
      <w:r>
        <w:rPr/>
        <w:t>（</w:t>
      </w:r>
      <w:r>
        <w:rPr>
          <w:rFonts w:ascii="Times New Roman" w:hAnsi="Times New Roman" w:cs="Times New Roman" w:eastAsia="Times New Roman" w:hint="default"/>
        </w:rPr>
        <w:t>2</w:t>
      </w:r>
      <w:r>
        <w:rPr/>
        <w:t>）保留了金融资产所有权上几乎所有风险和报酬的，则继续确认该金融资产。</w:t>
      </w:r>
    </w:p>
    <w:p>
      <w:pPr>
        <w:pStyle w:val="BodyText"/>
        <w:spacing w:line="312" w:lineRule="auto" w:before="51"/>
        <w:ind w:right="1119"/>
        <w:jc w:val="left"/>
      </w:pPr>
      <w:r>
        <w:rPr/>
        <w:t>（</w:t>
      </w:r>
      <w:r>
        <w:rPr>
          <w:rFonts w:ascii="Times New Roman" w:hAnsi="Times New Roman" w:cs="Times New Roman" w:eastAsia="Times New Roman" w:hint="default"/>
        </w:rPr>
        <w:t>3</w:t>
      </w:r>
      <w:r>
        <w:rPr/>
        <w:t>）既没有转移也没有保留金融资产所有权上几乎所有风险和报酬的（即除本条（</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）之外的其他情形），则根据</w:t>
      </w:r>
      <w:r>
        <w:rPr>
          <w:spacing w:val="-83"/>
        </w:rPr>
        <w:t> </w:t>
      </w:r>
      <w:r>
        <w:rPr/>
        <w:t>其是否保留了对金融资产的控制，分别下列情形处理： </w:t>
      </w:r>
      <w:r>
        <w:rPr>
          <w:rFonts w:ascii="Times New Roman" w:hAnsi="Times New Roman" w:cs="Times New Roman" w:eastAsia="Times New Roman" w:hint="default"/>
        </w:rPr>
        <w:t>1</w:t>
      </w:r>
      <w:r>
        <w:rPr/>
        <w:t>）未保留对该金融资产控制的，则终止确认该金融资产，并将转移中产生或保留的权利和义务单独确认为资产或负债。</w:t>
      </w:r>
    </w:p>
    <w:p>
      <w:pPr>
        <w:pStyle w:val="BodyText"/>
        <w:spacing w:line="304" w:lineRule="auto" w:before="6"/>
        <w:ind w:right="1119"/>
        <w:jc w:val="left"/>
      </w:pPr>
      <w:r>
        <w:rPr>
          <w:rFonts w:ascii="Times New Roman" w:hAnsi="Times New Roman" w:cs="Times New Roman" w:eastAsia="Times New Roman" w:hint="default"/>
        </w:rPr>
        <w:t>2</w:t>
      </w:r>
      <w:r>
        <w:rPr/>
        <w:t>）保留了对该金融资产控制的，则按照其继续涉入被转移金融资产的程度继续确认有关金融资产，并相应确认相关负债。</w:t>
      </w:r>
      <w:r>
        <w:rPr>
          <w:spacing w:val="-84"/>
        </w:rPr>
        <w:t> </w:t>
      </w:r>
      <w:r>
        <w:rPr>
          <w:spacing w:val="-84"/>
        </w:rPr>
      </w:r>
      <w:r>
        <w:rPr/>
        <w:t>继续涉入被转移金融资产的程度，是指本公司承担的被转移金融资产价值变动风险或报酬的程度。 </w:t>
      </w:r>
      <w:r>
        <w:rPr>
          <w:spacing w:val="-2"/>
        </w:rPr>
        <w:t>在判断金融资产转移是否满足上述金融资产终止确认条件时，采用实质重于形式的原则。公司将金融资产转移区分为金融资</w:t>
      </w:r>
      <w:r>
        <w:rPr>
          <w:spacing w:val="-72"/>
        </w:rPr>
        <w:t> </w:t>
      </w:r>
      <w:r>
        <w:rPr>
          <w:spacing w:val="-72"/>
        </w:rPr>
      </w:r>
      <w:r>
        <w:rPr/>
        <w:t>产整体转移和部分转移。</w:t>
      </w:r>
    </w:p>
    <w:p>
      <w:pPr>
        <w:pStyle w:val="BodyText"/>
        <w:spacing w:line="240" w:lineRule="auto" w:before="46"/>
        <w:ind w:right="0"/>
        <w:jc w:val="left"/>
      </w:pPr>
      <w:r>
        <w:rPr/>
        <w:t>（</w:t>
      </w:r>
      <w:r>
        <w:rPr>
          <w:rFonts w:ascii="Times New Roman" w:hAnsi="Times New Roman" w:cs="Times New Roman" w:eastAsia="Times New Roman" w:hint="default"/>
        </w:rPr>
        <w:t>1</w:t>
      </w:r>
      <w:r>
        <w:rPr/>
        <w:t>）金融资产整体转移满足终止确认条件的，将下列两项金额的差额计入当期损益：</w:t>
      </w:r>
    </w:p>
    <w:p>
      <w:pPr>
        <w:pStyle w:val="BodyText"/>
        <w:spacing w:line="240" w:lineRule="auto" w:before="66"/>
        <w:ind w:right="0"/>
        <w:jc w:val="left"/>
      </w:pPr>
      <w:r>
        <w:rPr>
          <w:rFonts w:ascii="Times New Roman" w:hAnsi="Times New Roman" w:cs="Times New Roman" w:eastAsia="Times New Roman" w:hint="default"/>
        </w:rPr>
        <w:t>1</w:t>
      </w:r>
      <w:r>
        <w:rPr/>
        <w:t>）被转移金融资产在终止确认日的账面价值。</w:t>
      </w:r>
    </w:p>
    <w:p>
      <w:pPr>
        <w:pStyle w:val="BodyText"/>
        <w:spacing w:line="276" w:lineRule="auto" w:before="66"/>
        <w:ind w:right="1119"/>
        <w:jc w:val="left"/>
      </w:pPr>
      <w:r>
        <w:rPr>
          <w:rFonts w:ascii="Times New Roman" w:hAnsi="Times New Roman" w:cs="Times New Roman" w:eastAsia="Times New Roman" w:hint="default"/>
        </w:rPr>
        <w:t>2</w:t>
      </w:r>
      <w:r>
        <w:rPr/>
        <w:t>）因转移金融资产而收到的对价，与原直接计入其他综合收益的公允价值变动累计额中对应终止确认部分的金额（涉及转 移的金融资产为以公允价值计量且其变动计入其他综合收益的金融资产）之和。</w:t>
      </w:r>
    </w:p>
    <w:p>
      <w:pPr>
        <w:pStyle w:val="BodyText"/>
        <w:spacing w:line="304" w:lineRule="auto" w:before="67"/>
        <w:ind w:right="1106"/>
        <w:jc w:val="both"/>
      </w:pPr>
      <w:r>
        <w:rPr/>
        <w:t>（</w:t>
      </w:r>
      <w:r>
        <w:rPr>
          <w:rFonts w:ascii="Times New Roman" w:hAnsi="Times New Roman" w:cs="Times New Roman" w:eastAsia="Times New Roman" w:hint="default"/>
        </w:rPr>
        <w:t>2</w:t>
      </w:r>
      <w:r>
        <w:rPr/>
        <w:t>）金融资产部分转移且该被转移部分整体满足终止确认条件的，将转移前金融资产整体的账面价值，在终止确认部分和 </w:t>
      </w:r>
      <w:r>
        <w:rPr>
          <w:spacing w:val="-2"/>
        </w:rPr>
        <w:t>继续确认部分（在此种情形下，所保留的服务资产应当视同继续确认金融资产的一部分）之间，按照转移日各自的相对公允</w:t>
      </w:r>
      <w:r>
        <w:rPr>
          <w:spacing w:val="-42"/>
        </w:rPr>
        <w:t> </w:t>
      </w:r>
      <w:r>
        <w:rPr>
          <w:spacing w:val="-42"/>
        </w:rPr>
      </w:r>
      <w:r>
        <w:rPr/>
        <w:t>价值进行分摊，并将下列两项金额的差额计入当期损益：</w:t>
      </w:r>
    </w:p>
    <w:p>
      <w:pPr>
        <w:pStyle w:val="BodyText"/>
        <w:spacing w:line="240" w:lineRule="auto" w:before="46"/>
        <w:ind w:right="0"/>
        <w:jc w:val="left"/>
      </w:pPr>
      <w:r>
        <w:rPr>
          <w:rFonts w:ascii="Times New Roman" w:hAnsi="Times New Roman" w:cs="Times New Roman" w:eastAsia="Times New Roman" w:hint="default"/>
        </w:rPr>
        <w:t>1</w:t>
      </w:r>
      <w:r>
        <w:rPr/>
        <w:t>）终止确认部分在终止确认日的账面价值。</w:t>
      </w:r>
    </w:p>
    <w:p>
      <w:pPr>
        <w:pStyle w:val="BodyText"/>
        <w:spacing w:line="304" w:lineRule="auto" w:before="51"/>
        <w:ind w:right="1119"/>
        <w:jc w:val="left"/>
      </w:pPr>
      <w:r>
        <w:rPr>
          <w:rFonts w:ascii="Times New Roman" w:hAnsi="Times New Roman" w:cs="Times New Roman" w:eastAsia="Times New Roman" w:hint="default"/>
        </w:rPr>
        <w:t>2</w:t>
      </w:r>
      <w:r>
        <w:rPr/>
        <w:t>）终止确认部分收到的对价，与原计入其他综合收益的公允价值变动累计额中对应终止确认部分的金额（涉及转移的金融 资产为以公允价值计量且其变动计入其他综合收益的金融资产）之和。</w:t>
      </w:r>
      <w:r>
        <w:rPr>
          <w:spacing w:val="-86"/>
        </w:rPr>
        <w:t> </w:t>
      </w:r>
      <w:r>
        <w:rPr>
          <w:spacing w:val="-86"/>
        </w:rPr>
      </w:r>
      <w:r>
        <w:rPr/>
        <w:t>金融资产转移不满足终止确认条件的，继续确认该金融资产，所收到的对价确认为一项金融负债。</w:t>
      </w:r>
    </w:p>
    <w:p>
      <w:pPr>
        <w:pStyle w:val="BodyText"/>
        <w:spacing w:line="314" w:lineRule="auto" w:before="46"/>
        <w:ind w:right="1029"/>
        <w:jc w:val="left"/>
      </w:pPr>
      <w:r>
        <w:rPr>
          <w:rFonts w:ascii="Times New Roman" w:hAnsi="Times New Roman" w:cs="Times New Roman" w:eastAsia="Times New Roman" w:hint="default"/>
        </w:rPr>
        <w:t>5</w:t>
      </w:r>
      <w:r>
        <w:rPr/>
        <w:t>．</w:t>
      </w:r>
      <w:r>
        <w:rPr>
          <w:spacing w:val="60"/>
        </w:rPr>
        <w:t> </w:t>
      </w:r>
      <w:r>
        <w:rPr/>
        <w:t>金融资产和金融负债公允价值的确定方法</w:t>
      </w:r>
      <w:r>
        <w:rPr/>
        <w:t> 存在活跃市场的金融资产或金融负债，以活跃市场的报价确定其公允价值，除非该项金融资产存在针对资产本身的限售期。 </w:t>
      </w:r>
      <w:r>
        <w:rPr>
          <w:spacing w:val="-2"/>
        </w:rPr>
        <w:t>对于针对资产本身的限售的金融资产，按照活跃市场的报价扣除市场参与者因承担指定期间内无法在公开市场上出售该金融</w:t>
      </w:r>
      <w:r>
        <w:rPr>
          <w:spacing w:val="-58"/>
        </w:rPr>
        <w:t> </w:t>
      </w:r>
      <w:r>
        <w:rPr>
          <w:spacing w:val="-58"/>
        </w:rPr>
      </w:r>
      <w:r>
        <w:rPr>
          <w:spacing w:val="-2"/>
        </w:rPr>
        <w:t>资产的风险而要求获得的补偿金额后确定。活跃市场的报价包括易于且可定期从交易所、交易商、经纪人、行业集团、定价</w:t>
      </w:r>
      <w:r>
        <w:rPr>
          <w:spacing w:val="-57"/>
        </w:rPr>
        <w:t> </w:t>
      </w:r>
      <w:r>
        <w:rPr>
          <w:spacing w:val="-57"/>
        </w:rPr>
      </w:r>
      <w:r>
        <w:rPr/>
        <w:t>机构或监管机构等获得相关资产或负债的报价，且能代表在公平交易基础上实际并经常发生的市场交易。</w:t>
      </w:r>
      <w:r>
        <w:rPr>
          <w:spacing w:val="-87"/>
        </w:rPr>
        <w:t> </w:t>
      </w:r>
      <w:r>
        <w:rPr>
          <w:spacing w:val="-87"/>
        </w:rPr>
      </w:r>
      <w:r>
        <w:rPr/>
        <w:t>初始取得或衍生的金融资产或承担的金融负债，以市场交易价格作为确定其公允价值的基础。 </w:t>
      </w:r>
      <w:r>
        <w:rPr>
          <w:spacing w:val="-2"/>
        </w:rPr>
        <w:t>不存在活跃市场的金融资产或金融负债，采用估值技术确定其公允价值。在估值时，本公司采用在当前情况下适用并且有足</w:t>
      </w:r>
      <w:r>
        <w:rPr>
          <w:spacing w:val="-75"/>
        </w:rPr>
        <w:t> </w:t>
      </w:r>
      <w:r>
        <w:rPr>
          <w:spacing w:val="-75"/>
        </w:rPr>
      </w:r>
      <w:r>
        <w:rPr>
          <w:spacing w:val="-2"/>
        </w:rPr>
        <w:t>够可利用数据和其他信息支持的估值技术，选择与市场参与者在相关资产或负债的交易中所考虑的资产或负债特征相一致的</w:t>
      </w:r>
      <w:r>
        <w:rPr>
          <w:spacing w:val="-58"/>
        </w:rPr>
        <w:t> </w:t>
      </w:r>
      <w:r>
        <w:rPr>
          <w:spacing w:val="-58"/>
        </w:rPr>
      </w:r>
      <w:r>
        <w:rPr>
          <w:spacing w:val="-2"/>
        </w:rPr>
        <w:t>输入值，并尽可能优先使用相关可观察输入值。在相关可观察输入值无法取得或取得不切实可行的情况下，使用不可观察输</w:t>
      </w:r>
    </w:p>
    <w:p>
      <w:pPr>
        <w:pStyle w:val="BodyText"/>
        <w:spacing w:line="240" w:lineRule="auto" w:before="24"/>
        <w:ind w:right="0"/>
        <w:jc w:val="left"/>
      </w:pPr>
      <w:r>
        <w:rPr/>
        <w:t>入值。</w:t>
      </w:r>
    </w:p>
    <w:p>
      <w:pPr>
        <w:pStyle w:val="BodyText"/>
        <w:spacing w:line="297" w:lineRule="auto" w:before="94"/>
        <w:ind w:right="0"/>
        <w:jc w:val="left"/>
      </w:pPr>
      <w:r>
        <w:rPr>
          <w:rFonts w:ascii="Times New Roman" w:hAnsi="Times New Roman" w:cs="Times New Roman" w:eastAsia="Times New Roman" w:hint="default"/>
        </w:rPr>
        <w:t>6</w:t>
      </w:r>
      <w:r>
        <w:rPr/>
        <w:t>．</w:t>
      </w:r>
      <w:r>
        <w:rPr>
          <w:spacing w:val="60"/>
        </w:rPr>
        <w:t> </w:t>
      </w:r>
      <w:r>
        <w:rPr/>
        <w:t>金融工具减值</w:t>
      </w:r>
      <w:r>
        <w:rPr/>
        <w:t> </w:t>
      </w:r>
      <w:r>
        <w:rPr>
          <w:spacing w:val="-2"/>
        </w:rPr>
        <w:t>本公司以预期信用损失为基础，对分类为以摊余成本计量的金融资产、分类为以公允价值计量且其变动计入其他综合收益的</w:t>
      </w:r>
      <w:r>
        <w:rPr>
          <w:spacing w:val="-71"/>
        </w:rPr>
        <w:t> </w:t>
      </w:r>
      <w:r>
        <w:rPr>
          <w:spacing w:val="-71"/>
        </w:rPr>
      </w:r>
      <w:r>
        <w:rPr/>
        <w:t>金融资产以及财务担保合同，进行减值会计处理并确认损失准备。</w:t>
      </w:r>
    </w:p>
    <w:p>
      <w:pPr>
        <w:spacing w:after="0" w:line="297"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9" w:lineRule="auto"/>
        <w:ind w:right="1091"/>
        <w:jc w:val="left"/>
      </w:pPr>
      <w:r>
        <w:rPr>
          <w:spacing w:val="-2"/>
        </w:rPr>
        <w:t>预期信用损失，是指以发生违约的风险为权重的金融工具信用损失的加权平均值。信用损失，是指本公司按照原实际利率折</w:t>
      </w:r>
      <w:r>
        <w:rPr>
          <w:spacing w:val="-75"/>
        </w:rPr>
        <w:t> </w:t>
      </w:r>
      <w:r>
        <w:rPr>
          <w:spacing w:val="-75"/>
        </w:rPr>
      </w:r>
      <w:r>
        <w:rPr>
          <w:spacing w:val="-2"/>
        </w:rPr>
        <w:t>现的、根据合同应收的所有合同现金流量与预期收取的所有现金流量之间的差额，即全部现金短缺的现值。其中，对于本公</w:t>
      </w:r>
      <w:r>
        <w:rPr>
          <w:spacing w:val="-42"/>
        </w:rPr>
        <w:t> </w:t>
      </w:r>
      <w:r>
        <w:rPr>
          <w:spacing w:val="-42"/>
        </w:rPr>
      </w:r>
      <w:r>
        <w:rPr/>
        <w:t>司购买或源生的已发生信用减值的金融资产，应按照该金融资产经信用调整的实际利率折现。 </w:t>
      </w:r>
      <w:r>
        <w:rPr>
          <w:spacing w:val="-2"/>
        </w:rPr>
        <w:t>对由收入准则规范的交易形成的应收款项，本公司运用简化计量方法，按照相当于整个存续期内预期信用损失的金额计量损</w:t>
      </w:r>
      <w:r>
        <w:rPr>
          <w:spacing w:val="-66"/>
        </w:rPr>
        <w:t> </w:t>
      </w:r>
      <w:r>
        <w:rPr>
          <w:spacing w:val="-66"/>
        </w:rPr>
      </w:r>
      <w:r>
        <w:rPr/>
        <w:t>失准备。 </w:t>
      </w:r>
      <w:r>
        <w:rPr>
          <w:spacing w:val="-2"/>
        </w:rPr>
        <w:t>对于购买或源生的已发生信用减值的金融资产，在资产负债表日仅将自初始确认后整个存续期内预期信用损失的累计变动确</w:t>
      </w:r>
      <w:r>
        <w:rPr>
          <w:spacing w:val="-58"/>
        </w:rPr>
        <w:t> </w:t>
      </w:r>
      <w:r>
        <w:rPr>
          <w:spacing w:val="-58"/>
        </w:rPr>
      </w:r>
      <w:r>
        <w:rPr>
          <w:spacing w:val="-2"/>
        </w:rPr>
        <w:t>认为损失准备。在每个资产负债表日，将整个存续期内预期信用损失的变动金额作为减值损失或利得计入当期损益。即使该</w:t>
      </w:r>
      <w:r>
        <w:rPr>
          <w:spacing w:val="-75"/>
        </w:rPr>
        <w:t> </w:t>
      </w:r>
      <w:r>
        <w:rPr>
          <w:spacing w:val="-75"/>
        </w:rPr>
      </w:r>
      <w:r>
        <w:rPr>
          <w:spacing w:val="-2"/>
        </w:rPr>
        <w:t>资产负债表日确定的整个存续期内预期信用损失小于初始确认时估计现金流量所反映的预期信用损失的金额，也将预期信用</w:t>
      </w:r>
      <w:r>
        <w:rPr>
          <w:spacing w:val="-58"/>
        </w:rPr>
        <w:t> </w:t>
      </w:r>
      <w:r>
        <w:rPr>
          <w:spacing w:val="-58"/>
        </w:rPr>
      </w:r>
      <w:r>
        <w:rPr/>
        <w:t>损失的有利变动确认为减值利得。 </w:t>
      </w:r>
      <w:r>
        <w:rPr>
          <w:spacing w:val="-2"/>
        </w:rPr>
        <w:t>除上述采用简化计量方法和购买或源生的已发生信用减值以外的其他金融资产，本公司在每个资产负债表日评估相关金融工</w:t>
      </w:r>
      <w:r>
        <w:rPr>
          <w:spacing w:val="-47"/>
        </w:rPr>
        <w:t> </w:t>
      </w:r>
      <w:r>
        <w:rPr>
          <w:spacing w:val="-47"/>
        </w:rPr>
      </w:r>
      <w:r>
        <w:rPr/>
        <w:t>具的信用风险自初始确认后是否已显著增加，并按照下列情形分别计量其损失准备、确认预期信用损失及其变动：</w:t>
      </w:r>
    </w:p>
    <w:p>
      <w:pPr>
        <w:pStyle w:val="BodyText"/>
        <w:spacing w:line="290" w:lineRule="auto" w:before="35"/>
        <w:ind w:right="1119"/>
        <w:jc w:val="left"/>
      </w:pPr>
      <w:r>
        <w:rPr/>
        <w:t>（</w:t>
      </w:r>
      <w:r>
        <w:rPr>
          <w:rFonts w:ascii="Times New Roman" w:hAnsi="Times New Roman" w:cs="Times New Roman" w:eastAsia="Times New Roman" w:hint="default"/>
        </w:rPr>
        <w:t>1</w:t>
      </w:r>
      <w:r>
        <w:rPr/>
        <w:t>）如果该金融工具的信用风险自初始确认后并未显著增加，处于第一阶段，则按照相当于该金融工具未来</w:t>
      </w:r>
      <w:r>
        <w:rPr>
          <w:rFonts w:ascii="Times New Roman" w:hAnsi="Times New Roman" w:cs="Times New Roman" w:eastAsia="Times New Roman" w:hint="default"/>
        </w:rPr>
        <w:t>12</w:t>
      </w:r>
      <w:r>
        <w:rPr/>
        <w:t>个月内预期</w:t>
      </w:r>
      <w:r>
        <w:rPr>
          <w:spacing w:val="-80"/>
        </w:rPr>
        <w:t> </w:t>
      </w:r>
      <w:r>
        <w:rPr/>
        <w:t>信用损失的金额计量其损失准备，并按照账面余额和实际利率计算利息收入。</w:t>
      </w:r>
    </w:p>
    <w:p>
      <w:pPr>
        <w:pStyle w:val="BodyText"/>
        <w:spacing w:line="290" w:lineRule="auto" w:before="41"/>
        <w:ind w:right="1119"/>
        <w:jc w:val="left"/>
      </w:pPr>
      <w:r>
        <w:rPr/>
        <w:t>（</w:t>
      </w:r>
      <w:r>
        <w:rPr>
          <w:rFonts w:ascii="Times New Roman" w:hAnsi="Times New Roman" w:cs="Times New Roman" w:eastAsia="Times New Roman" w:hint="default"/>
        </w:rPr>
        <w:t>2</w:t>
      </w:r>
      <w:r>
        <w:rPr/>
        <w:t>）如果该金融工具的信用风险自初始确认后已显著增加但尚未发生信用减值的，处于第二阶段，则按照相当于该金融工 具整个存续期内预期信用损失的金额计量其损失准备，并按照账面余额和实际利率计算利息收入。</w:t>
      </w:r>
    </w:p>
    <w:p>
      <w:pPr>
        <w:pStyle w:val="BodyText"/>
        <w:spacing w:line="312" w:lineRule="auto" w:before="56"/>
        <w:ind w:right="1119"/>
        <w:jc w:val="left"/>
      </w:pPr>
      <w:r>
        <w:rPr/>
        <w:t>（</w:t>
      </w:r>
      <w:r>
        <w:rPr>
          <w:rFonts w:ascii="Times New Roman" w:hAnsi="Times New Roman" w:cs="Times New Roman" w:eastAsia="Times New Roman" w:hint="default"/>
        </w:rPr>
        <w:t>3</w:t>
      </w:r>
      <w:r>
        <w:rPr/>
        <w:t>）如果该金融工具自初始确认后已经发生信用减值的，处于第三阶段，本公司按照相当于该金融工具整个存续期内预期 信用损失的金额计量其损失准备，并按照摊余成本和实际利率计算利息收入。 </w:t>
      </w:r>
      <w:r>
        <w:rPr>
          <w:spacing w:val="-2"/>
        </w:rPr>
        <w:t>金融工具信用损失准备的增加或转回金额，作为减值损失或利得计入当期损益。除分类为以公允价值计量且其变动计入其他</w:t>
      </w:r>
      <w:r>
        <w:rPr>
          <w:spacing w:val="-72"/>
        </w:rPr>
        <w:t> </w:t>
      </w:r>
      <w:r>
        <w:rPr>
          <w:spacing w:val="-72"/>
        </w:rPr>
      </w:r>
      <w:r>
        <w:rPr>
          <w:spacing w:val="-2"/>
        </w:rPr>
        <w:t>综合收益的金融资产外，信用损失准备抵减金融资产的账面余额。对于分类为以公允价值计量且其变动计入其他综合收益的</w:t>
      </w:r>
      <w:r>
        <w:rPr>
          <w:spacing w:val="-72"/>
        </w:rPr>
        <w:t> </w:t>
      </w:r>
      <w:r>
        <w:rPr>
          <w:spacing w:val="-72"/>
        </w:rPr>
      </w:r>
      <w:r>
        <w:rPr/>
        <w:t>金融资产，本公司在其他综合收益中确认其信用损失准备，不减少该金融资产在资产负债表中列示的账面价值。 本公司在前一会计期间已经按照相当于金融工具整个存续期内预期信用损失的金额计量了损失准备，但在当期资产负债表</w:t>
      </w:r>
    </w:p>
    <w:p>
      <w:pPr>
        <w:pStyle w:val="BodyText"/>
        <w:spacing w:line="290" w:lineRule="auto" w:before="40"/>
        <w:ind w:right="0"/>
        <w:jc w:val="left"/>
      </w:pPr>
      <w:r>
        <w:rPr>
          <w:spacing w:val="-2"/>
        </w:rPr>
        <w:t>日，该金融工具已不再属于自初始确认后信用风险显著增加的情形的，本公司在当期资产负债表日按照相当于未来</w:t>
      </w:r>
      <w:r>
        <w:rPr>
          <w:rFonts w:ascii="Times New Roman" w:hAnsi="Times New Roman" w:cs="Times New Roman" w:eastAsia="Times New Roman" w:hint="default"/>
          <w:spacing w:val="-2"/>
        </w:rPr>
        <w:t>12</w:t>
      </w:r>
      <w:r>
        <w:rPr>
          <w:spacing w:val="-2"/>
        </w:rPr>
        <w:t>个月内</w:t>
      </w:r>
      <w:r>
        <w:rPr>
          <w:spacing w:val="-59"/>
        </w:rPr>
        <w:t> </w:t>
      </w:r>
      <w:r>
        <w:rPr/>
        <w:t>预期信用损失的金额计量该金融工具的损失准备，由此形成的损失准备的转回金额作为减值利得计入当期损益。</w:t>
      </w:r>
    </w:p>
    <w:p>
      <w:pPr>
        <w:pStyle w:val="BodyText"/>
        <w:spacing w:line="309" w:lineRule="auto" w:before="42"/>
        <w:ind w:right="0"/>
        <w:jc w:val="left"/>
      </w:pPr>
      <w:r>
        <w:rPr/>
        <w:t>（</w:t>
      </w:r>
      <w:r>
        <w:rPr>
          <w:rFonts w:ascii="Times New Roman" w:hAnsi="Times New Roman" w:cs="Times New Roman" w:eastAsia="Times New Roman" w:hint="default"/>
        </w:rPr>
        <w:t>1</w:t>
      </w:r>
      <w:r>
        <w:rPr/>
        <w:t>）信用风险显著增加 </w:t>
      </w:r>
      <w:r>
        <w:rPr>
          <w:spacing w:val="-2"/>
        </w:rPr>
        <w:t>本公司利用可获得的合理且有依据的前瞻性信息，通过比较金融工具在资产负债表日发生违约的风险与在初始确认日发生违</w:t>
      </w:r>
      <w:r>
        <w:rPr>
          <w:spacing w:val="-58"/>
        </w:rPr>
        <w:t> </w:t>
      </w:r>
      <w:r>
        <w:rPr>
          <w:spacing w:val="-58"/>
        </w:rPr>
      </w:r>
      <w:r>
        <w:rPr>
          <w:spacing w:val="-2"/>
        </w:rPr>
        <w:t>约的风险，以确定金融工具的信用风险自初始确认后是否已显著增加。对于财务担保合同，本公司在应用金融工具减值规定</w:t>
      </w:r>
      <w:r>
        <w:rPr>
          <w:spacing w:val="-64"/>
        </w:rPr>
        <w:t> </w:t>
      </w:r>
      <w:r>
        <w:rPr>
          <w:spacing w:val="-64"/>
        </w:rPr>
      </w:r>
      <w:r>
        <w:rPr/>
        <w:t>时，将本公司成为做出不可撤销承诺的一方之日作为初始确认日。</w:t>
      </w:r>
    </w:p>
    <w:p>
      <w:pPr>
        <w:pStyle w:val="BodyText"/>
        <w:spacing w:line="240" w:lineRule="auto" w:before="28"/>
        <w:ind w:right="0"/>
        <w:jc w:val="left"/>
      </w:pPr>
      <w:r>
        <w:rPr/>
        <w:t>本公司在评估信用风险是否显著增加时会考虑如下因素：</w:t>
      </w:r>
    </w:p>
    <w:p>
      <w:pPr>
        <w:pStyle w:val="BodyText"/>
        <w:spacing w:line="240" w:lineRule="auto" w:before="79"/>
        <w:ind w:right="0"/>
        <w:jc w:val="left"/>
      </w:pPr>
      <w:r>
        <w:rPr>
          <w:rFonts w:ascii="Times New Roman" w:hAnsi="Times New Roman" w:cs="Times New Roman" w:eastAsia="Times New Roman" w:hint="default"/>
        </w:rPr>
        <w:t>1</w:t>
      </w:r>
      <w:r>
        <w:rPr/>
        <w:t>）债务人经营成果实际或预期是否发生显著变化；</w:t>
      </w:r>
    </w:p>
    <w:p>
      <w:pPr>
        <w:pStyle w:val="BodyText"/>
        <w:spacing w:line="240" w:lineRule="auto" w:before="66"/>
        <w:ind w:right="0"/>
        <w:jc w:val="left"/>
      </w:pPr>
      <w:r>
        <w:rPr>
          <w:rFonts w:ascii="Times New Roman" w:hAnsi="Times New Roman" w:cs="Times New Roman" w:eastAsia="Times New Roman" w:hint="default"/>
        </w:rPr>
        <w:t>2</w:t>
      </w:r>
      <w:r>
        <w:rPr/>
        <w:t>）债务人所处的监管、经济或技术环境是否发生显著不利变化；</w:t>
      </w:r>
    </w:p>
    <w:p>
      <w:pPr>
        <w:pStyle w:val="BodyText"/>
        <w:spacing w:line="290" w:lineRule="auto" w:before="66"/>
        <w:ind w:right="1119"/>
        <w:jc w:val="left"/>
      </w:pPr>
      <w:r>
        <w:rPr>
          <w:rFonts w:ascii="Times New Roman" w:hAnsi="Times New Roman" w:cs="Times New Roman" w:eastAsia="Times New Roman" w:hint="default"/>
        </w:rPr>
        <w:t>3</w:t>
      </w:r>
      <w:r>
        <w:rPr/>
        <w:t>）作为债务抵押的担保物价值或第三方提供的担保或信用增级质量是否发生显著变化，这些变化预期将降低债务人按合同 规定期限还款的经济动机或者影响违约概率；</w:t>
      </w:r>
    </w:p>
    <w:p>
      <w:pPr>
        <w:pStyle w:val="BodyText"/>
        <w:spacing w:line="240" w:lineRule="auto" w:before="57"/>
        <w:ind w:right="0"/>
        <w:jc w:val="left"/>
      </w:pPr>
      <w:r>
        <w:rPr>
          <w:rFonts w:ascii="Times New Roman" w:hAnsi="Times New Roman" w:cs="Times New Roman" w:eastAsia="Times New Roman" w:hint="default"/>
        </w:rPr>
        <w:t>4</w:t>
      </w:r>
      <w:r>
        <w:rPr/>
        <w:t>）债务人预期表现和还款行为是否发生显著变化；</w:t>
      </w:r>
    </w:p>
    <w:p>
      <w:pPr>
        <w:pStyle w:val="BodyText"/>
        <w:spacing w:line="314" w:lineRule="auto" w:before="51"/>
        <w:ind w:right="1091"/>
        <w:jc w:val="left"/>
      </w:pPr>
      <w:r>
        <w:rPr>
          <w:rFonts w:ascii="Times New Roman" w:hAnsi="Times New Roman" w:cs="Times New Roman" w:eastAsia="Times New Roman" w:hint="default"/>
        </w:rPr>
        <w:t>5</w:t>
      </w:r>
      <w:r>
        <w:rPr/>
        <w:t>）本公司对金融工具信用管理方法是否发生变化等。 </w:t>
      </w:r>
      <w:r>
        <w:rPr>
          <w:spacing w:val="-2"/>
        </w:rPr>
        <w:t>于资产负债表日，若本公司判断金融工具只具有较低的信用风险，则本公司假定该金融工具的信用风险自初始确认后并未显</w:t>
      </w:r>
      <w:r>
        <w:rPr>
          <w:spacing w:val="-68"/>
        </w:rPr>
        <w:t> </w:t>
      </w:r>
      <w:r>
        <w:rPr>
          <w:spacing w:val="-68"/>
        </w:rPr>
      </w:r>
      <w:r>
        <w:rPr>
          <w:spacing w:val="-2"/>
        </w:rPr>
        <w:t>著增加。如果金融工具的违约风险较低，借款人在短期内履行其合同现金流量义务的能力很强，并且即使较长时期内经济形</w:t>
      </w:r>
      <w:r>
        <w:rPr>
          <w:spacing w:val="-75"/>
        </w:rPr>
        <w:t> </w:t>
      </w:r>
      <w:r>
        <w:rPr>
          <w:spacing w:val="-75"/>
        </w:rPr>
      </w:r>
      <w:r>
        <w:rPr>
          <w:spacing w:val="-2"/>
        </w:rPr>
        <w:t>势和经营环境存在不利变化，但未必一定降低借款人履行其合同现金流量义务的能力，则该金融工具被视为具有较低的信用</w:t>
      </w:r>
      <w:r>
        <w:rPr>
          <w:spacing w:val="-72"/>
        </w:rPr>
        <w:t> </w:t>
      </w:r>
      <w:r>
        <w:rPr>
          <w:spacing w:val="-72"/>
        </w:rPr>
      </w:r>
      <w:r>
        <w:rPr/>
        <w:t>风险。</w:t>
      </w:r>
    </w:p>
    <w:p>
      <w:pPr>
        <w:pStyle w:val="BodyText"/>
        <w:spacing w:line="304" w:lineRule="auto" w:before="24"/>
        <w:ind w:right="0"/>
        <w:jc w:val="left"/>
      </w:pPr>
      <w:r>
        <w:rPr/>
        <w:t>（</w:t>
      </w:r>
      <w:r>
        <w:rPr>
          <w:rFonts w:ascii="Times New Roman" w:hAnsi="Times New Roman" w:cs="Times New Roman" w:eastAsia="Times New Roman" w:hint="default"/>
        </w:rPr>
        <w:t>2</w:t>
      </w:r>
      <w:r>
        <w:rPr/>
        <w:t>）已发生信用减值的金融资产 </w:t>
      </w:r>
      <w:r>
        <w:rPr>
          <w:spacing w:val="-2"/>
        </w:rPr>
        <w:t>当对金融资产预期未来现金流量具有不利影响的一项或多项事件发生时，该金融资产成为已发生信用减值的金融资产。金融</w:t>
      </w:r>
      <w:r>
        <w:rPr>
          <w:spacing w:val="-72"/>
        </w:rPr>
        <w:t> </w:t>
      </w:r>
      <w:r>
        <w:rPr>
          <w:spacing w:val="-72"/>
        </w:rPr>
      </w:r>
      <w:r>
        <w:rPr/>
        <w:t>资产已发生信用减值的证据包括下列可观察信息：</w:t>
      </w:r>
    </w:p>
    <w:p>
      <w:pPr>
        <w:pStyle w:val="BodyText"/>
        <w:spacing w:line="240" w:lineRule="auto" w:before="46"/>
        <w:ind w:right="0"/>
        <w:jc w:val="left"/>
      </w:pPr>
      <w:r>
        <w:rPr>
          <w:rFonts w:ascii="Times New Roman" w:hAnsi="Times New Roman" w:cs="Times New Roman" w:eastAsia="Times New Roman" w:hint="default"/>
        </w:rPr>
        <w:t>1</w:t>
      </w:r>
      <w:r>
        <w:rPr/>
        <w:t>）发行方或债务人发生重大财务困难；</w:t>
      </w:r>
    </w:p>
    <w:p>
      <w:pPr>
        <w:pStyle w:val="BodyText"/>
        <w:spacing w:line="240" w:lineRule="auto" w:before="66"/>
        <w:ind w:right="0"/>
        <w:jc w:val="left"/>
      </w:pPr>
      <w:r>
        <w:rPr>
          <w:rFonts w:ascii="Times New Roman" w:hAnsi="Times New Roman" w:cs="Times New Roman" w:eastAsia="Times New Roman" w:hint="default"/>
        </w:rPr>
        <w:t>2</w:t>
      </w:r>
      <w:r>
        <w:rPr/>
        <w:t>）债务人违反合同，如偿付利息或本金违约或逾期等；</w:t>
      </w:r>
    </w:p>
    <w:p>
      <w:pPr>
        <w:pStyle w:val="BodyText"/>
        <w:spacing w:line="240" w:lineRule="auto" w:before="51"/>
        <w:ind w:right="0"/>
        <w:jc w:val="left"/>
      </w:pPr>
      <w:r>
        <w:rPr>
          <w:rFonts w:ascii="Times New Roman" w:hAnsi="Times New Roman" w:cs="Times New Roman" w:eastAsia="Times New Roman" w:hint="default"/>
        </w:rPr>
        <w:t>3</w:t>
      </w:r>
      <w:r>
        <w:rPr/>
        <w:t>）债权人出于与债务人财务困难有关的经济或合同考虑，给予债务人在任何其他情况下都不会做出的让步；</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ind w:right="0"/>
        <w:jc w:val="left"/>
      </w:pPr>
      <w:r>
        <w:rPr>
          <w:rFonts w:ascii="Times New Roman" w:hAnsi="Times New Roman" w:cs="Times New Roman" w:eastAsia="Times New Roman" w:hint="default"/>
        </w:rPr>
        <w:t>4</w:t>
      </w:r>
      <w:r>
        <w:rPr/>
        <w:t>）债务人很可能破产或进行其他财务重组；</w:t>
      </w:r>
    </w:p>
    <w:p>
      <w:pPr>
        <w:pStyle w:val="BodyText"/>
        <w:spacing w:line="240" w:lineRule="auto" w:before="66"/>
        <w:ind w:right="0"/>
        <w:jc w:val="left"/>
      </w:pPr>
      <w:r>
        <w:rPr>
          <w:rFonts w:ascii="Times New Roman" w:hAnsi="Times New Roman" w:cs="Times New Roman" w:eastAsia="Times New Roman" w:hint="default"/>
        </w:rPr>
        <w:t>5</w:t>
      </w:r>
      <w:r>
        <w:rPr/>
        <w:t>）发行方或债务人财务困难导致该金融资产的活跃市场消失；</w:t>
      </w:r>
    </w:p>
    <w:p>
      <w:pPr>
        <w:pStyle w:val="BodyText"/>
        <w:spacing w:line="276" w:lineRule="auto" w:before="66"/>
        <w:ind w:right="3369"/>
        <w:jc w:val="left"/>
      </w:pPr>
      <w:r>
        <w:rPr>
          <w:rFonts w:ascii="Times New Roman" w:hAnsi="Times New Roman" w:cs="Times New Roman" w:eastAsia="Times New Roman" w:hint="default"/>
        </w:rPr>
        <w:t>6</w:t>
      </w:r>
      <w:r>
        <w:rPr/>
        <w:t>）以大幅折扣购买或源生一项金融资产，该折扣反映了发生信用损失的事实。 金融资产发生信用减值，有可能是多个事件的共同作用所致，未必是可单独识别的事件所致。</w:t>
      </w:r>
    </w:p>
    <w:p>
      <w:pPr>
        <w:pStyle w:val="BodyText"/>
        <w:spacing w:line="312" w:lineRule="auto" w:before="67"/>
        <w:ind w:right="0"/>
        <w:jc w:val="left"/>
      </w:pPr>
      <w:r>
        <w:rPr/>
        <w:t>（</w:t>
      </w:r>
      <w:r>
        <w:rPr>
          <w:rFonts w:ascii="Times New Roman" w:hAnsi="Times New Roman" w:cs="Times New Roman" w:eastAsia="Times New Roman" w:hint="default"/>
        </w:rPr>
        <w:t>3</w:t>
      </w:r>
      <w:r>
        <w:rPr/>
        <w:t>）预期信用损失的确定 </w:t>
      </w:r>
      <w:r>
        <w:rPr>
          <w:spacing w:val="-2"/>
        </w:rPr>
        <w:t>本公司基于单项和组合评估金融工具的预期信用损失，在评估预期信用损失时，考虑有关过去事项、当前状况以及未来经济</w:t>
      </w:r>
      <w:r>
        <w:rPr>
          <w:spacing w:val="-67"/>
        </w:rPr>
        <w:t> </w:t>
      </w:r>
      <w:r>
        <w:rPr>
          <w:spacing w:val="-67"/>
        </w:rPr>
      </w:r>
      <w:r>
        <w:rPr/>
        <w:t>状况预测的合理且有依据的信息。 </w:t>
      </w:r>
      <w:r>
        <w:rPr>
          <w:spacing w:val="-2"/>
        </w:rPr>
        <w:t>本公司以共同信用风险特征为依据，将金融工具分为不同组合。本公司采用的共同信用风险特征包括：金融工具类型、信用</w:t>
      </w:r>
      <w:r>
        <w:rPr>
          <w:spacing w:val="-42"/>
        </w:rPr>
        <w:t> </w:t>
      </w:r>
      <w:r>
        <w:rPr>
          <w:spacing w:val="-42"/>
        </w:rPr>
      </w:r>
      <w:r>
        <w:rPr>
          <w:spacing w:val="-2"/>
        </w:rPr>
        <w:t>风险评级、账龄组合、逾期账龄组合、合同结算周期、债务人所处行业等。相关金融工具的单项评估标准和组合信用风险特</w:t>
      </w:r>
      <w:r>
        <w:rPr>
          <w:spacing w:val="-57"/>
        </w:rPr>
        <w:t> </w:t>
      </w:r>
      <w:r>
        <w:rPr>
          <w:spacing w:val="-57"/>
        </w:rPr>
      </w:r>
      <w:r>
        <w:rPr/>
        <w:t>征详见相关金融工具的会计政策。</w:t>
      </w:r>
    </w:p>
    <w:p>
      <w:pPr>
        <w:pStyle w:val="BodyText"/>
        <w:spacing w:line="240" w:lineRule="auto" w:before="25"/>
        <w:ind w:right="0"/>
        <w:jc w:val="left"/>
      </w:pPr>
      <w:r>
        <w:rPr/>
        <w:t>本公司按照下列方法确定相关金融工具的预期信用损失：</w:t>
      </w:r>
    </w:p>
    <w:p>
      <w:pPr>
        <w:pStyle w:val="BodyText"/>
        <w:spacing w:line="240" w:lineRule="auto" w:before="95"/>
        <w:ind w:right="0"/>
        <w:jc w:val="left"/>
      </w:pPr>
      <w:r>
        <w:rPr>
          <w:rFonts w:ascii="Times New Roman" w:hAnsi="Times New Roman" w:cs="Times New Roman" w:eastAsia="Times New Roman" w:hint="default"/>
        </w:rPr>
        <w:t>1</w:t>
      </w:r>
      <w:r>
        <w:rPr/>
        <w:t>）对于金融资产，信用损失为本公司应收取的合同现金流量与预期收取的现金流量之间差额的现值。</w:t>
      </w:r>
    </w:p>
    <w:p>
      <w:pPr>
        <w:pStyle w:val="BodyText"/>
        <w:spacing w:line="273" w:lineRule="auto" w:before="66"/>
        <w:ind w:right="1119"/>
        <w:jc w:val="left"/>
      </w:pPr>
      <w:r>
        <w:rPr>
          <w:rFonts w:ascii="Times New Roman" w:hAnsi="Times New Roman" w:cs="Times New Roman" w:eastAsia="Times New Roman" w:hint="default"/>
        </w:rPr>
        <w:t>2</w:t>
      </w:r>
      <w:r>
        <w:rPr/>
        <w:t>）对于财务担保合同，信用损失为本公司就该合同持有人发生的信用损失向其做出赔付的预计付款额，减去本公司预期向</w:t>
      </w:r>
      <w:r>
        <w:rPr>
          <w:spacing w:val="-84"/>
        </w:rPr>
        <w:t> </w:t>
      </w:r>
      <w:r>
        <w:rPr>
          <w:spacing w:val="-84"/>
        </w:rPr>
      </w:r>
      <w:r>
        <w:rPr/>
        <w:t>该合同持有人、债务人或任何其他方收取的金额之间差额的现值。</w:t>
      </w:r>
    </w:p>
    <w:p>
      <w:pPr>
        <w:pStyle w:val="BodyText"/>
        <w:spacing w:line="309" w:lineRule="auto" w:before="70"/>
        <w:ind w:right="1119"/>
        <w:jc w:val="left"/>
      </w:pPr>
      <w:r>
        <w:rPr>
          <w:rFonts w:ascii="Times New Roman" w:hAnsi="Times New Roman" w:cs="Times New Roman" w:eastAsia="Times New Roman" w:hint="default"/>
        </w:rPr>
        <w:t>3</w:t>
      </w:r>
      <w:r>
        <w:rPr/>
        <w:t>）对于资产负债表日已发生信用减值但并非购买或源生已发生信用减值的金融资产，信用损失为该金融资产账面余额与按 原实际利率折现的估计未来现金流量的现值之间的差额。 </w:t>
      </w:r>
      <w:r>
        <w:rPr>
          <w:spacing w:val="-2"/>
        </w:rPr>
        <w:t>本公司计量金融工具预期信用损失的方法反映的因素包括：通过评价一系列可能的结果而确定的无偏概率加权平均金额；货</w:t>
      </w:r>
      <w:r>
        <w:rPr>
          <w:spacing w:val="-72"/>
        </w:rPr>
        <w:t> </w:t>
      </w:r>
      <w:r>
        <w:rPr>
          <w:spacing w:val="-72"/>
        </w:rPr>
      </w:r>
      <w:r>
        <w:rPr>
          <w:spacing w:val="-2"/>
        </w:rPr>
        <w:t>币时间价值；在资产负债表日无须付出不必要的额外成本或努力即可获得的有关过去事项、当前状况以及未来经济状况预测</w:t>
      </w:r>
      <w:r>
        <w:rPr>
          <w:spacing w:val="-72"/>
        </w:rPr>
        <w:t> </w:t>
      </w:r>
      <w:r>
        <w:rPr>
          <w:spacing w:val="-72"/>
        </w:rPr>
      </w:r>
      <w:r>
        <w:rPr/>
        <w:t>的合理且有依据的信息。</w:t>
      </w:r>
    </w:p>
    <w:p>
      <w:pPr>
        <w:pStyle w:val="BodyText"/>
        <w:spacing w:line="304" w:lineRule="auto" w:before="42"/>
        <w:ind w:right="0"/>
        <w:jc w:val="left"/>
      </w:pPr>
      <w:r>
        <w:rPr/>
        <w:t>（</w:t>
      </w:r>
      <w:r>
        <w:rPr>
          <w:rFonts w:ascii="Times New Roman" w:hAnsi="Times New Roman" w:cs="Times New Roman" w:eastAsia="Times New Roman" w:hint="default"/>
        </w:rPr>
        <w:t>4</w:t>
      </w:r>
      <w:r>
        <w:rPr/>
        <w:t>）减记金融资产 </w:t>
      </w:r>
      <w:r>
        <w:rPr>
          <w:spacing w:val="-2"/>
        </w:rPr>
        <w:t>当本公司不再合理预期金融资产合同现金流量能够全部或部分收回的，直接减记该金融资产的账面余额。这种减记构成相关</w:t>
      </w:r>
      <w:r>
        <w:rPr>
          <w:spacing w:val="-72"/>
        </w:rPr>
        <w:t> </w:t>
      </w:r>
      <w:r>
        <w:rPr>
          <w:spacing w:val="-72"/>
        </w:rPr>
      </w:r>
      <w:r>
        <w:rPr/>
        <w:t>金融资产的终止确认。</w:t>
      </w:r>
    </w:p>
    <w:p>
      <w:pPr>
        <w:pStyle w:val="BodyText"/>
        <w:spacing w:line="297" w:lineRule="auto" w:before="46"/>
        <w:ind w:right="1091"/>
        <w:jc w:val="left"/>
      </w:pPr>
      <w:r>
        <w:rPr>
          <w:rFonts w:ascii="Times New Roman" w:hAnsi="Times New Roman" w:cs="Times New Roman" w:eastAsia="Times New Roman" w:hint="default"/>
        </w:rPr>
        <w:t>7</w:t>
      </w:r>
      <w:r>
        <w:rPr/>
        <w:t>．</w:t>
      </w:r>
      <w:r>
        <w:rPr>
          <w:spacing w:val="60"/>
        </w:rPr>
        <w:t> </w:t>
      </w:r>
      <w:r>
        <w:rPr/>
        <w:t>金融资产及金融负债的抵销</w:t>
      </w:r>
      <w:r>
        <w:rPr/>
        <w:t> </w:t>
      </w:r>
      <w:r>
        <w:rPr>
          <w:spacing w:val="-2"/>
        </w:rPr>
        <w:t>金融资产和金融负债在资产负债表内分别列示，没有相互抵销。但是，同时满足下列条件的，以相互抵销后的净额在资产负</w:t>
      </w:r>
      <w:r>
        <w:rPr>
          <w:spacing w:val="-42"/>
        </w:rPr>
        <w:t> </w:t>
      </w:r>
      <w:r>
        <w:rPr>
          <w:spacing w:val="-42"/>
        </w:rPr>
      </w:r>
      <w:r>
        <w:rPr/>
        <w:t>债表内列示：</w:t>
      </w:r>
    </w:p>
    <w:p>
      <w:pPr>
        <w:pStyle w:val="BodyText"/>
        <w:spacing w:line="240" w:lineRule="auto" w:before="51"/>
        <w:ind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66"/>
        <w:ind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bookmarkStart w:name="11、应收票据" w:id="179"/>
      <w:bookmarkEnd w:id="179"/>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6"/>
          <w:szCs w:val="26"/>
        </w:rPr>
      </w:pPr>
    </w:p>
    <w:p>
      <w:pPr>
        <w:pStyle w:val="BodyText"/>
        <w:spacing w:line="304" w:lineRule="auto" w:before="0"/>
        <w:ind w:right="1008"/>
        <w:jc w:val="left"/>
      </w:pPr>
      <w:r>
        <w:rPr>
          <w:spacing w:val="-2"/>
        </w:rPr>
        <w:t>本公司对应收票据的预期信用损失的确定方法及会计处理方法详见本节五、重要会计政策及会计估计／</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6.</w:t>
      </w:r>
      <w:r>
        <w:rPr>
          <w:spacing w:val="-2"/>
        </w:rPr>
        <w:t>金融工具减值。</w:t>
      </w:r>
      <w:r>
        <w:rPr>
          <w:spacing w:val="-87"/>
        </w:rPr>
        <w:t> </w:t>
      </w:r>
      <w:r>
        <w:rPr>
          <w:spacing w:val="-2"/>
        </w:rPr>
        <w:t>当在单项工具层面无法以合理成本评估预期信用损失的充分证据时，本公司参考历史信用损失经验，结合当前状况以及对未</w:t>
      </w:r>
      <w:r>
        <w:rPr>
          <w:spacing w:val="-72"/>
        </w:rPr>
        <w:t> </w:t>
      </w:r>
      <w:r>
        <w:rPr>
          <w:spacing w:val="-72"/>
        </w:rPr>
      </w:r>
      <w:r>
        <w:rPr>
          <w:spacing w:val="-4"/>
        </w:rPr>
        <w:t>来经济状况的判断，依据信用风险特征将应收票据划分为若干组合，在组合基础上计算预期信用损失。确定组合的依据如下：</w:t>
      </w:r>
    </w:p>
    <w:p>
      <w:pPr>
        <w:spacing w:line="240" w:lineRule="auto" w:before="5"/>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352"/>
        <w:gridCol w:w="4476"/>
        <w:gridCol w:w="2703"/>
      </w:tblGrid>
      <w:tr>
        <w:trPr>
          <w:trHeight w:val="345"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315"/>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976"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54"/>
              <w:jc w:val="right"/>
              <w:rPr>
                <w:rFonts w:ascii="宋体" w:hAnsi="宋体" w:cs="宋体" w:eastAsia="宋体" w:hint="default"/>
                <w:sz w:val="18"/>
                <w:szCs w:val="18"/>
              </w:rPr>
            </w:pPr>
            <w:r>
              <w:rPr>
                <w:rFonts w:ascii="宋体" w:hAnsi="宋体" w:cs="宋体" w:eastAsia="宋体" w:hint="default"/>
                <w:sz w:val="18"/>
                <w:szCs w:val="18"/>
              </w:rPr>
              <w:t>银行承兑票据</w:t>
            </w:r>
          </w:p>
        </w:tc>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38"/>
              <w:jc w:val="both"/>
              <w:rPr>
                <w:rFonts w:ascii="宋体" w:hAnsi="宋体" w:cs="宋体" w:eastAsia="宋体" w:hint="default"/>
                <w:sz w:val="18"/>
                <w:szCs w:val="18"/>
              </w:rPr>
            </w:pPr>
            <w:r>
              <w:rPr>
                <w:rFonts w:ascii="宋体" w:hAnsi="宋体" w:cs="宋体" w:eastAsia="宋体" w:hint="default"/>
                <w:sz w:val="18"/>
                <w:szCs w:val="18"/>
              </w:rPr>
              <w:t>出票人具有较高的信用评级，历史上未发生票据违约， 信用损失风险极低，在短期内履行其支付合同现金流量 义务的能力很强</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1" w:right="-27"/>
              <w:jc w:val="left"/>
              <w:rPr>
                <w:rFonts w:ascii="宋体" w:hAnsi="宋体" w:cs="宋体" w:eastAsia="宋体" w:hint="default"/>
                <w:sz w:val="18"/>
                <w:szCs w:val="18"/>
              </w:rPr>
            </w:pPr>
            <w:r>
              <w:rPr>
                <w:rFonts w:ascii="宋体" w:hAnsi="宋体" w:cs="宋体" w:eastAsia="宋体" w:hint="default"/>
                <w:spacing w:val="13"/>
                <w:sz w:val="18"/>
                <w:szCs w:val="18"/>
              </w:rPr>
              <w:t>参考历史信用损失经验不计提坏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账准备</w:t>
            </w:r>
          </w:p>
        </w:tc>
      </w:tr>
      <w:tr>
        <w:trPr>
          <w:trHeight w:val="675"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54"/>
              <w:jc w:val="right"/>
              <w:rPr>
                <w:rFonts w:ascii="宋体" w:hAnsi="宋体" w:cs="宋体" w:eastAsia="宋体" w:hint="default"/>
                <w:sz w:val="18"/>
                <w:szCs w:val="18"/>
              </w:rPr>
            </w:pPr>
            <w:r>
              <w:rPr>
                <w:rFonts w:ascii="宋体" w:hAnsi="宋体" w:cs="宋体" w:eastAsia="宋体" w:hint="default"/>
                <w:sz w:val="18"/>
                <w:szCs w:val="18"/>
              </w:rPr>
              <w:t>商业承兑汇票</w:t>
            </w:r>
          </w:p>
        </w:tc>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2"/>
              <w:jc w:val="left"/>
              <w:rPr>
                <w:rFonts w:ascii="宋体" w:hAnsi="宋体" w:cs="宋体" w:eastAsia="宋体" w:hint="default"/>
                <w:sz w:val="18"/>
                <w:szCs w:val="18"/>
              </w:rPr>
            </w:pPr>
            <w:r>
              <w:rPr>
                <w:rFonts w:ascii="宋体" w:hAnsi="宋体" w:cs="宋体" w:eastAsia="宋体" w:hint="default"/>
                <w:spacing w:val="-2"/>
                <w:sz w:val="18"/>
                <w:szCs w:val="18"/>
              </w:rPr>
              <w:t>主要由信誉良好的大型国有企业和上市公司出具，且根据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历史经验，未出现过重大违约情况</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1" w:right="-27"/>
              <w:jc w:val="left"/>
              <w:rPr>
                <w:rFonts w:ascii="宋体" w:hAnsi="宋体" w:cs="宋体" w:eastAsia="宋体" w:hint="default"/>
                <w:sz w:val="18"/>
                <w:szCs w:val="18"/>
              </w:rPr>
            </w:pPr>
            <w:r>
              <w:rPr>
                <w:rFonts w:ascii="宋体" w:hAnsi="宋体" w:cs="宋体" w:eastAsia="宋体" w:hint="default"/>
                <w:spacing w:val="13"/>
                <w:sz w:val="18"/>
                <w:szCs w:val="18"/>
              </w:rPr>
              <w:t>参考历史信用损失经验及金融工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具减值的测试方法计提</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12、应收账款" w:id="180"/>
      <w:bookmarkEnd w:id="180"/>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5"/>
        <w:rPr>
          <w:rFonts w:ascii="宋体" w:hAnsi="宋体" w:cs="宋体" w:eastAsia="宋体" w:hint="default"/>
          <w:b/>
          <w:bCs/>
          <w:sz w:val="26"/>
          <w:szCs w:val="26"/>
        </w:rPr>
      </w:pPr>
    </w:p>
    <w:p>
      <w:pPr>
        <w:pStyle w:val="BodyText"/>
        <w:spacing w:line="304" w:lineRule="auto" w:before="0"/>
        <w:ind w:right="1008"/>
        <w:jc w:val="left"/>
      </w:pPr>
      <w:r>
        <w:rPr>
          <w:spacing w:val="-2"/>
        </w:rPr>
        <w:t>本公司对应收账款的预期信用损失的确定方法及会计处理方法详见本节五、重要会计政策及会计估计／</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6.</w:t>
      </w:r>
      <w:r>
        <w:rPr>
          <w:spacing w:val="-2"/>
        </w:rPr>
        <w:t>金融工具减值。</w:t>
      </w:r>
      <w:r>
        <w:rPr>
          <w:spacing w:val="-86"/>
        </w:rPr>
        <w:t> </w:t>
      </w:r>
      <w:r>
        <w:rPr/>
        <w:t>本公司对在单项工具层面能以合理成本评估预期信用损失的充分证据的应收账款单独确定其信用损失。 </w:t>
      </w:r>
      <w:r>
        <w:rPr>
          <w:spacing w:val="-2"/>
        </w:rPr>
        <w:t>当在单项工具层面无法以合理成本评估预期信用损失的充分证据时，本公司参考历史信用损失经验，结合当前状况以及对未</w:t>
      </w:r>
      <w:r>
        <w:rPr>
          <w:spacing w:val="-72"/>
        </w:rPr>
        <w:t> </w:t>
      </w:r>
      <w:r>
        <w:rPr>
          <w:spacing w:val="-72"/>
        </w:rPr>
      </w:r>
      <w:r>
        <w:rPr>
          <w:spacing w:val="-4"/>
        </w:rPr>
        <w:t>来经济状况的判断，依据信用风险特征将应收账款划分为若干组合，在组合基础上计算预期信用损失。确定组合的依据如下：</w:t>
      </w:r>
    </w:p>
    <w:p>
      <w:pPr>
        <w:spacing w:line="240" w:lineRule="auto" w:before="5"/>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352"/>
        <w:gridCol w:w="4476"/>
        <w:gridCol w:w="2703"/>
      </w:tblGrid>
      <w:tr>
        <w:trPr>
          <w:trHeight w:val="360"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0"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61"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right="20"/>
              <w:jc w:val="left"/>
              <w:rPr>
                <w:rFonts w:ascii="宋体" w:hAnsi="宋体" w:cs="宋体" w:eastAsia="宋体" w:hint="default"/>
                <w:sz w:val="18"/>
                <w:szCs w:val="18"/>
              </w:rPr>
            </w:pPr>
            <w:r>
              <w:rPr>
                <w:rFonts w:ascii="宋体" w:hAnsi="宋体" w:cs="宋体" w:eastAsia="宋体" w:hint="default"/>
                <w:spacing w:val="4"/>
                <w:sz w:val="18"/>
                <w:szCs w:val="18"/>
              </w:rPr>
              <w:t>本公司根据以往的历史经验对应收款项计提比例作出最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佳估计，参考应收款项的账龄进行信用风险组合分类</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left="-1" w:right="-27"/>
              <w:jc w:val="left"/>
              <w:rPr>
                <w:rFonts w:ascii="宋体" w:hAnsi="宋体" w:cs="宋体" w:eastAsia="宋体" w:hint="default"/>
                <w:sz w:val="18"/>
                <w:szCs w:val="18"/>
              </w:rPr>
            </w:pPr>
            <w:r>
              <w:rPr>
                <w:rFonts w:ascii="宋体" w:hAnsi="宋体" w:cs="宋体" w:eastAsia="宋体" w:hint="default"/>
                <w:spacing w:val="13"/>
                <w:sz w:val="18"/>
                <w:szCs w:val="18"/>
              </w:rPr>
              <w:t>按账龄与整个存续期预期信用损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失率对照表计提</w:t>
            </w:r>
          </w:p>
        </w:tc>
      </w:tr>
    </w:tbl>
    <w:p>
      <w:pPr>
        <w:pStyle w:val="BodyText"/>
        <w:spacing w:line="321" w:lineRule="auto" w:before="0"/>
        <w:ind w:right="0"/>
        <w:jc w:val="left"/>
      </w:pPr>
      <w:r>
        <w:rPr>
          <w:spacing w:val="-2"/>
        </w:rPr>
        <w:t>对于划分为账龄组合的应收款项，本公司参考历史信用损失经验，结合当前状况以及对未来经济状况的预测，编制应收款项</w:t>
      </w:r>
      <w:r>
        <w:rPr>
          <w:spacing w:val="-75"/>
        </w:rPr>
        <w:t> </w:t>
      </w:r>
      <w:r>
        <w:rPr>
          <w:spacing w:val="-75"/>
        </w:rPr>
      </w:r>
      <w:r>
        <w:rPr/>
        <w:t>账龄与整个存续期预期信用损失率对照表，计算预期信用损失。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7"/>
        <w:ind w:right="0"/>
        <w:jc w:val="left"/>
        <w:rPr>
          <w:b w:val="0"/>
          <w:bCs w:val="0"/>
        </w:rPr>
      </w:pPr>
      <w:bookmarkStart w:name="13、应收款项融资" w:id="181"/>
      <w:bookmarkEnd w:id="181"/>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3"/>
        <w:rPr>
          <w:rFonts w:ascii="宋体" w:hAnsi="宋体" w:cs="宋体" w:eastAsia="宋体" w:hint="default"/>
          <w:b/>
          <w:bCs/>
          <w:sz w:val="25"/>
          <w:szCs w:val="25"/>
        </w:rPr>
      </w:pPr>
    </w:p>
    <w:p>
      <w:pPr>
        <w:pStyle w:val="BodyText"/>
        <w:spacing w:line="290" w:lineRule="auto" w:before="0"/>
        <w:ind w:right="1091"/>
        <w:jc w:val="left"/>
      </w:pPr>
      <w:r>
        <w:rPr>
          <w:spacing w:val="-1"/>
        </w:rPr>
        <w:t>本公司对应收款项融资的预期信用损失的确定方法及会计处理方法详见本节五、重要会计政策及会计估计／</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6.</w:t>
      </w:r>
      <w:r>
        <w:rPr>
          <w:spacing w:val="-1"/>
        </w:rPr>
        <w:t>金融工具</w:t>
      </w:r>
      <w:r>
        <w:rPr>
          <w:spacing w:val="-54"/>
        </w:rPr>
        <w:t> </w:t>
      </w:r>
      <w:r>
        <w:rPr/>
        <w:t>减值。</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4、其他应收款" w:id="182"/>
      <w:bookmarkEnd w:id="182"/>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其他应收款的预期信用损失的确定方法及会计处理方法</w:t>
      </w:r>
    </w:p>
    <w:p>
      <w:pPr>
        <w:pStyle w:val="BodyText"/>
        <w:spacing w:line="288" w:lineRule="auto" w:before="125"/>
        <w:ind w:right="1091"/>
        <w:jc w:val="left"/>
      </w:pPr>
      <w:r>
        <w:rPr>
          <w:spacing w:val="-1"/>
        </w:rPr>
        <w:t>本公司对其他应收款的预期信用损失的确定方法及会计处理方法详见本节五、重要会计政策及会计估计／</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6.</w:t>
      </w:r>
      <w:r>
        <w:rPr>
          <w:spacing w:val="-1"/>
        </w:rPr>
        <w:t>金融工具减</w:t>
      </w:r>
      <w:r>
        <w:rPr>
          <w:spacing w:val="-54"/>
        </w:rPr>
        <w:t> </w:t>
      </w:r>
      <w:r>
        <w:rPr/>
        <w:t>值。</w:t>
      </w:r>
    </w:p>
    <w:p>
      <w:pPr>
        <w:pStyle w:val="BodyText"/>
        <w:spacing w:line="316" w:lineRule="auto"/>
        <w:ind w:right="1091"/>
        <w:jc w:val="left"/>
      </w:pPr>
      <w:r>
        <w:rPr/>
        <w:t>本公司对在单项工具层面能以合理成本评估预期信用损失的充分证据的其他应收款单独确定其信用损失。 </w:t>
      </w:r>
      <w:r>
        <w:rPr>
          <w:spacing w:val="-2"/>
        </w:rPr>
        <w:t>当在单项工具层面无法以合理成本评估预期信用损失的充分证据时，本公司参考历史信用损失经验，结合当前状况以及对未</w:t>
      </w:r>
      <w:r>
        <w:rPr>
          <w:spacing w:val="-72"/>
        </w:rPr>
        <w:t> </w:t>
      </w:r>
      <w:r>
        <w:rPr>
          <w:spacing w:val="-72"/>
        </w:rPr>
      </w:r>
      <w:r>
        <w:rPr>
          <w:spacing w:val="-2"/>
        </w:rPr>
        <w:t>来经济状况的判断，依据信用风险特征将其他应收款划分为若干组合，在组合基础上计算预期信用损失。确定组合的依据如</w:t>
      </w:r>
      <w:r>
        <w:rPr>
          <w:spacing w:val="-67"/>
        </w:rPr>
        <w:t> </w:t>
      </w:r>
      <w:r>
        <w:rPr>
          <w:spacing w:val="-67"/>
        </w:rPr>
      </w:r>
      <w:r>
        <w:rPr/>
        <w:t>下：</w:t>
      </w:r>
    </w:p>
    <w:tbl>
      <w:tblPr>
        <w:tblW w:w="0" w:type="auto"/>
        <w:jc w:val="left"/>
        <w:tblInd w:w="126" w:type="dxa"/>
        <w:tblLayout w:type="fixed"/>
        <w:tblCellMar>
          <w:top w:w="0" w:type="dxa"/>
          <w:left w:w="0" w:type="dxa"/>
          <w:bottom w:w="0" w:type="dxa"/>
          <w:right w:w="0" w:type="dxa"/>
        </w:tblCellMar>
        <w:tblLook w:val="01E0"/>
      </w:tblPr>
      <w:tblGrid>
        <w:gridCol w:w="1352"/>
        <w:gridCol w:w="4476"/>
        <w:gridCol w:w="2703"/>
      </w:tblGrid>
      <w:tr>
        <w:trPr>
          <w:trHeight w:val="360"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0"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1607"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47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right="3"/>
              <w:jc w:val="left"/>
              <w:rPr>
                <w:rFonts w:ascii="宋体" w:hAnsi="宋体" w:cs="宋体" w:eastAsia="宋体" w:hint="default"/>
                <w:sz w:val="18"/>
                <w:szCs w:val="18"/>
              </w:rPr>
            </w:pPr>
            <w:r>
              <w:rPr>
                <w:rFonts w:ascii="宋体" w:hAnsi="宋体" w:cs="宋体" w:eastAsia="宋体" w:hint="default"/>
                <w:spacing w:val="4"/>
                <w:sz w:val="18"/>
                <w:szCs w:val="18"/>
              </w:rPr>
              <w:t>本公司根据以往的历史经验对应收款项计提比例作出最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佳估计，参考其他应收款项的账龄进行信用风险组合分类</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1" w:right="-30"/>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 状况以及对未来经济状况的预测， </w:t>
            </w:r>
            <w:r>
              <w:rPr>
                <w:rFonts w:ascii="宋体" w:hAnsi="宋体" w:cs="宋体" w:eastAsia="宋体" w:hint="default"/>
                <w:spacing w:val="13"/>
                <w:sz w:val="18"/>
                <w:szCs w:val="18"/>
              </w:rPr>
              <w:t>通过违约风险敞口和未来</w:t>
            </w:r>
            <w:r>
              <w:rPr>
                <w:rFonts w:ascii="宋体" w:hAnsi="宋体" w:cs="宋体" w:eastAsia="宋体" w:hint="default"/>
                <w:spacing w:val="-63"/>
                <w:sz w:val="18"/>
                <w:szCs w:val="18"/>
              </w:rPr>
              <w:t> </w:t>
            </w:r>
            <w:r>
              <w:rPr>
                <w:rFonts w:ascii="Times New Roman" w:hAnsi="Times New Roman" w:cs="Times New Roman" w:eastAsia="Times New Roman" w:hint="default"/>
                <w:spacing w:val="7"/>
                <w:sz w:val="18"/>
                <w:szCs w:val="18"/>
              </w:rPr>
              <w:t>12</w:t>
            </w:r>
            <w:r>
              <w:rPr>
                <w:rFonts w:ascii="宋体" w:hAnsi="宋体" w:cs="宋体" w:eastAsia="宋体" w:hint="default"/>
                <w:spacing w:val="7"/>
                <w:sz w:val="18"/>
                <w:szCs w:val="18"/>
              </w:rPr>
              <w:t>个月</w:t>
            </w:r>
            <w:r>
              <w:rPr>
                <w:rFonts w:ascii="宋体" w:hAnsi="宋体" w:cs="宋体" w:eastAsia="宋体" w:hint="default"/>
                <w:sz w:val="18"/>
                <w:szCs w:val="18"/>
              </w:rPr>
            </w:r>
          </w:p>
          <w:p>
            <w:pPr>
              <w:pStyle w:val="TableParagraph"/>
              <w:spacing w:line="219" w:lineRule="exact"/>
              <w:ind w:left="-1" w:right="0"/>
              <w:jc w:val="both"/>
              <w:rPr>
                <w:rFonts w:ascii="宋体" w:hAnsi="宋体" w:cs="宋体" w:eastAsia="宋体" w:hint="default"/>
                <w:sz w:val="18"/>
                <w:szCs w:val="18"/>
              </w:rPr>
            </w:pPr>
            <w:r>
              <w:rPr>
                <w:rFonts w:ascii="宋体" w:hAnsi="宋体" w:cs="宋体" w:eastAsia="宋体" w:hint="default"/>
                <w:sz w:val="18"/>
                <w:szCs w:val="18"/>
              </w:rPr>
              <w:t>内或整个存续期预期信用损失率，</w:t>
            </w:r>
          </w:p>
          <w:p>
            <w:pPr>
              <w:pStyle w:val="TableParagraph"/>
              <w:spacing w:line="240" w:lineRule="auto" w:before="80"/>
              <w:ind w:left="-1" w:right="0"/>
              <w:jc w:val="both"/>
              <w:rPr>
                <w:rFonts w:ascii="宋体" w:hAnsi="宋体" w:cs="宋体" w:eastAsia="宋体" w:hint="default"/>
                <w:sz w:val="18"/>
                <w:szCs w:val="18"/>
              </w:rPr>
            </w:pPr>
            <w:r>
              <w:rPr>
                <w:rFonts w:ascii="宋体" w:hAnsi="宋体" w:cs="宋体" w:eastAsia="宋体" w:hint="default"/>
                <w:sz w:val="18"/>
                <w:szCs w:val="18"/>
              </w:rPr>
              <w:t>计算预期信用损失</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spacing w:line="240" w:lineRule="auto" w:before="35"/>
        <w:ind w:right="0"/>
        <w:jc w:val="left"/>
        <w:rPr>
          <w:b w:val="0"/>
          <w:bCs w:val="0"/>
        </w:rPr>
      </w:pPr>
      <w:bookmarkStart w:name="15、存货" w:id="183"/>
      <w:bookmarkEnd w:id="183"/>
      <w:r>
        <w:rPr>
          <w:b w:val="0"/>
          <w:bCs w:val="0"/>
        </w:rPr>
      </w:r>
      <w:r>
        <w:rPr>
          <w:rFonts w:ascii="Times New Roman" w:hAnsi="Times New Roman" w:cs="Times New Roman" w:eastAsia="Times New Roman" w:hint="default"/>
        </w:rPr>
        <w:t>15</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04" w:lineRule="auto" w:before="0"/>
        <w:ind w:right="0"/>
        <w:jc w:val="left"/>
      </w:pPr>
      <w:r>
        <w:rPr>
          <w:rFonts w:ascii="Times New Roman" w:hAnsi="Times New Roman" w:cs="Times New Roman" w:eastAsia="Times New Roman" w:hint="default"/>
        </w:rPr>
        <w:t>1</w:t>
      </w:r>
      <w:r>
        <w:rPr/>
        <w:t>．</w:t>
      </w:r>
      <w:r>
        <w:rPr>
          <w:spacing w:val="60"/>
        </w:rPr>
        <w:t> </w:t>
      </w:r>
      <w:r>
        <w:rPr/>
        <w:t>存货的分类</w:t>
      </w:r>
      <w:r>
        <w:rPr/>
        <w:t> </w:t>
      </w:r>
      <w:r>
        <w:rPr>
          <w:spacing w:val="-2"/>
        </w:rPr>
        <w:t>存货是指本公司在日常活动中持有以备出售的产成品或商品、处在生产过程中的在产品、在生产过程或提供劳务过程中耗用</w:t>
      </w:r>
      <w:r>
        <w:rPr>
          <w:spacing w:val="-72"/>
        </w:rPr>
        <w:t> </w:t>
      </w:r>
      <w:r>
        <w:rPr>
          <w:spacing w:val="-72"/>
        </w:rPr>
      </w:r>
      <w:r>
        <w:rPr/>
        <w:t>的材料和物料等。主要包括原材料、周转材料、委托加工材料、在产品、产成品（库存商品）、发出商品等。</w:t>
      </w:r>
    </w:p>
    <w:p>
      <w:pPr>
        <w:pStyle w:val="BodyText"/>
        <w:spacing w:line="304" w:lineRule="auto" w:before="46"/>
        <w:ind w:right="2109"/>
        <w:jc w:val="left"/>
      </w:pPr>
      <w:r>
        <w:rPr>
          <w:rFonts w:ascii="Times New Roman" w:hAnsi="Times New Roman" w:cs="Times New Roman" w:eastAsia="Times New Roman" w:hint="default"/>
        </w:rPr>
        <w:t>2</w:t>
      </w:r>
      <w:r>
        <w:rPr/>
        <w:t>．</w:t>
      </w:r>
      <w:r>
        <w:rPr>
          <w:spacing w:val="60"/>
        </w:rPr>
        <w:t> </w:t>
      </w:r>
      <w:r>
        <w:rPr/>
        <w:t>存货的计价方法</w:t>
      </w:r>
      <w:r>
        <w:rPr/>
        <w:t> 存货在取得时，按成本进行初始计量，包括采购成本、加工成本和其他成本。存货发出时按加权平均法计价。 </w:t>
      </w:r>
      <w:r>
        <w:rPr>
          <w:rFonts w:ascii="Times New Roman" w:hAnsi="Times New Roman" w:cs="Times New Roman" w:eastAsia="Times New Roman" w:hint="default"/>
        </w:rPr>
        <w:t>3</w:t>
      </w:r>
      <w:r>
        <w:rPr/>
        <w:t>．</w:t>
      </w:r>
      <w:r>
        <w:rPr>
          <w:spacing w:val="60"/>
        </w:rPr>
        <w:t> </w:t>
      </w:r>
      <w:r>
        <w:rPr/>
        <w:t>存货可变现净值的确定依据及存货跌价准备的计提方法</w:t>
      </w:r>
    </w:p>
    <w:p>
      <w:pPr>
        <w:pStyle w:val="BodyText"/>
        <w:spacing w:line="233" w:lineRule="exact" w:before="0"/>
        <w:ind w:right="0"/>
        <w:jc w:val="left"/>
      </w:pPr>
      <w:r>
        <w:rPr/>
        <w:t>期末对存货进行全面清查后，按存货的成本与可变现净值孰低提取或调整存货跌价准备。产成品、库存商品和用于出售的材</w:t>
      </w:r>
    </w:p>
    <w:p>
      <w:pPr>
        <w:spacing w:after="0" w:line="233" w:lineRule="exact"/>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091"/>
        <w:jc w:val="left"/>
      </w:pPr>
      <w:r>
        <w:rPr>
          <w:spacing w:val="-2"/>
        </w:rPr>
        <w:t>料等直接用于出售的商品存货，在正常生产经营过程中，以该存货的估计售价减去估计的销售费用和相关税费后的金额，确</w:t>
      </w:r>
      <w:r>
        <w:rPr>
          <w:spacing w:val="-75"/>
        </w:rPr>
        <w:t> </w:t>
      </w:r>
      <w:r>
        <w:rPr>
          <w:spacing w:val="-75"/>
        </w:rPr>
      </w:r>
      <w:r>
        <w:rPr>
          <w:spacing w:val="-2"/>
        </w:rPr>
        <w:t>定其可变现净值；需要经过加工的材料存货，在正常生产经营过程中，以所生产的产成品的估计售价减去至完工时估计将要</w:t>
      </w:r>
      <w:r>
        <w:rPr>
          <w:spacing w:val="-68"/>
        </w:rPr>
        <w:t> </w:t>
      </w:r>
      <w:r>
        <w:rPr>
          <w:spacing w:val="-68"/>
        </w:rPr>
      </w:r>
      <w:r>
        <w:rPr>
          <w:spacing w:val="-2"/>
        </w:rPr>
        <w:t>发生的成本、估计的销售费用和相关税费后的金额，确定其可变现净值；为执行销售合同或者劳务合同而持有的存货，其可</w:t>
      </w:r>
      <w:r>
        <w:rPr>
          <w:spacing w:val="-42"/>
        </w:rPr>
        <w:t> </w:t>
      </w:r>
      <w:r>
        <w:rPr>
          <w:spacing w:val="-42"/>
        </w:rPr>
      </w:r>
      <w:r>
        <w:rPr>
          <w:spacing w:val="-2"/>
        </w:rPr>
        <w:t>变现净值以合同价格为基础计算，若持有存货的数量多于销售合同订购数量的，超出部分的存货的可变现净值以一般销售价</w:t>
      </w:r>
      <w:r>
        <w:rPr>
          <w:spacing w:val="-72"/>
        </w:rPr>
        <w:t> </w:t>
      </w:r>
      <w:r>
        <w:rPr>
          <w:spacing w:val="-72"/>
        </w:rPr>
      </w:r>
      <w:r>
        <w:rPr/>
        <w:t>格为基础计算。 </w:t>
      </w:r>
      <w:r>
        <w:rPr>
          <w:spacing w:val="-2"/>
        </w:rPr>
        <w:t>期末按照单个存货项目计提存货跌价准备；但对于数量繁多、单价较低的存货，按照存货类别计提存货跌价准备；与在同一</w:t>
      </w:r>
      <w:r>
        <w:rPr>
          <w:spacing w:val="-42"/>
        </w:rPr>
        <w:t> </w:t>
      </w:r>
      <w:r>
        <w:rPr>
          <w:spacing w:val="-42"/>
        </w:rPr>
      </w:r>
      <w:r>
        <w:rPr>
          <w:spacing w:val="-2"/>
        </w:rPr>
        <w:t>地区生产和销售的产品系列相关、具有相同或类似最终用途或目的，且难以与其他项目分开计量的存货，则合并计提存货跌</w:t>
      </w:r>
      <w:r>
        <w:rPr>
          <w:spacing w:val="-75"/>
        </w:rPr>
        <w:t> </w:t>
      </w:r>
      <w:r>
        <w:rPr>
          <w:spacing w:val="-75"/>
        </w:rPr>
      </w:r>
      <w:r>
        <w:rPr/>
        <w:t>价准备。 </w:t>
      </w:r>
      <w:r>
        <w:rPr>
          <w:spacing w:val="-2"/>
        </w:rPr>
        <w:t>以前减记存货价值的影响因素已经消失的，减记的金额予以恢复，并在原已计提的存货跌价准备金额内转回，转回的金额计</w:t>
      </w:r>
      <w:r>
        <w:rPr>
          <w:spacing w:val="-74"/>
        </w:rPr>
        <w:t> </w:t>
      </w:r>
      <w:r>
        <w:rPr>
          <w:spacing w:val="-74"/>
        </w:rPr>
      </w:r>
      <w:r>
        <w:rPr/>
        <w:t>入当期损益。</w:t>
      </w:r>
    </w:p>
    <w:p>
      <w:pPr>
        <w:pStyle w:val="BodyText"/>
        <w:spacing w:line="290" w:lineRule="auto" w:before="37"/>
        <w:ind w:right="9069"/>
        <w:jc w:val="left"/>
      </w:pPr>
      <w:r>
        <w:rPr>
          <w:rFonts w:ascii="Times New Roman" w:hAnsi="Times New Roman" w:cs="Times New Roman" w:eastAsia="Times New Roman" w:hint="default"/>
        </w:rPr>
        <w:t>4</w:t>
      </w:r>
      <w:r>
        <w:rPr/>
        <w:t>．</w:t>
      </w:r>
      <w:r>
        <w:rPr>
          <w:spacing w:val="60"/>
        </w:rPr>
        <w:t> </w:t>
      </w:r>
      <w:r>
        <w:rPr/>
        <w:t>存货的盘存制度</w:t>
      </w:r>
      <w:r>
        <w:rPr/>
        <w:t> 采用永续盘存制。</w:t>
      </w:r>
    </w:p>
    <w:p>
      <w:pPr>
        <w:pStyle w:val="BodyText"/>
        <w:spacing w:line="240" w:lineRule="auto" w:before="57"/>
        <w:ind w:right="0"/>
        <w:jc w:val="left"/>
      </w:pPr>
      <w:r>
        <w:rPr>
          <w:rFonts w:ascii="Times New Roman" w:hAnsi="Times New Roman" w:cs="Times New Roman" w:eastAsia="Times New Roman" w:hint="default"/>
        </w:rPr>
        <w:t>5</w:t>
      </w:r>
      <w:r>
        <w:rPr/>
        <w:t>．</w:t>
      </w:r>
      <w:r>
        <w:rPr>
          <w:spacing w:val="60"/>
        </w:rPr>
        <w:t> </w:t>
      </w:r>
      <w:r>
        <w:rPr/>
        <w:t>低值易耗品和包装物的摊销方法</w:t>
      </w:r>
    </w:p>
    <w:p>
      <w:pPr>
        <w:pStyle w:val="BodyText"/>
        <w:spacing w:line="240" w:lineRule="auto" w:before="51"/>
        <w:ind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6"/>
        <w:ind w:right="0"/>
        <w:jc w:val="left"/>
      </w:pPr>
      <w:r>
        <w:rPr/>
        <w:t>（</w:t>
      </w:r>
      <w:r>
        <w:rPr>
          <w:rFonts w:ascii="Times New Roman" w:hAnsi="Times New Roman" w:cs="Times New Roman" w:eastAsia="Times New Roman" w:hint="default"/>
        </w:rPr>
        <w:t>2</w:t>
      </w:r>
      <w:r>
        <w:rPr/>
        <w:t>）包装物采用一次转销法。</w:t>
      </w:r>
    </w:p>
    <w:p>
      <w:pPr>
        <w:pStyle w:val="BodyText"/>
        <w:spacing w:line="240" w:lineRule="auto" w:before="66"/>
        <w:ind w:right="0"/>
        <w:jc w:val="left"/>
      </w:pPr>
      <w:r>
        <w:rPr/>
        <w:t>（</w:t>
      </w:r>
      <w:r>
        <w:rPr>
          <w:rFonts w:ascii="Times New Roman" w:hAnsi="Times New Roman" w:cs="Times New Roman" w:eastAsia="Times New Roman" w:hint="default"/>
        </w:rPr>
        <w:t>3</w:t>
      </w:r>
      <w:r>
        <w:rPr/>
        <w:t>）其他周转材料采用一次转销法摊销。</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16、合同资产" w:id="184"/>
      <w:bookmarkEnd w:id="184"/>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7、合同成本" w:id="185"/>
      <w:bookmarkEnd w:id="185"/>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8、持有待售资产" w:id="186"/>
      <w:bookmarkEnd w:id="186"/>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3"/>
        <w:rPr>
          <w:rFonts w:ascii="宋体" w:hAnsi="宋体" w:cs="宋体" w:eastAsia="宋体" w:hint="default"/>
          <w:b/>
          <w:bCs/>
          <w:sz w:val="25"/>
          <w:szCs w:val="25"/>
        </w:rPr>
      </w:pPr>
    </w:p>
    <w:p>
      <w:pPr>
        <w:pStyle w:val="BodyText"/>
        <w:spacing w:line="290" w:lineRule="auto" w:before="0"/>
        <w:ind w:right="4629"/>
        <w:jc w:val="left"/>
      </w:pPr>
      <w:r>
        <w:rPr>
          <w:rFonts w:ascii="Times New Roman" w:hAnsi="Times New Roman" w:cs="Times New Roman" w:eastAsia="Times New Roman" w:hint="default"/>
        </w:rPr>
        <w:t>1</w:t>
      </w:r>
      <w:r>
        <w:rPr/>
        <w:t>．</w:t>
      </w:r>
      <w:r>
        <w:rPr>
          <w:spacing w:val="60"/>
        </w:rPr>
        <w:t> </w:t>
      </w:r>
      <w:r>
        <w:rPr/>
        <w:t>划分为持有待售确认标准</w:t>
      </w:r>
      <w:r>
        <w:rPr/>
        <w:t> 本公司将同时满足下列条件的非流动资产或处置组确认为持有待售组成部分：</w:t>
      </w:r>
    </w:p>
    <w:p>
      <w:pPr>
        <w:pStyle w:val="BodyText"/>
        <w:spacing w:line="240" w:lineRule="auto" w:before="57"/>
        <w:ind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97" w:lineRule="auto" w:before="66"/>
        <w:ind w:right="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 </w:t>
      </w:r>
      <w:r>
        <w:rPr>
          <w:spacing w:val="-2"/>
        </w:rPr>
        <w:t>确定的购买承诺，是指本公司与其他方签订的具有法律约束力的购买协议，该协议包含交易价格、时间和足够严厉的违约惩</w:t>
      </w:r>
      <w:r>
        <w:rPr>
          <w:spacing w:val="-75"/>
        </w:rPr>
        <w:t> </w:t>
      </w:r>
      <w:r>
        <w:rPr>
          <w:spacing w:val="-75"/>
        </w:rPr>
      </w:r>
      <w:r>
        <w:rPr/>
        <w:t>罚等重要条款，使协议出现重大调整或者撤销的可能性极小。</w:t>
      </w:r>
    </w:p>
    <w:p>
      <w:pPr>
        <w:pStyle w:val="BodyText"/>
        <w:spacing w:line="312" w:lineRule="auto" w:before="51"/>
        <w:ind w:right="1091"/>
        <w:jc w:val="left"/>
      </w:pPr>
      <w:r>
        <w:rPr>
          <w:rFonts w:ascii="Times New Roman" w:hAnsi="Times New Roman" w:cs="Times New Roman" w:eastAsia="Times New Roman" w:hint="default"/>
        </w:rPr>
        <w:t>2</w:t>
      </w:r>
      <w:r>
        <w:rPr/>
        <w:t>．</w:t>
      </w:r>
      <w:r>
        <w:rPr>
          <w:spacing w:val="60"/>
        </w:rPr>
        <w:t> </w:t>
      </w:r>
      <w:r>
        <w:rPr/>
        <w:t>持有待售核算方法</w:t>
      </w:r>
      <w:r>
        <w:rPr/>
        <w:t> </w:t>
      </w:r>
      <w:r>
        <w:rPr>
          <w:spacing w:val="-2"/>
        </w:rPr>
        <w:t>本公司对于持有待售的非流动资产或处置组不计提折旧或摊销，其账面价值高于公允价值减去出售费用后的净额的，应当将</w:t>
      </w:r>
      <w:r>
        <w:rPr>
          <w:spacing w:val="-72"/>
        </w:rPr>
        <w:t> </w:t>
      </w:r>
      <w:r>
        <w:rPr>
          <w:spacing w:val="-72"/>
        </w:rPr>
      </w:r>
      <w:r>
        <w:rPr>
          <w:spacing w:val="-2"/>
        </w:rPr>
        <w:t>账面价值减记至公允价值减去出售费用后的净额，减记的金额确认为资产减值损失，计入当期损益，同时计提持有待售资产</w:t>
      </w:r>
      <w:r>
        <w:rPr>
          <w:spacing w:val="-64"/>
        </w:rPr>
        <w:t> </w:t>
      </w:r>
      <w:r>
        <w:rPr>
          <w:spacing w:val="-64"/>
        </w:rPr>
      </w:r>
      <w:r>
        <w:rPr/>
        <w:t>减值准备。 </w:t>
      </w:r>
      <w:r>
        <w:rPr>
          <w:spacing w:val="-2"/>
        </w:rPr>
        <w:t>对于取得日划分为持有待售类别的非流动资产或处置组，在初始计量时比较假定其不划分为持有待售类别情况下的初始计量</w:t>
      </w:r>
      <w:r>
        <w:rPr>
          <w:spacing w:val="-58"/>
        </w:rPr>
        <w:t> </w:t>
      </w:r>
      <w:r>
        <w:rPr>
          <w:spacing w:val="-58"/>
        </w:rPr>
      </w:r>
      <w:r>
        <w:rPr/>
        <w:t>金额和公允价值减去出售费用后的净额，以两者孰低计量。</w:t>
      </w:r>
    </w:p>
    <w:p>
      <w:pPr>
        <w:pStyle w:val="BodyText"/>
        <w:spacing w:line="321" w:lineRule="auto" w:before="25"/>
        <w:ind w:right="1106"/>
        <w:jc w:val="both"/>
      </w:pPr>
      <w:r>
        <w:rPr>
          <w:spacing w:val="-2"/>
        </w:rPr>
        <w:t>上述原则适用于所有非流动资产，但不包括采用公允价值模式进行后续计量的投资性房地产、采用公允价值减去出售费用后</w:t>
      </w:r>
      <w:r>
        <w:rPr>
          <w:spacing w:val="-72"/>
        </w:rPr>
        <w:t> </w:t>
      </w:r>
      <w:r>
        <w:rPr>
          <w:spacing w:val="-72"/>
        </w:rPr>
      </w:r>
      <w:r>
        <w:rPr>
          <w:spacing w:val="-2"/>
        </w:rPr>
        <w:t>的净额计量的生物资产、职工薪酬形成的资产、递延所得税资产、由金融工具相关会计准则规范的金融资产、由保险合同相</w:t>
      </w:r>
      <w:r>
        <w:rPr>
          <w:spacing w:val="-42"/>
        </w:rPr>
        <w:t> </w:t>
      </w:r>
      <w:r>
        <w:rPr>
          <w:spacing w:val="-42"/>
        </w:rPr>
      </w:r>
      <w:r>
        <w:rPr/>
        <w:t>关会计准则规范的保险合同所产生的权利。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left"/>
        <w:rPr>
          <w:b w:val="0"/>
          <w:bCs w:val="0"/>
        </w:rPr>
      </w:pPr>
      <w:bookmarkStart w:name="19、债权投资" w:id="187"/>
      <w:bookmarkEnd w:id="187"/>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20、其他债权投资" w:id="188"/>
      <w:bookmarkEnd w:id="188"/>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本公司对其他债权投资的预期信用损失的确定方法及会计处理方法详见本节五、重要会计政策及会计估计／</w:t>
      </w:r>
      <w:r>
        <w:rPr>
          <w:rFonts w:ascii="Times New Roman" w:hAnsi="Times New Roman" w:cs="Times New Roman" w:eastAsia="Times New Roman" w:hint="default"/>
        </w:rPr>
        <w:t>10</w:t>
      </w:r>
      <w:r>
        <w:rPr/>
        <w:t>、</w:t>
      </w:r>
      <w:r>
        <w:rPr>
          <w:rFonts w:ascii="Times New Roman" w:hAnsi="Times New Roman" w:cs="Times New Roman" w:eastAsia="Times New Roman" w:hint="default"/>
        </w:rPr>
        <w:t>6.</w:t>
      </w:r>
      <w:r>
        <w:rPr/>
        <w:t>金融工具</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减值。</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1、长期应收款" w:id="189"/>
      <w:bookmarkEnd w:id="189"/>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5"/>
        <w:rPr>
          <w:rFonts w:ascii="宋体" w:hAnsi="宋体" w:cs="宋体" w:eastAsia="宋体" w:hint="default"/>
          <w:b/>
          <w:bCs/>
          <w:sz w:val="26"/>
          <w:szCs w:val="26"/>
        </w:rPr>
      </w:pPr>
    </w:p>
    <w:p>
      <w:pPr>
        <w:pStyle w:val="BodyText"/>
        <w:spacing w:line="276" w:lineRule="auto" w:before="0"/>
        <w:ind w:right="1091"/>
        <w:jc w:val="left"/>
      </w:pPr>
      <w:r>
        <w:rPr>
          <w:spacing w:val="-1"/>
        </w:rPr>
        <w:t>本公司对长期应收款的预期信用损失的确定方法及会计处理方法详见本节五、重要会计政策及会计估计／</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6.</w:t>
      </w:r>
      <w:r>
        <w:rPr>
          <w:spacing w:val="-1"/>
        </w:rPr>
        <w:t>金融工具减</w:t>
      </w:r>
      <w:r>
        <w:rPr>
          <w:spacing w:val="-54"/>
        </w:rPr>
        <w:t> </w:t>
      </w:r>
      <w:r>
        <w:rPr/>
        <w:t>值。</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2、长期股权投资" w:id="190"/>
      <w:bookmarkEnd w:id="190"/>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1</w:t>
      </w:r>
      <w:r>
        <w:rPr/>
        <w:t>．</w:t>
      </w:r>
      <w:r>
        <w:rPr>
          <w:spacing w:val="60"/>
        </w:rPr>
        <w:t> </w:t>
      </w:r>
      <w:r>
        <w:rPr/>
        <w:t>初始投资成本的确定</w:t>
      </w:r>
    </w:p>
    <w:p>
      <w:pPr>
        <w:pStyle w:val="BodyText"/>
        <w:spacing w:line="290" w:lineRule="auto" w:before="66"/>
        <w:ind w:right="1084"/>
        <w:jc w:val="left"/>
      </w:pPr>
      <w:r>
        <w:rPr>
          <w:spacing w:val="-1"/>
        </w:rPr>
        <w:t>（</w:t>
      </w:r>
      <w:r>
        <w:rPr>
          <w:rFonts w:ascii="Times New Roman" w:hAnsi="Times New Roman" w:cs="Times New Roman" w:eastAsia="Times New Roman" w:hint="default"/>
          <w:spacing w:val="-1"/>
        </w:rPr>
        <w:t>1</w:t>
      </w:r>
      <w:r>
        <w:rPr>
          <w:spacing w:val="-1"/>
        </w:rPr>
        <w:t>）企业合并形成的长期股权投资，具体会计政策详见本节五、重要会计政策及会计估计／</w:t>
      </w:r>
      <w:r>
        <w:rPr>
          <w:rFonts w:ascii="Times New Roman" w:hAnsi="Times New Roman" w:cs="Times New Roman" w:eastAsia="Times New Roman" w:hint="default"/>
          <w:spacing w:val="-1"/>
        </w:rPr>
        <w:t>5</w:t>
      </w:r>
      <w:r>
        <w:rPr>
          <w:spacing w:val="-1"/>
        </w:rPr>
        <w:t>、同一控制下和非同一控制下</w:t>
      </w:r>
      <w:r>
        <w:rPr>
          <w:spacing w:val="-87"/>
        </w:rPr>
        <w:t> </w:t>
      </w:r>
      <w:r>
        <w:rPr>
          <w:spacing w:val="-87"/>
        </w:rPr>
      </w:r>
      <w:r>
        <w:rPr/>
        <w:t>企业合并的会计处理方法。</w:t>
      </w:r>
    </w:p>
    <w:p>
      <w:pPr>
        <w:pStyle w:val="BodyText"/>
        <w:spacing w:line="297" w:lineRule="auto" w:before="56"/>
        <w:ind w:right="0"/>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以支付现金方式取得的长期股权投资，按照实际支付的购买价款作为初始投资成本。初始投资成本包括与取得长期股权投资</w:t>
      </w:r>
      <w:r>
        <w:rPr>
          <w:spacing w:val="-64"/>
        </w:rPr>
        <w:t> </w:t>
      </w:r>
      <w:r>
        <w:rPr>
          <w:spacing w:val="-64"/>
        </w:rPr>
      </w:r>
      <w:r>
        <w:rPr/>
        <w:t>直接相关的费用、税金及其他必要支出。</w:t>
      </w:r>
    </w:p>
    <w:p>
      <w:pPr>
        <w:pStyle w:val="BodyText"/>
        <w:spacing w:line="319" w:lineRule="auto" w:before="36"/>
        <w:ind w:right="0"/>
        <w:jc w:val="left"/>
      </w:pPr>
      <w:r>
        <w:rPr>
          <w:spacing w:val="-2"/>
        </w:rPr>
        <w:t>以发行权益性证券取得的长期股权投资，按照发行权益性证券的公允价值作为初始投资成本；发行或取得自身权益工具时发</w:t>
      </w:r>
      <w:r>
        <w:rPr>
          <w:spacing w:val="-72"/>
        </w:rPr>
        <w:t> </w:t>
      </w:r>
      <w:r>
        <w:rPr>
          <w:spacing w:val="-72"/>
        </w:rPr>
      </w:r>
      <w:r>
        <w:rPr/>
        <w:t>生的交易费用，可直接归属于权益性交易的从权益中扣减。 </w:t>
      </w:r>
      <w:r>
        <w:rPr>
          <w:spacing w:val="-2"/>
        </w:rPr>
        <w:t>在非货币性资产交换具备商业实质和换入资产或换出资产的公允价值能够可靠计量的前提下，非货币性资产交换换入的长期</w:t>
      </w:r>
      <w:r>
        <w:rPr>
          <w:spacing w:val="-58"/>
        </w:rPr>
        <w:t> </w:t>
      </w:r>
      <w:r>
        <w:rPr>
          <w:spacing w:val="-58"/>
        </w:rPr>
      </w:r>
      <w:r>
        <w:rPr>
          <w:spacing w:val="-2"/>
        </w:rPr>
        <w:t>股权投资以换出资产的公允价值为基础确定其初始投资成本，除非有确凿证据表明换入资产的公允价值更加可靠；不满足上</w:t>
      </w:r>
      <w:r>
        <w:rPr>
          <w:spacing w:val="-72"/>
        </w:rPr>
        <w:t> </w:t>
      </w:r>
      <w:r>
        <w:rPr>
          <w:spacing w:val="-72"/>
        </w:rPr>
      </w:r>
      <w:r>
        <w:rPr/>
        <w:t>述前提的非货币性资产交换，以换出资产的账面价值和应支付的相关税费作为换入长期股权投资的初始投资成本。</w:t>
      </w:r>
      <w:r>
        <w:rPr>
          <w:spacing w:val="-83"/>
        </w:rPr>
        <w:t> </w:t>
      </w:r>
      <w:r>
        <w:rPr>
          <w:spacing w:val="-83"/>
        </w:rPr>
      </w:r>
      <w:r>
        <w:rPr/>
        <w:t>通过债务重组取得的长期股权投资，其初始投资成本按照公允价值为基础确定。</w:t>
      </w:r>
    </w:p>
    <w:p>
      <w:pPr>
        <w:pStyle w:val="BodyText"/>
        <w:spacing w:line="240" w:lineRule="auto" w:before="35"/>
        <w:ind w:right="0"/>
        <w:jc w:val="left"/>
      </w:pPr>
      <w:r>
        <w:rPr>
          <w:rFonts w:ascii="Times New Roman" w:hAnsi="Times New Roman" w:cs="Times New Roman" w:eastAsia="Times New Roman" w:hint="default"/>
        </w:rPr>
        <w:t>2</w:t>
      </w:r>
      <w:r>
        <w:rPr/>
        <w:t>．</w:t>
      </w:r>
      <w:r>
        <w:rPr>
          <w:spacing w:val="60"/>
        </w:rPr>
        <w:t> </w:t>
      </w:r>
      <w:r>
        <w:rPr/>
        <w:t>后续计量及损益确认</w:t>
      </w:r>
    </w:p>
    <w:p>
      <w:pPr>
        <w:pStyle w:val="BodyText"/>
        <w:spacing w:line="297" w:lineRule="auto" w:before="66"/>
        <w:ind w:right="1091"/>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本公司能够对被投资单位实施控制的长期股权投资采用成本法核算，并按照初始投资成本计价，追加或收回投资调整长期股</w:t>
      </w:r>
      <w:r>
        <w:rPr>
          <w:spacing w:val="-72"/>
        </w:rPr>
        <w:t> </w:t>
      </w:r>
      <w:r>
        <w:rPr>
          <w:spacing w:val="-72"/>
        </w:rPr>
      </w:r>
      <w:r>
        <w:rPr/>
        <w:t>权投资的成本。</w:t>
      </w:r>
    </w:p>
    <w:p>
      <w:pPr>
        <w:pStyle w:val="BodyText"/>
        <w:spacing w:line="321" w:lineRule="auto" w:before="36"/>
        <w:ind w:right="0"/>
        <w:jc w:val="left"/>
      </w:pPr>
      <w:r>
        <w:rPr>
          <w:spacing w:val="-2"/>
        </w:rPr>
        <w:t>除取得投资时实际支付的价款或对价中包含的已宣告但尚未发放的现金股利或利润外，本公司按照享有被投资单位宣告分派</w:t>
      </w:r>
      <w:r>
        <w:rPr>
          <w:spacing w:val="-58"/>
        </w:rPr>
        <w:t> </w:t>
      </w:r>
      <w:r>
        <w:rPr>
          <w:spacing w:val="-58"/>
        </w:rPr>
      </w:r>
      <w:r>
        <w:rPr/>
        <w:t>的现金股利或利润确认为当期投资收益。</w:t>
      </w:r>
    </w:p>
    <w:p>
      <w:pPr>
        <w:pStyle w:val="BodyText"/>
        <w:spacing w:line="297" w:lineRule="auto" w:before="34"/>
        <w:ind w:right="1091"/>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本公司对联营企业和合营企业的长期股权投资采用权益法核算；对于其中一部分通过风险投资机构、共同基金、信托公司或</w:t>
      </w:r>
      <w:r>
        <w:rPr>
          <w:spacing w:val="-67"/>
        </w:rPr>
        <w:t> </w:t>
      </w:r>
      <w:r>
        <w:rPr>
          <w:spacing w:val="-67"/>
        </w:rPr>
      </w:r>
      <w:r>
        <w:rPr/>
        <w:t>包括投连险基金在内的类似主体间接持有的联营企业的权益性投资，采用公允价值计量且其变动计入损益。</w:t>
      </w:r>
    </w:p>
    <w:p>
      <w:pPr>
        <w:pStyle w:val="BodyText"/>
        <w:spacing w:line="316" w:lineRule="auto" w:before="36"/>
        <w:ind w:right="0"/>
        <w:jc w:val="left"/>
      </w:pPr>
      <w:r>
        <w:rPr>
          <w:spacing w:val="-2"/>
        </w:rPr>
        <w:t>长期股权投资的初始投资成本大于投资时应享有被投资单位可辨认净资产公允价值份额的差额，不调整长期股权投资的初始</w:t>
      </w:r>
      <w:r>
        <w:rPr>
          <w:spacing w:val="-58"/>
        </w:rPr>
        <w:t> </w:t>
      </w:r>
      <w:r>
        <w:rPr>
          <w:spacing w:val="-58"/>
        </w:rPr>
      </w:r>
      <w:r>
        <w:rPr/>
        <w:t>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本公司取得长期股权投资后，按照应享有或应分担的被投资单位实现的净损益和其他综合收益的份额，分别确认投资收益和</w:t>
      </w:r>
      <w:r>
        <w:rPr>
          <w:spacing w:val="-72"/>
        </w:rPr>
        <w:t> </w:t>
      </w:r>
      <w:r>
        <w:rPr>
          <w:spacing w:val="-72"/>
        </w:rPr>
      </w:r>
      <w:r>
        <w:rPr>
          <w:spacing w:val="-2"/>
        </w:rPr>
        <w:t>其他综合收益，同时调整长期股权投资的账面价值；并按照被投资单位宣告分派的利润或现金股利计算应享有的部分，相应</w:t>
      </w:r>
      <w:r>
        <w:rPr>
          <w:spacing w:val="-67"/>
        </w:rPr>
        <w:t> </w:t>
      </w:r>
      <w:r>
        <w:rPr>
          <w:spacing w:val="-67"/>
        </w:rPr>
      </w:r>
      <w:r>
        <w:rPr>
          <w:spacing w:val="-2"/>
        </w:rPr>
        <w:t>减少长期股权投资的账面价值；对于被投资单位除净损益、其他综合收益和利润分配以外所有者权益的其他变动，调整长期</w:t>
      </w:r>
      <w:r>
        <w:rPr>
          <w:spacing w:val="-75"/>
        </w:rPr>
        <w:t> </w:t>
      </w:r>
      <w:r>
        <w:rPr>
          <w:spacing w:val="-75"/>
        </w:rPr>
      </w:r>
      <w:r>
        <w:rPr/>
        <w:t>股权投资的账面价值并计入所有者权益。 </w:t>
      </w:r>
      <w:r>
        <w:rPr>
          <w:spacing w:val="-2"/>
        </w:rPr>
        <w:t>本公司在确认应享有被投资单位净损益的份额时，以取得投资时被投资单位各项可辨认资产等的公允价值为基础，对被投资</w:t>
      </w:r>
      <w:r>
        <w:rPr>
          <w:spacing w:val="-72"/>
        </w:rPr>
        <w:t> </w:t>
      </w:r>
      <w:r>
        <w:rPr>
          <w:spacing w:val="-72"/>
        </w:rPr>
      </w:r>
      <w:r>
        <w:rPr>
          <w:spacing w:val="-2"/>
        </w:rPr>
        <w:t>单位的净利润进行调整后确认。本公司与联营企业、合营企业之间发生的未实现内部交易损益按照应享有的比例计算归属于</w:t>
      </w:r>
      <w:r>
        <w:rPr>
          <w:spacing w:val="-72"/>
        </w:rPr>
        <w:t> </w:t>
      </w:r>
      <w:r>
        <w:rPr>
          <w:spacing w:val="-72"/>
        </w:rPr>
      </w:r>
      <w:r>
        <w:rPr/>
        <w:t>本公司的部分予以抵销，在此基础上确认投资损益。 </w:t>
      </w:r>
      <w:r>
        <w:rPr>
          <w:spacing w:val="-2"/>
        </w:rPr>
        <w:t>本公司确认应分担被投资单位发生的亏损时，按照以下顺序进行处理：首先，冲减长期股权投资的账面价值。其次，长期股</w:t>
      </w:r>
      <w:r>
        <w:rPr>
          <w:spacing w:val="-50"/>
        </w:rPr>
        <w:t> </w:t>
      </w:r>
      <w:r>
        <w:rPr>
          <w:spacing w:val="-50"/>
        </w:rPr>
      </w:r>
      <w:r>
        <w:rPr>
          <w:spacing w:val="-2"/>
        </w:rPr>
        <w:t>权投资的账面价值不足以冲减的，以其他实质上构成对被投资单位净投资的长期权益账面价值为限继续确认投资损失，冲减</w:t>
      </w:r>
      <w:r>
        <w:rPr>
          <w:spacing w:val="-72"/>
        </w:rPr>
        <w:t> </w:t>
      </w:r>
      <w:r>
        <w:rPr>
          <w:spacing w:val="-72"/>
        </w:rPr>
      </w:r>
      <w:r>
        <w:rPr>
          <w:spacing w:val="-2"/>
        </w:rPr>
        <w:t>长期应收项目等的账面价值。最后，经过上述处理，按照投资合同或协议约定企业仍承担额外义务的，按预计承担的义务确</w:t>
      </w:r>
      <w:r>
        <w:rPr>
          <w:spacing w:val="-42"/>
        </w:rPr>
        <w:t> </w:t>
      </w:r>
      <w:r>
        <w:rPr>
          <w:spacing w:val="-42"/>
        </w:rPr>
      </w:r>
      <w:r>
        <w:rPr/>
        <w:t>认预计负债，计入当期投资损失。 </w:t>
      </w:r>
      <w:r>
        <w:rPr>
          <w:spacing w:val="-2"/>
        </w:rPr>
        <w:t>被投资单位以后期间实现盈利的，公司在扣除未确认的亏损分担额后，按与上述相反的顺序处理，减记已确认预计负债的账</w:t>
      </w:r>
      <w:r>
        <w:rPr>
          <w:spacing w:val="-75"/>
        </w:rPr>
        <w:t> </w:t>
      </w:r>
      <w:r>
        <w:rPr>
          <w:spacing w:val="-75"/>
        </w:rPr>
      </w:r>
      <w:r>
        <w:rPr/>
        <w:t>面余额、恢复其他实质上构成对被投资单位净投资的长期权益及长期股权投资的账面价值后，恢复确认投资收益。</w:t>
      </w:r>
    </w:p>
    <w:p>
      <w:pPr>
        <w:spacing w:after="0" w:line="316"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ind w:right="0"/>
        <w:jc w:val="left"/>
      </w:pPr>
      <w:r>
        <w:rPr>
          <w:rFonts w:ascii="Times New Roman" w:hAnsi="Times New Roman" w:cs="Times New Roman" w:eastAsia="Times New Roman" w:hint="default"/>
        </w:rPr>
        <w:t>3</w:t>
      </w:r>
      <w:r>
        <w:rPr/>
        <w:t>．</w:t>
      </w:r>
      <w:r>
        <w:rPr>
          <w:spacing w:val="61"/>
        </w:rPr>
        <w:t> </w:t>
      </w:r>
      <w:r>
        <w:rPr/>
        <w:t>长期股权投资核算方法的转换</w:t>
      </w:r>
    </w:p>
    <w:p>
      <w:pPr>
        <w:pStyle w:val="BodyText"/>
        <w:spacing w:line="309" w:lineRule="auto" w:before="66"/>
        <w:ind w:right="1029"/>
        <w:jc w:val="left"/>
      </w:pPr>
      <w:r>
        <w:rPr/>
        <w:t>（</w:t>
      </w:r>
      <w:r>
        <w:rPr>
          <w:rFonts w:ascii="Times New Roman" w:hAnsi="Times New Roman" w:cs="Times New Roman" w:eastAsia="Times New Roman" w:hint="default"/>
        </w:rPr>
        <w:t>1</w:t>
      </w:r>
      <w:r>
        <w:rPr/>
        <w:t>）公允价值计量转权益法核算 本公司原持有的对被投资单位不具有控制、共同控制或重大影响的按金融工具确认和计量准则进行会计处理的权益性投资， </w:t>
      </w:r>
      <w:r>
        <w:rPr>
          <w:spacing w:val="-2"/>
        </w:rPr>
        <w:t>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w:t>
      </w:r>
      <w:r>
        <w:rPr>
          <w:spacing w:val="-60"/>
        </w:rPr>
        <w:t> </w:t>
      </w:r>
      <w:r>
        <w:rPr/>
        <w:t>具确认和计量》确定的原持有的股权投资的公允价值加上新增投资成本之和，作为改按权益法核算的初始投资成本。 </w:t>
      </w:r>
      <w:r>
        <w:rPr>
          <w:spacing w:val="-2"/>
        </w:rPr>
        <w:t>原持有的股权投资分类为可供出售金融资产的，其公允价值与账面价值之间的差额，以及原计入其他综合收益的累计公允价</w:t>
      </w:r>
      <w:r>
        <w:rPr>
          <w:spacing w:val="-72"/>
        </w:rPr>
        <w:t> </w:t>
      </w:r>
      <w:r>
        <w:rPr>
          <w:spacing w:val="-72"/>
        </w:rPr>
      </w:r>
      <w:r>
        <w:rPr/>
        <w:t>值变动转入改按权益法核算的当期损益。</w:t>
      </w:r>
      <w:r>
        <w:rPr>
          <w:spacing w:val="-87"/>
        </w:rPr>
        <w:t> </w:t>
      </w:r>
      <w:r>
        <w:rPr>
          <w:spacing w:val="-87"/>
        </w:rPr>
      </w:r>
      <w:r>
        <w:rPr/>
        <w:t>按权益法核算的初始投资成本小于按照追加投资后全新的持股比例计算确定的应享有被投资单位在追加投资日可辨认净资 产公允价值份额之间的差额，调整长期股权投资的账面价值，并计入当期营业外收入。</w:t>
      </w:r>
    </w:p>
    <w:p>
      <w:pPr>
        <w:pStyle w:val="BodyText"/>
        <w:spacing w:line="312" w:lineRule="auto" w:before="43"/>
        <w:ind w:right="1029"/>
        <w:jc w:val="left"/>
      </w:pPr>
      <w:r>
        <w:rPr/>
        <w:t>（</w:t>
      </w:r>
      <w:r>
        <w:rPr>
          <w:rFonts w:ascii="Times New Roman" w:hAnsi="Times New Roman" w:cs="Times New Roman" w:eastAsia="Times New Roman" w:hint="default"/>
        </w:rPr>
        <w:t>2</w:t>
      </w:r>
      <w:r>
        <w:rPr/>
        <w:t>）公允价值计量或权益法核算转成本法核算 本公司原持有的对被投资单位不具有控制、共同控制或重大影响的按金融工具确认和计量准则进行会计处理的权益性投资， </w:t>
      </w:r>
      <w:r>
        <w:rPr>
          <w:spacing w:val="-2"/>
        </w:rPr>
        <w:t>或原持有对联营企业、合营企业的长期股权投资，因追加投资等原因能够对非同一控制下的被投资单位实施控制的，在编制</w:t>
      </w:r>
      <w:r>
        <w:rPr>
          <w:spacing w:val="-75"/>
        </w:rPr>
        <w:t> </w:t>
      </w:r>
      <w:r>
        <w:rPr>
          <w:spacing w:val="-75"/>
        </w:rPr>
      </w:r>
      <w:r>
        <w:rPr/>
        <w:t>个别财务报表时，按照原持有的股权投资账面价值加上新增投资成本之和，作为改按成本法核算的初始投资成本。</w:t>
      </w:r>
      <w:r>
        <w:rPr>
          <w:spacing w:val="-84"/>
        </w:rPr>
        <w:t> </w:t>
      </w:r>
      <w:r>
        <w:rPr>
          <w:spacing w:val="-84"/>
        </w:rPr>
      </w:r>
      <w:r>
        <w:rPr>
          <w:spacing w:val="-2"/>
        </w:rPr>
        <w:t>购买日之前持有的股权投资因采用权益法核算而确认的其他综合收益，在处置该项投资时采用与被投资单位直接处置相关资</w:t>
      </w:r>
      <w:r>
        <w:rPr>
          <w:spacing w:val="-58"/>
        </w:rPr>
        <w:t> </w:t>
      </w:r>
      <w:r>
        <w:rPr>
          <w:spacing w:val="-58"/>
        </w:rPr>
      </w:r>
      <w:r>
        <w:rPr/>
        <w:t>产或负债相同的基础进行会计处理。</w:t>
      </w:r>
    </w:p>
    <w:p>
      <w:pPr>
        <w:pStyle w:val="BodyText"/>
        <w:spacing w:line="290" w:lineRule="auto" w:before="40"/>
        <w:ind w:right="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金融工具确认和计量》的有关规定进行会计处理的，原计入其他</w:t>
      </w:r>
      <w:r>
        <w:rPr>
          <w:spacing w:val="-68"/>
        </w:rPr>
        <w:t> </w:t>
      </w:r>
      <w:r>
        <w:rPr>
          <w:spacing w:val="-68"/>
        </w:rPr>
      </w:r>
      <w:r>
        <w:rPr/>
        <w:t>综合收益的累计公允价值变动在改按成本法核算时转入当期损益。</w:t>
      </w:r>
    </w:p>
    <w:p>
      <w:pPr>
        <w:pStyle w:val="BodyText"/>
        <w:spacing w:line="276" w:lineRule="auto" w:before="56"/>
        <w:ind w:right="0"/>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本公司因处置部分股权投资等原因丧失了对被投资单位的共同控制或重大影响的，处置后的剩余股权改按《企业会计准则第</w:t>
      </w:r>
    </w:p>
    <w:p>
      <w:pPr>
        <w:pStyle w:val="BodyText"/>
        <w:spacing w:line="304" w:lineRule="auto" w:before="67"/>
        <w:ind w:right="1029"/>
        <w:jc w:val="left"/>
      </w:pP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金融工具确认和计量》核算，其在丧失共同控制或重大影响之日的公允价值与账面价值之间的差额计入当期损益。 </w:t>
      </w:r>
      <w:r>
        <w:rPr>
          <w:spacing w:val="-2"/>
        </w:rPr>
        <w:t>原股权投资因采用权益法核算而确认的其他综合收益，在终止采用权益法核算时采用与被投资单位直接处置相关资产或负债</w:t>
      </w:r>
      <w:r>
        <w:rPr>
          <w:spacing w:val="-58"/>
        </w:rPr>
        <w:t> </w:t>
      </w:r>
      <w:r>
        <w:rPr>
          <w:spacing w:val="-58"/>
        </w:rPr>
      </w:r>
      <w:r>
        <w:rPr/>
        <w:t>相同的基础进行会计处理。</w:t>
      </w:r>
    </w:p>
    <w:p>
      <w:pPr>
        <w:pStyle w:val="BodyText"/>
        <w:spacing w:line="297" w:lineRule="auto" w:before="46"/>
        <w:ind w:right="0"/>
        <w:jc w:val="left"/>
      </w:pPr>
      <w:r>
        <w:rPr/>
        <w:t>（</w:t>
      </w: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本公司因处置部分权益性投资等原因丧失了对被投资单位的控制的，在编制个别财务报表时，处置后的剩余股权能够对被投</w:t>
      </w:r>
      <w:r>
        <w:rPr>
          <w:spacing w:val="-72"/>
        </w:rPr>
        <w:t> </w:t>
      </w:r>
      <w:r>
        <w:rPr>
          <w:spacing w:val="-72"/>
        </w:rPr>
      </w:r>
      <w:r>
        <w:rPr/>
        <w:t>资单位实施共同控制或施加重大影响的，改按权益法核算，并对该剩余股权视同自取得时即采用权益法核算进行调整。</w:t>
      </w:r>
    </w:p>
    <w:p>
      <w:pPr>
        <w:pStyle w:val="BodyText"/>
        <w:spacing w:line="288" w:lineRule="auto" w:before="51"/>
        <w:ind w:right="0"/>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本公司因处置部分权益性投资等原因丧失了对被投资单位的控制的，在编制个别财务报表时，处置后的剩余股权不能对被投</w:t>
      </w:r>
    </w:p>
    <w:p>
      <w:pPr>
        <w:pStyle w:val="BodyText"/>
        <w:spacing w:line="273" w:lineRule="auto" w:before="59"/>
        <w:ind w:right="1029"/>
        <w:jc w:val="left"/>
      </w:pPr>
      <w:r>
        <w:rPr/>
        <w:t>资单位实施共同控制或施加重大影响的，改按《企业会计准则第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金融工具确认和计量》的有关规定进行会计处理，</w:t>
      </w:r>
      <w:r>
        <w:rPr>
          <w:spacing w:val="-84"/>
        </w:rPr>
        <w:t> </w:t>
      </w:r>
      <w:r>
        <w:rPr/>
        <w:t>其在丧失控制之日的公允价值与账面价值间的差额计入当期损益。</w:t>
      </w:r>
    </w:p>
    <w:p>
      <w:pPr>
        <w:pStyle w:val="BodyText"/>
        <w:spacing w:line="312" w:lineRule="auto" w:before="69"/>
        <w:ind w:right="1091"/>
        <w:jc w:val="left"/>
      </w:pPr>
      <w:r>
        <w:rPr>
          <w:rFonts w:ascii="Times New Roman" w:hAnsi="Times New Roman" w:cs="Times New Roman" w:eastAsia="Times New Roman" w:hint="default"/>
        </w:rPr>
        <w:t>4</w:t>
      </w:r>
      <w:r>
        <w:rPr/>
        <w:t>．</w:t>
      </w:r>
      <w:r>
        <w:rPr>
          <w:spacing w:val="60"/>
        </w:rPr>
        <w:t> </w:t>
      </w:r>
      <w:r>
        <w:rPr/>
        <w:t>长期股权投资的处置</w:t>
      </w:r>
      <w:r>
        <w:rPr/>
        <w:t> </w:t>
      </w:r>
      <w:r>
        <w:rPr>
          <w:spacing w:val="-2"/>
        </w:rPr>
        <w:t>处置长期股权投资，其账面价值与实际取得价款之间的差额，应当计入当期损益。采用权益法核算的长期股权投资，在处置</w:t>
      </w:r>
      <w:r>
        <w:rPr>
          <w:spacing w:val="-42"/>
        </w:rPr>
        <w:t> </w:t>
      </w:r>
      <w:r>
        <w:rPr>
          <w:spacing w:val="-42"/>
        </w:rPr>
      </w:r>
      <w:r>
        <w:rPr>
          <w:spacing w:val="-2"/>
        </w:rPr>
        <w:t>该项投资时，采用与被投资单位直接处置相关资产或负债相同的基础，按相应比例对原计入其他综合收益的部分进行会计处</w:t>
      </w:r>
      <w:r>
        <w:rPr>
          <w:spacing w:val="-72"/>
        </w:rPr>
        <w:t> </w:t>
      </w:r>
      <w:r>
        <w:rPr>
          <w:spacing w:val="-72"/>
        </w:rPr>
      </w:r>
      <w:r>
        <w:rPr/>
        <w:t>理。 </w:t>
      </w:r>
      <w:r>
        <w:rPr>
          <w:spacing w:val="-2"/>
        </w:rPr>
        <w:t>处置对子公司股权投资的各项交易的条款、条件以及经济影响符合以下一种或多种情况，将多次交易事项作为一揽子交易进</w:t>
      </w:r>
      <w:r>
        <w:rPr>
          <w:spacing w:val="-72"/>
        </w:rPr>
        <w:t> </w:t>
      </w:r>
      <w:r>
        <w:rPr>
          <w:spacing w:val="-72"/>
        </w:rPr>
      </w:r>
      <w:r>
        <w:rPr/>
        <w:t>行会计处理：</w:t>
      </w:r>
    </w:p>
    <w:p>
      <w:pPr>
        <w:pStyle w:val="BodyText"/>
        <w:spacing w:line="240" w:lineRule="auto" w:before="40"/>
        <w:ind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6"/>
        <w:ind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6"/>
        <w:ind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04" w:lineRule="auto" w:before="51"/>
        <w:ind w:right="0"/>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因处置部分股权投资或其他原因丧失了对原有子公司控制权的，不属于一揽子交易的，区分个别财务报表和合并财务报表进</w:t>
      </w:r>
      <w:r>
        <w:rPr>
          <w:spacing w:val="-72"/>
        </w:rPr>
        <w:t> </w:t>
      </w:r>
      <w:r>
        <w:rPr>
          <w:spacing w:val="-72"/>
        </w:rPr>
      </w:r>
      <w:r>
        <w:rPr/>
        <w:t>行相关会计处理：</w:t>
      </w:r>
    </w:p>
    <w:p>
      <w:pPr>
        <w:pStyle w:val="BodyText"/>
        <w:spacing w:line="304" w:lineRule="auto" w:before="46"/>
        <w:ind w:right="0"/>
        <w:jc w:val="left"/>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）在个别财务报表中，对于处置的股权，其账面价值与实际取得价款之间的差额计入当期损益。处置后的剩余股权能够</w:t>
      </w:r>
      <w:r>
        <w:rPr>
          <w:spacing w:val="-86"/>
        </w:rPr>
        <w:t> </w:t>
      </w:r>
      <w:r>
        <w:rPr>
          <w:spacing w:val="-86"/>
        </w:rPr>
      </w:r>
      <w:r>
        <w:rPr>
          <w:spacing w:val="-4"/>
        </w:rPr>
        <w:t>对被投资单位实施共同控制或施加重大影响的，改按权益法核算，并对该剩余股权视同自取得时即采用权益法核算进行调整；</w:t>
      </w:r>
      <w:r>
        <w:rPr>
          <w:spacing w:val="-50"/>
        </w:rPr>
        <w:t> </w:t>
      </w:r>
      <w:r>
        <w:rPr>
          <w:spacing w:val="-50"/>
        </w:rPr>
      </w:r>
      <w:r>
        <w:rPr>
          <w:spacing w:val="-4"/>
        </w:rPr>
        <w:t>处置后的剩余股权不能对被投资单位实施共同控制或施加重大影响的，改按《企业会计准则第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w:t>
      </w:r>
    </w:p>
    <w:p>
      <w:pPr>
        <w:spacing w:after="0" w:line="304"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的有关规定进行会计处理，其在丧失控制之日的公允价值与账面价值间的差额计入当期损益。</w:t>
      </w:r>
    </w:p>
    <w:p>
      <w:pPr>
        <w:pStyle w:val="BodyText"/>
        <w:spacing w:line="312" w:lineRule="auto" w:before="94"/>
        <w:ind w:right="0"/>
        <w:jc w:val="left"/>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）在合并财务报表中，对于在丧失对子公司控制权以前的各项交易，处置价款与处置长期股权投资相应对享有子公司自 </w:t>
      </w:r>
      <w:r>
        <w:rPr>
          <w:spacing w:val="-3"/>
        </w:rPr>
        <w:t>购买日或合并日开始持续计算的净资产份额之间的差额，调整资本公积（股本溢价），资本公积不足冲减的，调整留存收益；</w:t>
      </w:r>
      <w:r>
        <w:rPr>
          <w:spacing w:val="-77"/>
        </w:rPr>
        <w:t> </w:t>
      </w:r>
      <w:r>
        <w:rPr>
          <w:spacing w:val="-77"/>
        </w:rPr>
      </w:r>
      <w:r>
        <w:rPr>
          <w:spacing w:val="-2"/>
        </w:rPr>
        <w:t>在丧失对子公司控制权时，对于剩余股权，按照其在丧失控制权日的公允价值进行重新计量。处置股权取得的对价与剩余股</w:t>
      </w:r>
      <w:r>
        <w:rPr>
          <w:spacing w:val="-75"/>
        </w:rPr>
        <w:t> </w:t>
      </w:r>
      <w:r>
        <w:rPr>
          <w:spacing w:val="-75"/>
        </w:rPr>
      </w:r>
      <w:r>
        <w:rPr>
          <w:spacing w:val="-2"/>
        </w:rPr>
        <w:t>权公允价值之和，减去按原持股比例计算应享有原有子公司自购买日开始持续计算的净资产的份额之间的差额，计入丧失控</w:t>
      </w:r>
      <w:r>
        <w:rPr>
          <w:spacing w:val="-72"/>
        </w:rPr>
        <w:t> </w:t>
      </w:r>
      <w:r>
        <w:rPr>
          <w:spacing w:val="-72"/>
        </w:rPr>
      </w:r>
      <w:r>
        <w:rPr/>
        <w:t>制权当期的投资收益，同时冲减商誉。与原有子公司股权投资相关的其他综合收益等，在丧失控制权时转为当期投资收益。 </w:t>
      </w:r>
      <w:r>
        <w:rPr>
          <w:spacing w:val="-2"/>
        </w:rPr>
        <w:t>处置对子公司股权投资直至丧失控制权的各项交易属于一揽子交易的，将各项交易作为一项处置子公司股权投资并丧失控制</w:t>
      </w:r>
    </w:p>
    <w:p>
      <w:pPr>
        <w:pStyle w:val="BodyText"/>
        <w:spacing w:line="240" w:lineRule="auto" w:before="26"/>
        <w:ind w:right="0"/>
        <w:jc w:val="left"/>
      </w:pPr>
      <w:r>
        <w:rPr/>
        <w:t>权的交易进行会计处理，区分个别财务报表和合并财务报表进行相关会计处理：</w:t>
      </w:r>
    </w:p>
    <w:p>
      <w:pPr>
        <w:pStyle w:val="BodyText"/>
        <w:spacing w:line="290" w:lineRule="auto" w:before="79"/>
        <w:ind w:right="1119"/>
        <w:jc w:val="left"/>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）在个别财务报表中，在丧失控制权之前每一次处置价款与处置的股权对应的长期股权投资账面价值之间的差额，确认 为其他综合收益，在丧失控制权时一并转入丧失控制权当期的损益。</w:t>
      </w:r>
    </w:p>
    <w:p>
      <w:pPr>
        <w:pStyle w:val="BodyText"/>
        <w:spacing w:line="290" w:lineRule="auto" w:before="56"/>
        <w:ind w:right="1119"/>
        <w:jc w:val="left"/>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）在合并财务报表中，在丧失控制权之前每一次处置价款与处置投资对应的享有该子公司净资产份额的差额，确认为其 他综合收益，在丧失控制权时一并转入丧失控制权当期的损益。</w:t>
      </w:r>
    </w:p>
    <w:p>
      <w:pPr>
        <w:pStyle w:val="BodyText"/>
        <w:spacing w:line="297" w:lineRule="auto" w:before="57"/>
        <w:ind w:right="0"/>
        <w:jc w:val="left"/>
      </w:pPr>
      <w:r>
        <w:rPr>
          <w:rFonts w:ascii="Times New Roman" w:hAnsi="Times New Roman" w:cs="Times New Roman" w:eastAsia="Times New Roman" w:hint="default"/>
        </w:rPr>
        <w:t>5</w:t>
      </w:r>
      <w:r>
        <w:rPr/>
        <w:t>．</w:t>
      </w:r>
      <w:r>
        <w:rPr>
          <w:spacing w:val="60"/>
        </w:rPr>
        <w:t> </w:t>
      </w:r>
      <w:r>
        <w:rPr/>
        <w:t>共同控制、重大影响的判断标准</w:t>
      </w:r>
      <w:r>
        <w:rPr/>
        <w:t> </w:t>
      </w:r>
      <w:r>
        <w:rPr>
          <w:spacing w:val="-2"/>
        </w:rPr>
        <w:t>如果本公司按照相关约定与其他参与方集体控制某项安排，并且对该安排回报具有重大影响的活动决策，需要经过分享控制</w:t>
      </w:r>
      <w:r>
        <w:rPr>
          <w:spacing w:val="-64"/>
        </w:rPr>
        <w:t> </w:t>
      </w:r>
      <w:r>
        <w:rPr>
          <w:spacing w:val="-64"/>
        </w:rPr>
      </w:r>
      <w:r>
        <w:rPr/>
        <w:t>权的参与方一致同意时才存在，则视为本公司与其他参与方共同控制某项安排，该安排即属于合营安排。</w:t>
      </w:r>
    </w:p>
    <w:p>
      <w:pPr>
        <w:pStyle w:val="BodyText"/>
        <w:spacing w:line="314" w:lineRule="auto" w:before="36"/>
        <w:ind w:right="1029"/>
        <w:jc w:val="left"/>
      </w:pPr>
      <w:r>
        <w:rPr/>
        <w:t>合营安排通过单独主体达成的，根据相关约定判断本公司对该单独主体的净资产享有权利时，将该单独主体作为合营企业， </w:t>
      </w:r>
      <w:r>
        <w:rPr>
          <w:spacing w:val="-2"/>
        </w:rPr>
        <w:t>采用权益法核算。若根据相关约定判断本公司并非对该单独主体的净资产享有权利时，该单独主体作为共同经营，本公司确</w:t>
      </w:r>
      <w:r>
        <w:rPr>
          <w:spacing w:val="-75"/>
        </w:rPr>
        <w:t> </w:t>
      </w:r>
      <w:r>
        <w:rPr>
          <w:spacing w:val="-75"/>
        </w:rPr>
      </w:r>
      <w:r>
        <w:rPr/>
        <w:t>认与共同经营利益份额相关的项目，并按照相关企业会计准则的规定进行会计处理。 </w:t>
      </w:r>
      <w:r>
        <w:rPr>
          <w:spacing w:val="-2"/>
        </w:rPr>
        <w:t>重大影响，是指投资方对被投资单位的财务和经营政策有参与决策的权力，但并不能够控制或者与其他方一起共同控制这些</w:t>
      </w:r>
      <w:r>
        <w:rPr>
          <w:spacing w:val="-62"/>
        </w:rPr>
        <w:t> </w:t>
      </w:r>
      <w:r>
        <w:rPr>
          <w:spacing w:val="-62"/>
        </w:rPr>
      </w:r>
      <w:r>
        <w:rPr/>
        <w:t>政策的制定。本公司通过以下一种或多种情形，并综合考虑所有事实和情况后，判断对被投资单位具有重大影响：（</w:t>
      </w:r>
      <w:r>
        <w:rPr>
          <w:rFonts w:ascii="Times New Roman" w:hAnsi="Times New Roman" w:cs="Times New Roman" w:eastAsia="Times New Roman" w:hint="default"/>
        </w:rPr>
        <w:t>1</w:t>
      </w:r>
      <w:r>
        <w:rPr/>
        <w:t>）在</w:t>
      </w:r>
      <w:r>
        <w:rPr>
          <w:spacing w:val="-79"/>
        </w:rPr>
        <w:t> </w:t>
      </w:r>
      <w:r>
        <w:rPr>
          <w:spacing w:val="-2"/>
        </w:rPr>
        <w:t>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）与被投资单位之间</w:t>
      </w:r>
      <w:r>
        <w:rPr>
          <w:spacing w:val="-62"/>
        </w:rPr>
        <w:t> </w:t>
      </w:r>
      <w:r>
        <w:rPr>
          <w:spacing w:val="-62"/>
        </w:rPr>
      </w:r>
      <w:r>
        <w:rPr/>
        <w:t>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3、投资性房地产" w:id="191"/>
      <w:bookmarkEnd w:id="191"/>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3"/>
        <w:rPr>
          <w:rFonts w:ascii="宋体" w:hAnsi="宋体" w:cs="宋体" w:eastAsia="宋体" w:hint="default"/>
          <w:b/>
          <w:bCs/>
          <w:sz w:val="25"/>
          <w:szCs w:val="25"/>
        </w:rPr>
      </w:pPr>
    </w:p>
    <w:p>
      <w:pPr>
        <w:pStyle w:val="BodyText"/>
        <w:spacing w:line="367" w:lineRule="auto" w:before="0"/>
        <w:ind w:right="8949"/>
        <w:jc w:val="left"/>
      </w:pPr>
      <w:r>
        <w:rPr/>
        <w:t>投资性房地产计量模式 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4、固定资产" w:id="192"/>
      <w:bookmarkEnd w:id="192"/>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确认条件" w:id="193"/>
      <w:bookmarkEnd w:id="19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25"/>
          <w:szCs w:val="25"/>
        </w:rPr>
      </w:pPr>
    </w:p>
    <w:p>
      <w:pPr>
        <w:pStyle w:val="BodyText"/>
        <w:spacing w:line="319" w:lineRule="auto" w:before="0"/>
        <w:ind w:right="1102"/>
        <w:jc w:val="both"/>
      </w:pPr>
      <w:r>
        <w:rPr>
          <w:spacing w:val="-2"/>
        </w:rPr>
        <w:t>固定资产指为生产商品、提供劳务、出租或经营管理而持有，并且使用寿命超过一个会计年度的有形资产。固定资产在同时</w:t>
      </w:r>
      <w:r>
        <w:rPr>
          <w:spacing w:val="-42"/>
        </w:rPr>
        <w:t> </w:t>
      </w:r>
      <w:r>
        <w:rPr>
          <w:spacing w:val="-42"/>
        </w:rPr>
      </w:r>
      <w:r>
        <w:rPr>
          <w:spacing w:val="-5"/>
        </w:rPr>
        <w:t>满足下列条件时予以确认：（</w:t>
      </w:r>
      <w:r>
        <w:rPr>
          <w:rFonts w:ascii="Times New Roman" w:hAnsi="Times New Roman" w:cs="Times New Roman" w:eastAsia="Times New Roman" w:hint="default"/>
          <w:spacing w:val="-5"/>
        </w:rPr>
        <w:t>1</w:t>
      </w:r>
      <w:r>
        <w:rPr>
          <w:spacing w:val="-5"/>
        </w:rPr>
        <w:t>）与该固定资产有关的经济利益很可能流入企业；（</w:t>
      </w:r>
      <w:r>
        <w:rPr>
          <w:rFonts w:ascii="Times New Roman" w:hAnsi="Times New Roman" w:cs="Times New Roman" w:eastAsia="Times New Roman" w:hint="default"/>
          <w:spacing w:val="-5"/>
        </w:rPr>
        <w:t>2</w:t>
      </w:r>
      <w:r>
        <w:rPr>
          <w:spacing w:val="-5"/>
        </w:rPr>
        <w:t>）该固定资产的成本能够可靠地计量。本</w:t>
      </w:r>
      <w:r>
        <w:rPr>
          <w:spacing w:val="-60"/>
        </w:rPr>
        <w:t> </w:t>
      </w:r>
      <w:r>
        <w:rPr>
          <w:spacing w:val="-60"/>
        </w:rPr>
      </w:r>
      <w:r>
        <w:rPr>
          <w:spacing w:val="-3"/>
        </w:rPr>
        <w:t>公司固定资产按成本进行初始计量。（</w:t>
      </w:r>
      <w:r>
        <w:rPr>
          <w:rFonts w:ascii="Times New Roman" w:hAnsi="Times New Roman" w:cs="Times New Roman" w:eastAsia="Times New Roman" w:hint="default"/>
          <w:spacing w:val="-3"/>
        </w:rPr>
        <w:t>1</w:t>
      </w:r>
      <w:r>
        <w:rPr>
          <w:spacing w:val="-3"/>
        </w:rPr>
        <w:t>）外购的固定资产的成本包括买价、进口关税等相关税费，以及为使固定资产达到预</w:t>
      </w:r>
    </w:p>
    <w:p>
      <w:pPr>
        <w:pStyle w:val="BodyText"/>
        <w:spacing w:line="300" w:lineRule="auto" w:before="0"/>
        <w:ind w:right="1098"/>
        <w:jc w:val="both"/>
      </w:pPr>
      <w:r>
        <w:rPr>
          <w:spacing w:val="-4"/>
        </w:rPr>
        <w:t>定可使用状态前所发生的可直接归属于该资产的其他支出。（</w:t>
      </w:r>
      <w:r>
        <w:rPr>
          <w:rFonts w:ascii="Times New Roman" w:hAnsi="Times New Roman" w:cs="Times New Roman" w:eastAsia="Times New Roman" w:hint="default"/>
          <w:spacing w:val="-4"/>
        </w:rPr>
        <w:t>2</w:t>
      </w:r>
      <w:r>
        <w:rPr>
          <w:spacing w:val="-4"/>
        </w:rPr>
        <w:t>）自行建造固定资产的成本，由建造该项资产达到预定可使用</w:t>
      </w:r>
      <w:r>
        <w:rPr>
          <w:spacing w:val="-47"/>
        </w:rPr>
        <w:t> </w:t>
      </w:r>
      <w:r>
        <w:rPr>
          <w:spacing w:val="-47"/>
        </w:rPr>
      </w:r>
      <w:r>
        <w:rPr>
          <w:spacing w:val="-3"/>
        </w:rPr>
        <w:t>状态前所发生的必要支出构成。（</w:t>
      </w:r>
      <w:r>
        <w:rPr>
          <w:rFonts w:ascii="Times New Roman" w:hAnsi="Times New Roman" w:cs="Times New Roman" w:eastAsia="Times New Roman" w:hint="default"/>
          <w:spacing w:val="-3"/>
        </w:rPr>
        <w:t>3</w:t>
      </w:r>
      <w:r>
        <w:rPr>
          <w:spacing w:val="-3"/>
        </w:rPr>
        <w:t>）投资者投入的固定资产，按投资合同或协议约定的价值作为入账价值，但合同或协议约</w:t>
      </w:r>
      <w:r>
        <w:rPr>
          <w:spacing w:val="-72"/>
        </w:rPr>
        <w:t> </w:t>
      </w:r>
      <w:r>
        <w:rPr>
          <w:spacing w:val="-72"/>
        </w:rPr>
      </w:r>
      <w:r>
        <w:rPr>
          <w:spacing w:val="-3"/>
        </w:rPr>
        <w:t>定价值不公允的按公允价值入账。（</w:t>
      </w:r>
      <w:r>
        <w:rPr>
          <w:rFonts w:ascii="Times New Roman" w:hAnsi="Times New Roman" w:cs="Times New Roman" w:eastAsia="Times New Roman" w:hint="default"/>
          <w:spacing w:val="-3"/>
        </w:rPr>
        <w:t>4</w:t>
      </w:r>
      <w:r>
        <w:rPr>
          <w:spacing w:val="-3"/>
        </w:rPr>
        <w:t>）购买固定资产的价款超过正常信用条件延期支付，实质上具有融资性质的，固定资产</w:t>
      </w:r>
      <w:r>
        <w:rPr>
          <w:spacing w:val="-69"/>
        </w:rPr>
        <w:t> </w:t>
      </w:r>
      <w:r>
        <w:rPr>
          <w:spacing w:val="-69"/>
        </w:rPr>
      </w:r>
      <w:r>
        <w:rPr>
          <w:spacing w:val="-2"/>
        </w:rPr>
        <w:t>的成本以购买价款的现值为基础确定。实际支付的价款与购买价款的现值之间的差额，除应予资本化的以外，在信用期间内</w:t>
      </w:r>
      <w:r>
        <w:rPr>
          <w:spacing w:val="-75"/>
        </w:rPr>
        <w:t> </w:t>
      </w:r>
      <w:r>
        <w:rPr>
          <w:spacing w:val="-75"/>
        </w:rPr>
      </w:r>
      <w:r>
        <w:rPr/>
        <w:t>计入当期损益。</w:t>
      </w:r>
    </w:p>
    <w:p>
      <w:pPr>
        <w:spacing w:after="0" w:line="300" w:lineRule="auto"/>
        <w:jc w:val="both"/>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折旧方法" w:id="194"/>
      <w:bookmarkEnd w:id="19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3.17</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319" w:lineRule="auto" w:before="0"/>
        <w:ind w:right="1029"/>
        <w:jc w:val="left"/>
      </w:pPr>
      <w:r>
        <w:rPr>
          <w:spacing w:val="-2"/>
        </w:rPr>
        <w:t>固定资产折旧按其入账价值减去预计净残值后在预计使用寿命内计提。对计提了减值准备的固定资产，则在未来期间按扣除</w:t>
      </w:r>
      <w:r>
        <w:rPr>
          <w:spacing w:val="-72"/>
        </w:rPr>
        <w:t> </w:t>
      </w:r>
      <w:r>
        <w:rPr>
          <w:spacing w:val="-72"/>
        </w:rPr>
      </w:r>
      <w:r>
        <w:rPr/>
        <w:t>减值准备后的账面价值及依据尚可使用年限确定折旧额；已提足折旧仍继续使用的固定资产不计提折旧。</w:t>
      </w:r>
      <w:r>
        <w:rPr>
          <w:spacing w:val="-84"/>
        </w:rPr>
        <w:t> </w:t>
      </w:r>
      <w:r>
        <w:rPr>
          <w:spacing w:val="-84"/>
        </w:rPr>
      </w:r>
      <w:r>
        <w:rPr>
          <w:spacing w:val="-2"/>
        </w:rPr>
        <w:t>利用专项储备支出形成的固定资产，按照形成固定资产的成本冲减专项储备，并确认相同金额的累计折旧，该固定资产在以</w:t>
      </w:r>
      <w:r>
        <w:rPr>
          <w:spacing w:val="-75"/>
        </w:rPr>
        <w:t> </w:t>
      </w:r>
      <w:r>
        <w:rPr>
          <w:spacing w:val="-75"/>
        </w:rPr>
      </w:r>
      <w:r>
        <w:rPr/>
        <w:t>后期间不再计提折旧。 本公司根据固定资产的性质和使用情况，确定固定资产的使用寿命和预计净残值。并在年度终了，对固定资产的使用寿命、 预计净残值和折旧方法进行复核，如与原先估计数存在差异的，进行相应的调整。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0"/>
        <w:jc w:val="left"/>
        <w:rPr>
          <w:b w:val="0"/>
          <w:bCs w:val="0"/>
        </w:rPr>
      </w:pPr>
      <w:bookmarkStart w:name="（3）融资租入固定资产的认定依据、计价和折旧方法" w:id="195"/>
      <w:bookmarkEnd w:id="19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297" w:lineRule="auto" w:before="0"/>
        <w:ind w:right="0"/>
        <w:jc w:val="left"/>
      </w:pPr>
      <w:r>
        <w:rPr>
          <w:spacing w:val="-3"/>
        </w:rPr>
        <w:t>当本公司租入的固定资产符合下列一项或数项标准时，确认为融资租入固定资产：（</w:t>
      </w:r>
      <w:r>
        <w:rPr>
          <w:rFonts w:ascii="Times New Roman" w:hAnsi="Times New Roman" w:cs="Times New Roman" w:eastAsia="Times New Roman" w:hint="default"/>
          <w:spacing w:val="-3"/>
        </w:rPr>
        <w:t>1</w:t>
      </w:r>
      <w:r>
        <w:rPr>
          <w:spacing w:val="-3"/>
        </w:rPr>
        <w:t>）在租赁期届满时，租赁资产的所有权</w:t>
      </w:r>
      <w:r>
        <w:rPr>
          <w:spacing w:val="-68"/>
        </w:rPr>
        <w:t> </w:t>
      </w:r>
      <w:r>
        <w:rPr>
          <w:spacing w:val="-68"/>
        </w:rPr>
      </w:r>
      <w:r>
        <w:rPr>
          <w:spacing w:val="-2"/>
        </w:rPr>
        <w:t>转移给本公司。（</w:t>
      </w:r>
      <w:r>
        <w:rPr>
          <w:rFonts w:ascii="Times New Roman" w:hAnsi="Times New Roman" w:cs="Times New Roman" w:eastAsia="Times New Roman" w:hint="default"/>
          <w:spacing w:val="-2"/>
        </w:rPr>
        <w:t>2</w:t>
      </w:r>
      <w:r>
        <w:rPr>
          <w:spacing w:val="-2"/>
        </w:rPr>
        <w:t>）本公司有购买租赁资产的选择权，所订立的购买价款预计将远低于行使选择权时租赁资产的公允价值，</w:t>
      </w:r>
      <w:r>
        <w:rPr>
          <w:spacing w:val="-69"/>
        </w:rPr>
        <w:t> </w:t>
      </w:r>
      <w:r>
        <w:rPr>
          <w:spacing w:val="-4"/>
        </w:rPr>
        <w:t>因而在租赁开始日就以合理确定本公司将会行使这种选择权。（</w:t>
      </w:r>
      <w:r>
        <w:rPr>
          <w:rFonts w:ascii="Times New Roman" w:hAnsi="Times New Roman" w:cs="Times New Roman" w:eastAsia="Times New Roman" w:hint="default"/>
          <w:spacing w:val="-4"/>
        </w:rPr>
        <w:t>3</w:t>
      </w:r>
      <w:r>
        <w:rPr>
          <w:spacing w:val="-4"/>
        </w:rPr>
        <w:t>）即使资产的所有权不转移，但租赁期占租赁资产使用寿命</w:t>
      </w:r>
      <w:r>
        <w:rPr>
          <w:spacing w:val="-47"/>
        </w:rPr>
        <w:t> </w:t>
      </w:r>
      <w:r>
        <w:rPr>
          <w:spacing w:val="-47"/>
        </w:rPr>
      </w:r>
      <w:r>
        <w:rPr>
          <w:spacing w:val="-5"/>
        </w:rPr>
        <w:t>的大部分。（</w:t>
      </w:r>
      <w:r>
        <w:rPr>
          <w:rFonts w:ascii="Times New Roman" w:hAnsi="Times New Roman" w:cs="Times New Roman" w:eastAsia="Times New Roman" w:hint="default"/>
          <w:spacing w:val="-5"/>
        </w:rPr>
        <w:t>4</w:t>
      </w:r>
      <w:r>
        <w:rPr>
          <w:spacing w:val="-5"/>
        </w:rPr>
        <w:t>）本公司在租赁开始日的最低租赁付款额现值，几乎相当于租赁开始日租赁资产公允价值。（</w:t>
      </w:r>
      <w:r>
        <w:rPr>
          <w:rFonts w:ascii="Times New Roman" w:hAnsi="Times New Roman" w:cs="Times New Roman" w:eastAsia="Times New Roman" w:hint="default"/>
          <w:spacing w:val="-5"/>
        </w:rPr>
        <w:t>5</w:t>
      </w:r>
      <w:r>
        <w:rPr>
          <w:spacing w:val="-5"/>
        </w:rPr>
        <w:t>）租赁资产性质</w:t>
      </w:r>
      <w:r>
        <w:rPr>
          <w:spacing w:val="-57"/>
        </w:rPr>
        <w:t> </w:t>
      </w:r>
      <w:r>
        <w:rPr>
          <w:spacing w:val="-57"/>
        </w:rPr>
      </w:r>
      <w:r>
        <w:rPr>
          <w:spacing w:val="-2"/>
        </w:rPr>
        <w:t>特殊，如果不作较大改造，只有本公司才能使用。融资租赁租入的固定资产，按租赁开始日租赁资产公允价值与最低租赁付</w:t>
      </w:r>
    </w:p>
    <w:p>
      <w:pPr>
        <w:pStyle w:val="BodyText"/>
        <w:spacing w:line="316" w:lineRule="auto" w:before="36"/>
        <w:ind w:right="1098"/>
        <w:jc w:val="both"/>
      </w:pPr>
      <w:r>
        <w:rPr>
          <w:spacing w:val="-1"/>
        </w:rPr>
        <w:t>款额的现值两者中较低者，作为入账价值。最低租赁付款额作为长期应付款的入账价值，其差额作为未确认融资费用。在租</w:t>
      </w:r>
      <w:r>
        <w:rPr/>
        <w:t> </w:t>
      </w:r>
      <w:r>
        <w:rPr>
          <w:spacing w:val="-2"/>
        </w:rPr>
        <w:t>赁谈判和签订租赁合同过程中发生的，可归属于租赁项目的手续费、律师费、差旅费、印花税等初始直接费用，计入租入资</w:t>
      </w:r>
      <w:r>
        <w:rPr>
          <w:spacing w:val="-57"/>
        </w:rPr>
        <w:t> </w:t>
      </w:r>
      <w:r>
        <w:rPr>
          <w:spacing w:val="-57"/>
        </w:rPr>
      </w:r>
      <w:r>
        <w:rPr>
          <w:spacing w:val="-2"/>
        </w:rPr>
        <w:t>产价值。未确认融资费用在租赁期内各个期间采用实际利率法进行分摊。本公司采用与自有固定资产相一致的折旧政策计提</w:t>
      </w:r>
      <w:r>
        <w:rPr>
          <w:spacing w:val="-72"/>
        </w:rPr>
        <w:t> </w:t>
      </w:r>
      <w:r>
        <w:rPr>
          <w:spacing w:val="-72"/>
        </w:rPr>
      </w:r>
      <w:r>
        <w:rPr>
          <w:spacing w:val="-2"/>
        </w:rPr>
        <w:t>融资租入固定资产折旧。能够合理确定租赁期届满时取得租赁资产所有权的，在租赁资产使用寿命内计提折旧。无法合理确</w:t>
      </w:r>
      <w:r>
        <w:rPr>
          <w:spacing w:val="-75"/>
        </w:rPr>
        <w:t> </w:t>
      </w:r>
      <w:r>
        <w:rPr>
          <w:spacing w:val="-75"/>
        </w:rPr>
      </w:r>
      <w:r>
        <w:rPr/>
        <w:t>定租赁期届满时能够取得租赁资产所有权的，在租赁期与租赁资产使用寿命两者中较短的期间内计提折旧。</w:t>
      </w:r>
    </w:p>
    <w:p>
      <w:pPr>
        <w:spacing w:line="240" w:lineRule="auto" w:before="5"/>
        <w:rPr>
          <w:rFonts w:ascii="宋体" w:hAnsi="宋体" w:cs="宋体" w:eastAsia="宋体" w:hint="default"/>
          <w:sz w:val="25"/>
          <w:szCs w:val="25"/>
        </w:rPr>
      </w:pPr>
    </w:p>
    <w:p>
      <w:pPr>
        <w:pStyle w:val="Heading3"/>
        <w:spacing w:line="240" w:lineRule="auto"/>
        <w:ind w:right="0"/>
        <w:jc w:val="left"/>
        <w:rPr>
          <w:b w:val="0"/>
          <w:bCs w:val="0"/>
        </w:rPr>
      </w:pPr>
      <w:bookmarkStart w:name="25、在建工程" w:id="196"/>
      <w:bookmarkEnd w:id="196"/>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3"/>
        <w:rPr>
          <w:rFonts w:ascii="宋体" w:hAnsi="宋体" w:cs="宋体" w:eastAsia="宋体" w:hint="default"/>
          <w:b/>
          <w:bCs/>
          <w:sz w:val="25"/>
          <w:szCs w:val="25"/>
        </w:rPr>
      </w:pPr>
    </w:p>
    <w:p>
      <w:pPr>
        <w:pStyle w:val="BodyText"/>
        <w:spacing w:line="304" w:lineRule="auto" w:before="0"/>
        <w:ind w:right="0"/>
        <w:jc w:val="left"/>
      </w:pPr>
      <w:r>
        <w:rPr>
          <w:rFonts w:ascii="Times New Roman" w:hAnsi="Times New Roman" w:cs="Times New Roman" w:eastAsia="Times New Roman" w:hint="default"/>
        </w:rPr>
        <w:t>1</w:t>
      </w:r>
      <w:r>
        <w:rPr/>
        <w:t>．</w:t>
      </w:r>
      <w:r>
        <w:rPr>
          <w:spacing w:val="60"/>
        </w:rPr>
        <w:t> </w:t>
      </w:r>
      <w:r>
        <w:rPr/>
        <w:t>在建工程初始计量</w:t>
      </w:r>
      <w:r>
        <w:rPr/>
        <w:t> </w:t>
      </w:r>
      <w:r>
        <w:rPr>
          <w:spacing w:val="-2"/>
        </w:rPr>
        <w:t>本公司自行建造的在建工程按实际成本计价，实际成本由建造该项资产达到预定可使用状态前所发生的必要支出构成，包括</w:t>
      </w:r>
      <w:r>
        <w:rPr>
          <w:spacing w:val="-70"/>
        </w:rPr>
        <w:t> </w:t>
      </w:r>
      <w:r>
        <w:rPr>
          <w:spacing w:val="-70"/>
        </w:rPr>
      </w:r>
      <w:r>
        <w:rPr/>
        <w:t>工程用物资成本、人工成本、交纳的相关税费、应予资本化的借款费用以及应分摊的间接费用等。</w:t>
      </w:r>
    </w:p>
    <w:p>
      <w:pPr>
        <w:pStyle w:val="BodyText"/>
        <w:spacing w:line="297" w:lineRule="auto" w:before="46"/>
        <w:ind w:right="0"/>
        <w:jc w:val="left"/>
      </w:pPr>
      <w:r>
        <w:rPr>
          <w:rFonts w:ascii="Times New Roman" w:hAnsi="Times New Roman" w:cs="Times New Roman" w:eastAsia="Times New Roman" w:hint="default"/>
        </w:rPr>
        <w:t>2</w:t>
      </w:r>
      <w:r>
        <w:rPr/>
        <w:t>．</w:t>
      </w:r>
      <w:r>
        <w:rPr>
          <w:spacing w:val="60"/>
        </w:rPr>
        <w:t> </w:t>
      </w:r>
      <w:r>
        <w:rPr/>
        <w:t>在建工程结转为固定资产的标准和时点</w:t>
      </w:r>
      <w:r>
        <w:rPr/>
        <w:t> </w:t>
      </w:r>
      <w:r>
        <w:rPr>
          <w:spacing w:val="-2"/>
        </w:rPr>
        <w:t>在建工程项目按建造该项资产达到预定可使用状态前所发生的全部支出，作为固定资产的入账价值。所建造的在建工程已达</w:t>
      </w:r>
      <w:r>
        <w:rPr>
          <w:spacing w:val="-72"/>
        </w:rPr>
        <w:t> </w:t>
      </w:r>
      <w:r>
        <w:rPr>
          <w:spacing w:val="-72"/>
        </w:rPr>
      </w:r>
      <w:r>
        <w:rPr>
          <w:spacing w:val="-2"/>
        </w:rPr>
        <w:t>到预定可使用状态，但尚未办理竣工决算的，自达到预定可使用状态之日起，根据工程预算、造价或者工程实际成本等，按</w:t>
      </w:r>
    </w:p>
    <w:p>
      <w:pPr>
        <w:pStyle w:val="BodyText"/>
        <w:spacing w:line="321" w:lineRule="auto" w:before="37"/>
        <w:ind w:right="0"/>
        <w:jc w:val="left"/>
      </w:pPr>
      <w:r>
        <w:rPr>
          <w:spacing w:val="-2"/>
        </w:rPr>
        <w:t>估计的价值转入固定资产，并按本公司固定资产折旧政策计提固定资产的折旧，待办理竣工决算后，再按实际成本调整原来</w:t>
      </w:r>
      <w:r>
        <w:rPr>
          <w:spacing w:val="-67"/>
        </w:rPr>
        <w:t> </w:t>
      </w:r>
      <w:r>
        <w:rPr>
          <w:spacing w:val="-67"/>
        </w:rPr>
      </w:r>
      <w:r>
        <w:rPr/>
        <w:t>的暂估价值，但不调整原已计提的折旧额。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left"/>
        <w:rPr>
          <w:b w:val="0"/>
          <w:bCs w:val="0"/>
        </w:rPr>
      </w:pPr>
      <w:bookmarkStart w:name="26、借款费用" w:id="197"/>
      <w:bookmarkEnd w:id="197"/>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288" w:lineRule="auto" w:before="0"/>
        <w:ind w:right="0"/>
        <w:jc w:val="left"/>
      </w:pPr>
      <w:r>
        <w:rPr>
          <w:rFonts w:ascii="Times New Roman" w:hAnsi="Times New Roman" w:cs="Times New Roman" w:eastAsia="Times New Roman" w:hint="default"/>
        </w:rPr>
        <w:t>1</w:t>
      </w:r>
      <w:r>
        <w:rPr/>
        <w:t>．</w:t>
      </w:r>
      <w:r>
        <w:rPr>
          <w:spacing w:val="60"/>
        </w:rPr>
        <w:t> </w:t>
      </w:r>
      <w:r>
        <w:rPr/>
        <w:t>借款费用资本化的确认原则</w:t>
      </w:r>
      <w:r>
        <w:rPr/>
        <w:t> </w:t>
      </w:r>
      <w:r>
        <w:rPr>
          <w:spacing w:val="-2"/>
        </w:rPr>
        <w:t>本公司发生的借款费用，可直接归属于符合资本化条件的资产的购建或者生产的，予以资本化，计入相关资产成本；其他借</w:t>
      </w:r>
    </w:p>
    <w:p>
      <w:pPr>
        <w:spacing w:after="0" w:line="288"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0"/>
        <w:jc w:val="left"/>
      </w:pPr>
      <w:r>
        <w:rPr/>
        <w:t>款费用，在发生时根据其发生额确认为费用，计入当期损益。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72"/>
        </w:rPr>
        <w:t> </w:t>
      </w:r>
      <w:r>
        <w:rPr>
          <w:spacing w:val="-72"/>
        </w:rPr>
      </w:r>
      <w:r>
        <w:rPr/>
        <w:t>资性房地产和存货等资产。</w:t>
      </w:r>
    </w:p>
    <w:p>
      <w:pPr>
        <w:pStyle w:val="BodyText"/>
        <w:spacing w:line="240" w:lineRule="auto" w:before="3"/>
        <w:ind w:right="0"/>
        <w:jc w:val="left"/>
      </w:pPr>
      <w:r>
        <w:rPr/>
        <w:t>借款费用同时满足下列条件时开始资本化：</w:t>
      </w:r>
    </w:p>
    <w:p>
      <w:pPr>
        <w:pStyle w:val="BodyText"/>
        <w:spacing w:line="290" w:lineRule="auto" w:before="94"/>
        <w:ind w:right="1119"/>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w:t>
      </w:r>
      <w:r>
        <w:rPr>
          <w:spacing w:val="-85"/>
        </w:rPr>
        <w:t> </w:t>
      </w:r>
      <w:r>
        <w:rPr>
          <w:spacing w:val="-85"/>
        </w:rPr>
      </w:r>
      <w:r>
        <w:rPr/>
        <w:t>息债务形式发生的支出；</w:t>
      </w:r>
    </w:p>
    <w:p>
      <w:pPr>
        <w:pStyle w:val="BodyText"/>
        <w:spacing w:line="240" w:lineRule="auto" w:before="56"/>
        <w:ind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6"/>
        <w:ind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2" w:lineRule="auto" w:before="51"/>
        <w:ind w:right="1091"/>
        <w:jc w:val="left"/>
      </w:pPr>
      <w:r>
        <w:rPr>
          <w:rFonts w:ascii="Times New Roman" w:hAnsi="Times New Roman" w:cs="Times New Roman" w:eastAsia="Times New Roman" w:hint="default"/>
        </w:rPr>
        <w:t>2</w:t>
      </w:r>
      <w:r>
        <w:rPr/>
        <w:t>．</w:t>
      </w:r>
      <w:r>
        <w:rPr>
          <w:spacing w:val="60"/>
        </w:rPr>
        <w:t> </w:t>
      </w:r>
      <w:r>
        <w:rPr/>
        <w:t>借款费用资本化期间</w:t>
      </w:r>
      <w:r>
        <w:rPr/>
        <w:t>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购建或者生产的资产的各部分分别完工，但必须等到整体完工后才可使用或可对外销售的，在该资产整体完工时停止借款费</w:t>
      </w:r>
      <w:r>
        <w:rPr>
          <w:spacing w:val="-71"/>
        </w:rPr>
        <w:t> </w:t>
      </w:r>
      <w:r>
        <w:rPr>
          <w:spacing w:val="-71"/>
        </w:rPr>
      </w:r>
      <w:r>
        <w:rPr/>
        <w:t>用资本化。</w:t>
      </w:r>
    </w:p>
    <w:p>
      <w:pPr>
        <w:pStyle w:val="BodyText"/>
        <w:spacing w:line="304" w:lineRule="auto" w:before="41"/>
        <w:ind w:right="1119"/>
        <w:jc w:val="left"/>
      </w:pPr>
      <w:r>
        <w:rPr>
          <w:rFonts w:ascii="Times New Roman" w:hAnsi="Times New Roman" w:cs="Times New Roman" w:eastAsia="Times New Roman" w:hint="default"/>
        </w:rPr>
        <w:t>3</w:t>
      </w:r>
      <w:r>
        <w:rPr/>
        <w:t>．</w:t>
      </w:r>
      <w:r>
        <w:rPr>
          <w:spacing w:val="60"/>
        </w:rPr>
        <w:t> </w:t>
      </w:r>
      <w:r>
        <w:rPr/>
        <w:t>暂停资本化期间</w:t>
      </w:r>
      <w:r>
        <w:rPr/>
        <w:t> 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个月的，则借款费用暂停资本化；该</w:t>
      </w:r>
      <w:r>
        <w:rPr>
          <w:spacing w:val="-82"/>
        </w:rPr>
        <w:t> </w:t>
      </w:r>
      <w:r>
        <w:rPr/>
        <w:t>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BodyText"/>
        <w:spacing w:line="309" w:lineRule="auto" w:before="31"/>
        <w:ind w:right="0"/>
        <w:jc w:val="left"/>
      </w:pPr>
      <w:r>
        <w:rPr>
          <w:rFonts w:ascii="Times New Roman" w:hAnsi="Times New Roman" w:cs="Times New Roman" w:eastAsia="Times New Roman" w:hint="default"/>
        </w:rPr>
        <w:t>4</w:t>
      </w:r>
      <w:r>
        <w:rPr/>
        <w:t>．</w:t>
      </w:r>
      <w:r>
        <w:rPr>
          <w:spacing w:val="60"/>
        </w:rPr>
        <w:t> </w:t>
      </w:r>
      <w:r>
        <w:rPr/>
        <w:t>借款费用资本化金额的计算方法</w:t>
      </w:r>
      <w:r>
        <w:rPr/>
        <w:t> </w:t>
      </w:r>
      <w:r>
        <w:rPr>
          <w:spacing w:val="-2"/>
        </w:rPr>
        <w:t>专门借款的利息费用（扣除尚未动用的借款资金存入银行取得的利息收入或者进行暂时性投资取得的投资收益）及其辅助费</w:t>
      </w:r>
      <w:r>
        <w:rPr>
          <w:spacing w:val="-69"/>
        </w:rPr>
        <w:t> </w:t>
      </w:r>
      <w:r>
        <w:rPr>
          <w:spacing w:val="-69"/>
        </w:rPr>
      </w:r>
      <w:r>
        <w:rPr/>
        <w:t>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根据累计资产支出超过专门借款部分的资产支出加权平均数乘以所占用一般借款的资本化率，计算确定一般借款应予资本化</w:t>
      </w:r>
    </w:p>
    <w:p>
      <w:pPr>
        <w:pStyle w:val="BodyText"/>
        <w:spacing w:line="307" w:lineRule="auto" w:before="27"/>
        <w:ind w:right="1929"/>
        <w:jc w:val="left"/>
      </w:pPr>
      <w:r>
        <w:rPr/>
        <w:t>的利息金额。资本化率根据一般借款加权平均利率计算确定。 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3"/>
        <w:spacing w:line="240" w:lineRule="auto"/>
        <w:ind w:right="0"/>
        <w:jc w:val="left"/>
        <w:rPr>
          <w:b w:val="0"/>
          <w:bCs w:val="0"/>
        </w:rPr>
      </w:pPr>
      <w:bookmarkStart w:name="27、生物资产" w:id="198"/>
      <w:bookmarkEnd w:id="198"/>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28、油气资产" w:id="199"/>
      <w:bookmarkEnd w:id="199"/>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29、使用权资产" w:id="200"/>
      <w:bookmarkEnd w:id="200"/>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30、无形资产" w:id="201"/>
      <w:bookmarkEnd w:id="201"/>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202"/>
      <w:bookmarkEnd w:id="20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
        <w:rPr>
          <w:rFonts w:ascii="宋体" w:hAnsi="宋体" w:cs="宋体" w:eastAsia="宋体" w:hint="default"/>
          <w:b/>
          <w:bCs/>
          <w:sz w:val="24"/>
          <w:szCs w:val="24"/>
        </w:rPr>
      </w:pPr>
    </w:p>
    <w:p>
      <w:pPr>
        <w:pStyle w:val="BodyText"/>
        <w:spacing w:line="312" w:lineRule="auto" w:before="0"/>
        <w:ind w:right="1091"/>
        <w:jc w:val="left"/>
      </w:pPr>
      <w:r>
        <w:rPr/>
        <w:t>无形资产是指本公司拥有或者控制的没有实物形态的可辨认非货币性资产，包括土地使用权、软件、商标权、专利技术。 </w:t>
      </w:r>
      <w:r>
        <w:rPr>
          <w:rFonts w:ascii="Times New Roman" w:hAnsi="Times New Roman" w:cs="Times New Roman" w:eastAsia="Times New Roman" w:hint="default"/>
        </w:rPr>
        <w:t>1</w:t>
      </w:r>
      <w:r>
        <w:rPr/>
        <w:t>．</w:t>
      </w:r>
      <w:r>
        <w:rPr>
          <w:spacing w:val="60"/>
        </w:rPr>
        <w:t> </w:t>
      </w:r>
      <w:r>
        <w:rPr/>
        <w:t>无形资产的初始计量</w:t>
      </w:r>
      <w:r>
        <w:rPr/>
        <w:t> </w:t>
      </w:r>
      <w:r>
        <w:rPr>
          <w:spacing w:val="-2"/>
        </w:rPr>
        <w:t>外购无形资产的成本，包括购买价款、相关税费以及直接归属于使该项资产达到预定用途所发生的其他支出。购买无形资产</w:t>
      </w:r>
    </w:p>
    <w:p>
      <w:pPr>
        <w:pStyle w:val="BodyText"/>
        <w:spacing w:line="319" w:lineRule="auto" w:before="25"/>
        <w:ind w:right="0"/>
        <w:jc w:val="left"/>
      </w:pP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72"/>
        </w:rPr>
        <w:t> </w:t>
      </w:r>
      <w:r>
        <w:rPr>
          <w:spacing w:val="-72"/>
        </w:rPr>
      </w:r>
      <w:r>
        <w:rPr/>
        <w:t>用以抵债的无形资产公允价值之间的差额，计入当期损益。</w:t>
      </w:r>
      <w:r>
        <w:rPr>
          <w:spacing w:val="-85"/>
        </w:rPr>
        <w:t> </w:t>
      </w:r>
      <w:r>
        <w:rPr>
          <w:spacing w:val="-85"/>
        </w:rPr>
      </w:r>
      <w:r>
        <w:rPr>
          <w:spacing w:val="-2"/>
        </w:rPr>
        <w:t>在非货币性资产交换具备商业实质且换入资产或换出资产的公允价值能够可靠计量的前提下，非货币性资产交换换入的无形</w:t>
      </w:r>
      <w:r>
        <w:rPr>
          <w:spacing w:val="-58"/>
        </w:rPr>
        <w:t> </w:t>
      </w:r>
      <w:r>
        <w:rPr>
          <w:spacing w:val="-58"/>
        </w:rPr>
      </w:r>
      <w:r>
        <w:rPr>
          <w:spacing w:val="-2"/>
        </w:rPr>
        <w:t>资产以换出资产的公允价值为基础确定其入账价值，除非有确凿证据表明换入资产的公允价值更加可靠；不满足上述前提的</w:t>
      </w:r>
      <w:r>
        <w:rPr>
          <w:spacing w:val="-72"/>
        </w:rPr>
        <w:t> </w:t>
      </w:r>
      <w:r>
        <w:rPr>
          <w:spacing w:val="-72"/>
        </w:rPr>
      </w:r>
      <w:r>
        <w:rPr/>
        <w:t>非货币性资产交换，以换出资产的账面价值和应支付的相关税费作为换入无形资产的成本，不确认损益。</w:t>
      </w:r>
    </w:p>
    <w:p>
      <w:pPr>
        <w:spacing w:after="0" w:line="319"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0"/>
        <w:jc w:val="left"/>
      </w:pPr>
      <w:r>
        <w:rPr>
          <w:spacing w:val="-2"/>
        </w:rPr>
        <w:t>以同一控制下的企业吸收合并方式取得的无形资产按被合并方的账面价值确定其入账价值；以非同一控制下的企业吸收合并</w:t>
      </w:r>
      <w:r>
        <w:rPr>
          <w:spacing w:val="-58"/>
        </w:rPr>
        <w:t> </w:t>
      </w:r>
      <w:r>
        <w:rPr>
          <w:spacing w:val="-58"/>
        </w:rPr>
      </w:r>
      <w:r>
        <w:rPr/>
        <w:t>方式取得的无形资产按公允价值确定其入账价值。 </w:t>
      </w:r>
      <w:r>
        <w:rPr>
          <w:spacing w:val="-2"/>
        </w:rPr>
        <w:t>内部自行开发的无形资产，其成本包括：开发该无形资产时耗用的材料、劳务成本、注册费、在开发过程中使用的其他专利</w:t>
      </w:r>
      <w:r>
        <w:rPr>
          <w:spacing w:val="-53"/>
        </w:rPr>
        <w:t> </w:t>
      </w:r>
      <w:r>
        <w:rPr>
          <w:spacing w:val="-53"/>
        </w:rPr>
      </w:r>
      <w:r>
        <w:rPr/>
        <w:t>权和特许权的摊销以及满足资本化条件的利息费用，以及为使该无形资产达到预定用途前所发生的其他直接费用。</w:t>
      </w:r>
    </w:p>
    <w:p>
      <w:pPr>
        <w:pStyle w:val="BodyText"/>
        <w:spacing w:line="290" w:lineRule="auto" w:before="37"/>
        <w:ind w:right="2829"/>
        <w:jc w:val="left"/>
      </w:pPr>
      <w:r>
        <w:rPr>
          <w:rFonts w:ascii="Times New Roman" w:hAnsi="Times New Roman" w:cs="Times New Roman" w:eastAsia="Times New Roman" w:hint="default"/>
        </w:rPr>
        <w:t>2</w:t>
      </w:r>
      <w:r>
        <w:rPr/>
        <w:t>．</w:t>
      </w:r>
      <w:r>
        <w:rPr>
          <w:spacing w:val="60"/>
        </w:rPr>
        <w:t> </w:t>
      </w:r>
      <w:r>
        <w:rPr/>
        <w:t>无形资产的后续计量</w:t>
      </w:r>
      <w:r>
        <w:rPr/>
        <w:t> 本公司在取得无形资产时分析判断其使用寿命，划分为使用寿命有限和使用寿命不确定的无形资产。</w:t>
      </w:r>
    </w:p>
    <w:p>
      <w:pPr>
        <w:pStyle w:val="BodyText"/>
        <w:spacing w:line="297" w:lineRule="auto" w:before="56"/>
        <w:ind w:right="1091"/>
        <w:jc w:val="left"/>
      </w:pPr>
      <w:r>
        <w:rPr/>
        <w:t>（</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对于使用寿命有限的无形资产，在为企业带来经济利益的期限内按直线法摊销。使用寿命有限的无形资产预计寿命及依据如</w:t>
      </w:r>
      <w:r>
        <w:rPr>
          <w:spacing w:val="-72"/>
        </w:rPr>
        <w:t> </w:t>
      </w:r>
      <w:r>
        <w:rPr>
          <w:spacing w:val="-72"/>
        </w:rPr>
      </w:r>
      <w:r>
        <w:rPr/>
        <w:t>下：</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809"/>
        <w:gridCol w:w="1878"/>
        <w:gridCol w:w="4971"/>
      </w:tblGrid>
      <w:tr>
        <w:trPr>
          <w:trHeight w:val="435"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9"/>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4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35"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合同规定与法律规定孰低原则</w:t>
            </w:r>
          </w:p>
        </w:tc>
      </w:tr>
    </w:tbl>
    <w:p>
      <w:pPr>
        <w:spacing w:line="240" w:lineRule="auto" w:before="9"/>
        <w:rPr>
          <w:rFonts w:ascii="宋体" w:hAnsi="宋体" w:cs="宋体" w:eastAsia="宋体" w:hint="default"/>
          <w:sz w:val="20"/>
          <w:szCs w:val="20"/>
        </w:rPr>
      </w:pPr>
    </w:p>
    <w:p>
      <w:pPr>
        <w:pStyle w:val="BodyText"/>
        <w:spacing w:line="321" w:lineRule="auto"/>
        <w:ind w:right="1389"/>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pStyle w:val="BodyText"/>
        <w:spacing w:line="297" w:lineRule="auto" w:before="33"/>
        <w:ind w:right="4269"/>
        <w:jc w:val="left"/>
      </w:pPr>
      <w:r>
        <w:rPr/>
        <w:t>（</w:t>
      </w: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 报告期末本公司无使用寿命不确定的无形资产。</w:t>
      </w:r>
    </w:p>
    <w:p>
      <w:pPr>
        <w:spacing w:line="240" w:lineRule="auto" w:before="5"/>
        <w:rPr>
          <w:rFonts w:ascii="宋体" w:hAnsi="宋体" w:cs="宋体" w:eastAsia="宋体" w:hint="default"/>
          <w:sz w:val="25"/>
          <w:szCs w:val="25"/>
        </w:rPr>
      </w:pPr>
    </w:p>
    <w:p>
      <w:pPr>
        <w:pStyle w:val="Heading3"/>
        <w:spacing w:line="240" w:lineRule="auto"/>
        <w:ind w:right="0"/>
        <w:jc w:val="left"/>
        <w:rPr>
          <w:b w:val="0"/>
          <w:bCs w:val="0"/>
        </w:rPr>
      </w:pPr>
      <w:bookmarkStart w:name="（2）内部研究开发支出会计政策" w:id="203"/>
      <w:bookmarkEnd w:id="20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宋体" w:hAnsi="宋体" w:cs="宋体" w:eastAsia="宋体" w:hint="default"/>
          <w:b/>
          <w:bCs/>
          <w:sz w:val="25"/>
          <w:szCs w:val="25"/>
        </w:rPr>
      </w:pPr>
    </w:p>
    <w:p>
      <w:pPr>
        <w:pStyle w:val="BodyText"/>
        <w:spacing w:line="314" w:lineRule="auto" w:before="0"/>
        <w:ind w:right="0"/>
        <w:jc w:val="left"/>
      </w:pPr>
      <w:r>
        <w:rPr/>
        <w:t>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开发阶段：在进行商业性生产或使用前，将研究成果或其他知识应用于某项计划或设计，以生产出新的或具有实质性改进的</w:t>
      </w:r>
      <w:r>
        <w:rPr>
          <w:spacing w:val="-66"/>
        </w:rPr>
        <w:t> </w:t>
      </w:r>
      <w:r>
        <w:rPr>
          <w:spacing w:val="-66"/>
        </w:rPr>
      </w:r>
      <w:r>
        <w:rPr/>
        <w:t>材料、装置、产品等活动的阶段。</w:t>
      </w:r>
    </w:p>
    <w:p>
      <w:pPr>
        <w:pStyle w:val="BodyText"/>
        <w:spacing w:line="321" w:lineRule="auto" w:before="24"/>
        <w:ind w:right="4809"/>
        <w:jc w:val="left"/>
      </w:pPr>
      <w:r>
        <w:rPr/>
        <w:t>内部研究开发项目研究阶段的支出，在发生时计入当期损益。 开发阶段支出符合资本化的具体标准 内部研究开发项目开发阶段的支出，同时满足下列条件时确认为无形资产：</w:t>
      </w:r>
    </w:p>
    <w:p>
      <w:pPr>
        <w:pStyle w:val="BodyText"/>
        <w:spacing w:line="240" w:lineRule="auto" w:before="34"/>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51"/>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88" w:lineRule="auto" w:before="66"/>
        <w:ind w:right="1119"/>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 产将在内部使用的，能够证明其有用性；</w:t>
      </w:r>
    </w:p>
    <w:p>
      <w:pPr>
        <w:pStyle w:val="BodyText"/>
        <w:spacing w:line="240" w:lineRule="auto" w:before="59"/>
        <w:ind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276" w:lineRule="auto" w:before="66"/>
        <w:ind w:right="6159"/>
        <w:jc w:val="left"/>
      </w:pPr>
      <w:r>
        <w:rPr/>
        <w:t>（</w:t>
      </w:r>
      <w:r>
        <w:rPr>
          <w:rFonts w:ascii="Times New Roman" w:hAnsi="Times New Roman" w:cs="Times New Roman" w:eastAsia="Times New Roman" w:hint="default"/>
        </w:rPr>
        <w:t>5</w:t>
      </w:r>
      <w:r>
        <w:rPr/>
        <w:t>）归属于该无形资产开发阶段的支出能够可靠地计量。 内部研究开发支出的资本化时点：</w:t>
      </w:r>
    </w:p>
    <w:p>
      <w:pPr>
        <w:pStyle w:val="BodyText"/>
        <w:spacing w:line="240" w:lineRule="auto" w:before="52"/>
        <w:ind w:right="0"/>
        <w:jc w:val="left"/>
      </w:pPr>
      <w:r>
        <w:rPr/>
        <w:t>①完成该无形资产以使其能够使用或出售在技术上具有可行性；</w:t>
      </w:r>
    </w:p>
    <w:p>
      <w:pPr>
        <w:pStyle w:val="BodyText"/>
        <w:spacing w:line="240" w:lineRule="auto" w:before="80"/>
        <w:ind w:right="0"/>
        <w:jc w:val="left"/>
      </w:pPr>
      <w:r>
        <w:rPr/>
        <w:t>②具有完成该无形资产并使用或出售的意图；</w:t>
      </w:r>
    </w:p>
    <w:p>
      <w:pPr>
        <w:pStyle w:val="BodyText"/>
        <w:spacing w:line="321" w:lineRule="auto" w:before="80"/>
        <w:ind w:right="0"/>
        <w:jc w:val="left"/>
      </w:pPr>
      <w:r>
        <w:rPr>
          <w:spacing w:val="-2"/>
        </w:rPr>
        <w:t>③无形资产产生经济利益的方式，包括能够证明运用该无形资产生产的产品存在市场或无形资产自身存在市场，无形资产将</w:t>
      </w:r>
      <w:r>
        <w:rPr>
          <w:spacing w:val="-72"/>
        </w:rPr>
        <w:t> </w:t>
      </w:r>
      <w:r>
        <w:rPr>
          <w:spacing w:val="-72"/>
        </w:rPr>
      </w:r>
      <w:r>
        <w:rPr/>
        <w:t>在内部使用的，应当证明其有用性；</w:t>
      </w:r>
    </w:p>
    <w:p>
      <w:pPr>
        <w:pStyle w:val="BodyText"/>
        <w:spacing w:line="240" w:lineRule="auto" w:before="3"/>
        <w:ind w:right="0"/>
        <w:jc w:val="left"/>
      </w:pPr>
      <w:r>
        <w:rPr/>
        <w:t>④有足够的技术、财务资源和其他资源支持，以完成该无形资产的开发，并有能力使用或出售该无形资产；</w:t>
      </w:r>
    </w:p>
    <w:p>
      <w:pPr>
        <w:pStyle w:val="BodyText"/>
        <w:spacing w:line="321" w:lineRule="auto" w:before="79"/>
        <w:ind w:right="0"/>
        <w:jc w:val="left"/>
      </w:pPr>
      <w:r>
        <w:rPr/>
        <w:t>⑤归属于无形资产开发阶段的支出能够可靠地计量。</w:t>
      </w:r>
      <w:r>
        <w:rPr>
          <w:spacing w:val="-87"/>
        </w:rPr>
        <w:t> </w:t>
      </w:r>
      <w:r>
        <w:rPr>
          <w:spacing w:val="-87"/>
        </w:rPr>
      </w:r>
      <w:r>
        <w:rPr>
          <w:spacing w:val="-4"/>
        </w:rPr>
        <w:t>不满足上述条件的开发阶段的支出，于发生时计入当期损益。以前期间已计入损益的开发支出不在以后期间重新确认为资产。</w:t>
      </w:r>
      <w:r>
        <w:rPr>
          <w:spacing w:val="-50"/>
        </w:rPr>
        <w:t> </w:t>
      </w:r>
      <w:r>
        <w:rPr>
          <w:spacing w:val="-50"/>
        </w:rPr>
      </w:r>
      <w:r>
        <w:rPr/>
        <w:t>已资本化的开发阶段的支出在资产负债表上列示为开发支出，自该项目达到预定用途之日起转为无形资产。</w:t>
      </w:r>
    </w:p>
    <w:p>
      <w:pPr>
        <w:spacing w:after="0" w:line="321"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31、长期资产减值" w:id="204"/>
      <w:bookmarkEnd w:id="204"/>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1091"/>
        <w:jc w:val="left"/>
      </w:pPr>
      <w:r>
        <w:rPr>
          <w:spacing w:val="-2"/>
        </w:rPr>
        <w:t>本公司在资产负债表日判断长期资产是否存在可能发生减值的迹象。如果长期资产存在减值迹象的，以单项资产为基础估计</w:t>
      </w:r>
      <w:r>
        <w:rPr>
          <w:spacing w:val="-72"/>
        </w:rPr>
        <w:t> </w:t>
      </w:r>
      <w:r>
        <w:rPr>
          <w:spacing w:val="-72"/>
        </w:rPr>
      </w:r>
      <w:r>
        <w:rPr/>
        <w:t>其可收回金额；难以对单项资产的可收回金额进行估计的，以该资产所属的资产组为基础确定资产组的可收回金额。 资产可收回金额的估计，根据其公允价值减去处置费用后的净额与资产预计未来现金流量的现值两者之间较高者确定。</w:t>
      </w:r>
      <w:r>
        <w:rPr>
          <w:spacing w:val="-84"/>
        </w:rPr>
        <w:t> </w:t>
      </w:r>
      <w:r>
        <w:rPr>
          <w:spacing w:val="-84"/>
        </w:rPr>
      </w:r>
      <w:r>
        <w:rPr>
          <w:spacing w:val="-2"/>
        </w:rPr>
        <w:t>可收回金额的计量结果表明，长期资产的可收回金额低于其账面价值的，将长期资产的账面价值减记至可收回金额，减记的</w:t>
      </w:r>
      <w:r>
        <w:rPr>
          <w:spacing w:val="-75"/>
        </w:rPr>
        <w:t> </w:t>
      </w:r>
      <w:r>
        <w:rPr>
          <w:spacing w:val="-75"/>
        </w:rPr>
      </w:r>
      <w:r>
        <w:rPr>
          <w:spacing w:val="-2"/>
        </w:rPr>
        <w:t>金额确认为资产减值损失，计入当期损益，同时计提相应的资产减值准备。资产减值损失一经确认，在以后会计期间不得转</w:t>
      </w:r>
      <w:r>
        <w:rPr>
          <w:spacing w:val="-42"/>
        </w:rPr>
        <w:t> </w:t>
      </w:r>
      <w:r>
        <w:rPr>
          <w:spacing w:val="-42"/>
        </w:rPr>
      </w:r>
      <w:r>
        <w:rPr/>
        <w:t>回。 </w:t>
      </w:r>
      <w:r>
        <w:rPr>
          <w:spacing w:val="-2"/>
        </w:rPr>
        <w:t>资产减值损失确认后，减值资产的折旧或者摊销费用在未来期间作相应调整，以使该资产在剩余使用寿命内，系统地分摊调</w:t>
      </w:r>
      <w:r>
        <w:rPr>
          <w:spacing w:val="-75"/>
        </w:rPr>
        <w:t> </w:t>
      </w:r>
      <w:r>
        <w:rPr>
          <w:spacing w:val="-75"/>
        </w:rPr>
      </w:r>
      <w:r>
        <w:rPr/>
        <w:t>整后的资产账面价值（扣除预计净残值）。 因企业合并所形成的商誉和使用寿命不确定的无形资产，无论是否存在减值迹象，每年都进行减值测试。</w:t>
      </w:r>
      <w:r>
        <w:rPr>
          <w:spacing w:val="-80"/>
        </w:rPr>
        <w:t> </w:t>
      </w:r>
      <w:r>
        <w:rPr>
          <w:spacing w:val="-80"/>
        </w:rPr>
      </w:r>
      <w:r>
        <w:rPr>
          <w:spacing w:val="-2"/>
        </w:rPr>
        <w:t>在对商誉进行减值测试时，将商誉的账面价值分摊至预期从企业合并的协同效应中受益的资产组或资产组组合。在对包含商</w:t>
      </w:r>
      <w:r>
        <w:rPr>
          <w:spacing w:val="-72"/>
        </w:rPr>
        <w:t> </w:t>
      </w:r>
      <w:r>
        <w:rPr>
          <w:spacing w:val="-72"/>
        </w:rPr>
      </w:r>
      <w:r>
        <w:rPr>
          <w:spacing w:val="-2"/>
        </w:rPr>
        <w:t>誉的相关资产组或者资产组组合进行减值测试时，如与商誉相关的资产组或者资产组组合存在减值迹象的，先对不包含商誉</w:t>
      </w:r>
      <w:r>
        <w:rPr>
          <w:spacing w:val="-72"/>
        </w:rPr>
        <w:t> </w:t>
      </w:r>
      <w:r>
        <w:rPr>
          <w:spacing w:val="-72"/>
        </w:rPr>
      </w:r>
      <w:r>
        <w:rPr>
          <w:spacing w:val="-2"/>
        </w:rPr>
        <w:t>的资产组或者资产组组合进行减值测试，计算可收回金额，并与相关账面价值相比较，确认相应的减值损失。再对包含商誉</w:t>
      </w:r>
      <w:r>
        <w:rPr>
          <w:spacing w:val="-42"/>
        </w:rPr>
        <w:t> </w:t>
      </w:r>
      <w:r>
        <w:rPr>
          <w:spacing w:val="-42"/>
        </w:rPr>
      </w:r>
      <w:r>
        <w:rPr>
          <w:spacing w:val="-2"/>
        </w:rPr>
        <w:t>的资产组或者资产组组合进行减值测试，比较这些相关资产组或者资产组组合的账面价值（包括所分摊的商誉的账面价值部</w:t>
      </w:r>
      <w:r>
        <w:rPr>
          <w:spacing w:val="-72"/>
        </w:rPr>
        <w:t> </w:t>
      </w:r>
      <w:r>
        <w:rPr>
          <w:spacing w:val="-72"/>
        </w:rPr>
      </w:r>
      <w:r>
        <w:rPr/>
        <w:t>分）与其可收回金额，如相关资产组或者资产组组合的可收回金额低于其账面价值的，确认商誉的减值损失。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61"/>
        <w:ind w:right="0"/>
        <w:jc w:val="left"/>
        <w:rPr>
          <w:b w:val="0"/>
          <w:bCs w:val="0"/>
        </w:rPr>
      </w:pPr>
      <w:bookmarkStart w:name="32、长期待摊费用" w:id="205"/>
      <w:bookmarkEnd w:id="205"/>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288" w:lineRule="auto" w:before="0"/>
        <w:ind w:right="1119"/>
        <w:jc w:val="left"/>
      </w:pPr>
      <w:r>
        <w:rPr>
          <w:rFonts w:ascii="Times New Roman" w:hAnsi="Times New Roman" w:cs="Times New Roman" w:eastAsia="Times New Roman" w:hint="default"/>
        </w:rPr>
        <w:t>1</w:t>
      </w:r>
      <w:r>
        <w:rPr/>
        <w:t>、</w:t>
      </w:r>
      <w:r>
        <w:rPr>
          <w:spacing w:val="60"/>
        </w:rPr>
        <w:t> </w:t>
      </w:r>
      <w:r>
        <w:rPr/>
        <w:t>摊销方法</w:t>
      </w:r>
      <w:r>
        <w:rPr/>
        <w:t> 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年以上的各项费用。长期待摊费用在受益期</w:t>
      </w:r>
      <w:r>
        <w:rPr>
          <w:spacing w:val="-83"/>
        </w:rPr>
        <w:t> </w:t>
      </w:r>
      <w:r>
        <w:rPr/>
        <w:t>内按直线法分期摊销。</w:t>
      </w:r>
    </w:p>
    <w:p>
      <w:pPr>
        <w:spacing w:line="240" w:lineRule="auto" w:before="0"/>
        <w:rPr>
          <w:rFonts w:ascii="宋体" w:hAnsi="宋体" w:cs="宋体" w:eastAsia="宋体" w:hint="default"/>
          <w:sz w:val="18"/>
          <w:szCs w:val="18"/>
        </w:rPr>
      </w:pPr>
    </w:p>
    <w:p>
      <w:pPr>
        <w:pStyle w:val="BodyText"/>
        <w:spacing w:line="240" w:lineRule="auto" w:before="138"/>
        <w:ind w:right="0"/>
        <w:jc w:val="left"/>
      </w:pPr>
      <w:r>
        <w:rPr>
          <w:rFonts w:ascii="Times New Roman" w:hAnsi="Times New Roman" w:cs="Times New Roman" w:eastAsia="Times New Roman" w:hint="default"/>
        </w:rPr>
        <w:t>2</w:t>
      </w:r>
      <w:r>
        <w:rPr/>
        <w:t>、</w:t>
      </w:r>
      <w:r>
        <w:rPr>
          <w:spacing w:val="60"/>
        </w:rPr>
        <w:t> </w:t>
      </w:r>
      <w:r>
        <w:rPr/>
        <w:t>摊销年限</w:t>
      </w:r>
    </w:p>
    <w:p>
      <w:pPr>
        <w:spacing w:line="240" w:lineRule="auto" w:before="12"/>
        <w:rPr>
          <w:rFonts w:ascii="宋体" w:hAnsi="宋体" w:cs="宋体" w:eastAsia="宋体" w:hint="default"/>
          <w:sz w:val="3"/>
          <w:szCs w:val="3"/>
        </w:rPr>
      </w:pPr>
    </w:p>
    <w:tbl>
      <w:tblPr>
        <w:tblW w:w="0" w:type="auto"/>
        <w:jc w:val="left"/>
        <w:tblInd w:w="1403" w:type="dxa"/>
        <w:tblLayout w:type="fixed"/>
        <w:tblCellMar>
          <w:top w:w="0" w:type="dxa"/>
          <w:left w:w="0" w:type="dxa"/>
          <w:bottom w:w="0" w:type="dxa"/>
          <w:right w:w="0" w:type="dxa"/>
        </w:tblCellMar>
        <w:tblLook w:val="01E0"/>
      </w:tblPr>
      <w:tblGrid>
        <w:gridCol w:w="2373"/>
        <w:gridCol w:w="2358"/>
        <w:gridCol w:w="2373"/>
      </w:tblGrid>
      <w:tr>
        <w:trPr>
          <w:trHeight w:val="346"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5"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平均年限法</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3"/>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3"/>
        <w:spacing w:line="240" w:lineRule="auto" w:before="35"/>
        <w:ind w:right="0"/>
        <w:jc w:val="both"/>
        <w:rPr>
          <w:b w:val="0"/>
          <w:bCs w:val="0"/>
        </w:rPr>
      </w:pPr>
      <w:bookmarkStart w:name="33、合同负债" w:id="206"/>
      <w:bookmarkEnd w:id="206"/>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34、职工薪酬" w:id="207"/>
      <w:bookmarkEnd w:id="207"/>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both"/>
        <w:rPr>
          <w:b w:val="0"/>
          <w:bCs w:val="0"/>
        </w:rPr>
      </w:pPr>
      <w:bookmarkStart w:name="（1）短期薪酬的会计处理方法" w:id="208"/>
      <w:bookmarkEnd w:id="20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121"/>
        <w:jc w:val="both"/>
      </w:pPr>
      <w:r>
        <w:rPr>
          <w:spacing w:val="-2"/>
        </w:rPr>
        <w:t>短期薪酬是指本公司在职工提供相关服务的年度报告期间结束后十二个月内需要全部予以支付的职工薪酬，离职后福利和辞</w:t>
      </w:r>
      <w:r>
        <w:rPr>
          <w:spacing w:val="-58"/>
        </w:rPr>
        <w:t> </w:t>
      </w:r>
      <w:r>
        <w:rPr>
          <w:spacing w:val="-58"/>
        </w:rPr>
      </w:r>
      <w:r>
        <w:rPr>
          <w:spacing w:val="-2"/>
        </w:rPr>
        <w:t>退福利除外。本公司在职工提供服务的会计期间，将应付的短期薪酬确认为负债，并根据职工提供服务的受益对象计入相关</w:t>
      </w:r>
      <w:r>
        <w:rPr>
          <w:spacing w:val="-67"/>
        </w:rPr>
        <w:t> </w:t>
      </w:r>
      <w:r>
        <w:rPr>
          <w:spacing w:val="-67"/>
        </w:rPr>
      </w:r>
      <w:r>
        <w:rPr/>
        <w:t>资产成本和费用。</w:t>
      </w: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2）离职后福利的会计处理方法" w:id="209"/>
      <w:bookmarkEnd w:id="20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04" w:lineRule="auto" w:before="0"/>
        <w:ind w:right="1136"/>
        <w:jc w:val="both"/>
      </w:pPr>
      <w:r>
        <w:rPr>
          <w:spacing w:val="-2"/>
        </w:rPr>
        <w:t>离职后福利是指本公司为获得职工提供的服务而在职工退休或与企业解除劳动关系后，提供的各种形式的报酬和福利，短期</w:t>
      </w:r>
      <w:r>
        <w:rPr>
          <w:spacing w:val="-72"/>
        </w:rPr>
        <w:t> </w:t>
      </w:r>
      <w:r>
        <w:rPr>
          <w:spacing w:val="-72"/>
        </w:rPr>
      </w:r>
      <w:r>
        <w:rPr/>
        <w:t>薪酬和辞退福利除外。</w:t>
      </w:r>
    </w:p>
    <w:p>
      <w:pPr>
        <w:spacing w:after="0" w:line="304"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0"/>
        <w:jc w:val="left"/>
      </w:pPr>
      <w:r>
        <w:rPr/>
        <w:t>本公司的离职后福利计划分类为设定提存计划和设定受益计划。 </w:t>
      </w:r>
      <w:r>
        <w:rPr>
          <w:spacing w:val="-2"/>
        </w:rPr>
        <w:t>离职后福利设定提存计划主要为参加由各地劳动及社会保障机构组织实施的社会基本养老保险、失业保险等。在职工为本公</w:t>
      </w:r>
      <w:r>
        <w:rPr>
          <w:spacing w:val="-72"/>
        </w:rPr>
        <w:t> </w:t>
      </w:r>
      <w:r>
        <w:rPr>
          <w:spacing w:val="-72"/>
        </w:rPr>
      </w:r>
      <w:r>
        <w:rPr/>
        <w:t>司提供服务的会计期间，将根据设定提存计划计算的应缴存金额确认为负债，并计入当期损益或相关资产成本。 本公司按照国家规定的标准和年金计划定期缴付上述款项后，不再有其他的支付义务。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61"/>
        <w:ind w:right="0"/>
        <w:jc w:val="left"/>
        <w:rPr>
          <w:b w:val="0"/>
          <w:bCs w:val="0"/>
        </w:rPr>
      </w:pPr>
      <w:bookmarkStart w:name="（3）辞退福利的会计处理方法" w:id="210"/>
      <w:bookmarkEnd w:id="21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1029"/>
        <w:jc w:val="left"/>
      </w:pPr>
      <w:r>
        <w:rPr>
          <w:spacing w:val="-2"/>
        </w:rPr>
        <w:t>辞退福利是指本公司在职工劳动合同到期之前解除与职工的劳动关系，或者为鼓励职工自愿接受裁减而给予职工的补偿，在</w:t>
      </w:r>
      <w:r>
        <w:rPr>
          <w:spacing w:val="-72"/>
        </w:rPr>
        <w:t> </w:t>
      </w:r>
      <w:r>
        <w:rPr>
          <w:spacing w:val="-72"/>
        </w:rPr>
      </w:r>
      <w:r>
        <w:rPr>
          <w:spacing w:val="-2"/>
        </w:rPr>
        <w:t>本公司不能单方面撤回解除劳动关系计划或裁减建议时和确认与涉及支付辞退福利的重组相关的成本费用时两者孰早日，确</w:t>
      </w:r>
      <w:r>
        <w:rPr>
          <w:spacing w:val="-58"/>
        </w:rPr>
        <w:t> </w:t>
      </w:r>
      <w:r>
        <w:rPr>
          <w:spacing w:val="-58"/>
        </w:rPr>
      </w:r>
      <w:r>
        <w:rPr/>
        <w:t>认因解除与职工的劳动关系给予补偿而产生的负债，同时计入当期损益。 </w:t>
      </w:r>
      <w:r>
        <w:rPr>
          <w:spacing w:val="-2"/>
        </w:rPr>
        <w:t>本公司向接受内部退休安排的职工提供内退福利。内退福利是指，向未达到国家规定的退休年龄、经本公司管理层批准自愿</w:t>
      </w:r>
      <w:r>
        <w:rPr>
          <w:spacing w:val="-75"/>
        </w:rPr>
        <w:t> </w:t>
      </w:r>
      <w:r>
        <w:rPr>
          <w:spacing w:val="-75"/>
        </w:rPr>
      </w:r>
      <w:r>
        <w:rPr/>
        <w:t>退出工作岗位的职工支付的工资及为其缴纳的社会保险费等。本公司自内部退休安排开始之日起至职工达到正常退休年龄</w:t>
      </w:r>
      <w:r>
        <w:rPr>
          <w:spacing w:val="-85"/>
        </w:rPr>
        <w:t> </w:t>
      </w:r>
      <w:r>
        <w:rPr>
          <w:spacing w:val="-85"/>
        </w:rPr>
      </w:r>
      <w:r>
        <w:rPr/>
        <w:t>止，向内退职工支付内部退养福利。对于内退福利，本公司比照辞退福利进行会计处理，在符合辞退福利相关确认条件时， </w:t>
      </w:r>
      <w:r>
        <w:rPr>
          <w:spacing w:val="-2"/>
        </w:rPr>
        <w:t>将自职工停止提供服务日至正常退休日期间拟支付的内退职工工资和缴纳的社会保险费等，确认为负债，一次性计入当期损</w:t>
      </w:r>
      <w:r>
        <w:rPr>
          <w:spacing w:val="-72"/>
        </w:rPr>
        <w:t> </w:t>
      </w:r>
      <w:r>
        <w:rPr>
          <w:spacing w:val="-72"/>
        </w:rPr>
      </w:r>
      <w:r>
        <w:rPr/>
        <w:t>益。内退福利的精算假设变化及福利标准调整引起的差异于发生时计入当期损益。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61"/>
        <w:ind w:right="0"/>
        <w:jc w:val="left"/>
        <w:rPr>
          <w:b w:val="0"/>
          <w:bCs w:val="0"/>
        </w:rPr>
      </w:pPr>
      <w:bookmarkStart w:name="（4）其他长期职工福利的会计处理方法" w:id="211"/>
      <w:bookmarkEnd w:id="21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0"/>
        <w:jc w:val="left"/>
      </w:pPr>
      <w:r>
        <w:rPr/>
        <w:t>其他长期职工福利是指除短期薪酬、离职后福利、辞退福利之外的其他所有职工福利。 </w:t>
      </w:r>
      <w:r>
        <w:rPr>
          <w:spacing w:val="-2"/>
        </w:rPr>
        <w:t>对符合设定提存计划条件的其他长期职工福利，在职工为本公司提供服务的会计期间，将应缴存金额确认为负债，并计入当</w:t>
      </w:r>
      <w:r>
        <w:rPr>
          <w:spacing w:val="-70"/>
        </w:rPr>
        <w:t> </w:t>
      </w:r>
      <w:r>
        <w:rPr>
          <w:spacing w:val="-70"/>
        </w:rPr>
      </w:r>
      <w:r>
        <w:rPr>
          <w:spacing w:val="-2"/>
        </w:rPr>
        <w:t>期损益或相关资产成本；除上述情形外的其他长期职工福利，在资产负债表日由独立精算师使用预期累计福利单位法进行精</w:t>
      </w:r>
      <w:r>
        <w:rPr>
          <w:spacing w:val="-72"/>
        </w:rPr>
        <w:t> </w:t>
      </w:r>
      <w:r>
        <w:rPr>
          <w:spacing w:val="-72"/>
        </w:rPr>
      </w:r>
      <w:r>
        <w:rPr/>
        <w:t>算，将设定受益计划产生的福利义务归属于职工提供服务的期间，并计入当期损益或相关资产成本。</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bookmarkStart w:name="35、租赁负债" w:id="212"/>
      <w:bookmarkEnd w:id="212"/>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36、预计负债" w:id="213"/>
      <w:bookmarkEnd w:id="213"/>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09" w:lineRule="auto" w:before="0"/>
        <w:ind w:right="5169"/>
        <w:jc w:val="left"/>
      </w:pPr>
      <w:r>
        <w:rPr>
          <w:rFonts w:ascii="Times New Roman" w:hAnsi="Times New Roman" w:cs="Times New Roman" w:eastAsia="Times New Roman" w:hint="default"/>
        </w:rPr>
        <w:t>1</w:t>
      </w:r>
      <w:r>
        <w:rPr/>
        <w:t>．</w:t>
      </w:r>
      <w:r>
        <w:rPr>
          <w:spacing w:val="60"/>
        </w:rPr>
        <w:t> </w:t>
      </w:r>
      <w:r>
        <w:rPr/>
        <w:t>预计负债的确认标准</w:t>
      </w:r>
      <w:r>
        <w:rPr/>
        <w:t> 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290" w:lineRule="auto" w:before="42"/>
        <w:ind w:right="4629"/>
        <w:jc w:val="left"/>
      </w:pPr>
      <w:r>
        <w:rPr>
          <w:rFonts w:ascii="Times New Roman" w:hAnsi="Times New Roman" w:cs="Times New Roman" w:eastAsia="Times New Roman" w:hint="default"/>
        </w:rPr>
        <w:t>2</w:t>
      </w:r>
      <w:r>
        <w:rPr/>
        <w:t>．</w:t>
      </w:r>
      <w:r>
        <w:rPr>
          <w:spacing w:val="60"/>
        </w:rPr>
        <w:t> </w:t>
      </w:r>
      <w:r>
        <w:rPr/>
        <w:t>预计负债的计量方法</w:t>
      </w:r>
      <w:r>
        <w:rPr/>
        <w:t> 本公司预计负债按履行相关现时义务所需的支出的最佳估计数进行初始计量。</w:t>
      </w:r>
    </w:p>
    <w:p>
      <w:pPr>
        <w:pStyle w:val="BodyText"/>
        <w:spacing w:line="304" w:lineRule="auto" w:before="42"/>
        <w:ind w:right="0"/>
        <w:jc w:val="left"/>
      </w:pPr>
      <w:r>
        <w:rPr>
          <w:spacing w:val="-2"/>
        </w:rPr>
        <w:t>本公司在确定最佳估计数时，综合考虑与或有事项有关的风险、不确定性和货币时间价值等因素。对于货币时间价值影响重</w:t>
      </w:r>
      <w:r>
        <w:rPr>
          <w:spacing w:val="-75"/>
        </w:rPr>
        <w:t> </w:t>
      </w:r>
      <w:r>
        <w:rPr>
          <w:spacing w:val="-75"/>
        </w:rPr>
      </w:r>
      <w:r>
        <w:rPr/>
        <w:t>大的，通过对相关未来现金流出进行折现后确定最佳估计数。</w:t>
      </w:r>
    </w:p>
    <w:p>
      <w:pPr>
        <w:pStyle w:val="BodyText"/>
        <w:spacing w:line="319" w:lineRule="auto" w:before="31"/>
        <w:ind w:right="0"/>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42"/>
        </w:rPr>
        <w:t> </w:t>
      </w:r>
      <w:r>
        <w:rPr>
          <w:spacing w:val="-42"/>
        </w:rPr>
      </w:r>
      <w:r>
        <w:rPr/>
        <w:t>下限金额的平均数确定。 </w:t>
      </w:r>
      <w:r>
        <w:rPr>
          <w:spacing w:val="-2"/>
        </w:rPr>
        <w:t>所需支出不存在一个连续范围（或区间），或虽然存在一个连续范围但该范围内各种结果发生的可能性不相同的，如或有事</w:t>
      </w:r>
      <w:r>
        <w:rPr>
          <w:spacing w:val="-42"/>
        </w:rPr>
        <w:t> </w:t>
      </w:r>
      <w:r>
        <w:rPr>
          <w:spacing w:val="-42"/>
        </w:rPr>
      </w:r>
      <w:r>
        <w:rPr>
          <w:spacing w:val="-2"/>
        </w:rPr>
        <w:t>项涉及单个项目的，则最佳估计数按照最可能发生金额确定；如或有事项涉及多个项目的，则最佳估计数按各种可能结果及</w:t>
      </w:r>
      <w:r>
        <w:rPr>
          <w:spacing w:val="-75"/>
        </w:rPr>
        <w:t> </w:t>
      </w:r>
      <w:r>
        <w:rPr>
          <w:spacing w:val="-75"/>
        </w:rPr>
      </w:r>
      <w:r>
        <w:rPr/>
        <w:t>相关概率计算确定。 </w:t>
      </w:r>
      <w:r>
        <w:rPr>
          <w:spacing w:val="-2"/>
        </w:rPr>
        <w:t>本公司清偿预计负债所需支出全部或部分预期由第三方补偿的，补偿金额在基本确定能够收到时，作为资产单独确认，确认</w:t>
      </w:r>
    </w:p>
    <w:p>
      <w:pPr>
        <w:spacing w:after="0" w:line="319"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bookmarkStart w:name="37、股份支付" w:id="214"/>
      <w:bookmarkEnd w:id="214"/>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3"/>
        <w:rPr>
          <w:rFonts w:ascii="宋体" w:hAnsi="宋体" w:cs="宋体" w:eastAsia="宋体" w:hint="default"/>
          <w:b/>
          <w:bCs/>
          <w:sz w:val="25"/>
          <w:szCs w:val="25"/>
        </w:rPr>
      </w:pPr>
    </w:p>
    <w:p>
      <w:pPr>
        <w:pStyle w:val="BodyText"/>
        <w:spacing w:line="312" w:lineRule="auto" w:before="0"/>
        <w:ind w:right="4989"/>
        <w:jc w:val="left"/>
      </w:pPr>
      <w:r>
        <w:rPr>
          <w:rFonts w:ascii="Times New Roman" w:hAnsi="Times New Roman" w:cs="Times New Roman" w:eastAsia="Times New Roman" w:hint="default"/>
        </w:rPr>
        <w:t>1</w:t>
      </w:r>
      <w:r>
        <w:rPr/>
        <w:t>．</w:t>
      </w:r>
      <w:r>
        <w:rPr>
          <w:spacing w:val="60"/>
        </w:rPr>
        <w:t> </w:t>
      </w:r>
      <w:r>
        <w:rPr/>
        <w:t>股份支付的种类</w:t>
      </w:r>
      <w:r>
        <w:rPr/>
        <w:t> 本公司的股份支付分为以权益结算的股份支付和以现金结算的股份支付。 </w:t>
      </w:r>
      <w:r>
        <w:rPr>
          <w:rFonts w:ascii="Times New Roman" w:hAnsi="Times New Roman" w:cs="Times New Roman" w:eastAsia="Times New Roman" w:hint="default"/>
        </w:rPr>
        <w:t>2</w:t>
      </w:r>
      <w:r>
        <w:rPr/>
        <w:t>．</w:t>
      </w:r>
      <w:r>
        <w:rPr>
          <w:spacing w:val="60"/>
        </w:rPr>
        <w:t> </w:t>
      </w:r>
      <w:r>
        <w:rPr/>
        <w:t>权益工具公允价值的确定方法</w:t>
      </w:r>
    </w:p>
    <w:p>
      <w:pPr>
        <w:pStyle w:val="BodyText"/>
        <w:spacing w:line="312" w:lineRule="auto" w:before="0"/>
        <w:ind w:right="1126"/>
        <w:jc w:val="both"/>
      </w:pPr>
      <w:r>
        <w:rPr>
          <w:spacing w:val="-2"/>
        </w:rPr>
        <w:t>对于授予的存在活跃市场的期权等权益工具，按照活跃市场中的报价确定其公允价值。对于授予的不存在活跃市场的期权等</w:t>
      </w:r>
      <w:r>
        <w:rPr>
          <w:spacing w:val="-61"/>
        </w:rPr>
        <w:t> </w:t>
      </w:r>
      <w:r>
        <w:rPr>
          <w:spacing w:val="-61"/>
        </w:rPr>
      </w:r>
      <w:r>
        <w:rPr>
          <w:spacing w:val="-2"/>
        </w:rPr>
        <w:t>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r>
        <w:rPr>
          <w:rFonts w:ascii="Times New Roman" w:hAnsi="Times New Roman" w:cs="Times New Roman" w:eastAsia="Times New Roman" w:hint="default"/>
          <w:spacing w:val="-2"/>
        </w:rPr>
        <w:t>2</w:t>
      </w:r>
      <w:r>
        <w:rPr>
          <w:spacing w:val="-2"/>
        </w:rPr>
        <w:t>）期权的</w:t>
      </w:r>
      <w:r>
        <w:rPr>
          <w:spacing w:val="-61"/>
        </w:rPr>
        <w:t> </w:t>
      </w:r>
      <w:r>
        <w:rPr>
          <w:spacing w:val="-61"/>
        </w:rPr>
      </w:r>
      <w:r>
        <w:rPr/>
        <w:t>有效期；（</w:t>
      </w:r>
      <w:r>
        <w:rPr>
          <w:rFonts w:ascii="Times New Roman" w:hAnsi="Times New Roman" w:cs="Times New Roman" w:eastAsia="Times New Roman" w:hint="default"/>
        </w:rPr>
        <w:t>3</w:t>
      </w:r>
      <w:r>
        <w:rPr/>
        <w:t>）标的股份的现行价格；（</w:t>
      </w:r>
      <w:r>
        <w:rPr>
          <w:rFonts w:ascii="Times New Roman" w:hAnsi="Times New Roman" w:cs="Times New Roman" w:eastAsia="Times New Roman" w:hint="default"/>
        </w:rPr>
        <w:t>4</w:t>
      </w:r>
      <w:r>
        <w:rPr/>
        <w:t>）股价预计波动率；（</w:t>
      </w:r>
      <w:r>
        <w:rPr>
          <w:rFonts w:ascii="Times New Roman" w:hAnsi="Times New Roman" w:cs="Times New Roman" w:eastAsia="Times New Roman" w:hint="default"/>
        </w:rPr>
        <w:t>5</w:t>
      </w:r>
      <w:r>
        <w:rPr/>
        <w:t>）股份的预计股利；（</w:t>
      </w:r>
      <w:r>
        <w:rPr>
          <w:rFonts w:ascii="Times New Roman" w:hAnsi="Times New Roman" w:cs="Times New Roman" w:eastAsia="Times New Roman" w:hint="default"/>
        </w:rPr>
        <w:t>6</w:t>
      </w:r>
      <w:r>
        <w:rPr/>
        <w:t>）期权有效期内的无风险利率。</w:t>
      </w:r>
    </w:p>
    <w:p>
      <w:pPr>
        <w:pStyle w:val="BodyText"/>
        <w:spacing w:line="321" w:lineRule="auto" w:before="0"/>
        <w:ind w:right="1106"/>
        <w:jc w:val="both"/>
      </w:pPr>
      <w:r>
        <w:rPr>
          <w:spacing w:val="-2"/>
        </w:rPr>
        <w:t>在确定权益工具授予日的公允价值时，考虑股份支付协议规定的可行权条件中的市场条件和非可行权条件的影响。股份支付</w:t>
      </w:r>
      <w:r>
        <w:rPr>
          <w:spacing w:val="-72"/>
        </w:rPr>
        <w:t> </w:t>
      </w:r>
      <w:r>
        <w:rPr>
          <w:spacing w:val="-72"/>
        </w:rPr>
      </w:r>
      <w:r>
        <w:rPr>
          <w:spacing w:val="-2"/>
        </w:rPr>
        <w:t>存在非可行权条件的，只要职工或其他方满足了所有可行权条件中的非市场条件（如服务期限等），即确认已得到服务相对</w:t>
      </w:r>
      <w:r>
        <w:rPr>
          <w:spacing w:val="-42"/>
        </w:rPr>
        <w:t> </w:t>
      </w:r>
      <w:r>
        <w:rPr>
          <w:spacing w:val="-42"/>
        </w:rPr>
      </w:r>
      <w:r>
        <w:rPr/>
        <w:t>应的成本费用。</w:t>
      </w:r>
    </w:p>
    <w:p>
      <w:pPr>
        <w:pStyle w:val="BodyText"/>
        <w:spacing w:line="297" w:lineRule="auto" w:before="34"/>
        <w:ind w:right="0"/>
        <w:jc w:val="left"/>
      </w:pPr>
      <w:r>
        <w:rPr>
          <w:rFonts w:ascii="Times New Roman" w:hAnsi="Times New Roman" w:cs="Times New Roman" w:eastAsia="Times New Roman" w:hint="default"/>
        </w:rPr>
        <w:t>3</w:t>
      </w:r>
      <w:r>
        <w:rPr/>
        <w:t>．</w:t>
      </w:r>
      <w:r>
        <w:rPr>
          <w:spacing w:val="60"/>
        </w:rPr>
        <w:t> </w:t>
      </w:r>
      <w:r>
        <w:rPr/>
        <w:t>确定可行权权益工具最佳估计的依据</w:t>
      </w:r>
      <w:r>
        <w:rPr/>
        <w:t> </w:t>
      </w:r>
      <w:r>
        <w:rPr>
          <w:spacing w:val="-2"/>
        </w:rPr>
        <w:t>等待期内每个资产负债表日，根据最新取得的可行权职工人数变动等后续信息作出最佳估计，修正预计可行权的权益工具数</w:t>
      </w:r>
      <w:r>
        <w:rPr>
          <w:spacing w:val="-71"/>
        </w:rPr>
        <w:t> </w:t>
      </w:r>
      <w:r>
        <w:rPr>
          <w:spacing w:val="-71"/>
        </w:rPr>
      </w:r>
      <w:r>
        <w:rPr/>
        <w:t>量。在可行权日，最终预计可行权权益工具的数量与实际可行权数量一致。</w:t>
      </w:r>
    </w:p>
    <w:p>
      <w:pPr>
        <w:pStyle w:val="BodyText"/>
        <w:spacing w:line="314" w:lineRule="auto" w:before="51"/>
        <w:ind w:right="0"/>
        <w:jc w:val="left"/>
      </w:pPr>
      <w:r>
        <w:rPr>
          <w:rFonts w:ascii="Times New Roman" w:hAnsi="Times New Roman" w:cs="Times New Roman" w:eastAsia="Times New Roman" w:hint="default"/>
        </w:rPr>
        <w:t>4</w:t>
      </w:r>
      <w:r>
        <w:rPr/>
        <w:t>．</w:t>
      </w:r>
      <w:r>
        <w:rPr>
          <w:spacing w:val="60"/>
        </w:rPr>
        <w:t> </w:t>
      </w:r>
      <w:r>
        <w:rPr/>
        <w:t>会计处理方法</w:t>
      </w:r>
      <w:r>
        <w:rPr/>
        <w:t> </w:t>
      </w:r>
      <w:r>
        <w:rPr>
          <w:spacing w:val="-2"/>
        </w:rPr>
        <w:t>以权益结算的股份支付，按授予职工权益工具的公允价值计量。授予后立即可行权的，在授予日按照权益工具的公允价值计</w:t>
      </w:r>
      <w:r>
        <w:rPr>
          <w:spacing w:val="-75"/>
        </w:rPr>
        <w:t> </w:t>
      </w:r>
      <w:r>
        <w:rPr>
          <w:spacing w:val="-75"/>
        </w:rPr>
      </w:r>
      <w:r>
        <w:rPr>
          <w:spacing w:val="-2"/>
        </w:rPr>
        <w:t>入相关成本或费用，相应增加资本公积。在完成等待期内的服务或达到规定业绩条件才可行权的，在等待期内的每个资产负</w:t>
      </w:r>
      <w:r>
        <w:rPr>
          <w:spacing w:val="-75"/>
        </w:rPr>
        <w:t> </w:t>
      </w:r>
      <w:r>
        <w:rPr>
          <w:spacing w:val="-75"/>
        </w:rPr>
      </w:r>
      <w:r>
        <w:rPr>
          <w:spacing w:val="-2"/>
        </w:rPr>
        <w:t>债表日，以对可行权权益工具数量的最佳估计为基础，按照权益工具授予日的公允价值，将当期取得的服务计入相关成本或</w:t>
      </w:r>
      <w:r>
        <w:rPr>
          <w:spacing w:val="-75"/>
        </w:rPr>
        <w:t> </w:t>
      </w:r>
      <w:r>
        <w:rPr>
          <w:spacing w:val="-75"/>
        </w:rPr>
      </w:r>
      <w:r>
        <w:rPr/>
        <w:t>费用和资本公积。在可行权日之后不再对已确认的相关成本或费用和所有者权益总额进行调整。 </w:t>
      </w:r>
      <w:r>
        <w:rPr>
          <w:spacing w:val="-2"/>
        </w:rPr>
        <w:t>以现金结算的股份支付，按照本公司承担的以股份或其他权益工具为基础计算确定的负债的公允价值计量。授予后立即可行</w:t>
      </w:r>
      <w:r>
        <w:rPr>
          <w:spacing w:val="-72"/>
        </w:rPr>
        <w:t> </w:t>
      </w:r>
      <w:r>
        <w:rPr>
          <w:spacing w:val="-72"/>
        </w:rPr>
      </w:r>
      <w:r>
        <w:rPr>
          <w:spacing w:val="-2"/>
        </w:rPr>
        <w:t>权的，在授予日以本公司承担负债的公允价值计入相关成本或费用，相应增加负债。在完成等待期内的服务或达到规定业绩</w:t>
      </w:r>
    </w:p>
    <w:p>
      <w:pPr>
        <w:pStyle w:val="BodyText"/>
        <w:spacing w:line="319" w:lineRule="auto" w:before="23"/>
        <w:ind w:right="0"/>
        <w:jc w:val="left"/>
      </w:pPr>
      <w:r>
        <w:rPr>
          <w:spacing w:val="-2"/>
        </w:rPr>
        <w:t>条件以后才可行权的以现金结算的股份支付，在等待期内的每个资产负债表日，以对可行权情况的最佳估计为基础，按照本</w:t>
      </w:r>
      <w:r>
        <w:rPr>
          <w:spacing w:val="-75"/>
        </w:rPr>
        <w:t> </w:t>
      </w:r>
      <w:r>
        <w:rPr>
          <w:spacing w:val="-75"/>
        </w:rPr>
      </w:r>
      <w:r>
        <w:rPr>
          <w:spacing w:val="-2"/>
        </w:rPr>
        <w:t>公司承担负债的公允价值金额，将当期取得的服务计入成本或费用和相应的负债。在相关负债结算前的每个资产负债表日以</w:t>
      </w:r>
      <w:r>
        <w:rPr>
          <w:spacing w:val="-61"/>
        </w:rPr>
        <w:t> </w:t>
      </w:r>
      <w:r>
        <w:rPr>
          <w:spacing w:val="-61"/>
        </w:rPr>
      </w:r>
      <w:r>
        <w:rPr/>
        <w:t>及结算日，对负债的公允价值重新计量，其变动计入当期损益。 </w:t>
      </w:r>
      <w:r>
        <w:rPr>
          <w:spacing w:val="-2"/>
        </w:rPr>
        <w:t>若在等待期内取消了授予的权益工具，本公司对取消所授予的权益性工具作为加速行权处理，将剩余等待期内应确认的金额</w:t>
      </w:r>
      <w:r>
        <w:rPr>
          <w:spacing w:val="-72"/>
        </w:rPr>
        <w:t> </w:t>
      </w:r>
      <w:r>
        <w:rPr>
          <w:spacing w:val="-72"/>
        </w:rPr>
      </w:r>
      <w:r>
        <w:rPr>
          <w:spacing w:val="-2"/>
        </w:rPr>
        <w:t>立即计入当期损益，同时确认资本公积。职工或其他方能够选择满足非可行权条件但在等待期内未满足的，本公司将其作为</w:t>
      </w:r>
      <w:r>
        <w:rPr>
          <w:spacing w:val="-75"/>
        </w:rPr>
        <w:t> </w:t>
      </w:r>
      <w:r>
        <w:rPr>
          <w:spacing w:val="-75"/>
        </w:rPr>
      </w:r>
      <w:r>
        <w:rPr/>
        <w:t>授予权益工具的取消处理。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0"/>
        <w:jc w:val="left"/>
        <w:rPr>
          <w:b w:val="0"/>
          <w:bCs w:val="0"/>
        </w:rPr>
      </w:pPr>
      <w:bookmarkStart w:name="38、优先股、永续债等其他金融工具" w:id="215"/>
      <w:bookmarkEnd w:id="215"/>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39、收入" w:id="216"/>
      <w:bookmarkEnd w:id="216"/>
      <w:r>
        <w:rPr>
          <w:b w:val="0"/>
          <w:bCs w:val="0"/>
        </w:rPr>
      </w:r>
      <w:r>
        <w:rPr>
          <w:rFonts w:ascii="Times New Roman" w:hAnsi="Times New Roman" w:cs="Times New Roman" w:eastAsia="Times New Roman" w:hint="default"/>
        </w:rPr>
        <w:t>39</w:t>
      </w:r>
      <w:r>
        <w:rPr/>
        <w:t>、收入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是否已执行新收入准则</w:t>
      </w:r>
    </w:p>
    <w:p>
      <w:pPr>
        <w:pStyle w:val="BodyText"/>
        <w:spacing w:line="240" w:lineRule="auto" w:before="1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312" w:lineRule="auto" w:before="96"/>
        <w:ind w:right="0"/>
        <w:jc w:val="left"/>
      </w:pPr>
      <w:r>
        <w:rPr>
          <w:rFonts w:ascii="Times New Roman" w:hAnsi="Times New Roman" w:cs="Times New Roman" w:eastAsia="Times New Roman" w:hint="default"/>
        </w:rPr>
        <w:t>1</w:t>
      </w:r>
      <w:r>
        <w:rPr/>
        <w:t>．</w:t>
      </w:r>
      <w:r>
        <w:rPr>
          <w:spacing w:val="60"/>
        </w:rPr>
        <w:t> </w:t>
      </w:r>
      <w:r>
        <w:rPr/>
        <w:t>销售商品收入确认时间的具体判断标准</w:t>
      </w:r>
      <w:r>
        <w:rPr/>
        <w:t> </w:t>
      </w:r>
      <w:r>
        <w:rPr>
          <w:spacing w:val="-2"/>
        </w:rPr>
        <w:t>公司已将商品所有权上的主要风险和报酬转移给购买方；公司既没有保留与所有权相联系的继续管理权，也没有对已售出的</w:t>
      </w:r>
      <w:r>
        <w:rPr>
          <w:spacing w:val="-64"/>
        </w:rPr>
        <w:t> </w:t>
      </w:r>
      <w:r>
        <w:rPr>
          <w:spacing w:val="-64"/>
        </w:rPr>
      </w:r>
      <w:r>
        <w:rPr>
          <w:spacing w:val="-2"/>
        </w:rPr>
        <w:t>商品实施有效控制；收入的金额能够可靠地计量；相关的经济利益很可能流入企业；相关的已发生或将发生的成本能够可靠</w:t>
      </w:r>
      <w:r>
        <w:rPr>
          <w:spacing w:val="-75"/>
        </w:rPr>
        <w:t> </w:t>
      </w:r>
      <w:r>
        <w:rPr>
          <w:spacing w:val="-75"/>
        </w:rPr>
      </w:r>
      <w:r>
        <w:rPr/>
        <w:t>地计量时，确认商品销售收入实现。 </w:t>
      </w:r>
      <w:r>
        <w:rPr>
          <w:spacing w:val="-2"/>
        </w:rPr>
        <w:t>本公司确认收入分为国内销售和出口销售，国内销售按发货与客户办理签收手续后确认为销售收入，出口销售按发货并完成</w:t>
      </w:r>
      <w:r>
        <w:rPr>
          <w:spacing w:val="-72"/>
        </w:rPr>
        <w:t> </w:t>
      </w:r>
      <w:r>
        <w:rPr>
          <w:spacing w:val="-72"/>
        </w:rPr>
      </w:r>
      <w:r>
        <w:rPr/>
        <w:t>报关出口手续后确认为销售收入。</w:t>
      </w:r>
    </w:p>
    <w:p>
      <w:pPr>
        <w:spacing w:after="0" w:line="312"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ind w:right="1389"/>
        <w:jc w:val="left"/>
      </w:pPr>
      <w:r>
        <w:rPr>
          <w:rFonts w:ascii="Times New Roman" w:hAnsi="Times New Roman" w:cs="Times New Roman" w:eastAsia="Times New Roman" w:hint="default"/>
        </w:rPr>
        <w:t>2</w:t>
      </w:r>
      <w:r>
        <w:rPr/>
        <w:t>．</w:t>
      </w:r>
      <w:r>
        <w:rPr>
          <w:spacing w:val="60"/>
        </w:rPr>
        <w:t> </w:t>
      </w:r>
      <w:r>
        <w:rPr/>
        <w:t>确认让渡资产使用权收入的依据</w:t>
      </w:r>
      <w:r>
        <w:rPr/>
        <w:t> 与交易相关的经济利益很可能流入企业，收入的金额能够可靠地计量时，分别下列情况确定让渡资产使用权收入金额：</w:t>
      </w:r>
    </w:p>
    <w:p>
      <w:pPr>
        <w:pStyle w:val="BodyText"/>
        <w:spacing w:line="240" w:lineRule="auto" w:before="59"/>
        <w:ind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51"/>
        <w:ind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304" w:lineRule="auto" w:before="66"/>
        <w:ind w:right="0"/>
        <w:jc w:val="left"/>
      </w:pPr>
      <w:r>
        <w:rPr>
          <w:rFonts w:ascii="Times New Roman" w:hAnsi="Times New Roman" w:cs="Times New Roman" w:eastAsia="Times New Roman" w:hint="default"/>
        </w:rPr>
        <w:t>3</w:t>
      </w:r>
      <w:r>
        <w:rPr/>
        <w:t>．</w:t>
      </w:r>
      <w:r>
        <w:rPr>
          <w:spacing w:val="60"/>
        </w:rPr>
        <w:t> </w:t>
      </w:r>
      <w:r>
        <w:rPr/>
        <w:t>提供劳务收入的确认依据和方法</w:t>
      </w:r>
      <w:r>
        <w:rPr/>
        <w:t> </w:t>
      </w:r>
      <w:r>
        <w:rPr>
          <w:spacing w:val="-2"/>
        </w:rPr>
        <w:t>在资产负债表日提供劳务交易的结果能够可靠估计的，采用完工百分比法确认提供劳务收入。提供劳务交易的完工进度，依</w:t>
      </w:r>
      <w:r>
        <w:rPr>
          <w:spacing w:val="-75"/>
        </w:rPr>
        <w:t> </w:t>
      </w:r>
      <w:r>
        <w:rPr>
          <w:spacing w:val="-75"/>
        </w:rPr>
      </w:r>
      <w:r>
        <w:rPr/>
        <w:t>据已完工作的测量确定。</w:t>
      </w:r>
    </w:p>
    <w:p>
      <w:pPr>
        <w:pStyle w:val="BodyText"/>
        <w:spacing w:line="240" w:lineRule="auto" w:before="31"/>
        <w:ind w:right="0"/>
        <w:jc w:val="left"/>
      </w:pPr>
      <w:r>
        <w:rPr/>
        <w:t>提供劳务交易的结果能够可靠估计，是指同时满足下列条件：</w:t>
      </w:r>
    </w:p>
    <w:p>
      <w:pPr>
        <w:pStyle w:val="BodyText"/>
        <w:spacing w:line="240" w:lineRule="auto" w:before="79"/>
        <w:ind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66"/>
        <w:ind w:right="0"/>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66"/>
        <w:ind w:right="0"/>
        <w:jc w:val="left"/>
      </w:pPr>
      <w:r>
        <w:rPr/>
        <w:t>（</w:t>
      </w:r>
      <w:r>
        <w:rPr>
          <w:rFonts w:ascii="Times New Roman" w:hAnsi="Times New Roman" w:cs="Times New Roman" w:eastAsia="Times New Roman" w:hint="default"/>
        </w:rPr>
        <w:t>3</w:t>
      </w:r>
      <w:r>
        <w:rPr/>
        <w:t>）交易的完工进度能够可靠地确定；</w:t>
      </w:r>
    </w:p>
    <w:p>
      <w:pPr>
        <w:pStyle w:val="BodyText"/>
        <w:spacing w:line="309" w:lineRule="auto" w:before="66"/>
        <w:ind w:right="0"/>
        <w:jc w:val="left"/>
      </w:pPr>
      <w:r>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按照已收或应收的合同或协议价款确定提供劳务收入总额，但已收或应收的合同或协议价款不公允的除外。资产负债表日按</w:t>
      </w:r>
      <w:r>
        <w:rPr>
          <w:spacing w:val="-68"/>
        </w:rPr>
        <w:t> </w:t>
      </w:r>
      <w:r>
        <w:rPr>
          <w:spacing w:val="-68"/>
        </w:rPr>
      </w:r>
      <w:r>
        <w:rPr>
          <w:spacing w:val="-2"/>
        </w:rPr>
        <w:t>照提供劳务收入总额乘以完工进度扣除以前会计期间累计已确认提供劳务收入后的金额，确认当期提供劳务收入；同时，按</w:t>
      </w:r>
      <w:r>
        <w:rPr>
          <w:spacing w:val="-75"/>
        </w:rPr>
        <w:t> </w:t>
      </w:r>
      <w:r>
        <w:rPr>
          <w:spacing w:val="-75"/>
        </w:rPr>
      </w:r>
      <w:r>
        <w:rPr/>
        <w:t>照提供劳务估计总成本乘以完工进度扣除以前会计期间累计已确认劳务成本后的金额，结转当期劳务成本。 在资产负债表日提供劳务交易结果不能够可靠估计的，分别下列情况处理：</w:t>
      </w:r>
    </w:p>
    <w:p>
      <w:pPr>
        <w:pStyle w:val="BodyText"/>
        <w:spacing w:line="288" w:lineRule="auto" w:before="42"/>
        <w:ind w:right="1119"/>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）已经发生的劳务成本预计能够得到补偿的，按照已经发生的劳务成本金额确认提供劳务收入，并按相同金额结转劳务 成本。</w:t>
      </w:r>
    </w:p>
    <w:p>
      <w:pPr>
        <w:pStyle w:val="BodyText"/>
        <w:spacing w:line="309" w:lineRule="auto"/>
        <w:ind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w:t>
      </w:r>
      <w:r>
        <w:rPr>
          <w:spacing w:val="-85"/>
        </w:rPr>
        <w:t> </w:t>
      </w:r>
      <w:r>
        <w:rPr>
          <w:spacing w:val="-85"/>
        </w:rPr>
      </w:r>
      <w:r>
        <w:rPr/>
        <w:t>本公司与其他企业签订的合同或协议包括销售商品和提供劳务时，销售商品部分和提供劳务部分能够区分且能够单独计量 </w:t>
      </w:r>
      <w:r>
        <w:rPr>
          <w:spacing w:val="-4"/>
        </w:rPr>
        <w:t>的，将销售商品的部分作为销售商品处理，将提供劳务的部分作为提供劳务处理。销售商品部分和提供劳务部分不能够区分，</w:t>
      </w:r>
      <w:r>
        <w:rPr>
          <w:spacing w:val="-50"/>
        </w:rPr>
        <w:t> </w:t>
      </w:r>
      <w:r>
        <w:rPr>
          <w:spacing w:val="-50"/>
        </w:rPr>
      </w:r>
      <w:r>
        <w:rPr/>
        <w:t>或虽能区分但不能够单独计量的，将销售商品部分和提供劳务部分全部作为销售商品处理。</w:t>
      </w:r>
    </w:p>
    <w:p>
      <w:pPr>
        <w:pStyle w:val="BodyText"/>
        <w:spacing w:line="297" w:lineRule="auto" w:before="42"/>
        <w:ind w:right="0"/>
        <w:jc w:val="left"/>
      </w:pPr>
      <w:r>
        <w:rPr>
          <w:rFonts w:ascii="Times New Roman" w:hAnsi="Times New Roman" w:cs="Times New Roman" w:eastAsia="Times New Roman" w:hint="default"/>
        </w:rPr>
        <w:t>4</w:t>
      </w:r>
      <w:r>
        <w:rPr/>
        <w:t>．</w:t>
      </w:r>
      <w:r>
        <w:rPr>
          <w:spacing w:val="60"/>
        </w:rPr>
        <w:t> </w:t>
      </w:r>
      <w:r>
        <w:rPr/>
        <w:t>附回购条件的资产转让</w:t>
      </w:r>
      <w:r>
        <w:rPr/>
        <w:t> </w:t>
      </w:r>
      <w:r>
        <w:rPr>
          <w:spacing w:val="-2"/>
        </w:rPr>
        <w:t>公司销售产品或转让其他资产时，与购买方签订了所销售的产品或转让资产回购协议，根据协议条款判断销售商品是否满足</w:t>
      </w:r>
      <w:r>
        <w:rPr>
          <w:spacing w:val="-72"/>
        </w:rPr>
        <w:t> </w:t>
      </w:r>
      <w:r>
        <w:rPr>
          <w:spacing w:val="-72"/>
        </w:rPr>
      </w:r>
      <w:r>
        <w:rPr>
          <w:spacing w:val="-4"/>
        </w:rPr>
        <w:t>收入确认条件。如售后回购属于融资交易，则在交付产品或资产时，本公司不确认销售收入。回购价款大于销售价款的差额，</w:t>
      </w:r>
    </w:p>
    <w:p>
      <w:pPr>
        <w:pStyle w:val="BodyText"/>
        <w:spacing w:line="240" w:lineRule="auto" w:before="36"/>
        <w:ind w:right="0"/>
        <w:jc w:val="left"/>
      </w:pPr>
      <w:r>
        <w:rPr/>
        <w:t>在回购期间按期计提利息，计入财务费用。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bookmarkStart w:name="40、政府补助" w:id="217"/>
      <w:bookmarkEnd w:id="217"/>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3"/>
        <w:rPr>
          <w:rFonts w:ascii="宋体" w:hAnsi="宋体" w:cs="宋体" w:eastAsia="宋体" w:hint="default"/>
          <w:b/>
          <w:bCs/>
          <w:sz w:val="25"/>
          <w:szCs w:val="25"/>
        </w:rPr>
      </w:pPr>
    </w:p>
    <w:p>
      <w:pPr>
        <w:pStyle w:val="BodyText"/>
        <w:spacing w:line="312" w:lineRule="auto" w:before="0"/>
        <w:ind w:right="1029"/>
        <w:jc w:val="left"/>
      </w:pPr>
      <w:r>
        <w:rPr>
          <w:rFonts w:ascii="Times New Roman" w:hAnsi="Times New Roman" w:cs="Times New Roman" w:eastAsia="Times New Roman" w:hint="default"/>
        </w:rPr>
        <w:t>1</w:t>
      </w:r>
      <w:r>
        <w:rPr/>
        <w:t>．</w:t>
      </w:r>
      <w:r>
        <w:rPr>
          <w:spacing w:val="60"/>
        </w:rPr>
        <w:t> </w:t>
      </w:r>
      <w:r>
        <w:rPr/>
        <w:t>类型</w:t>
      </w:r>
      <w:r>
        <w:rPr/>
        <w:t> </w:t>
      </w:r>
      <w:r>
        <w:rPr>
          <w:spacing w:val="-2"/>
        </w:rPr>
        <w:t>政府补助，是本公司从政府无偿取得的货币性资产与非货币性资产。根据相关政府文件规定的补助对象，将政府补助划分为</w:t>
      </w:r>
      <w:r>
        <w:rPr>
          <w:spacing w:val="-75"/>
        </w:rPr>
        <w:t> </w:t>
      </w:r>
      <w:r>
        <w:rPr>
          <w:spacing w:val="-75"/>
        </w:rPr>
      </w:r>
      <w:r>
        <w:rPr/>
        <w:t>与资产相关的政府补助和与收益相关的政府补助。 对于政府文件未明确补助对象的政府补助，公司根据实际补助对象划分为与资产相关的政府补助或与收益相关的政府补助。 </w:t>
      </w:r>
      <w:r>
        <w:rPr>
          <w:spacing w:val="-1"/>
        </w:rPr>
        <w:t>与资产相关的政府补助，是指本公司取得的、用于购建或以其他方式形成长期资产的政府补助。与收益相关的政府补助，是</w:t>
      </w:r>
      <w:r>
        <w:rPr>
          <w:spacing w:val="-86"/>
        </w:rPr>
        <w:t> </w:t>
      </w:r>
      <w:r>
        <w:rPr>
          <w:spacing w:val="-86"/>
        </w:rPr>
      </w:r>
      <w:r>
        <w:rPr/>
        <w:t>指除与资产相关的政府补助之外的政府补助。</w:t>
      </w:r>
    </w:p>
    <w:p>
      <w:pPr>
        <w:pStyle w:val="BodyText"/>
        <w:spacing w:line="309" w:lineRule="auto" w:before="41"/>
        <w:ind w:right="1029"/>
        <w:jc w:val="left"/>
      </w:pPr>
      <w:r>
        <w:rPr>
          <w:rFonts w:ascii="Times New Roman" w:hAnsi="Times New Roman" w:cs="Times New Roman" w:eastAsia="Times New Roman" w:hint="default"/>
        </w:rPr>
        <w:t>2</w:t>
      </w:r>
      <w:r>
        <w:rPr/>
        <w:t>．</w:t>
      </w:r>
      <w:r>
        <w:rPr>
          <w:spacing w:val="60"/>
        </w:rPr>
        <w:t> </w:t>
      </w:r>
      <w:r>
        <w:rPr/>
        <w:t>政府补助的确认</w:t>
      </w:r>
      <w:r>
        <w:rPr/>
        <w:t> 对期末有证据表明公司能够符合财政扶持政策规定的相关条件且预计能够收到财政扶持资金的，按应收金额确认政府补助。 除此之外，政府补助均在实际收到时确认。 </w:t>
      </w:r>
      <w:r>
        <w:rPr>
          <w:spacing w:val="-2"/>
        </w:rPr>
        <w:t>政府补助为货币性资产的，按照收到或应收的金额计量。政府补助为非货币性资产的，按照公允价值计量；公允价值不能够</w:t>
      </w:r>
    </w:p>
    <w:p>
      <w:pPr>
        <w:pStyle w:val="BodyText"/>
        <w:spacing w:line="240" w:lineRule="auto" w:before="27"/>
        <w:ind w:right="0"/>
        <w:jc w:val="left"/>
      </w:pPr>
      <w:r>
        <w:rPr/>
        <w:t>可靠取得的，按照名义金额（人民币</w:t>
      </w:r>
      <w:r>
        <w:rPr>
          <w:rFonts w:ascii="Times New Roman" w:hAnsi="Times New Roman" w:cs="Times New Roman" w:eastAsia="Times New Roman" w:hint="default"/>
        </w:rPr>
        <w:t>1</w:t>
      </w:r>
      <w:r>
        <w:rPr/>
        <w:t>元）计量。按照名义金额计量的政府补助，直接计入当期损益。</w:t>
      </w:r>
    </w:p>
    <w:p>
      <w:pPr>
        <w:pStyle w:val="BodyText"/>
        <w:spacing w:line="304" w:lineRule="auto" w:before="66"/>
        <w:ind w:right="0"/>
        <w:jc w:val="left"/>
      </w:pPr>
      <w:r>
        <w:rPr>
          <w:rFonts w:ascii="Times New Roman" w:hAnsi="Times New Roman" w:cs="Times New Roman" w:eastAsia="Times New Roman" w:hint="default"/>
        </w:rPr>
        <w:t>3</w:t>
      </w:r>
      <w:r>
        <w:rPr/>
        <w:t>．</w:t>
      </w:r>
      <w:r>
        <w:rPr>
          <w:spacing w:val="60"/>
        </w:rPr>
        <w:t> </w:t>
      </w:r>
      <w:r>
        <w:rPr/>
        <w:t>会计处理方法</w:t>
      </w:r>
      <w:r>
        <w:rPr/>
        <w:t> </w:t>
      </w:r>
      <w:r>
        <w:rPr>
          <w:spacing w:val="-2"/>
        </w:rPr>
        <w:t>与资产相关的政府补助，应当冲减相关资产的账面价值或确认为递延收益。与资产相关的政府补助确认为递延收益的，在所</w:t>
      </w:r>
      <w:r>
        <w:rPr>
          <w:spacing w:val="-67"/>
        </w:rPr>
        <w:t> </w:t>
      </w:r>
      <w:r>
        <w:rPr>
          <w:spacing w:val="-67"/>
        </w:rPr>
      </w:r>
      <w:r>
        <w:rPr/>
        <w:t>建造或购买资产使用寿命内按照合理、系统的方法分期计入损益。</w:t>
      </w:r>
    </w:p>
    <w:p>
      <w:pPr>
        <w:spacing w:after="0" w:line="304"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9" w:lineRule="auto"/>
        <w:ind w:right="0"/>
        <w:jc w:val="left"/>
      </w:pPr>
      <w:r>
        <w:rPr>
          <w:spacing w:val="-2"/>
        </w:rPr>
        <w:t>与收益相关的政府补助，用于补偿企业以后期间的相关费用或损失的，确认为递延收益，在确认相关费用或损失的期间计入</w:t>
      </w:r>
      <w:r>
        <w:rPr>
          <w:spacing w:val="-75"/>
        </w:rPr>
        <w:t> </w:t>
      </w:r>
      <w:r>
        <w:rPr>
          <w:spacing w:val="-75"/>
        </w:rPr>
      </w:r>
      <w:r>
        <w:rPr/>
        <w:t>当期损益或冲减相关成本；用于补偿企业已发生的相关费用或损失的，取得时直接计入当期损益或冲减相关成本。 与企业日常活动相关的政府补助计入其他收益或冲减相关成本费用；与企业日常活动无关的政府补助计入营业外收支。 </w:t>
      </w:r>
      <w:r>
        <w:rPr>
          <w:spacing w:val="-2"/>
        </w:rPr>
        <w:t>收到与政策性优惠贷款贴息相关的政府补助冲减相关借款费用；取得贷款银行提供的政策性优惠利率贷款的，以实际收到的</w:t>
      </w:r>
      <w:r>
        <w:rPr>
          <w:spacing w:val="-61"/>
        </w:rPr>
        <w:t> </w:t>
      </w:r>
      <w:r>
        <w:rPr>
          <w:spacing w:val="-61"/>
        </w:rPr>
      </w:r>
      <w:r>
        <w:rPr/>
        <w:t>借款金额作为借款的入账价值，按照借款本金和该政策性优惠利率计算相关借款费用。 </w:t>
      </w:r>
      <w:r>
        <w:rPr>
          <w:spacing w:val="-2"/>
        </w:rPr>
        <w:t>已确认的政府补助需要返还时，初始确认时冲减相关资产账面价值的，调整资产账面价值；存在相关递延收益余额的，冲减</w:t>
      </w:r>
      <w:r>
        <w:rPr>
          <w:spacing w:val="-42"/>
        </w:rPr>
        <w:t> </w:t>
      </w:r>
      <w:r>
        <w:rPr>
          <w:spacing w:val="-42"/>
        </w:rPr>
      </w:r>
      <w:r>
        <w:rPr/>
        <w:t>相关递延收益账面余额，超出部分计入当期损益；不存在相关递延收益的，直接计入当期损益。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pStyle w:val="Heading3"/>
        <w:spacing w:line="240" w:lineRule="auto"/>
        <w:ind w:right="0"/>
        <w:jc w:val="left"/>
        <w:rPr>
          <w:b w:val="0"/>
          <w:bCs w:val="0"/>
        </w:rPr>
      </w:pPr>
      <w:bookmarkStart w:name="41、递延所得税资产/递延所得税负债" w:id="218"/>
      <w:bookmarkEnd w:id="218"/>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290" w:lineRule="auto" w:before="0"/>
        <w:ind w:right="1269"/>
        <w:jc w:val="left"/>
      </w:pPr>
      <w:r>
        <w:rPr/>
        <w:t>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计算确认。于资产负债表</w:t>
      </w:r>
      <w:r>
        <w:rPr>
          <w:spacing w:val="-82"/>
        </w:rPr>
        <w:t> </w:t>
      </w:r>
      <w:r>
        <w:rPr/>
        <w:t>日，递延所得税资产和递延所得税负债，按照预期收回该资产或清偿该负债期间的适用税率计量。</w:t>
      </w:r>
    </w:p>
    <w:p>
      <w:pPr>
        <w:pStyle w:val="BodyText"/>
        <w:spacing w:line="297" w:lineRule="auto" w:before="57"/>
        <w:ind w:right="0"/>
        <w:jc w:val="left"/>
      </w:pPr>
      <w:r>
        <w:rPr>
          <w:rFonts w:ascii="Times New Roman" w:hAnsi="Times New Roman" w:cs="Times New Roman" w:eastAsia="Times New Roman" w:hint="default"/>
        </w:rPr>
        <w:t>1</w:t>
      </w:r>
      <w:r>
        <w:rPr/>
        <w:t>．</w:t>
      </w:r>
      <w:r>
        <w:rPr>
          <w:spacing w:val="60"/>
        </w:rPr>
        <w:t> </w:t>
      </w:r>
      <w:r>
        <w:rPr/>
        <w:t>确认递延所得税资产的依据</w:t>
      </w:r>
      <w:r>
        <w:rPr/>
        <w:t> </w:t>
      </w:r>
      <w:r>
        <w:rPr>
          <w:spacing w:val="-2"/>
        </w:rPr>
        <w:t>本公司以很可能取得用来抵扣可抵扣暂时性差异、能够结转以后年度的可抵扣亏损和税款抵减的应纳税所得额为限，确认由</w:t>
      </w:r>
      <w:r>
        <w:rPr>
          <w:spacing w:val="-72"/>
        </w:rPr>
        <w:t> </w:t>
      </w:r>
      <w:r>
        <w:rPr>
          <w:spacing w:val="-72"/>
        </w:rPr>
      </w:r>
      <w:r>
        <w:rPr>
          <w:spacing w:val="-2"/>
        </w:rPr>
        <w:t>可抵扣暂时性差异产生的递延所得税资产。但是，同时具有下列特征的交易中因资产或负债的初始确认所产生的递延所得税</w:t>
      </w:r>
    </w:p>
    <w:p>
      <w:pPr>
        <w:pStyle w:val="BodyText"/>
        <w:spacing w:line="304" w:lineRule="auto" w:before="51"/>
        <w:ind w:right="0"/>
        <w:jc w:val="left"/>
      </w:pPr>
      <w:r>
        <w:rPr/>
        <w:t>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w:t>
      </w:r>
      <w:r>
        <w:rPr>
          <w:spacing w:val="-87"/>
        </w:rPr>
        <w:t> </w:t>
      </w:r>
      <w:r>
        <w:rPr>
          <w:spacing w:val="-2"/>
        </w:rPr>
        <w:t>对于与联营企业投资相关的可抵扣暂时性差异，同时满足下列条件的，确认相应的递延所得税资产：暂时性差异在可预见的</w:t>
      </w:r>
      <w:r>
        <w:rPr>
          <w:spacing w:val="-75"/>
        </w:rPr>
        <w:t> </w:t>
      </w:r>
      <w:r>
        <w:rPr>
          <w:spacing w:val="-75"/>
        </w:rPr>
      </w:r>
      <w:r>
        <w:rPr/>
        <w:t>未来很可能转回，且未来很可能获得用来抵扣可抵扣暂时性差异的应纳税所得额。</w:t>
      </w:r>
    </w:p>
    <w:p>
      <w:pPr>
        <w:pStyle w:val="BodyText"/>
        <w:spacing w:line="288" w:lineRule="auto" w:before="31"/>
        <w:ind w:right="3729"/>
        <w:jc w:val="left"/>
      </w:pPr>
      <w:r>
        <w:rPr>
          <w:rFonts w:ascii="Times New Roman" w:hAnsi="Times New Roman" w:cs="Times New Roman" w:eastAsia="Times New Roman" w:hint="default"/>
        </w:rPr>
        <w:t>2</w:t>
      </w:r>
      <w:r>
        <w:rPr/>
        <w:t>．</w:t>
      </w:r>
      <w:r>
        <w:rPr>
          <w:spacing w:val="60"/>
        </w:rPr>
        <w:t> </w:t>
      </w:r>
      <w:r>
        <w:rPr/>
        <w:t>确认递延所得税负债的依据</w:t>
      </w:r>
      <w:r>
        <w:rPr/>
        <w:t> 公司将当期与以前期间应交未交的应纳税暂时性差异确认为递延所得税负债。但不包括：</w:t>
      </w:r>
    </w:p>
    <w:p>
      <w:pPr>
        <w:pStyle w:val="BodyText"/>
        <w:spacing w:line="240" w:lineRule="auto" w:before="59"/>
        <w:ind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288" w:lineRule="auto" w:before="66"/>
        <w:ind w:right="1119"/>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）非企业合并形成的交易或事项，且该交易或事项发生时既不影响会计利润，也不影响应纳税所得额（或可抵扣亏损） 所形成的暂时性差异；</w:t>
      </w:r>
    </w:p>
    <w:p>
      <w:pPr>
        <w:pStyle w:val="BodyText"/>
        <w:spacing w:line="288" w:lineRule="auto"/>
        <w:ind w:right="1119"/>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）对于与子公司、联营企业投资相关的应纳税暂时性差异，该暂时性差异转回的时间能够控制并且该暂时性差异在可预 见的未来很可能不会转回。</w:t>
      </w:r>
    </w:p>
    <w:p>
      <w:pPr>
        <w:pStyle w:val="BodyText"/>
        <w:spacing w:line="240" w:lineRule="auto" w:before="59"/>
        <w:ind w:right="0"/>
        <w:jc w:val="left"/>
      </w:pPr>
      <w:r>
        <w:rPr>
          <w:rFonts w:ascii="Times New Roman" w:hAnsi="Times New Roman" w:cs="Times New Roman" w:eastAsia="Times New Roman" w:hint="default"/>
        </w:rPr>
        <w:t>3</w:t>
      </w:r>
      <w:r>
        <w:rPr/>
        <w:t>．</w:t>
      </w:r>
      <w:r>
        <w:rPr>
          <w:spacing w:val="66"/>
        </w:rPr>
        <w:t> </w:t>
      </w:r>
      <w:r>
        <w:rPr/>
        <w:t>同时满足下列条件时，将递延所得税资产及递延所得税负债以抵销后的净额列示</w:t>
      </w:r>
    </w:p>
    <w:p>
      <w:pPr>
        <w:pStyle w:val="BodyText"/>
        <w:spacing w:line="240" w:lineRule="auto" w:before="66"/>
        <w:ind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297" w:lineRule="auto" w:before="66"/>
        <w:ind w:right="1137"/>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）递延所得税资产和递延所得税负债是与同一税收征管部门对同一纳税主体征收的所得税相关或者对不同的纳税主体相 </w:t>
      </w:r>
      <w:r>
        <w:rPr>
          <w:spacing w:val="-2"/>
        </w:rPr>
        <w:t>关，但在未来每一具有重要性的递延所得税资产和递延所得税负债转回的期间内，涉及的纳税主体体意图以净额结算当期所</w:t>
      </w:r>
      <w:r>
        <w:rPr>
          <w:spacing w:val="-72"/>
        </w:rPr>
        <w:t> </w:t>
      </w:r>
      <w:r>
        <w:rPr>
          <w:spacing w:val="-72"/>
        </w:rPr>
      </w:r>
      <w:r>
        <w:rPr/>
        <w:t>得税资产及当期所得税负债或是同时取得资产、清偿债务。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bookmarkStart w:name="42、租赁" w:id="219"/>
      <w:bookmarkEnd w:id="219"/>
      <w:r>
        <w:rPr>
          <w:b w:val="0"/>
          <w:bCs w:val="0"/>
        </w:rPr>
      </w:r>
      <w:r>
        <w:rPr>
          <w:rFonts w:ascii="Times New Roman" w:hAnsi="Times New Roman" w:cs="Times New Roman" w:eastAsia="Times New Roman" w:hint="default"/>
        </w:rPr>
        <w:t>42</w:t>
      </w:r>
      <w:r>
        <w:rPr/>
        <w:t>、租赁</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20"/>
      <w:bookmarkEnd w:id="22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97" w:lineRule="auto" w:before="0"/>
        <w:ind w:right="1083"/>
        <w:jc w:val="left"/>
      </w:pPr>
      <w:r>
        <w:rPr/>
        <w:t>（</w:t>
      </w:r>
      <w:r>
        <w:rPr>
          <w:rFonts w:ascii="Times New Roman" w:hAnsi="Times New Roman" w:cs="Times New Roman" w:eastAsia="Times New Roman" w:hint="default"/>
        </w:rPr>
        <w:t>1</w:t>
      </w:r>
      <w:r>
        <w:rPr/>
        <w:t>）经营租入资产 </w:t>
      </w:r>
      <w:r>
        <w:rPr>
          <w:spacing w:val="-1"/>
        </w:rPr>
        <w:t>公司租入资产所支付的租赁费，在不扣除免租期的整个租赁期内，按直线法进行分摊，计入当期费用。公司支付的与租赁交</w:t>
      </w:r>
      <w:r>
        <w:rPr>
          <w:spacing w:val="-86"/>
        </w:rPr>
        <w:t> </w:t>
      </w:r>
      <w:r>
        <w:rPr>
          <w:spacing w:val="-86"/>
        </w:rPr>
      </w:r>
      <w:r>
        <w:rPr/>
        <w:t>易相关的初始直接费用，计入当期费用。</w:t>
      </w:r>
    </w:p>
    <w:p>
      <w:pPr>
        <w:pStyle w:val="BodyText"/>
        <w:spacing w:line="321" w:lineRule="auto" w:before="36"/>
        <w:ind w:right="0"/>
        <w:jc w:val="left"/>
      </w:pPr>
      <w:r>
        <w:rPr>
          <w:spacing w:val="-2"/>
        </w:rPr>
        <w:t>资产出租方承担了应由公司承担的与租赁相关的费用时，公司将该部分费用从租金总额中扣除，按扣除后的租金费用在租赁</w:t>
      </w:r>
      <w:r>
        <w:rPr>
          <w:spacing w:val="-72"/>
        </w:rPr>
        <w:t> </w:t>
      </w:r>
      <w:r>
        <w:rPr>
          <w:spacing w:val="-72"/>
        </w:rPr>
      </w:r>
      <w:r>
        <w:rPr/>
        <w:t>期内分摊，计入当期费用。</w:t>
      </w:r>
    </w:p>
    <w:p>
      <w:pPr>
        <w:pStyle w:val="BodyText"/>
        <w:spacing w:line="276" w:lineRule="auto" w:before="33"/>
        <w:ind w:right="0"/>
        <w:jc w:val="left"/>
      </w:pPr>
      <w:r>
        <w:rPr/>
        <w:t>（</w:t>
      </w:r>
      <w:r>
        <w:rPr>
          <w:rFonts w:ascii="Times New Roman" w:hAnsi="Times New Roman" w:cs="Times New Roman" w:eastAsia="Times New Roman" w:hint="default"/>
        </w:rPr>
        <w:t>2</w:t>
      </w:r>
      <w:r>
        <w:rPr/>
        <w:t>）经营租出资产 </w:t>
      </w:r>
      <w:r>
        <w:rPr>
          <w:spacing w:val="-2"/>
        </w:rPr>
        <w:t>公司出租资产所收取的租赁费，在不扣除免租期的整个租赁期内，按直线法进行分摊，确认为租赁收入。公司支付的与租赁</w:t>
      </w:r>
    </w:p>
    <w:p>
      <w:pPr>
        <w:spacing w:after="0" w:line="276"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091"/>
        <w:jc w:val="left"/>
      </w:pPr>
      <w:r>
        <w:rPr>
          <w:spacing w:val="-2"/>
        </w:rPr>
        <w:t>交易相关的初始直接费用，计入当期费用；如金额较大的，则予以资本化，在整个租赁期间内按照与租赁收入确认相同的基</w:t>
      </w:r>
      <w:r>
        <w:rPr>
          <w:spacing w:val="-42"/>
        </w:rPr>
        <w:t> </w:t>
      </w:r>
      <w:r>
        <w:rPr>
          <w:spacing w:val="-42"/>
        </w:rPr>
      </w:r>
      <w:r>
        <w:rPr/>
        <w:t>础分期计入当期收益。 </w:t>
      </w:r>
      <w:r>
        <w:rPr>
          <w:spacing w:val="-2"/>
        </w:rPr>
        <w:t>公司承担了应由承租方承担的与租赁相关的费用时，公司将该部分费用从租金收入总额中扣除，按扣除后的租金费用在租赁</w:t>
      </w:r>
      <w:r>
        <w:rPr>
          <w:spacing w:val="-65"/>
        </w:rPr>
        <w:t> </w:t>
      </w:r>
      <w:r>
        <w:rPr>
          <w:spacing w:val="-65"/>
        </w:rPr>
      </w:r>
      <w:r>
        <w:rPr/>
        <w:t>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bookmarkStart w:name="（2）融资租赁的会计处理方法" w:id="221"/>
      <w:bookmarkEnd w:id="22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73" w:lineRule="auto" w:before="0"/>
        <w:ind w:right="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）融资租入资产：公司在承租开始日，将租赁资产公允价值与最低租赁付款额现值两者中较低者作为租入资产的入账价 </w:t>
      </w:r>
      <w:r>
        <w:rPr>
          <w:spacing w:val="-2"/>
        </w:rPr>
        <w:t>值，将最低租赁付款额作为长期应付款的入账价值，其差额作为未确认的融资费用。融资租入资产的认定依据、计价和折旧</w:t>
      </w:r>
    </w:p>
    <w:p>
      <w:pPr>
        <w:pStyle w:val="BodyText"/>
        <w:spacing w:line="288" w:lineRule="auto" w:before="69"/>
        <w:ind w:right="2379"/>
        <w:jc w:val="left"/>
      </w:pPr>
      <w:r>
        <w:rPr/>
        <w:t>方法详见本节五、重要会计政策及会计估计／</w:t>
      </w:r>
      <w:r>
        <w:rPr>
          <w:rFonts w:ascii="Times New Roman" w:hAnsi="Times New Roman" w:cs="Times New Roman" w:eastAsia="Times New Roman" w:hint="default"/>
        </w:rPr>
        <w:t>24</w:t>
      </w:r>
      <w:r>
        <w:rPr/>
        <w:t>、（</w:t>
      </w:r>
      <w:r>
        <w:rPr>
          <w:rFonts w:ascii="Times New Roman" w:hAnsi="Times New Roman" w:cs="Times New Roman" w:eastAsia="Times New Roman" w:hint="default"/>
        </w:rPr>
        <w:t>3</w:t>
      </w:r>
      <w:r>
        <w:rPr/>
        <w:t>）融资租入固定资产的认定依据、计价和折旧方法。</w:t>
      </w:r>
      <w:r>
        <w:rPr>
          <w:spacing w:val="-86"/>
        </w:rPr>
        <w:t> </w:t>
      </w:r>
      <w:r>
        <w:rPr/>
        <w:t>公司采用实际利率法对未确认的融资费用，在资产租赁期间内摊销，计入财务费用。</w:t>
      </w:r>
    </w:p>
    <w:p>
      <w:pPr>
        <w:pStyle w:val="BodyText"/>
        <w:spacing w:line="297" w:lineRule="auto" w:before="59"/>
        <w:ind w:right="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w:t>
      </w:r>
      <w:r>
        <w:rPr>
          <w:spacing w:val="-87"/>
        </w:rPr>
        <w:t> </w:t>
      </w:r>
      <w:r>
        <w:rPr>
          <w:spacing w:val="-87"/>
        </w:rPr>
      </w:r>
      <w:r>
        <w:rPr>
          <w:spacing w:val="-4"/>
        </w:rPr>
        <w:t>将来收到租金的各期间内确认为租赁收入，公司发生的与出租交易相关的初始直接费用，计入应收融资租赁款的初始计量中，</w:t>
      </w:r>
      <w:r>
        <w:rPr>
          <w:spacing w:val="-50"/>
        </w:rPr>
        <w:t> </w:t>
      </w:r>
      <w:r>
        <w:rPr>
          <w:spacing w:val="-50"/>
        </w:rPr>
      </w:r>
      <w:r>
        <w:rPr/>
        <w:t>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bookmarkStart w:name="43、其他重要的会计政策和会计估计" w:id="222"/>
      <w:bookmarkEnd w:id="222"/>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091"/>
        <w:jc w:val="left"/>
      </w:pPr>
      <w:r>
        <w:rPr>
          <w:spacing w:val="-2"/>
        </w:rPr>
        <w:t>本公司将满足下列条件之一的，且该组成部分已经处置或划归为持有待售类别的、能够单独区分的组成部分确认为终止经营</w:t>
      </w:r>
      <w:r>
        <w:rPr>
          <w:spacing w:val="-72"/>
        </w:rPr>
        <w:t> </w:t>
      </w:r>
      <w:r>
        <w:rPr>
          <w:spacing w:val="-72"/>
        </w:rPr>
      </w:r>
      <w:r>
        <w:rPr/>
        <w:t>组成部分：</w:t>
      </w:r>
    </w:p>
    <w:p>
      <w:pPr>
        <w:pStyle w:val="BodyText"/>
        <w:spacing w:line="240" w:lineRule="auto" w:before="33"/>
        <w:ind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51"/>
        <w:ind w:right="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90" w:lineRule="auto" w:before="66"/>
        <w:ind w:right="3549"/>
        <w:jc w:val="left"/>
      </w:pPr>
      <w:r>
        <w:rPr/>
        <w:t>（</w:t>
      </w:r>
      <w:r>
        <w:rPr>
          <w:rFonts w:ascii="Times New Roman" w:hAnsi="Times New Roman" w:cs="Times New Roman" w:eastAsia="Times New Roman" w:hint="default"/>
        </w:rPr>
        <w:t>3</w:t>
      </w:r>
      <w:r>
        <w:rPr/>
        <w:t>）该组成部分是专为转售而取得的子公司。 终止经营的减值损失和转回金额等经营损益及处置损益作为终止经营损益在利润表中列示。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44、重要会计政策和会计估计变更" w:id="223"/>
      <w:bookmarkEnd w:id="223"/>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重要会计政策变更" w:id="224"/>
      <w:bookmarkEnd w:id="22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52"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both"/>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日起执行财政部</w:t>
            </w:r>
          </w:p>
          <w:p>
            <w:pPr>
              <w:pStyle w:val="TableParagraph"/>
              <w:spacing w:line="304" w:lineRule="auto" w:before="66"/>
              <w:ind w:left="15" w:right="16"/>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年修订的《企业会计准则第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金融工具确认和计量》、《企业会计准则</w:t>
            </w:r>
            <w:r>
              <w:rPr>
                <w:rFonts w:ascii="宋体" w:hAnsi="宋体" w:cs="宋体" w:eastAsia="宋体" w:hint="default"/>
                <w:sz w:val="18"/>
                <w:szCs w:val="18"/>
              </w:rPr>
              <w:t> 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金融资产转移》和《企业会计准</w:t>
            </w:r>
          </w:p>
          <w:p>
            <w:pPr>
              <w:pStyle w:val="TableParagraph"/>
              <w:spacing w:line="240" w:lineRule="auto" w:before="12"/>
              <w:ind w:left="15" w:right="0"/>
              <w:jc w:val="both"/>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套期会计</w:t>
            </w:r>
            <w:r>
              <w:rPr>
                <w:rFonts w:ascii="宋体" w:hAnsi="宋体" w:cs="宋体" w:eastAsia="宋体" w:hint="default"/>
                <w:spacing w:val="-90"/>
                <w:sz w:val="18"/>
                <w:szCs w:val="18"/>
              </w:rPr>
              <w:t>》</w:t>
            </w:r>
            <w:r>
              <w:rPr>
                <w:rFonts w:ascii="宋体" w:hAnsi="宋体" w:cs="宋体" w:eastAsia="宋体" w:hint="default"/>
                <w:spacing w:val="-166"/>
                <w:sz w:val="18"/>
                <w:szCs w:val="18"/>
              </w:rPr>
              <w:t>、</w:t>
            </w:r>
            <w:r>
              <w:rPr>
                <w:rFonts w:ascii="宋体" w:hAnsi="宋体" w:cs="宋体" w:eastAsia="宋体" w:hint="default"/>
                <w:sz w:val="18"/>
                <w:szCs w:val="18"/>
              </w:rPr>
              <w:t>《企业会计准则第</w:t>
            </w:r>
          </w:p>
          <w:p>
            <w:pPr>
              <w:pStyle w:val="TableParagraph"/>
              <w:spacing w:line="240" w:lineRule="auto" w:before="66"/>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04" w:lineRule="auto"/>
              <w:ind w:left="14" w:right="91"/>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日召开的第四届 董事会第五次会议、第四届监事会第五 次会议审议通过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bl>
    <w:p>
      <w:pPr>
        <w:pStyle w:val="BodyText"/>
        <w:spacing w:line="300" w:lineRule="auto" w:before="15"/>
        <w:ind w:right="1094"/>
        <w:jc w:val="left"/>
      </w:pP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日起执行财政部</w:t>
      </w:r>
      <w:r>
        <w:rPr>
          <w:rFonts w:ascii="Times New Roman" w:hAnsi="Times New Roman" w:cs="Times New Roman" w:eastAsia="Times New Roman" w:hint="default"/>
        </w:rPr>
        <w:t>2017</w:t>
      </w:r>
      <w:r>
        <w:rPr/>
        <w:t>年修订的《企业会计准则第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金融工具列报》（以上四项统称</w:t>
      </w:r>
      <w:r>
        <w:rPr>
          <w:rFonts w:ascii="Times New Roman" w:hAnsi="Times New Roman" w:cs="Times New Roman" w:eastAsia="Times New Roman" w:hint="default"/>
        </w:rPr>
        <w:t>&lt;</w:t>
      </w:r>
      <w:r>
        <w:rPr/>
        <w:t>新金融工</w:t>
      </w:r>
      <w:r>
        <w:rPr>
          <w:spacing w:val="-79"/>
        </w:rPr>
        <w:t> </w:t>
      </w:r>
      <w:r>
        <w:rPr/>
        <w:t>具准则</w:t>
      </w:r>
      <w:r>
        <w:rPr>
          <w:rFonts w:ascii="Times New Roman" w:hAnsi="Times New Roman" w:cs="Times New Roman" w:eastAsia="Times New Roman" w:hint="default"/>
        </w:rPr>
        <w:t>&gt;</w:t>
      </w:r>
      <w:r>
        <w:rPr/>
        <w:t>），变更后的会计政策详见附注四。</w:t>
      </w:r>
      <w:r>
        <w:rPr>
          <w:spacing w:val="-87"/>
        </w:rPr>
        <w:t> </w:t>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日之前的金融工具确认和计量与新金融工具准则要求不一致的，本公司按照新金融工具准则的要求进行衔接调</w:t>
      </w:r>
    </w:p>
    <w:p>
      <w:pPr>
        <w:spacing w:after="0" w:line="30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36" w:lineRule="auto"/>
        <w:ind w:right="0"/>
        <w:jc w:val="left"/>
      </w:pPr>
      <w:r>
        <w:rPr>
          <w:spacing w:val="-2"/>
        </w:rPr>
        <w:t>整。涉及前期比较财务报表数据与新金融工具准则要求不一致的，本公司未调整可比期间信息。金融工具原账面价值和新金</w:t>
      </w:r>
      <w:r>
        <w:rPr>
          <w:spacing w:val="-72"/>
        </w:rPr>
        <w:t> </w:t>
      </w:r>
      <w:r>
        <w:rPr>
          <w:spacing w:val="-72"/>
        </w:rPr>
      </w:r>
      <w:r>
        <w:rPr/>
        <w:t>融工具准则施行日的新账面价值之间的差额，计入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日留存收益或其他综合收益。</w:t>
      </w:r>
    </w:p>
    <w:p>
      <w:pPr>
        <w:spacing w:line="240" w:lineRule="auto" w:before="10"/>
        <w:rPr>
          <w:rFonts w:ascii="宋体" w:hAnsi="宋体" w:cs="宋体" w:eastAsia="宋体" w:hint="default"/>
          <w:sz w:val="20"/>
          <w:szCs w:val="20"/>
        </w:rPr>
      </w:pPr>
    </w:p>
    <w:p>
      <w:pPr>
        <w:pStyle w:val="BodyText"/>
        <w:spacing w:line="240" w:lineRule="auto" w:before="0"/>
        <w:ind w:right="0"/>
        <w:jc w:val="left"/>
      </w:pPr>
      <w:r>
        <w:rPr/>
        <w:t>执行新金融工具准则对本期期初资产负债表相关项目的影响列示如下：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1847"/>
        <w:gridCol w:w="1637"/>
        <w:gridCol w:w="1502"/>
        <w:gridCol w:w="1412"/>
        <w:gridCol w:w="1426"/>
        <w:gridCol w:w="1847"/>
      </w:tblGrid>
      <w:tr>
        <w:trPr>
          <w:trHeight w:val="436" w:hRule="exact"/>
        </w:trPr>
        <w:tc>
          <w:tcPr>
            <w:tcW w:w="1847"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75"/>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34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847" w:type="dxa"/>
            <w:vMerge w:val="restart"/>
            <w:tcBorders>
              <w:top w:val="single" w:sz="6" w:space="0" w:color="000000"/>
              <w:left w:val="single" w:sz="6" w:space="0" w:color="000000"/>
              <w:right w:val="single" w:sz="6" w:space="0" w:color="000000"/>
            </w:tcBorders>
          </w:tcPr>
          <w:p>
            <w:pPr>
              <w:pStyle w:val="TableParagraph"/>
              <w:spacing w:line="240" w:lineRule="auto" w:before="7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780" w:hRule="exact"/>
        </w:trPr>
        <w:tc>
          <w:tcPr>
            <w:tcW w:w="1847" w:type="dxa"/>
            <w:vMerge/>
            <w:tcBorders>
              <w:left w:val="single" w:sz="6" w:space="0" w:color="000000"/>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60"/>
              <w:ind w:left="390" w:right="375" w:firstLine="90"/>
              <w:jc w:val="left"/>
              <w:rPr>
                <w:rFonts w:ascii="宋体" w:hAnsi="宋体" w:cs="宋体" w:eastAsia="宋体" w:hint="default"/>
                <w:sz w:val="18"/>
                <w:szCs w:val="18"/>
              </w:rPr>
            </w:pPr>
            <w:r>
              <w:rPr>
                <w:rFonts w:ascii="宋体" w:hAnsi="宋体" w:cs="宋体" w:eastAsia="宋体" w:hint="default"/>
                <w:sz w:val="18"/>
                <w:szCs w:val="18"/>
              </w:rPr>
              <w:t>分类和 计量影响</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60"/>
              <w:ind w:left="330" w:right="344"/>
              <w:jc w:val="left"/>
              <w:rPr>
                <w:rFonts w:ascii="宋体" w:hAnsi="宋体" w:cs="宋体" w:eastAsia="宋体" w:hint="default"/>
                <w:sz w:val="18"/>
                <w:szCs w:val="18"/>
              </w:rPr>
            </w:pPr>
            <w:r>
              <w:rPr>
                <w:rFonts w:ascii="宋体" w:hAnsi="宋体" w:cs="宋体" w:eastAsia="宋体" w:hint="default"/>
                <w:sz w:val="18"/>
                <w:szCs w:val="18"/>
              </w:rPr>
              <w:t>金融资产 减值影响</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847" w:type="dxa"/>
            <w:vMerge/>
            <w:tcBorders>
              <w:left w:val="single" w:sz="6" w:space="0" w:color="000000"/>
              <w:bottom w:val="single" w:sz="6" w:space="0" w:color="000000"/>
              <w:right w:val="single" w:sz="6" w:space="0" w:color="000000"/>
            </w:tcBorders>
          </w:tcPr>
          <w:p>
            <w:pPr/>
          </w:p>
        </w:tc>
      </w:tr>
      <w:tr>
        <w:trPr>
          <w:trHeight w:val="43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9,049,082,286.64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138,079,907.15</w:t>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138,079,907.15</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9,187,162,193.79</w:t>
            </w:r>
          </w:p>
        </w:tc>
      </w:tr>
      <w:tr>
        <w:trPr>
          <w:trHeight w:val="43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37"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48,312,859.81</w:t>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48,312,859.81</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48,312,859.81</w:t>
            </w:r>
          </w:p>
        </w:tc>
      </w:tr>
      <w:tr>
        <w:trPr>
          <w:trHeight w:val="105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9"/>
              <w:ind w:right="15"/>
              <w:jc w:val="both"/>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动计入当期损益的金融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资产</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48,312,859.81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-48,312,859.81</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-48,312,859.81</w:t>
            </w:r>
            <w:r>
              <w:rPr>
                <w:rFonts w:ascii="Times New Roman"/>
                <w:sz w:val="18"/>
              </w:rPr>
            </w: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43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374,221,560.07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5"/>
                <w:sz w:val="18"/>
              </w:rPr>
              <w:t>-138,079,907.15</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-138,079,907.15</w:t>
            </w:r>
            <w:r>
              <w:rPr>
                <w:rFonts w:ascii="Times New Roman"/>
                <w:sz w:val="18"/>
              </w:rPr>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236,141,652.92</w:t>
            </w:r>
          </w:p>
        </w:tc>
      </w:tr>
      <w:tr>
        <w:trPr>
          <w:trHeight w:val="43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136,446,676.00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5"/>
                <w:sz w:val="18"/>
              </w:rPr>
              <w:t>-136,446,676.00</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-136,446,676.00</w:t>
            </w:r>
            <w:r>
              <w:rPr>
                <w:rFonts w:ascii="Times New Roman"/>
                <w:sz w:val="18"/>
              </w:rPr>
            </w: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42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637"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136,446,676.00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136,446,676.00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136,446,676.00</w:t>
            </w:r>
          </w:p>
        </w:tc>
      </w:tr>
      <w:tr>
        <w:trPr>
          <w:trHeight w:val="43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8,688,694,672.15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117,126,066.27</w:t>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117,126,066.27</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8,805,820,738.42</w:t>
            </w:r>
          </w:p>
        </w:tc>
      </w:tr>
      <w:tr>
        <w:trPr>
          <w:trHeight w:val="43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37"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50,354,479.87</w:t>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50,354,479.87</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50,354,479.87</w:t>
            </w:r>
          </w:p>
        </w:tc>
      </w:tr>
      <w:tr>
        <w:trPr>
          <w:trHeight w:val="105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9"/>
              <w:ind w:right="15"/>
              <w:jc w:val="both"/>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动计入当期损益的金融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负债</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50,354,479.87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-50,354,479.87</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-50,354,479.87</w:t>
            </w:r>
            <w:r>
              <w:rPr>
                <w:rFonts w:ascii="Times New Roman"/>
                <w:sz w:val="18"/>
              </w:rPr>
            </w: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43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201,296,326.22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5"/>
                <w:sz w:val="18"/>
              </w:rPr>
              <w:t>-117,613,899.31</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-117,613,899.31</w:t>
            </w:r>
            <w:r>
              <w:rPr>
                <w:rFonts w:ascii="Times New Roman"/>
                <w:sz w:val="18"/>
              </w:rPr>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83,682,426.91</w:t>
            </w:r>
          </w:p>
        </w:tc>
      </w:tr>
      <w:tr>
        <w:trPr>
          <w:trHeight w:val="43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367,447,868.06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487,833.04</w:t>
            </w:r>
          </w:p>
        </w:tc>
        <w:tc>
          <w:tcPr>
            <w:tcW w:w="141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487,833.04</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367,935,701.10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4"/>
        <w:ind w:right="0"/>
        <w:jc w:val="left"/>
        <w:rPr>
          <w:b w:val="0"/>
          <w:bCs w:val="0"/>
        </w:rPr>
      </w:pPr>
      <w:bookmarkStart w:name="（2）重要会计估计变更" w:id="225"/>
      <w:bookmarkEnd w:id="22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3）2019年起执行新金融工具准则、新收入准则或新租赁准则调整执行当年年初财务" w:id="226"/>
      <w:bookmarkEnd w:id="226"/>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331"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1538" w:space="7398"/>
            <w:col w:w="197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207"/>
        <w:gridCol w:w="2463"/>
        <w:gridCol w:w="2448"/>
        <w:gridCol w:w="2463"/>
      </w:tblGrid>
      <w:tr>
        <w:trPr>
          <w:trHeight w:val="405"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0"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9,049,082,286.64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9,187,162,193.79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138,079,907.15</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48,312,859.81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48,312,859.81</w:t>
            </w: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48,312,859.81</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-48,312,859.81</w:t>
            </w:r>
            <w:r>
              <w:rPr>
                <w:rFonts w:ascii="Times New Roman"/>
                <w:sz w:val="18"/>
              </w:rPr>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11,362,067.41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11,362,067.41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1,277,587,757.01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1,277,587,757.01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127,140,825.35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127,140,825.35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374,221,560.07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236,141,652.92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-138,079,907.15</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138,079,907.15</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-138,079,907.15</w:t>
            </w:r>
            <w:r>
              <w:rPr>
                <w:rFonts w:ascii="Times New Roman"/>
                <w:sz w:val="18"/>
              </w:rPr>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243,349,075.24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243,349,075.24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51,086,109.76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51,086,109.76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39,205,810.21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39,205,810.21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11,221,348,351.50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11,221,348,351.50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136,446,676.00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-136,446,676.00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148,198,007.89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148,198,007.89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7"/>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136,446,676.00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136,446,676.00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11,201,716.43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11,201,716.43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709,471.32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709,471.32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43,261,655.44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43,261,655.44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339,817,527.08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339,817,527.08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11,561,165,878.58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11,561,165,878.58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8,688,694,672.15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8,805,820,738.42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117,126,066.27</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50,354,479.87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50,354,479.87</w:t>
            </w: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50,354,479.87</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-50,354,479.87</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3,800,000.00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668,015,948.05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668,015,948.05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105,063,358.30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105,063,358.30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7"/>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12,368,491.93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12,368,491.93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101,818,401.75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101,818,401.75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201,296,326.22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83,682,426.91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-117,613,899.31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7"/>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117,613,899.31</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-117,613,899.31</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66"/>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7"/>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367,447,868.06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367,935,701.10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487,833.04</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10,198,859,546.33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10,198,859,546.33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23,056,197.65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23,056,197.65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67"/>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23,056,197.65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23,056,197.65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10,221,915,743.98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10,221,915,743.98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373,318,054.00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373,318,054.00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255,030,524.77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255,030,524.77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-2,257,000.48</w:t>
            </w:r>
            <w:r>
              <w:rPr>
                <w:rFonts w:ascii="Times New Roman"/>
                <w:sz w:val="18"/>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-2,257,000.48</w:t>
            </w:r>
            <w:r>
              <w:rPr>
                <w:rFonts w:ascii="Times New Roman"/>
                <w:sz w:val="18"/>
              </w:rPr>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78,166,131.16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78,166,131.16</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200"/>
        <w:gridCol w:w="2471"/>
        <w:gridCol w:w="2448"/>
        <w:gridCol w:w="2463"/>
      </w:tblGrid>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634,936,476.35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634,936,476.35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87"/>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1,339,194,185.80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1,339,194,185.80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55,948.80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55,948.80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1,339,250,134.60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1,339,250,134.60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11,561,165,878.58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11,561,165,878.58</w:t>
            </w:r>
          </w:p>
        </w:tc>
        <w:tc>
          <w:tcPr>
            <w:tcW w:w="246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0" w:lineRule="auto" w:before="45"/>
        <w:ind w:right="9309"/>
        <w:jc w:val="left"/>
      </w:pPr>
      <w:r>
        <w:rPr/>
        <w:t>调整情况说明 母公司资产负债表</w:t>
      </w:r>
    </w:p>
    <w:p>
      <w:pPr>
        <w:pStyle w:val="BodyText"/>
        <w:spacing w:line="240" w:lineRule="auto" w:before="42"/>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6,239,943,899.02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6,365,186,749.19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125,242,850.17</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46,895,855.32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46,895,855.32</w:t>
            </w: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0"/>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46,895,855.32</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-46,895,855.32</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11,362,067.41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11,362,067.41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1,550,953,776.33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1,550,953,776.33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779,677,778.26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779,677,778.26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329,586,133.89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204,343,283.72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-125,242,850.17</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67"/>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125,242,850.17</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-125,242,850.17</w:t>
            </w:r>
            <w:r>
              <w:rPr>
                <w:rFonts w:ascii="Times New Roman"/>
                <w:sz w:val="18"/>
              </w:rPr>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6"/>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185,478,489.13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185,478,489.13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8,710,000.00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8,710,000.00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9,152,607,999.36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9,152,607,999.36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7"/>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136,446,676.00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-136,446,676.00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58,008,831.18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58,008,831.18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136,446,676.00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136,446,676.00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9,714,920.06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9,714,920.06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709,471.32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709,471.32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44,440,091.58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44,440,091.58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249,319,990.14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249,319,990.14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9,401,927,989.50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9,401,927,989.50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5,430,745,629.44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5,541,678,622.50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110,932,993.06</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30,491,368.86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30,491,368.86</w:t>
            </w: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30,491,368.86</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-30,491,368.86</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100,149,624.49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100,149,624.49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64,014,128.84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64,014,128.84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8,284,995.83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8,284,995.83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99,805,303.94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99,805,303.94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2,033,561,199.61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1,922,140,373.51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-111,420,826.10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111,420,826.10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-111,420,826.10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85"/>
        <w:gridCol w:w="2478"/>
        <w:gridCol w:w="2448"/>
        <w:gridCol w:w="2463"/>
      </w:tblGrid>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0"/>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367,447,868.06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367,935,701.10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22" w:right="0"/>
              <w:jc w:val="left"/>
              <w:rPr>
                <w:rFonts w:ascii="Times New Roman" w:hAnsi="Times New Roman" w:cs="Times New Roman" w:eastAsia="Times New Roman" w:hint="default"/>
                <w:sz w:val="18"/>
                <w:szCs w:val="18"/>
              </w:rPr>
            </w:pPr>
            <w:r>
              <w:rPr>
                <w:rFonts w:ascii="Times New Roman"/>
                <w:sz w:val="18"/>
              </w:rPr>
              <w:t>487,833.04</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8,134,500,119.07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8,134,500,119.07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1"/>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8,134,500,119.07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8,134,500,119.07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373,318,054.00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373,318,054.00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255,030,524.77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255,030,524.77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78,166,131.16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78,166,131.16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560,913,160.50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560,913,160.50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1,267,427,870.43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1,267,427,870.43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9,401,927,989.50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9,401,927,989.50</w:t>
            </w:r>
          </w:p>
        </w:tc>
        <w:tc>
          <w:tcPr>
            <w:tcW w:w="246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调整情况说明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4）2019年起执行新金融工具准则或新租赁准则追溯调整前期比较数据说明" w:id="227"/>
      <w:bookmarkEnd w:id="227"/>
      <w:r>
        <w:rPr>
          <w:b w:val="0"/>
          <w:bCs w:val="0"/>
        </w:rPr>
      </w: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8"/>
        </w:rPr>
        <w:t> </w:t>
      </w:r>
      <w:r>
        <w:rPr/>
        <w:t>年起执行新金融工具准则或新租赁准则追溯调整前期比较数据说明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spacing w:line="482" w:lineRule="auto" w:before="0"/>
        <w:ind w:left="141" w:right="8977" w:firstLine="0"/>
        <w:jc w:val="left"/>
        <w:rPr>
          <w:rFonts w:ascii="宋体" w:hAnsi="宋体" w:cs="宋体" w:eastAsia="宋体" w:hint="default"/>
          <w:sz w:val="21"/>
          <w:szCs w:val="21"/>
        </w:rPr>
      </w:pPr>
      <w:bookmarkStart w:name="45、其他" w:id="228"/>
      <w:bookmarkEnd w:id="228"/>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9"/>
      <w:bookmarkEnd w:id="229"/>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30"/>
      <w:bookmarkEnd w:id="230"/>
      <w:r>
        <w:rPr>
          <w:rFonts w:ascii="宋体" w:hAnsi="宋体" w:cs="宋体" w:eastAsia="宋体" w:hint="default"/>
          <w:b/>
          <w:bCs/>
          <w:w w:val="99"/>
          <w:sz w:val="24"/>
          <w:szCs w:val="24"/>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税种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9" w:type="dxa"/>
            <w:vMerge w:val="restart"/>
            <w:tcBorders>
              <w:top w:val="single" w:sz="6" w:space="0" w:color="000000"/>
              <w:left w:val="single" w:sz="12" w:space="0" w:color="D2D2D2"/>
              <w:right w:val="single" w:sz="6" w:space="0" w:color="000000"/>
            </w:tcBorders>
          </w:tcPr>
          <w:p>
            <w:pPr>
              <w:pStyle w:val="TableParagraph"/>
              <w:spacing w:line="316" w:lineRule="auto" w:before="44"/>
              <w:ind w:left="22" w:right="92"/>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391" w:hRule="exact"/>
        </w:trPr>
        <w:tc>
          <w:tcPr>
            <w:tcW w:w="318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vMerge/>
            <w:tcBorders>
              <w:left w:val="single" w:sz="12"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473" w:hRule="exact"/>
        </w:trPr>
        <w:tc>
          <w:tcPr>
            <w:tcW w:w="3184" w:type="dxa"/>
            <w:tcBorders>
              <w:top w:val="nil" w:sz="6" w:space="0" w:color="auto"/>
              <w:left w:val="single" w:sz="6" w:space="0" w:color="000000"/>
              <w:bottom w:val="single" w:sz="6" w:space="0" w:color="000000"/>
              <w:right w:val="single" w:sz="6" w:space="0" w:color="000000"/>
            </w:tcBorders>
            <w:shd w:val="clear" w:color="auto" w:fill="D2D2D2"/>
          </w:tcPr>
          <w:p>
            <w:pPr/>
          </w:p>
        </w:tc>
        <w:tc>
          <w:tcPr>
            <w:tcW w:w="3199" w:type="dxa"/>
            <w:vMerge/>
            <w:tcBorders>
              <w:left w:val="single" w:sz="12"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pStyle w:val="BodyText"/>
        <w:spacing w:line="240" w:lineRule="auto"/>
        <w:ind w:right="0"/>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厦门市普路通供应链管理有限公司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珠海市普路通供应链管理有限公司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重庆市普路通供应链管理有限公司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深圳市前海普路通电子商务综合服务有限公司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香港坎普国际贸易科技有限公司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香港云泰国际有限公司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香港雪梨小姐国际有限公司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香港智慧云国际有限公司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深圳市前海瑞智供应链管理有限公司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深圳市丝路纪元供应链科技有限公司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深圳市联动量子股权投资管理有限公司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武汉市瑞亿通供应链管理有限公司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广西慧通供应链管理有限公司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荆门市普路通供应链管理有限公司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荆门市赢洲电子商务有限公司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荆门保税物流中心普路通供应链管理有限公司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普路通全球物流（深圳）有限公司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31"/>
      <w:bookmarkEnd w:id="23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1</w:t>
      </w:r>
      <w:r>
        <w:rPr/>
        <w:t>、财政部、税务总局《关于实施小微企业普惠性税收减免政策的通知》财税〔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13</w:t>
      </w:r>
      <w:r>
        <w:rPr/>
        <w:t>号，自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p>
    <w:p>
      <w:pPr>
        <w:pStyle w:val="BodyText"/>
        <w:spacing w:line="295" w:lineRule="auto" w:before="66"/>
        <w:ind w:right="999"/>
        <w:jc w:val="left"/>
      </w:pPr>
      <w:r>
        <w:rPr>
          <w:rFonts w:ascii="Times New Roman" w:hAnsi="Times New Roman" w:cs="Times New Roman" w:eastAsia="Times New Roman" w:hint="default"/>
        </w:rPr>
        <w:t>31</w:t>
      </w:r>
      <w:r>
        <w:rPr/>
        <w:t>日，对小型微利企业年应纳税所得额不超过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w:t>
      </w:r>
      <w:r>
        <w:rPr>
          <w:spacing w:val="-84"/>
        </w:rPr>
        <w:t> </w:t>
      </w:r>
      <w:r>
        <w:rPr/>
        <w:t>对年应纳税所得额超过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万元的部分，减按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的税率缴纳企业所得税；对月</w:t>
      </w:r>
      <w:r>
        <w:rPr>
          <w:spacing w:val="-84"/>
        </w:rPr>
        <w:t> </w:t>
      </w:r>
      <w:r>
        <w:rPr/>
        <w:t>销售额</w:t>
      </w:r>
      <w:r>
        <w:rPr>
          <w:rFonts w:ascii="Times New Roman" w:hAnsi="Times New Roman" w:cs="Times New Roman" w:eastAsia="Times New Roman" w:hint="default"/>
        </w:rPr>
        <w:t>10</w:t>
      </w:r>
      <w:r>
        <w:rPr/>
        <w:t>万元以下（含本数）的增值税小规模纳税人，免征增值税。 </w:t>
      </w:r>
      <w:r>
        <w:rPr>
          <w:rFonts w:ascii="Times New Roman" w:hAnsi="Times New Roman" w:cs="Times New Roman" w:eastAsia="Times New Roman" w:hint="default"/>
        </w:rPr>
        <w:t>2</w:t>
      </w:r>
      <w:r>
        <w:rPr/>
        <w:t>、深圳市前海普路通电子商务综合服务有限公司：依据财税</w:t>
      </w:r>
      <w:r>
        <w:rPr>
          <w:rFonts w:ascii="Times New Roman" w:hAnsi="Times New Roman" w:cs="Times New Roman" w:eastAsia="Times New Roman" w:hint="default"/>
        </w:rPr>
        <w:t>[2014]26</w:t>
      </w:r>
      <w:r>
        <w:rPr/>
        <w:t>号关于广东横琴新区、福建平潭综合实验区、深圳前</w:t>
      </w:r>
      <w:r>
        <w:rPr>
          <w:spacing w:val="-80"/>
        </w:rPr>
        <w:t> </w:t>
      </w:r>
      <w:r>
        <w:rPr>
          <w:spacing w:val="-80"/>
        </w:rPr>
      </w:r>
      <w:r>
        <w:rPr>
          <w:spacing w:val="-2"/>
        </w:rPr>
        <w:t>海深港现代化服务业合作区企业所得税优惠政策及优惠目录的通知，对设在横琴新区、平潭综合实验区和前海深港现代服务</w:t>
      </w:r>
    </w:p>
    <w:p>
      <w:pPr>
        <w:pStyle w:val="BodyText"/>
        <w:spacing w:line="297" w:lineRule="auto" w:before="53"/>
        <w:ind w:right="1096"/>
        <w:jc w:val="both"/>
      </w:pPr>
      <w:r>
        <w:rPr>
          <w:spacing w:val="-2"/>
        </w:rPr>
        <w:t>业合作区的鼓励类产业企业减按</w:t>
      </w:r>
      <w:r>
        <w:rPr>
          <w:rFonts w:ascii="Times New Roman" w:hAnsi="Times New Roman" w:cs="Times New Roman" w:eastAsia="Times New Roman" w:hint="default"/>
          <w:spacing w:val="-2"/>
        </w:rPr>
        <w:t>15</w:t>
      </w:r>
      <w:r>
        <w:rPr>
          <w:spacing w:val="-2"/>
        </w:rPr>
        <w:t>％的税率征收企业所得税。同时，深圳市前海普路通电子商务综合服务有限公司也为小型</w:t>
      </w:r>
      <w:r>
        <w:rPr>
          <w:spacing w:val="-67"/>
        </w:rPr>
        <w:t> </w:t>
      </w:r>
      <w:r>
        <w:rPr>
          <w:spacing w:val="-67"/>
        </w:rPr>
      </w:r>
      <w:r>
        <w:rPr>
          <w:spacing w:val="-2"/>
        </w:rPr>
        <w:t>微利企业，财政部、税务总局《关于实施小微企业普惠性税收减免政策的通知》财税〔</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13</w:t>
      </w:r>
      <w:r>
        <w:rPr>
          <w:spacing w:val="-2"/>
        </w:rPr>
        <w:t>号，自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2021</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日，对小型微利企业年应纳税所得额不超过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w:t>
      </w:r>
      <w:r>
        <w:rPr>
          <w:spacing w:val="-84"/>
        </w:rPr>
        <w:t> </w:t>
      </w:r>
      <w:r>
        <w:rPr/>
        <w:t>所得税；对年应纳税所得额超过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万元的部分，减按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w:t>
      </w:r>
      <w:r>
        <w:rPr>
          <w:spacing w:val="-84"/>
        </w:rPr>
        <w:t> </w:t>
      </w:r>
      <w:r>
        <w:rPr/>
        <w:t>税。</w:t>
      </w:r>
    </w:p>
    <w:p>
      <w:pPr>
        <w:pStyle w:val="BodyText"/>
        <w:spacing w:line="240" w:lineRule="auto" w:before="51"/>
        <w:ind w:right="0"/>
        <w:jc w:val="left"/>
      </w:pPr>
      <w:r>
        <w:rPr/>
        <w:t>深圳市前海普路通电子商务综合服务有限公司本年度按</w:t>
      </w:r>
      <w:r>
        <w:rPr>
          <w:rFonts w:ascii="Times New Roman" w:hAnsi="Times New Roman" w:cs="Times New Roman" w:eastAsia="Times New Roman" w:hint="default"/>
        </w:rPr>
        <w:t>20%</w:t>
      </w:r>
      <w:r>
        <w:rPr/>
        <w:t>的税率缴纳企业所得税。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line="482" w:lineRule="auto" w:before="0"/>
        <w:ind w:left="141" w:right="7857" w:firstLine="0"/>
        <w:jc w:val="left"/>
        <w:rPr>
          <w:rFonts w:ascii="宋体" w:hAnsi="宋体" w:cs="宋体" w:eastAsia="宋体" w:hint="default"/>
          <w:sz w:val="21"/>
          <w:szCs w:val="21"/>
        </w:rPr>
      </w:pPr>
      <w:bookmarkStart w:name="3、其他" w:id="232"/>
      <w:bookmarkEnd w:id="23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33"/>
      <w:bookmarkEnd w:id="233"/>
      <w:r>
        <w:rPr>
          <w:rFonts w:ascii="宋体" w:hAnsi="宋体" w:cs="宋体" w:eastAsia="宋体" w:hint="default"/>
          <w:b/>
          <w:bCs/>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货币资金" w:id="234"/>
      <w:bookmarkEnd w:id="234"/>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95"/>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179,571.89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305,062.31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336,777,580.82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435,623,299.90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3,961,696,541.31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8,751,233,831.58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4,298,653,694.02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9,187,162,193.79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16,360,124.08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27,570,683.38</w:t>
            </w:r>
          </w:p>
        </w:tc>
      </w:tr>
      <w:tr>
        <w:trPr>
          <w:trHeight w:val="7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91" w:firstLine="721"/>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3,948,172,958.44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8,613,153,924.43</w:t>
            </w:r>
          </w:p>
        </w:tc>
      </w:tr>
    </w:tbl>
    <w:p>
      <w:pPr>
        <w:pStyle w:val="BodyText"/>
        <w:spacing w:line="240" w:lineRule="auto" w:before="45"/>
        <w:ind w:right="0"/>
        <w:jc w:val="left"/>
      </w:pPr>
      <w:r>
        <w:rPr/>
        <w:t>其他说明</w:t>
      </w:r>
    </w:p>
    <w:p>
      <w:pPr>
        <w:pStyle w:val="BodyText"/>
        <w:spacing w:line="240" w:lineRule="auto" w:before="124"/>
        <w:ind w:right="0"/>
        <w:jc w:val="left"/>
      </w:pPr>
      <w:r>
        <w:rPr>
          <w:rFonts w:ascii="Times New Roman" w:hAnsi="Times New Roman" w:cs="Times New Roman" w:eastAsia="Times New Roman" w:hint="default"/>
        </w:rPr>
        <w:t>1</w:t>
      </w:r>
      <w:r>
        <w:rPr/>
        <w:t>、其他货币资金中包含未到期应收利息，</w:t>
      </w:r>
      <w:r>
        <w:rPr>
          <w:rFonts w:ascii="Times New Roman" w:hAnsi="Times New Roman" w:cs="Times New Roman" w:eastAsia="Times New Roman" w:hint="default"/>
        </w:rPr>
        <w:t>2019</w:t>
      </w:r>
      <w:r>
        <w:rPr/>
        <w:t>年期末余额 </w:t>
      </w:r>
      <w:r>
        <w:rPr>
          <w:rFonts w:ascii="Times New Roman" w:hAnsi="Times New Roman" w:cs="Times New Roman" w:eastAsia="Times New Roman" w:hint="default"/>
        </w:rPr>
        <w:t>13,523,582.87</w:t>
      </w:r>
      <w:r>
        <w:rPr/>
        <w:t>元，期初余额</w:t>
      </w:r>
      <w:r>
        <w:rPr>
          <w:spacing w:val="-24"/>
        </w:rPr>
        <w:t> </w:t>
      </w:r>
      <w:r>
        <w:rPr>
          <w:rFonts w:ascii="Times New Roman" w:hAnsi="Times New Roman" w:cs="Times New Roman" w:eastAsia="Times New Roman" w:hint="default"/>
        </w:rPr>
        <w:t>138,079,907.15</w:t>
      </w:r>
      <w:r>
        <w:rPr/>
        <w:t>元。</w:t>
      </w:r>
    </w:p>
    <w:p>
      <w:pPr>
        <w:pStyle w:val="BodyText"/>
        <w:spacing w:line="240" w:lineRule="auto" w:before="66"/>
        <w:ind w:right="0"/>
        <w:jc w:val="left"/>
      </w:pPr>
      <w:r>
        <w:rPr>
          <w:rFonts w:ascii="Times New Roman" w:hAnsi="Times New Roman" w:cs="Times New Roman" w:eastAsia="Times New Roman" w:hint="default"/>
        </w:rPr>
        <w:t>2</w:t>
      </w:r>
      <w:r>
        <w:rPr/>
        <w:t>、其中因抵押、质押或冻结等对使用有限制，以及放在境外且资金汇回受到限制的货币资金明细如下：</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650"/>
        <w:gridCol w:w="2448"/>
        <w:gridCol w:w="2448"/>
      </w:tblGrid>
      <w:tr>
        <w:trPr>
          <w:trHeight w:val="346"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635"/>
              <w:jc w:val="right"/>
              <w:rPr>
                <w:rFonts w:ascii="宋体" w:hAnsi="宋体" w:cs="宋体" w:eastAsia="宋体" w:hint="default"/>
                <w:sz w:val="18"/>
                <w:szCs w:val="18"/>
              </w:rPr>
            </w:pPr>
            <w:r>
              <w:rPr>
                <w:rFonts w:ascii="宋体" w:hAnsi="宋体" w:cs="宋体" w:eastAsia="宋体" w:hint="default"/>
                <w:sz w:val="18"/>
                <w:szCs w:val="18"/>
              </w:rPr>
              <w:t>项目</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203,423,393.21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220,196,372.72</w:t>
            </w:r>
          </w:p>
        </w:tc>
      </w:tr>
      <w:tr>
        <w:trPr>
          <w:trHeight w:val="345"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21,977,153.50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89,929,463.37</w:t>
            </w:r>
          </w:p>
        </w:tc>
      </w:tr>
      <w:tr>
        <w:trPr>
          <w:trHeight w:val="345"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贷款质押保证金</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3,722,771,411.73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8,299,227,507.70</w:t>
            </w:r>
          </w:p>
        </w:tc>
      </w:tr>
      <w:tr>
        <w:trPr>
          <w:trHeight w:val="360"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银承保证金</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3,800,580.64</w:t>
            </w:r>
          </w:p>
        </w:tc>
      </w:tr>
      <w:tr>
        <w:trPr>
          <w:trHeight w:val="346"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1,000.00</w:t>
            </w: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3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635"/>
              <w:jc w:val="right"/>
              <w:rPr>
                <w:rFonts w:ascii="宋体" w:hAnsi="宋体" w:cs="宋体" w:eastAsia="宋体" w:hint="default"/>
                <w:sz w:val="18"/>
                <w:szCs w:val="18"/>
              </w:rPr>
            </w:pPr>
            <w:r>
              <w:rPr>
                <w:rFonts w:ascii="宋体" w:hAnsi="宋体" w:cs="宋体" w:eastAsia="宋体" w:hint="default"/>
                <w:sz w:val="18"/>
                <w:szCs w:val="18"/>
              </w:rPr>
              <w:t>合计</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3,948,172,958.44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8,613,153,924.43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spacing w:line="240" w:lineRule="auto" w:before="35"/>
        <w:ind w:right="0"/>
        <w:jc w:val="left"/>
        <w:rPr>
          <w:b w:val="0"/>
          <w:bCs w:val="0"/>
        </w:rPr>
      </w:pPr>
      <w:bookmarkStart w:name="2、交易性金融资产" w:id="235"/>
      <w:bookmarkEnd w:id="235"/>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4,143,927.42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48,312,859.81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4,143,927.42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48,312,859.81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4,143,927.42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48,312,859.81</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3、衍生金融资产" w:id="236"/>
      <w:bookmarkEnd w:id="23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应收票据" w:id="237"/>
      <w:bookmarkEnd w:id="237"/>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应收票据分类列示" w:id="238"/>
      <w:bookmarkEnd w:id="23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390,236.96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266,000.00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11,096,067.41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390,236.96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11,362,067.41</w:t>
            </w:r>
          </w:p>
        </w:tc>
      </w:tr>
    </w:tbl>
    <w:p>
      <w:pPr>
        <w:pStyle w:val="BodyText"/>
        <w:spacing w:line="240" w:lineRule="auto" w:before="4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932"/>
        <w:gridCol w:w="796"/>
        <w:gridCol w:w="796"/>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05"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按单项计提坏账准备：</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ind w:right="0"/>
        <w:jc w:val="left"/>
      </w:pPr>
      <w:r>
        <w:rPr/>
        <w:t>按组合计提坏账准备：</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ind w:right="1749"/>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5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39"/>
      <w:bookmarkEnd w:id="2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ind w:right="0"/>
        <w:jc w:val="left"/>
      </w:pPr>
      <w:r>
        <w:rPr/>
        <w:t>其中本期坏账准备收回或转回金额重要的：</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3）期末公司已质押的应收票据" w:id="240"/>
      <w:bookmarkEnd w:id="240"/>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4）期末公司已背书或贴现且在资产负债表日尚未到期的应收票据" w:id="241"/>
      <w:bookmarkEnd w:id="241"/>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60,500,000.00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60,500,000.00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期末公司因出票人未履约而将其转应收账款的票据" w:id="242"/>
      <w:bookmarkEnd w:id="242"/>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62"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本期实际核销的应收票据情况" w:id="243"/>
      <w:bookmarkEnd w:id="243"/>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ind w:right="0"/>
        <w:jc w:val="left"/>
      </w:pPr>
      <w:r>
        <w:rPr/>
        <w:t>其中重要的应收票据核销情况：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5"/>
        <w:ind w:right="0"/>
        <w:jc w:val="left"/>
      </w:pPr>
      <w:r>
        <w:rPr/>
        <w:t>应收票据核销说明：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5、应收账款" w:id="244"/>
      <w:bookmarkEnd w:id="244"/>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应收账款分类披露" w:id="245"/>
      <w:bookmarkEnd w:id="24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630"/>
        <w:gridCol w:w="766"/>
        <w:gridCol w:w="766"/>
        <w:gridCol w:w="751"/>
        <w:gridCol w:w="766"/>
        <w:gridCol w:w="796"/>
        <w:gridCol w:w="781"/>
        <w:gridCol w:w="796"/>
        <w:gridCol w:w="796"/>
        <w:gridCol w:w="796"/>
        <w:gridCol w:w="931"/>
      </w:tblGrid>
      <w:tr>
        <w:trPr>
          <w:trHeight w:val="405" w:hRule="exact"/>
        </w:trPr>
        <w:tc>
          <w:tcPr>
            <w:tcW w:w="16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6"/>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0"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7" w:hRule="exact"/>
        </w:trPr>
        <w:tc>
          <w:tcPr>
            <w:tcW w:w="1630"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80" w:hRule="exact"/>
        </w:trPr>
        <w:tc>
          <w:tcPr>
            <w:tcW w:w="1630"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210" w:hRule="exact"/>
        </w:trPr>
        <w:tc>
          <w:tcPr>
            <w:tcW w:w="1630"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8" w:hRule="exact"/>
        </w:trPr>
        <w:tc>
          <w:tcPr>
            <w:tcW w:w="1630"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38,802,2</w:t>
            </w:r>
          </w:p>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63.76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2.89%</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21,811,4</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58.52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56.21%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16,990,80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5.24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9,747,077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0.74%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7,797,661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.63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80.00%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1,949,415.4</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w:t>
            </w:r>
          </w:p>
        </w:tc>
      </w:tr>
      <w:tr>
        <w:trPr>
          <w:trHeight w:val="405"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82" w:right="0"/>
              <w:jc w:val="left"/>
              <w:rPr>
                <w:rFonts w:ascii="Times New Roman" w:hAnsi="Times New Roman" w:cs="Times New Roman" w:eastAsia="Times New Roman" w:hint="default"/>
                <w:sz w:val="18"/>
                <w:szCs w:val="18"/>
              </w:rPr>
            </w:pPr>
            <w:r>
              <w:rPr>
                <w:rFonts w:ascii="Times New Roman"/>
                <w:sz w:val="18"/>
              </w:rPr>
              <w:t>1,303,84</w:t>
            </w:r>
          </w:p>
          <w:p>
            <w:pPr>
              <w:pStyle w:val="TableParagraph"/>
              <w:spacing w:line="240" w:lineRule="auto" w:before="108"/>
              <w:ind w:left="82" w:right="0"/>
              <w:jc w:val="left"/>
              <w:rPr>
                <w:rFonts w:ascii="Times New Roman" w:hAnsi="Times New Roman" w:cs="Times New Roman" w:eastAsia="Times New Roman" w:hint="default"/>
                <w:sz w:val="18"/>
                <w:szCs w:val="18"/>
              </w:rPr>
            </w:pPr>
            <w:r>
              <w:rPr>
                <w:rFonts w:ascii="Times New Roman"/>
                <w:sz w:val="18"/>
              </w:rPr>
              <w:t>4,876.00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97.11%</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26,996,3</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18.49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2.07%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1,276,848</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,557.51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1,300,546</w:t>
            </w:r>
          </w:p>
          <w:p>
            <w:pPr>
              <w:pStyle w:val="TableParagraph"/>
              <w:spacing w:line="240" w:lineRule="auto" w:before="108"/>
              <w:ind w:left="164" w:right="0"/>
              <w:jc w:val="center"/>
              <w:rPr>
                <w:rFonts w:ascii="Times New Roman" w:hAnsi="Times New Roman" w:cs="Times New Roman" w:eastAsia="Times New Roman" w:hint="default"/>
                <w:sz w:val="18"/>
                <w:szCs w:val="18"/>
              </w:rPr>
            </w:pPr>
            <w:r>
              <w:rPr>
                <w:rFonts w:ascii="Times New Roman"/>
                <w:sz w:val="18"/>
              </w:rPr>
              <w:t>,001.21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99.26%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24,907,65</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9.61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1.92%</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1,275,638,3</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41.60</w:t>
            </w:r>
          </w:p>
        </w:tc>
      </w:tr>
      <w:tr>
        <w:trPr>
          <w:trHeight w:val="405"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0" w:right="0"/>
              <w:jc w:val="left"/>
              <w:rPr>
                <w:rFonts w:ascii="Times New Roman" w:hAnsi="Times New Roman" w:cs="Times New Roman" w:eastAsia="Times New Roman" w:hint="default"/>
                <w:sz w:val="18"/>
                <w:szCs w:val="18"/>
              </w:rPr>
            </w:pPr>
            <w:r>
              <w:rPr>
                <w:rFonts w:ascii="Times New Roman"/>
                <w:sz w:val="18"/>
              </w:rPr>
              <w:t>1,303,84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97.11%</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89" w:right="0"/>
              <w:jc w:val="left"/>
              <w:rPr>
                <w:rFonts w:ascii="Times New Roman" w:hAnsi="Times New Roman" w:cs="Times New Roman" w:eastAsia="Times New Roman" w:hint="default"/>
                <w:sz w:val="18"/>
                <w:szCs w:val="18"/>
              </w:rPr>
            </w:pPr>
            <w:r>
              <w:rPr>
                <w:rFonts w:ascii="Times New Roman"/>
                <w:sz w:val="18"/>
              </w:rPr>
              <w:t>26,996,3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2.07%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1,276,848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4" w:right="0"/>
              <w:jc w:val="left"/>
              <w:rPr>
                <w:rFonts w:ascii="Times New Roman" w:hAnsi="Times New Roman" w:cs="Times New Roman" w:eastAsia="Times New Roman" w:hint="default"/>
                <w:sz w:val="18"/>
                <w:szCs w:val="18"/>
              </w:rPr>
            </w:pPr>
            <w:r>
              <w:rPr>
                <w:rFonts w:ascii="Times New Roman"/>
                <w:sz w:val="18"/>
              </w:rPr>
              <w:t>1,300,546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99.26%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24,907,65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1.92%</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1,275,638,3</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360" w:hRule="exact"/>
        </w:trPr>
        <w:tc>
          <w:tcPr>
            <w:tcW w:w="1637"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90" w:right="0"/>
              <w:jc w:val="left"/>
              <w:rPr>
                <w:rFonts w:ascii="Times New Roman" w:hAnsi="Times New Roman" w:cs="Times New Roman" w:eastAsia="Times New Roman" w:hint="default"/>
                <w:sz w:val="18"/>
                <w:szCs w:val="18"/>
              </w:rPr>
            </w:pPr>
            <w:r>
              <w:rPr>
                <w:rFonts w:ascii="Times New Roman"/>
                <w:sz w:val="18"/>
              </w:rPr>
              <w:t>4,876.00</w:t>
            </w: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15" w:right="0"/>
              <w:jc w:val="left"/>
              <w:rPr>
                <w:rFonts w:ascii="Times New Roman" w:hAnsi="Times New Roman" w:cs="Times New Roman" w:eastAsia="Times New Roman" w:hint="default"/>
                <w:sz w:val="18"/>
                <w:szCs w:val="18"/>
              </w:rPr>
            </w:pPr>
            <w:r>
              <w:rPr>
                <w:rFonts w:ascii="Times New Roman"/>
                <w:sz w:val="18"/>
              </w:rPr>
              <w:t>18.49</w:t>
            </w: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25" w:right="0"/>
              <w:jc w:val="left"/>
              <w:rPr>
                <w:rFonts w:ascii="Times New Roman" w:hAnsi="Times New Roman" w:cs="Times New Roman" w:eastAsia="Times New Roman" w:hint="default"/>
                <w:sz w:val="18"/>
                <w:szCs w:val="18"/>
              </w:rPr>
            </w:pPr>
            <w:r>
              <w:rPr>
                <w:rFonts w:ascii="Times New Roman"/>
                <w:sz w:val="18"/>
              </w:rPr>
              <w:t>,557.51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94" w:right="0"/>
              <w:jc w:val="left"/>
              <w:rPr>
                <w:rFonts w:ascii="Times New Roman" w:hAnsi="Times New Roman" w:cs="Times New Roman" w:eastAsia="Times New Roman" w:hint="default"/>
                <w:sz w:val="18"/>
                <w:szCs w:val="18"/>
              </w:rPr>
            </w:pPr>
            <w:r>
              <w:rPr>
                <w:rFonts w:ascii="Times New Roman"/>
                <w:sz w:val="18"/>
              </w:rPr>
              <w:t>,001.21</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36" w:right="0"/>
              <w:jc w:val="left"/>
              <w:rPr>
                <w:rFonts w:ascii="Times New Roman" w:hAnsi="Times New Roman" w:cs="Times New Roman" w:eastAsia="Times New Roman" w:hint="default"/>
                <w:sz w:val="18"/>
                <w:szCs w:val="18"/>
              </w:rPr>
            </w:pPr>
            <w:r>
              <w:rPr>
                <w:rFonts w:ascii="Times New Roman"/>
                <w:sz w:val="18"/>
              </w:rPr>
              <w:t>9.61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80" w:right="0"/>
              <w:jc w:val="left"/>
              <w:rPr>
                <w:rFonts w:ascii="Times New Roman" w:hAnsi="Times New Roman" w:cs="Times New Roman" w:eastAsia="Times New Roman" w:hint="default"/>
                <w:sz w:val="18"/>
                <w:szCs w:val="18"/>
              </w:rPr>
            </w:pPr>
            <w:r>
              <w:rPr>
                <w:rFonts w:ascii="Times New Roman"/>
                <w:sz w:val="18"/>
              </w:rPr>
              <w:t>41.60</w:t>
            </w: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1,342,64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7,139.76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48,807,7</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77.01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3.64%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1,293,839</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,362.75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1,310,293</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,078.25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32,705,32</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1.24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2.50%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1,277,587,7</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57.01</w:t>
            </w:r>
          </w:p>
        </w:tc>
      </w:tr>
    </w:tbl>
    <w:p>
      <w:pPr>
        <w:pStyle w:val="BodyText"/>
        <w:spacing w:line="240" w:lineRule="auto" w:before="45"/>
        <w:ind w:right="0"/>
        <w:jc w:val="left"/>
      </w:pPr>
      <w:r>
        <w:rPr/>
        <w:t>按单项计提坏账准备：</w:t>
      </w:r>
    </w:p>
    <w:p>
      <w:pPr>
        <w:pStyle w:val="BodyText"/>
        <w:spacing w:line="240" w:lineRule="auto" w:before="125"/>
        <w:ind w:left="0" w:right="1109"/>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BodyText"/>
        <w:spacing w:line="240" w:lineRule="auto"/>
        <w:ind w:left="0" w:right="1127"/>
        <w:jc w:val="right"/>
      </w:pPr>
      <w:r>
        <w:rPr/>
        <w:pict>
          <v:shape style="position:absolute;margin-left:56.325001pt;margin-top:-247.75827pt;width:480.25pt;height:594.550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广州市君亚医疗器械有 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28,567,070.23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11,576,264.99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40.52%</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存在诉讼</w:t>
                        </w:r>
                      </w:p>
                    </w:tc>
                  </w:tr>
                  <w:tr>
                    <w:trPr>
                      <w:trHeight w:val="10359"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乐视移动智能信息技术</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5"/>
                          <w:jc w:val="right"/>
                          <w:rPr>
                            <w:rFonts w:ascii="Times New Roman" w:hAnsi="Times New Roman" w:cs="Times New Roman" w:eastAsia="Times New Roman" w:hint="default"/>
                            <w:sz w:val="18"/>
                            <w:szCs w:val="18"/>
                          </w:rPr>
                        </w:pPr>
                        <w:r>
                          <w:rPr>
                            <w:rFonts w:ascii="Times New Roman"/>
                            <w:sz w:val="18"/>
                          </w:rPr>
                          <w:t>9,747,077.04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5"/>
                          <w:jc w:val="right"/>
                          <w:rPr>
                            <w:rFonts w:ascii="Times New Roman" w:hAnsi="Times New Roman" w:cs="Times New Roman" w:eastAsia="Times New Roman" w:hint="default"/>
                            <w:sz w:val="18"/>
                            <w:szCs w:val="18"/>
                          </w:rPr>
                        </w:pPr>
                        <w:r>
                          <w:rPr>
                            <w:rFonts w:ascii="Times New Roman"/>
                            <w:sz w:val="18"/>
                          </w:rPr>
                          <w:t>9,747,077.04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公司一直密切关注媒体 对乐视系相关主体的债 权债务情况及其经营情 况等方面的报道，目前 公开信息及乐视网信息 技术（北京）股份有限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乐视</w:t>
                        </w:r>
                        <w:r>
                          <w:rPr>
                            <w:rFonts w:ascii="宋体" w:hAnsi="宋体" w:cs="宋体" w:eastAsia="宋体" w:hint="default"/>
                            <w:spacing w:val="-70"/>
                            <w:sz w:val="18"/>
                            <w:szCs w:val="18"/>
                          </w:rPr>
                          <w:t> </w:t>
                        </w:r>
                        <w:r>
                          <w:rPr>
                            <w:rFonts w:ascii="宋体" w:hAnsi="宋体" w:cs="宋体" w:eastAsia="宋体" w:hint="default"/>
                            <w:sz w:val="18"/>
                            <w:szCs w:val="18"/>
                          </w:rPr>
                          <w:t>网</w:t>
                        </w:r>
                        <w:r>
                          <w:rPr>
                            <w:rFonts w:ascii="Times New Roman" w:hAnsi="Times New Roman" w:cs="Times New Roman" w:eastAsia="Times New Roman" w:hint="default"/>
                            <w:sz w:val="18"/>
                            <w:szCs w:val="18"/>
                          </w:rPr>
                          <w:t>”</w:t>
                        </w:r>
                        <w:r>
                          <w:rPr>
                            <w:rFonts w:ascii="宋体" w:hAnsi="宋体" w:cs="宋体" w:eastAsia="宋体" w:hint="default"/>
                            <w:sz w:val="18"/>
                            <w:szCs w:val="18"/>
                          </w:rPr>
                          <w:t>）的最新公告显示， 乐视网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日起暂停上市，且其</w:t>
                        </w:r>
                      </w:p>
                      <w:p>
                        <w:pPr>
                          <w:pStyle w:val="TableParagraph"/>
                          <w:spacing w:line="297" w:lineRule="auto" w:before="40"/>
                          <w:ind w:left="30"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年度被大华会计师 </w:t>
                        </w:r>
                        <w:r>
                          <w:rPr>
                            <w:rFonts w:ascii="宋体" w:hAnsi="宋体" w:cs="宋体" w:eastAsia="宋体" w:hint="default"/>
                            <w:spacing w:val="-4"/>
                            <w:sz w:val="18"/>
                            <w:szCs w:val="18"/>
                          </w:rPr>
                          <w:t>事务所（特殊普通合伙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出具了大华审字</w:t>
                        </w:r>
                      </w:p>
                      <w:p>
                        <w:pPr>
                          <w:pStyle w:val="TableParagraph"/>
                          <w:spacing w:line="240" w:lineRule="auto" w:before="52"/>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[2020]007787 </w:t>
                        </w:r>
                        <w:r>
                          <w:rPr>
                            <w:rFonts w:ascii="宋体" w:hAnsi="宋体" w:cs="宋体" w:eastAsia="宋体" w:hint="default"/>
                            <w:sz w:val="18"/>
                            <w:szCs w:val="18"/>
                          </w:rPr>
                          <w:t>号带强调</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事项的审计报告，报告</w:t>
                        </w:r>
                      </w:p>
                      <w:p>
                        <w:pPr>
                          <w:pStyle w:val="TableParagraph"/>
                          <w:spacing w:line="276" w:lineRule="auto" w:before="94"/>
                          <w:ind w:left="30" w:right="13"/>
                          <w:jc w:val="left"/>
                          <w:rPr>
                            <w:rFonts w:ascii="宋体" w:hAnsi="宋体" w:cs="宋体" w:eastAsia="宋体" w:hint="default"/>
                            <w:sz w:val="18"/>
                            <w:szCs w:val="18"/>
                          </w:rPr>
                        </w:pPr>
                        <w:r>
                          <w:rPr>
                            <w:rFonts w:ascii="宋体" w:hAnsi="宋体" w:cs="宋体" w:eastAsia="宋体" w:hint="default"/>
                            <w:sz w:val="18"/>
                            <w:szCs w:val="18"/>
                          </w:rPr>
                          <w:t>显示乐视网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年度归 属于母公司的净利润为</w:t>
                        </w:r>
                      </w:p>
                      <w:p>
                        <w:pPr>
                          <w:pStyle w:val="TableParagraph"/>
                          <w:spacing w:line="312" w:lineRule="auto" w:before="67"/>
                          <w:ind w:left="30"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-112.79 </w:t>
                        </w:r>
                        <w:r>
                          <w:rPr>
                            <w:rFonts w:ascii="宋体" w:hAnsi="宋体" w:cs="宋体" w:eastAsia="宋体" w:hint="default"/>
                            <w:sz w:val="18"/>
                            <w:szCs w:val="18"/>
                          </w:rPr>
                          <w:t>亿元，归属于上</w:t>
                        </w:r>
                        <w:r>
                          <w:rPr>
                            <w:rFonts w:ascii="宋体" w:hAnsi="宋体" w:cs="宋体" w:eastAsia="宋体" w:hint="default"/>
                            <w:w w:val="99"/>
                            <w:sz w:val="18"/>
                            <w:szCs w:val="18"/>
                          </w:rPr>
                          <w:t> </w:t>
                        </w:r>
                        <w:r>
                          <w:rPr>
                            <w:rFonts w:ascii="宋体" w:hAnsi="宋体" w:cs="宋体" w:eastAsia="宋体" w:hint="default"/>
                            <w:sz w:val="18"/>
                            <w:szCs w:val="18"/>
                          </w:rPr>
                          <w:t>市公司股东的净资产约</w:t>
                        </w:r>
                        <w:r>
                          <w:rPr>
                            <w:rFonts w:ascii="宋体" w:hAnsi="宋体" w:cs="宋体" w:eastAsia="宋体" w:hint="default"/>
                            <w:w w:val="99"/>
                            <w:sz w:val="18"/>
                            <w:szCs w:val="18"/>
                          </w:rPr>
                          <w:t> </w:t>
                        </w:r>
                        <w:r>
                          <w:rPr>
                            <w:rFonts w:ascii="宋体" w:hAnsi="宋体" w:cs="宋体" w:eastAsia="宋体" w:hint="default"/>
                            <w:sz w:val="18"/>
                            <w:szCs w:val="18"/>
                          </w:rPr>
                          <w:t>为</w:t>
                        </w:r>
                        <w:r>
                          <w:rPr>
                            <w:rFonts w:ascii="Times New Roman" w:hAnsi="Times New Roman" w:cs="Times New Roman" w:eastAsia="Times New Roman" w:hint="default"/>
                            <w:sz w:val="18"/>
                            <w:szCs w:val="18"/>
                          </w:rPr>
                          <w:t>-143.29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亿元，存在终</w:t>
                        </w:r>
                      </w:p>
                      <w:p>
                        <w:pPr>
                          <w:pStyle w:val="TableParagraph"/>
                          <w:spacing w:line="316" w:lineRule="auto"/>
                          <w:ind w:left="30" w:right="14"/>
                          <w:jc w:val="both"/>
                          <w:rPr>
                            <w:rFonts w:ascii="宋体" w:hAnsi="宋体" w:cs="宋体" w:eastAsia="宋体" w:hint="default"/>
                            <w:sz w:val="18"/>
                            <w:szCs w:val="18"/>
                          </w:rPr>
                        </w:pPr>
                        <w:r>
                          <w:rPr>
                            <w:rFonts w:ascii="宋体" w:hAnsi="宋体" w:cs="宋体" w:eastAsia="宋体" w:hint="default"/>
                            <w:sz w:val="18"/>
                            <w:szCs w:val="18"/>
                          </w:rPr>
                          <w:t>止上市风险，乐视体系 经营状况更加恶化。同 时，公司自收到法院判 决乐视智能向公司支付 欠款及利息、并由乐视 控股（北京）有限公司 承担保证责任的判决书 至今，乐视智能及担保 方仍未能履行判决给付 义务。因此，公司对乐 视智能的应收款项计提 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11"/>
                            <w:sz w:val="18"/>
                            <w:szCs w:val="18"/>
                          </w:rPr>
                          <w:t>日，公司对乐视</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1306" w:hRule="exact"/>
        </w:trPr>
        <w:tc>
          <w:tcPr>
            <w:tcW w:w="1922"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智能的应收款项为</w:t>
            </w:r>
          </w:p>
          <w:p>
            <w:pPr>
              <w:pStyle w:val="TableParagraph"/>
              <w:spacing w:line="240" w:lineRule="auto" w:before="7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197,662,085.99</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元，累计</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计提坏账准备金额为</w:t>
            </w:r>
          </w:p>
          <w:p>
            <w:pPr>
              <w:pStyle w:val="TableParagraph"/>
              <w:spacing w:line="240" w:lineRule="auto" w:before="9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197,662,085.99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488,116.49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488,116.49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31" w:right="0"/>
              <w:jc w:val="left"/>
              <w:rPr>
                <w:rFonts w:ascii="Times New Roman" w:hAnsi="Times New Roman" w:cs="Times New Roman" w:eastAsia="Times New Roman" w:hint="default"/>
                <w:sz w:val="18"/>
                <w:szCs w:val="18"/>
              </w:rPr>
            </w:pPr>
            <w:r>
              <w:rPr>
                <w:rFonts w:ascii="Times New Roman"/>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38,802,263.76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21,811,458.52</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按单项计提坏账准备：</w:t>
      </w:r>
    </w:p>
    <w:p>
      <w:pPr>
        <w:pStyle w:val="BodyText"/>
        <w:spacing w:line="240" w:lineRule="auto" w:before="10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ind w:right="0"/>
        <w:jc w:val="left"/>
      </w:pPr>
      <w:r>
        <w:rPr/>
        <w:t>按组合计提坏账准备：</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1,150,352,541.34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11,503,525.46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103,440,624.65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5,172,031.19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30,420,819.94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3,042,082.01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17,646,014.63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5,293,804.39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1,984,875.44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1,984,875.44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1,303,844,876.00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26,996,318.49</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352" w:lineRule="auto"/>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2122" w:space="6724"/>
            <w:col w:w="2064"/>
          </w:cols>
        </w:sectPr>
      </w:pP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7" w:lineRule="auto" w:before="45"/>
        <w:ind w:right="1749"/>
        <w:jc w:val="left"/>
      </w:pPr>
      <w:r>
        <w:rPr/>
        <w:t>确定该组合依据的说明： 如是按照预期信用损失一般模型计提应收账款坏账准备，请参照其他应收款的披露方式披露坏账准备的相关信息：</w:t>
      </w:r>
    </w:p>
    <w:p>
      <w:pPr>
        <w:pStyle w:val="BodyText"/>
        <w:spacing w:line="331" w:lineRule="auto" w:before="29"/>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4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84"/>
        <w:gridCol w:w="4791"/>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
              <w:jc w:val="center"/>
              <w:rPr>
                <w:rFonts w:ascii="宋体" w:hAnsi="宋体" w:cs="宋体" w:eastAsia="宋体" w:hint="default"/>
                <w:sz w:val="18"/>
                <w:szCs w:val="18"/>
              </w:rPr>
            </w:pPr>
            <w:r>
              <w:rPr>
                <w:rFonts w:ascii="宋体" w:hAnsi="宋体" w:cs="宋体" w:eastAsia="宋体" w:hint="default"/>
                <w:sz w:val="18"/>
                <w:szCs w:val="18"/>
              </w:rPr>
              <w:t>账龄</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1,150,352,541.34</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103,440,624.65</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32,222,086.67</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56,631,887.10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39,128,175.57</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15,042,959.60</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96"/>
              <w:jc w:val="righ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2,460,751.93</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1,342,647,139.76</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246"/>
      <w:bookmarkEnd w:id="24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应收账款坏账准 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32,705,321.24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15,893,493.00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208,962.77</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48,807,777.01</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32,705,321.24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15,893,493.00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208,962.77</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48,807,777.01</w:t>
            </w:r>
          </w:p>
        </w:tc>
      </w:tr>
    </w:tbl>
    <w:p>
      <w:pPr>
        <w:pStyle w:val="BodyText"/>
        <w:spacing w:line="240" w:lineRule="auto"/>
        <w:ind w:right="0"/>
        <w:jc w:val="left"/>
      </w:pPr>
      <w:r>
        <w:rPr/>
        <w:t>其中本期坏账准备收回或转回金额重要的：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247"/>
      <w:bookmarkEnd w:id="24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ind w:right="0"/>
        <w:jc w:val="left"/>
      </w:pPr>
      <w:r>
        <w:rPr/>
        <w:t>其中重要的应收账款核销情况：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5"/>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按欠款方归集的期末余额前五名的应收账款情况" w:id="248"/>
      <w:bookmarkEnd w:id="24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721"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066" w:right="92"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228,613,934.58</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17.03%</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2,286,139.35</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76,072,676.21</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5.67%</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760,726.76</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69,799,148.54</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5.20%</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697,991.49</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67,795,490.00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5.05%</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677,954.90</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67,608,419.30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5.04%</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863,475.98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2" w:type="dxa"/>
        <w:tblLayout w:type="fixed"/>
        <w:tblCellMar>
          <w:top w:w="0" w:type="dxa"/>
          <w:left w:w="0" w:type="dxa"/>
          <w:bottom w:w="0" w:type="dxa"/>
          <w:right w:w="0" w:type="dxa"/>
        </w:tblCellMar>
        <w:tblLook w:val="01E0"/>
      </w:tblPr>
      <w:tblGrid>
        <w:gridCol w:w="1986"/>
        <w:gridCol w:w="2538"/>
        <w:gridCol w:w="2523"/>
        <w:gridCol w:w="2538"/>
      </w:tblGrid>
      <w:tr>
        <w:trPr>
          <w:trHeight w:val="390" w:hRule="exact"/>
        </w:trPr>
        <w:tc>
          <w:tcPr>
            <w:tcW w:w="1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81" w:right="0"/>
              <w:jc w:val="left"/>
              <w:rPr>
                <w:rFonts w:ascii="Times New Roman" w:hAnsi="Times New Roman" w:cs="Times New Roman" w:eastAsia="Times New Roman" w:hint="default"/>
                <w:sz w:val="18"/>
                <w:szCs w:val="18"/>
              </w:rPr>
            </w:pPr>
            <w:r>
              <w:rPr>
                <w:rFonts w:ascii="Times New Roman"/>
                <w:sz w:val="18"/>
              </w:rPr>
              <w:t>509,889,668.63</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37.99%</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因金融资产转移而终止确认的应收账款" w:id="249"/>
      <w:bookmarkEnd w:id="24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250"/>
      <w:bookmarkEnd w:id="25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6、应收款项融资" w:id="251"/>
      <w:bookmarkEnd w:id="251"/>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应收款项融资本期增减变动及公允价值变动情况</w:t>
      </w:r>
    </w:p>
    <w:p>
      <w:pPr>
        <w:pStyle w:val="BodyText"/>
        <w:spacing w:line="316" w:lineRule="auto" w:before="125"/>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如是按照预期信用损失一般模型计提应收款项融资减值准备，请参照其他应收款的披露方式披露减值准备的相关信息：</w:t>
      </w:r>
    </w:p>
    <w:p>
      <w:pPr>
        <w:pStyle w:val="BodyText"/>
        <w:spacing w:line="316" w:lineRule="auto" w:before="82"/>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6"/>
        <w:rPr>
          <w:rFonts w:ascii="宋体" w:hAnsi="宋体" w:cs="宋体" w:eastAsia="宋体" w:hint="default"/>
          <w:sz w:val="25"/>
          <w:szCs w:val="25"/>
        </w:rPr>
      </w:pPr>
    </w:p>
    <w:p>
      <w:pPr>
        <w:pStyle w:val="Heading3"/>
        <w:spacing w:line="240" w:lineRule="auto"/>
        <w:ind w:right="0"/>
        <w:jc w:val="left"/>
        <w:rPr>
          <w:b w:val="0"/>
          <w:bCs w:val="0"/>
        </w:rPr>
      </w:pPr>
      <w:bookmarkStart w:name="7、预付款项" w:id="252"/>
      <w:bookmarkEnd w:id="252"/>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预付款项按账龄列示" w:id="253"/>
      <w:bookmarkEnd w:id="25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203" w:hRule="exact"/>
        </w:trPr>
        <w:tc>
          <w:tcPr>
            <w:tcW w:w="18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8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8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52"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892" w:type="dxa"/>
            <w:vMerge/>
            <w:tcBorders>
              <w:left w:val="single" w:sz="6" w:space="0" w:color="000000"/>
              <w:bottom w:val="nil" w:sz="6" w:space="0" w:color="auto"/>
              <w:right w:val="single" w:sz="6" w:space="0" w:color="000000"/>
            </w:tcBorders>
            <w:shd w:val="clear" w:color="auto" w:fill="D2D2D2"/>
          </w:tcPr>
          <w:p>
            <w:pPr/>
          </w:p>
        </w:tc>
        <w:tc>
          <w:tcPr>
            <w:tcW w:w="19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3" w:hRule="exact"/>
        </w:trPr>
        <w:tc>
          <w:tcPr>
            <w:tcW w:w="18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0"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175,266,698.73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97.30%</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121,158,842.77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95.30%</w:t>
            </w:r>
            <w:r>
              <w:rPr>
                <w:rFonts w:ascii="Times New Roman"/>
                <w:sz w:val="18"/>
              </w:rPr>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3,191,094.68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1.77%</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5,967,039.56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4.69%</w:t>
            </w:r>
            <w:r>
              <w:rPr>
                <w:rFonts w:ascii="Times New Roman"/>
                <w:sz w:val="18"/>
              </w:rPr>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1,651,114.33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0.92%</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4,943.02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14,943.02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180,123,850.76</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127,140,825.35</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0"/>
        <w:jc w:val="left"/>
      </w:pPr>
      <w:r>
        <w:rPr/>
        <w:t>账龄超过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523"/>
        <w:gridCol w:w="1922"/>
        <w:gridCol w:w="1127"/>
        <w:gridCol w:w="2973"/>
      </w:tblGrid>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7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6" w:right="0"/>
              <w:jc w:val="left"/>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61"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2,598,600.00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1,506,069.23</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3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4,104,669.23</w:t>
            </w:r>
          </w:p>
        </w:tc>
        <w:tc>
          <w:tcPr>
            <w:tcW w:w="1127" w:type="dxa"/>
            <w:tcBorders>
              <w:top w:val="single" w:sz="6" w:space="0" w:color="000000"/>
              <w:left w:val="single" w:sz="6" w:space="0" w:color="000000"/>
              <w:bottom w:val="single" w:sz="6" w:space="0" w:color="000000"/>
              <w:right w:val="single" w:sz="6" w:space="0" w:color="000000"/>
            </w:tcBorders>
          </w:tcPr>
          <w:p>
            <w:pPr/>
          </w:p>
        </w:tc>
        <w:tc>
          <w:tcPr>
            <w:tcW w:w="29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spacing w:line="240" w:lineRule="auto" w:before="35"/>
        <w:ind w:right="0"/>
        <w:jc w:val="left"/>
        <w:rPr>
          <w:b w:val="0"/>
          <w:bCs w:val="0"/>
        </w:rPr>
      </w:pPr>
      <w:bookmarkStart w:name="（2）按预付对象归集的期末余额前五名的预付款情况" w:id="254"/>
      <w:bookmarkEnd w:id="25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2463"/>
        <w:gridCol w:w="1757"/>
        <w:gridCol w:w="991"/>
        <w:gridCol w:w="1562"/>
        <w:gridCol w:w="1772"/>
      </w:tblGrid>
      <w:tr>
        <w:trPr>
          <w:trHeight w:val="360"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5" w:right="0"/>
              <w:jc w:val="left"/>
              <w:rPr>
                <w:rFonts w:ascii="宋体" w:hAnsi="宋体" w:cs="宋体" w:eastAsia="宋体" w:hint="default"/>
                <w:sz w:val="18"/>
                <w:szCs w:val="18"/>
              </w:rPr>
            </w:pPr>
            <w:r>
              <w:rPr>
                <w:rFonts w:ascii="宋体" w:hAnsi="宋体" w:cs="宋体" w:eastAsia="宋体" w:hint="default"/>
                <w:sz w:val="18"/>
                <w:szCs w:val="18"/>
              </w:rPr>
              <w:t>占预付款项</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30"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35"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2463"/>
        <w:gridCol w:w="1757"/>
        <w:gridCol w:w="991"/>
        <w:gridCol w:w="1562"/>
        <w:gridCol w:w="1772"/>
      </w:tblGrid>
      <w:tr>
        <w:trPr>
          <w:trHeight w:val="345" w:hRule="exact"/>
        </w:trPr>
        <w:tc>
          <w:tcPr>
            <w:tcW w:w="2463"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总额的比例</w:t>
            </w:r>
          </w:p>
        </w:tc>
        <w:tc>
          <w:tcPr>
            <w:tcW w:w="156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26,597,065.19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9" w:right="0"/>
              <w:jc w:val="center"/>
              <w:rPr>
                <w:rFonts w:ascii="Times New Roman" w:hAnsi="Times New Roman" w:cs="Times New Roman" w:eastAsia="Times New Roman" w:hint="default"/>
                <w:sz w:val="18"/>
                <w:szCs w:val="18"/>
              </w:rPr>
            </w:pPr>
            <w:r>
              <w:rPr>
                <w:rFonts w:ascii="Times New Roman"/>
                <w:sz w:val="18"/>
              </w:rPr>
              <w:t>14.77%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49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345"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14,456,184.22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9" w:right="0"/>
              <w:jc w:val="center"/>
              <w:rPr>
                <w:rFonts w:ascii="Times New Roman" w:hAnsi="Times New Roman" w:cs="Times New Roman" w:eastAsia="Times New Roman" w:hint="default"/>
                <w:sz w:val="18"/>
                <w:szCs w:val="18"/>
              </w:rPr>
            </w:pPr>
            <w:r>
              <w:rPr>
                <w:rFonts w:ascii="Times New Roman"/>
                <w:sz w:val="18"/>
              </w:rPr>
              <w:t>8.03%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49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360"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13,545,600.00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9" w:right="0"/>
              <w:jc w:val="center"/>
              <w:rPr>
                <w:rFonts w:ascii="Times New Roman" w:hAnsi="Times New Roman" w:cs="Times New Roman" w:eastAsia="Times New Roman" w:hint="default"/>
                <w:sz w:val="18"/>
                <w:szCs w:val="18"/>
              </w:rPr>
            </w:pPr>
            <w:r>
              <w:rPr>
                <w:rFonts w:ascii="Times New Roman"/>
                <w:sz w:val="18"/>
              </w:rPr>
              <w:t>7.52%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49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346"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12,000,000.00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9" w:right="0"/>
              <w:jc w:val="center"/>
              <w:rPr>
                <w:rFonts w:ascii="Times New Roman" w:hAnsi="Times New Roman" w:cs="Times New Roman" w:eastAsia="Times New Roman" w:hint="default"/>
                <w:sz w:val="18"/>
                <w:szCs w:val="18"/>
              </w:rPr>
            </w:pPr>
            <w:r>
              <w:rPr>
                <w:rFonts w:ascii="Times New Roman"/>
                <w:sz w:val="18"/>
              </w:rPr>
              <w:t>6.66%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49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360"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10,922,000.00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9" w:right="0"/>
              <w:jc w:val="center"/>
              <w:rPr>
                <w:rFonts w:ascii="Times New Roman" w:hAnsi="Times New Roman" w:cs="Times New Roman" w:eastAsia="Times New Roman" w:hint="default"/>
                <w:sz w:val="18"/>
                <w:szCs w:val="18"/>
              </w:rPr>
            </w:pPr>
            <w:r>
              <w:rPr>
                <w:rFonts w:ascii="Times New Roman"/>
                <w:sz w:val="18"/>
              </w:rPr>
              <w:t>6.06%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49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360"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合计</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77,520,849.41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9" w:right="0"/>
              <w:jc w:val="center"/>
              <w:rPr>
                <w:rFonts w:ascii="Times New Roman" w:hAnsi="Times New Roman" w:cs="Times New Roman" w:eastAsia="Times New Roman" w:hint="default"/>
                <w:sz w:val="18"/>
                <w:szCs w:val="18"/>
              </w:rPr>
            </w:pPr>
            <w:r>
              <w:rPr>
                <w:rFonts w:ascii="Times New Roman"/>
                <w:sz w:val="18"/>
              </w:rPr>
              <w:t>43.04%</w:t>
            </w:r>
          </w:p>
        </w:tc>
        <w:tc>
          <w:tcPr>
            <w:tcW w:w="156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3"/>
        <w:rPr>
          <w:rFonts w:ascii="宋体" w:hAnsi="宋体" w:cs="宋体" w:eastAsia="宋体" w:hint="default"/>
          <w:b/>
          <w:bCs/>
          <w:sz w:val="22"/>
          <w:szCs w:val="22"/>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8、其他应收款" w:id="255"/>
      <w:bookmarkEnd w:id="255"/>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256,662,983.95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236,141,652.92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256,662,983.95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236,141,652.92</w:t>
            </w:r>
          </w:p>
        </w:tc>
      </w:tr>
    </w:tbl>
    <w:p>
      <w:pPr>
        <w:spacing w:line="240" w:lineRule="auto" w:before="11"/>
        <w:rPr>
          <w:rFonts w:ascii="宋体" w:hAnsi="宋体" w:cs="宋体" w:eastAsia="宋体" w:hint="default"/>
          <w:sz w:val="19"/>
          <w:szCs w:val="19"/>
        </w:rPr>
      </w:pPr>
    </w:p>
    <w:p>
      <w:pPr>
        <w:pStyle w:val="Heading3"/>
        <w:spacing w:line="508" w:lineRule="auto" w:before="35"/>
        <w:ind w:right="9129"/>
        <w:jc w:val="left"/>
        <w:rPr>
          <w:b w:val="0"/>
          <w:bCs w:val="0"/>
        </w:rPr>
      </w:pPr>
      <w:bookmarkStart w:name="（1）应收利息" w:id="256"/>
      <w:bookmarkEnd w:id="256"/>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257"/>
      <w:bookmarkEnd w:id="257"/>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7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重要逾期利息" w:id="258"/>
      <w:bookmarkEnd w:id="258"/>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2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3）坏账准备计提情况" w:id="259"/>
      <w:bookmarkEnd w:id="25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508" w:lineRule="auto"/>
        <w:ind w:right="9129"/>
        <w:jc w:val="left"/>
        <w:rPr>
          <w:b w:val="0"/>
          <w:bCs w:val="0"/>
        </w:rPr>
      </w:pPr>
      <w:bookmarkStart w:name="（2）应收股利" w:id="260"/>
      <w:bookmarkEnd w:id="260"/>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261"/>
      <w:bookmarkEnd w:id="261"/>
      <w:r>
        <w:rPr>
          <w:w w:val="99"/>
        </w:rPr>
      </w:r>
      <w:r>
        <w:rPr>
          <w:rFonts w:ascii="Times New Roman" w:hAnsi="Times New Roman" w:cs="Times New Roman" w:eastAsia="Times New Roman" w:hint="default"/>
          <w:w w:val="95"/>
        </w:rPr>
        <w:t>1</w:t>
      </w:r>
      <w:r>
        <w:rPr>
          <w:w w:val="95"/>
        </w:rPr>
        <w:t>）应收股利分类</w:t>
      </w:r>
      <w:r>
        <w:rPr>
          <w:b w:val="0"/>
          <w:bCs w:val="0"/>
        </w:rPr>
      </w:r>
    </w:p>
    <w:p>
      <w:pPr>
        <w:pStyle w:val="BodyText"/>
        <w:spacing w:line="240" w:lineRule="auto" w:before="6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重要的账龄超过1年的应收股利" w:id="262"/>
      <w:bookmarkEnd w:id="262"/>
      <w:r>
        <w:rPr>
          <w:b w:val="0"/>
          <w:bCs w:val="0"/>
        </w:rPr>
      </w:r>
      <w:r>
        <w:rPr>
          <w:rFonts w:ascii="Times New Roman" w:hAnsi="Times New Roman" w:cs="Times New Roman" w:eastAsia="Times New Roman" w:hint="default"/>
        </w:rPr>
        <w:t>2</w:t>
      </w:r>
      <w:r>
        <w:rPr/>
        <w:t>）重要的账龄超过</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坏账准备计提情况" w:id="263"/>
      <w:bookmarkEnd w:id="26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3"/>
        <w:rPr>
          <w:rFonts w:ascii="宋体" w:hAnsi="宋体" w:cs="宋体" w:eastAsia="宋体" w:hint="default"/>
          <w:sz w:val="24"/>
          <w:szCs w:val="24"/>
        </w:rPr>
      </w:pPr>
    </w:p>
    <w:p>
      <w:pPr>
        <w:pStyle w:val="Heading3"/>
        <w:spacing w:line="508" w:lineRule="auto"/>
        <w:ind w:right="7481"/>
        <w:jc w:val="left"/>
        <w:rPr>
          <w:b w:val="0"/>
          <w:bCs w:val="0"/>
        </w:rPr>
      </w:pPr>
      <w:bookmarkStart w:name="（3）其他应收款" w:id="264"/>
      <w:bookmarkEnd w:id="264"/>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265"/>
      <w:bookmarkEnd w:id="265"/>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6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应收单位</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454,361,772.64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394,240,798.33</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应收个人</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532,759.39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426,816.34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454,894,532.03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394,667,614.67</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坏账准备计提情况" w:id="266"/>
      <w:bookmarkEnd w:id="26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15"/>
        <w:gridCol w:w="1652"/>
        <w:gridCol w:w="2103"/>
        <w:gridCol w:w="2102"/>
        <w:gridCol w:w="1802"/>
      </w:tblGrid>
      <w:tr>
        <w:trPr>
          <w:trHeight w:val="405"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5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7"/>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8"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652"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8,193,954.59</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150,332,007.16</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158,525,961.75</w:t>
            </w:r>
          </w:p>
        </w:tc>
      </w:tr>
      <w:tr>
        <w:trPr>
          <w:trHeight w:val="158" w:hRule="exact"/>
        </w:trPr>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60"/>
              <w:ind w:left="7"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405" w:hRule="exact"/>
        </w:trPr>
        <w:tc>
          <w:tcPr>
            <w:tcW w:w="1915" w:type="dxa"/>
            <w:vMerge/>
            <w:tcBorders>
              <w:left w:val="single" w:sz="6" w:space="0" w:color="000000"/>
              <w:right w:val="single" w:sz="6" w:space="0" w:color="000000"/>
            </w:tcBorders>
            <w:shd w:val="clear" w:color="auto" w:fill="D2D2D2"/>
          </w:tcPr>
          <w:p>
            <w:pPr/>
          </w:p>
        </w:tc>
        <w:tc>
          <w:tcPr>
            <w:tcW w:w="165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15"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-4,924,936.91</w:t>
            </w:r>
            <w:r>
              <w:rPr>
                <w:rFonts w:ascii="Times New Roman"/>
                <w:sz w:val="18"/>
              </w:rPr>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4,924,936.91</w:t>
            </w: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1,762,036.58</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37,943,549.75</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39,705,586.33</w:t>
            </w:r>
          </w:p>
        </w:tc>
      </w:tr>
      <w:tr>
        <w:trPr>
          <w:trHeight w:val="391"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5,031,054.26</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193,200,493.82</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198,231,548.08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ind w:right="-20"/>
        <w:jc w:val="left"/>
      </w:pPr>
      <w:r>
        <w:rPr/>
        <w:t>损失准备本期变动金额重大的账面余额变动情况</w:t>
      </w:r>
    </w:p>
    <w:p>
      <w:pPr>
        <w:pStyle w:val="BodyText"/>
        <w:spacing w:line="331" w:lineRule="auto" w:before="125"/>
        <w:ind w:right="1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 元</w:t>
      </w:r>
    </w:p>
    <w:p>
      <w:pPr>
        <w:spacing w:after="0" w:line="240" w:lineRule="auto"/>
        <w:jc w:val="left"/>
        <w:sectPr>
          <w:type w:val="continuous"/>
          <w:pgSz w:w="11910" w:h="16850"/>
          <w:pgMar w:top="1040" w:bottom="1180" w:left="1000" w:right="0"/>
          <w:cols w:num="2" w:equalWidth="0">
            <w:col w:w="3922" w:space="4924"/>
            <w:col w:w="206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84"/>
        <w:gridCol w:w="4791"/>
      </w:tblGrid>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6"/>
              <w:jc w:val="center"/>
              <w:rPr>
                <w:rFonts w:ascii="宋体" w:hAnsi="宋体" w:cs="宋体" w:eastAsia="宋体" w:hint="default"/>
                <w:sz w:val="18"/>
                <w:szCs w:val="18"/>
              </w:rPr>
            </w:pPr>
            <w:r>
              <w:rPr>
                <w:rFonts w:ascii="宋体" w:hAnsi="宋体" w:cs="宋体" w:eastAsia="宋体" w:hint="default"/>
                <w:sz w:val="18"/>
                <w:szCs w:val="18"/>
              </w:rPr>
              <w:t>账龄</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246,759,536.89</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7,287,216.91</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61,646,467.30</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139,201,310.93</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132,683,209.30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23,038.10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3896"/>
              <w:jc w:val="righ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6,495,063.53</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454,894,532.03</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收回或转回的坏账准备情况" w:id="267"/>
      <w:bookmarkEnd w:id="26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12"/>
        <w:gridCol w:w="1112"/>
        <w:gridCol w:w="1186"/>
        <w:gridCol w:w="1307"/>
        <w:gridCol w:w="1096"/>
        <w:gridCol w:w="1742"/>
        <w:gridCol w:w="1727"/>
      </w:tblGrid>
      <w:tr>
        <w:trPr>
          <w:trHeight w:val="406"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1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12"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其他</w:t>
            </w:r>
          </w:p>
        </w:tc>
        <w:tc>
          <w:tcPr>
            <w:tcW w:w="172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19"/>
              <w:jc w:val="left"/>
              <w:rPr>
                <w:rFonts w:ascii="宋体" w:hAnsi="宋体" w:cs="宋体" w:eastAsia="宋体" w:hint="default"/>
                <w:sz w:val="18"/>
                <w:szCs w:val="18"/>
              </w:rPr>
            </w:pPr>
            <w:r>
              <w:rPr>
                <w:rFonts w:ascii="宋体" w:hAnsi="宋体" w:cs="宋体" w:eastAsia="宋体" w:hint="default"/>
                <w:sz w:val="18"/>
                <w:szCs w:val="18"/>
              </w:rPr>
              <w:t>其他应收款坏账 准备</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158,525,961.7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39,705,586.33</w:t>
            </w:r>
          </w:p>
        </w:tc>
        <w:tc>
          <w:tcPr>
            <w:tcW w:w="1307"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198,231,548.08</w:t>
            </w:r>
          </w:p>
        </w:tc>
      </w:tr>
      <w:tr>
        <w:trPr>
          <w:trHeight w:val="720"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158,525,961.7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39,705,586.33</w:t>
            </w:r>
          </w:p>
        </w:tc>
        <w:tc>
          <w:tcPr>
            <w:tcW w:w="1307"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198,231,548.08</w:t>
            </w:r>
          </w:p>
        </w:tc>
      </w:tr>
    </w:tbl>
    <w:p>
      <w:pPr>
        <w:pStyle w:val="BodyText"/>
        <w:spacing w:line="240" w:lineRule="auto" w:before="45"/>
        <w:ind w:right="0"/>
        <w:jc w:val="left"/>
      </w:pPr>
      <w:r>
        <w:rPr/>
        <w:t>其中本期坏账准备转回或收回金额重要的：</w:t>
      </w:r>
    </w:p>
    <w:p>
      <w:pPr>
        <w:pStyle w:val="BodyText"/>
        <w:spacing w:line="240" w:lineRule="auto" w:before="10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本期实际核销的其他应收款情况" w:id="268"/>
      <w:bookmarkEnd w:id="268"/>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t>其中重要的其他应收款核销情况：</w:t>
      </w:r>
    </w:p>
    <w:p>
      <w:pPr>
        <w:pStyle w:val="BodyText"/>
        <w:spacing w:line="240" w:lineRule="auto" w:before="12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按欠款方归集的期末余额前五名的其他应收款情况" w:id="269"/>
      <w:bookmarkEnd w:id="269"/>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5"/>
              <w:ind w:left="75" w:right="6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35" w:right="0"/>
              <w:jc w:val="left"/>
              <w:rPr>
                <w:rFonts w:ascii="Times New Roman" w:hAnsi="Times New Roman" w:cs="Times New Roman" w:eastAsia="Times New Roman" w:hint="default"/>
                <w:sz w:val="18"/>
                <w:szCs w:val="18"/>
              </w:rPr>
            </w:pPr>
            <w:r>
              <w:rPr>
                <w:rFonts w:ascii="Times New Roman"/>
                <w:sz w:val="18"/>
              </w:rPr>
              <w:t>187,915,008.95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20" w:right="0"/>
              <w:jc w:val="left"/>
              <w:rPr>
                <w:rFonts w:ascii="Times New Roman" w:hAnsi="Times New Roman" w:cs="Times New Roman" w:eastAsia="Times New Roman" w:hint="default"/>
                <w:sz w:val="18"/>
                <w:szCs w:val="18"/>
              </w:rPr>
            </w:pPr>
            <w:r>
              <w:rPr>
                <w:rFonts w:ascii="Times New Roman"/>
                <w:sz w:val="18"/>
              </w:rPr>
              <w:t>41.31%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0" w:right="0"/>
              <w:jc w:val="left"/>
              <w:rPr>
                <w:rFonts w:ascii="Times New Roman" w:hAnsi="Times New Roman" w:cs="Times New Roman" w:eastAsia="Times New Roman" w:hint="default"/>
                <w:sz w:val="18"/>
                <w:szCs w:val="18"/>
              </w:rPr>
            </w:pPr>
            <w:r>
              <w:rPr>
                <w:rFonts w:ascii="Times New Roman"/>
                <w:sz w:val="18"/>
              </w:rPr>
              <w:t>187,915,008.95</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166,183,467.24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36.53%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1,661,834.68</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12,054,647.92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2.65%</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120,546.48</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9,983,380.39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2.19%</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99,833.80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8,227,701.20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1.81%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82,277.01</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384,364,205.70</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84.49%</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189,879,500.92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70"/>
      <w:bookmarkEnd w:id="270"/>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7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691" w:right="45"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271"/>
      <w:bookmarkEnd w:id="271"/>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272"/>
      <w:bookmarkEnd w:id="272"/>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9、存货" w:id="273"/>
      <w:bookmarkEnd w:id="273"/>
      <w:r>
        <w:rPr>
          <w:b w:val="0"/>
          <w:bCs w:val="0"/>
        </w:rPr>
      </w:r>
      <w:r>
        <w:rPr>
          <w:rFonts w:ascii="Times New Roman" w:hAnsi="Times New Roman" w:cs="Times New Roman" w:eastAsia="Times New Roman" w:hint="default"/>
        </w:rPr>
        <w:t>9</w:t>
      </w:r>
      <w:r>
        <w:rPr/>
        <w:t>、存货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pStyle w:val="BodyText"/>
        <w:spacing w:line="240" w:lineRule="auto" w:before="12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1）存货分类" w:id="274"/>
      <w:bookmarkEnd w:id="27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406"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97,826,272.16</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97,826,272.16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235,911,087.36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235,911,087.36</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452,363.73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452,363.73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7,437,987.88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7,437,987.88</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98,278,635.89</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98,278,635.89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243,349,075.24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243,349,075.24</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75"/>
      <w:bookmarkEnd w:id="27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3）存货期末余额含有借款费用资本化金额的说明" w:id="276"/>
      <w:bookmarkEnd w:id="27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77"/>
      <w:bookmarkEnd w:id="27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10、合同资产" w:id="278"/>
      <w:bookmarkEnd w:id="278"/>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132"/>
        <w:gridCol w:w="1202"/>
        <w:gridCol w:w="1321"/>
        <w:gridCol w:w="1202"/>
        <w:gridCol w:w="1201"/>
        <w:gridCol w:w="1202"/>
        <w:gridCol w:w="1326"/>
      </w:tblGrid>
      <w:tr>
        <w:trPr>
          <w:trHeight w:val="391"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2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5"/>
        <w:ind w:right="0"/>
        <w:jc w:val="left"/>
      </w:pPr>
      <w:r>
        <w:rPr/>
        <w:t>合同资产的账面价值在本期内发生的重大变动金额和原因：</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405"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45"/>
        <w:ind w:right="0"/>
        <w:jc w:val="left"/>
      </w:pPr>
      <w:r>
        <w:rPr/>
        <w:t>如是按照预期信用损失一般模型计提合同资产坏账准备，请参照其他应收款的披露方式披露坏账准备的相关信息：</w:t>
      </w:r>
    </w:p>
    <w:p>
      <w:pPr>
        <w:pStyle w:val="BodyText"/>
        <w:spacing w:line="319" w:lineRule="auto" w:before="124"/>
        <w:ind w:right="82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本期合同资产计提减值准备情况</w:t>
      </w:r>
    </w:p>
    <w:p>
      <w:pPr>
        <w:pStyle w:val="BodyText"/>
        <w:spacing w:line="240" w:lineRule="auto" w:before="6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1、持有待售资产" w:id="279"/>
      <w:bookmarkEnd w:id="279"/>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9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2、一年内到期的非流动资产" w:id="280"/>
      <w:bookmarkEnd w:id="28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47,322,713.20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51,086,109.76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47,322,713.20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51,086,109.76</w:t>
            </w:r>
          </w:p>
        </w:tc>
      </w:tr>
    </w:tbl>
    <w:p>
      <w:pPr>
        <w:pStyle w:val="BodyText"/>
        <w:spacing w:line="240" w:lineRule="auto" w:before="60"/>
        <w:ind w:right="0"/>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390"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3、其他流动资产" w:id="281"/>
      <w:bookmarkEnd w:id="28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7,018,631.51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8,710,000.00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11,905,273.03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16,430,222.52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预付利息</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8,595,095.37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6,279,843.75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16,238.38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7,785,743.94</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预缴进口关税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50,535.06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27,585,773.35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39,205,810.21</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4、债权投资" w:id="282"/>
      <w:bookmarkEnd w:id="282"/>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ind w:right="0"/>
        <w:jc w:val="left"/>
      </w:pPr>
      <w:r>
        <w:rPr/>
        <w:t>重要的债权投资</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ind w:right="0"/>
        <w:jc w:val="left"/>
      </w:pPr>
      <w:r>
        <w:rPr/>
        <w:t>减值准备计提情况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5"/>
        <w:ind w:right="0"/>
        <w:jc w:val="left"/>
      </w:pPr>
      <w:r>
        <w:rPr/>
        <w:t>损失准备本期变动金额重大的账面余额变动情况</w:t>
      </w:r>
    </w:p>
    <w:p>
      <w:pPr>
        <w:pStyle w:val="BodyText"/>
        <w:spacing w:line="319" w:lineRule="auto" w:before="12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5、其他债权投资" w:id="283"/>
      <w:bookmarkEnd w:id="283"/>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after="0" w:line="240" w:lineRule="auto"/>
        <w:jc w:val="right"/>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92"/>
        <w:gridCol w:w="1037"/>
        <w:gridCol w:w="1036"/>
        <w:gridCol w:w="1036"/>
        <w:gridCol w:w="1036"/>
        <w:gridCol w:w="1037"/>
        <w:gridCol w:w="1036"/>
        <w:gridCol w:w="1036"/>
        <w:gridCol w:w="1036"/>
      </w:tblGrid>
      <w:tr>
        <w:trPr>
          <w:trHeight w:val="13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40" w:right="59" w:hanging="181"/>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40" w:right="59" w:hanging="181"/>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60"/>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ind w:right="0"/>
        <w:jc w:val="left"/>
      </w:pPr>
      <w:r>
        <w:rPr/>
        <w:t>重要的其他债权投资</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ind w:right="0"/>
        <w:jc w:val="left"/>
      </w:pPr>
      <w:r>
        <w:rPr/>
        <w:t>减值准备计提情况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5"/>
        <w:ind w:right="0"/>
        <w:jc w:val="left"/>
      </w:pPr>
      <w:r>
        <w:rPr/>
        <w:t>损失准备本期变动金额重大的账面余额变动情况</w:t>
      </w:r>
    </w:p>
    <w:p>
      <w:pPr>
        <w:pStyle w:val="BodyText"/>
        <w:spacing w:line="333" w:lineRule="auto" w:before="12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16、长期应收款" w:id="284"/>
      <w:bookmarkEnd w:id="284"/>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长期应收款情况" w:id="285"/>
      <w:bookmarkEnd w:id="285"/>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404"/>
        <w:gridCol w:w="1157"/>
        <w:gridCol w:w="1171"/>
        <w:gridCol w:w="1172"/>
        <w:gridCol w:w="1171"/>
        <w:gridCol w:w="1171"/>
        <w:gridCol w:w="1157"/>
        <w:gridCol w:w="1171"/>
      </w:tblGrid>
      <w:tr>
        <w:trPr>
          <w:trHeight w:val="203" w:hRule="exact"/>
        </w:trPr>
        <w:tc>
          <w:tcPr>
            <w:tcW w:w="1404" w:type="dxa"/>
            <w:tcBorders>
              <w:top w:val="single" w:sz="6" w:space="0" w:color="000000"/>
              <w:left w:val="single" w:sz="6" w:space="0" w:color="000000"/>
              <w:bottom w:val="nil" w:sz="6" w:space="0" w:color="auto"/>
              <w:right w:val="single" w:sz="6" w:space="0" w:color="000000"/>
            </w:tcBorders>
            <w:shd w:val="clear" w:color="auto" w:fill="D2D2D2"/>
          </w:tcPr>
          <w:p>
            <w:pPr/>
          </w:p>
        </w:tc>
        <w:tc>
          <w:tcPr>
            <w:tcW w:w="3500"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88" w:hRule="exact"/>
        </w:trPr>
        <w:tc>
          <w:tcPr>
            <w:tcW w:w="140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6" w:space="0" w:color="000000"/>
              <w:bottom w:val="single" w:sz="6" w:space="0" w:color="000000"/>
              <w:right w:val="single" w:sz="6" w:space="0" w:color="000000"/>
            </w:tcBorders>
            <w:shd w:val="clear" w:color="auto" w:fill="D2D2D2"/>
          </w:tcPr>
          <w:p>
            <w:pPr/>
          </w:p>
        </w:tc>
        <w:tc>
          <w:tcPr>
            <w:tcW w:w="3499" w:type="dxa"/>
            <w:gridSpan w:val="3"/>
            <w:vMerge/>
            <w:tcBorders>
              <w:left w:val="single" w:sz="6" w:space="0" w:color="000000"/>
              <w:bottom w:val="single" w:sz="6" w:space="0" w:color="000000"/>
              <w:right w:val="single" w:sz="6" w:space="0" w:color="000000"/>
            </w:tcBorders>
            <w:shd w:val="clear" w:color="auto" w:fill="D2D2D2"/>
          </w:tcPr>
          <w:p>
            <w:pPr/>
          </w:p>
        </w:tc>
        <w:tc>
          <w:tcPr>
            <w:tcW w:w="11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3" w:hRule="exact"/>
        </w:trPr>
        <w:tc>
          <w:tcPr>
            <w:tcW w:w="1404" w:type="dxa"/>
            <w:vMerge/>
            <w:tcBorders>
              <w:left w:val="single" w:sz="6" w:space="0" w:color="000000"/>
              <w:bottom w:val="nil" w:sz="6" w:space="0" w:color="auto"/>
              <w:right w:val="single" w:sz="6" w:space="0" w:color="000000"/>
            </w:tcBorders>
            <w:shd w:val="clear" w:color="auto" w:fill="D2D2D2"/>
          </w:tcPr>
          <w:p>
            <w:pPr/>
          </w:p>
        </w:tc>
        <w:tc>
          <w:tcPr>
            <w:tcW w:w="115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vMerge/>
            <w:tcBorders>
              <w:left w:val="single" w:sz="6" w:space="0" w:color="000000"/>
              <w:bottom w:val="nil" w:sz="6" w:space="0" w:color="auto"/>
              <w:right w:val="single" w:sz="6" w:space="0" w:color="000000"/>
            </w:tcBorders>
            <w:shd w:val="clear" w:color="auto" w:fill="D2D2D2"/>
          </w:tcPr>
          <w:p>
            <w:pPr/>
          </w:p>
        </w:tc>
      </w:tr>
      <w:tr>
        <w:trPr>
          <w:trHeight w:val="203" w:hRule="exact"/>
        </w:trPr>
        <w:tc>
          <w:tcPr>
            <w:tcW w:w="140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57" w:type="dxa"/>
            <w:vMerge/>
            <w:tcBorders>
              <w:left w:val="single" w:sz="6" w:space="0" w:color="000000"/>
              <w:bottom w:val="single" w:sz="6" w:space="0" w:color="000000"/>
              <w:right w:val="single" w:sz="6" w:space="0" w:color="000000"/>
            </w:tcBorders>
            <w:shd w:val="clear" w:color="auto" w:fill="D2D2D2"/>
          </w:tcPr>
          <w:p>
            <w:pPr/>
          </w:p>
        </w:tc>
        <w:tc>
          <w:tcPr>
            <w:tcW w:w="1171"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71" w:type="dxa"/>
            <w:vMerge/>
            <w:tcBorders>
              <w:left w:val="single" w:sz="6" w:space="0" w:color="000000"/>
              <w:bottom w:val="single" w:sz="6" w:space="0" w:color="000000"/>
              <w:right w:val="single" w:sz="6" w:space="0" w:color="000000"/>
            </w:tcBorders>
            <w:shd w:val="clear" w:color="auto" w:fill="D2D2D2"/>
          </w:tcPr>
          <w:p>
            <w:pPr/>
          </w:p>
        </w:tc>
        <w:tc>
          <w:tcPr>
            <w:tcW w:w="1171" w:type="dxa"/>
            <w:vMerge/>
            <w:tcBorders>
              <w:left w:val="single" w:sz="6" w:space="0" w:color="000000"/>
              <w:bottom w:val="single" w:sz="6" w:space="0" w:color="000000"/>
              <w:right w:val="single" w:sz="6" w:space="0" w:color="000000"/>
            </w:tcBorders>
            <w:shd w:val="clear" w:color="auto" w:fill="D2D2D2"/>
          </w:tcPr>
          <w:p>
            <w:pPr/>
          </w:p>
        </w:tc>
        <w:tc>
          <w:tcPr>
            <w:tcW w:w="1157"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7" w:hRule="exact"/>
        </w:trPr>
        <w:tc>
          <w:tcPr>
            <w:tcW w:w="140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57" w:type="dxa"/>
            <w:vMerge w:val="restart"/>
            <w:tcBorders>
              <w:top w:val="single" w:sz="6" w:space="0" w:color="000000"/>
              <w:left w:val="single" w:sz="12" w:space="0" w:color="D2D2D2"/>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100,516,018.3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1" w:type="dxa"/>
            <w:vMerge w:val="restart"/>
            <w:tcBorders>
              <w:top w:val="single" w:sz="6" w:space="0" w:color="000000"/>
              <w:left w:val="single" w:sz="6" w:space="0" w:color="000000"/>
              <w:right w:val="single" w:sz="6" w:space="0" w:color="000000"/>
            </w:tcBorders>
          </w:tcPr>
          <w:p>
            <w:pPr/>
          </w:p>
        </w:tc>
        <w:tc>
          <w:tcPr>
            <w:tcW w:w="1172" w:type="dxa"/>
            <w:vMerge w:val="restart"/>
            <w:tcBorders>
              <w:top w:val="single" w:sz="6" w:space="0" w:color="000000"/>
              <w:left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100,516,018.3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1" w:type="dxa"/>
            <w:vMerge w:val="restart"/>
            <w:tcBorders>
              <w:top w:val="single" w:sz="6" w:space="0" w:color="000000"/>
              <w:left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148,198,007.8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w:t>
            </w:r>
          </w:p>
        </w:tc>
        <w:tc>
          <w:tcPr>
            <w:tcW w:w="1171" w:type="dxa"/>
            <w:vMerge w:val="restart"/>
            <w:tcBorders>
              <w:top w:val="single" w:sz="6" w:space="0" w:color="000000"/>
              <w:left w:val="single" w:sz="6" w:space="0" w:color="000000"/>
              <w:right w:val="single" w:sz="6" w:space="0" w:color="000000"/>
            </w:tcBorders>
          </w:tcPr>
          <w:p>
            <w:pPr/>
          </w:p>
        </w:tc>
        <w:tc>
          <w:tcPr>
            <w:tcW w:w="1157" w:type="dxa"/>
            <w:vMerge w:val="restart"/>
            <w:tcBorders>
              <w:top w:val="single" w:sz="6" w:space="0" w:color="000000"/>
              <w:left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148,198,007.8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w:t>
            </w:r>
          </w:p>
        </w:tc>
        <w:tc>
          <w:tcPr>
            <w:tcW w:w="1171" w:type="dxa"/>
            <w:vMerge w:val="restart"/>
            <w:tcBorders>
              <w:top w:val="single" w:sz="6" w:space="0" w:color="000000"/>
              <w:left w:val="single" w:sz="6" w:space="0" w:color="000000"/>
              <w:right w:val="single" w:sz="6" w:space="0" w:color="000000"/>
            </w:tcBorders>
          </w:tcPr>
          <w:p>
            <w:pPr/>
          </w:p>
        </w:tc>
      </w:tr>
      <w:tr>
        <w:trPr>
          <w:trHeight w:val="390" w:hRule="exact"/>
        </w:trPr>
        <w:tc>
          <w:tcPr>
            <w:tcW w:w="140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57" w:type="dxa"/>
            <w:vMerge/>
            <w:tcBorders>
              <w:left w:val="single" w:sz="12" w:space="0" w:color="D2D2D2"/>
              <w:right w:val="single" w:sz="6" w:space="0" w:color="000000"/>
            </w:tcBorders>
          </w:tcPr>
          <w:p>
            <w:pPr/>
          </w:p>
        </w:tc>
        <w:tc>
          <w:tcPr>
            <w:tcW w:w="1171" w:type="dxa"/>
            <w:vMerge/>
            <w:tcBorders>
              <w:left w:val="single" w:sz="6" w:space="0" w:color="000000"/>
              <w:right w:val="single" w:sz="6" w:space="0" w:color="000000"/>
            </w:tcBorders>
          </w:tcPr>
          <w:p>
            <w:pPr/>
          </w:p>
        </w:tc>
        <w:tc>
          <w:tcPr>
            <w:tcW w:w="1172" w:type="dxa"/>
            <w:vMerge/>
            <w:tcBorders>
              <w:left w:val="single" w:sz="6" w:space="0" w:color="000000"/>
              <w:right w:val="single" w:sz="6" w:space="0" w:color="000000"/>
            </w:tcBorders>
          </w:tcPr>
          <w:p>
            <w:pPr/>
          </w:p>
        </w:tc>
        <w:tc>
          <w:tcPr>
            <w:tcW w:w="1171" w:type="dxa"/>
            <w:vMerge/>
            <w:tcBorders>
              <w:left w:val="single" w:sz="6" w:space="0" w:color="000000"/>
              <w:right w:val="single" w:sz="6" w:space="0" w:color="000000"/>
            </w:tcBorders>
          </w:tcPr>
          <w:p>
            <w:pPr/>
          </w:p>
        </w:tc>
        <w:tc>
          <w:tcPr>
            <w:tcW w:w="1171" w:type="dxa"/>
            <w:vMerge/>
            <w:tcBorders>
              <w:left w:val="single" w:sz="6" w:space="0" w:color="000000"/>
              <w:right w:val="single" w:sz="6" w:space="0" w:color="000000"/>
            </w:tcBorders>
          </w:tcPr>
          <w:p>
            <w:pPr/>
          </w:p>
        </w:tc>
        <w:tc>
          <w:tcPr>
            <w:tcW w:w="1157" w:type="dxa"/>
            <w:vMerge/>
            <w:tcBorders>
              <w:left w:val="single" w:sz="6" w:space="0" w:color="000000"/>
              <w:right w:val="single" w:sz="6" w:space="0" w:color="000000"/>
            </w:tcBorders>
          </w:tcPr>
          <w:p>
            <w:pPr/>
          </w:p>
        </w:tc>
        <w:tc>
          <w:tcPr>
            <w:tcW w:w="1171" w:type="dxa"/>
            <w:vMerge/>
            <w:tcBorders>
              <w:left w:val="single" w:sz="6" w:space="0" w:color="000000"/>
              <w:right w:val="single" w:sz="6" w:space="0" w:color="000000"/>
            </w:tcBorders>
          </w:tcPr>
          <w:p>
            <w:pPr/>
          </w:p>
        </w:tc>
      </w:tr>
      <w:tr>
        <w:trPr>
          <w:trHeight w:val="173" w:hRule="exact"/>
        </w:trPr>
        <w:tc>
          <w:tcPr>
            <w:tcW w:w="140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57" w:type="dxa"/>
            <w:vMerge/>
            <w:tcBorders>
              <w:left w:val="single" w:sz="12" w:space="0" w:color="D2D2D2"/>
              <w:bottom w:val="single" w:sz="6" w:space="0" w:color="000000"/>
              <w:right w:val="single" w:sz="6" w:space="0" w:color="000000"/>
            </w:tcBorders>
          </w:tcPr>
          <w:p>
            <w:pPr/>
          </w:p>
        </w:tc>
        <w:tc>
          <w:tcPr>
            <w:tcW w:w="1171" w:type="dxa"/>
            <w:vMerge/>
            <w:tcBorders>
              <w:left w:val="single" w:sz="6" w:space="0" w:color="000000"/>
              <w:bottom w:val="single" w:sz="6" w:space="0" w:color="000000"/>
              <w:right w:val="single" w:sz="6" w:space="0" w:color="000000"/>
            </w:tcBorders>
          </w:tcPr>
          <w:p>
            <w:pPr/>
          </w:p>
        </w:tc>
        <w:tc>
          <w:tcPr>
            <w:tcW w:w="1172" w:type="dxa"/>
            <w:vMerge/>
            <w:tcBorders>
              <w:left w:val="single" w:sz="6" w:space="0" w:color="000000"/>
              <w:bottom w:val="single" w:sz="6" w:space="0" w:color="000000"/>
              <w:right w:val="single" w:sz="6" w:space="0" w:color="000000"/>
            </w:tcBorders>
          </w:tcPr>
          <w:p>
            <w:pPr/>
          </w:p>
        </w:tc>
        <w:tc>
          <w:tcPr>
            <w:tcW w:w="1171" w:type="dxa"/>
            <w:vMerge/>
            <w:tcBorders>
              <w:left w:val="single" w:sz="6" w:space="0" w:color="000000"/>
              <w:bottom w:val="single" w:sz="6" w:space="0" w:color="000000"/>
              <w:right w:val="single" w:sz="6" w:space="0" w:color="000000"/>
            </w:tcBorders>
          </w:tcPr>
          <w:p>
            <w:pPr/>
          </w:p>
        </w:tc>
        <w:tc>
          <w:tcPr>
            <w:tcW w:w="1171" w:type="dxa"/>
            <w:vMerge/>
            <w:tcBorders>
              <w:left w:val="single" w:sz="6" w:space="0" w:color="000000"/>
              <w:bottom w:val="single" w:sz="6" w:space="0" w:color="000000"/>
              <w:right w:val="single" w:sz="6" w:space="0" w:color="000000"/>
            </w:tcBorders>
          </w:tcPr>
          <w:p>
            <w:pPr/>
          </w:p>
        </w:tc>
        <w:tc>
          <w:tcPr>
            <w:tcW w:w="1157" w:type="dxa"/>
            <w:vMerge/>
            <w:tcBorders>
              <w:left w:val="single" w:sz="6" w:space="0" w:color="000000"/>
              <w:bottom w:val="single" w:sz="6" w:space="0" w:color="000000"/>
              <w:right w:val="single" w:sz="6" w:space="0" w:color="000000"/>
            </w:tcBorders>
          </w:tcPr>
          <w:p>
            <w:pPr/>
          </w:p>
        </w:tc>
        <w:tc>
          <w:tcPr>
            <w:tcW w:w="1171" w:type="dxa"/>
            <w:vMerge/>
            <w:tcBorders>
              <w:left w:val="single" w:sz="6" w:space="0" w:color="000000"/>
              <w:bottom w:val="single" w:sz="6" w:space="0" w:color="000000"/>
              <w:right w:val="single" w:sz="6" w:space="0" w:color="000000"/>
            </w:tcBorders>
          </w:tcPr>
          <w:p>
            <w:pPr/>
          </w:p>
        </w:tc>
      </w:tr>
      <w:tr>
        <w:trPr>
          <w:trHeight w:val="706" w:hRule="exact"/>
        </w:trPr>
        <w:tc>
          <w:tcPr>
            <w:tcW w:w="14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20"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14,527,351.62</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14,527,351.62</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21,955,612.27</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21,955,612.27</w:t>
            </w:r>
          </w:p>
        </w:tc>
        <w:tc>
          <w:tcPr>
            <w:tcW w:w="1171" w:type="dxa"/>
            <w:tcBorders>
              <w:top w:val="single" w:sz="6" w:space="0" w:color="000000"/>
              <w:left w:val="single" w:sz="6" w:space="0" w:color="000000"/>
              <w:bottom w:val="single" w:sz="6" w:space="0" w:color="000000"/>
              <w:right w:val="single" w:sz="6" w:space="0" w:color="000000"/>
            </w:tcBorders>
          </w:tcPr>
          <w:p>
            <w:pPr/>
          </w:p>
        </w:tc>
      </w:tr>
      <w:tr>
        <w:trPr>
          <w:trHeight w:val="173" w:hRule="exact"/>
        </w:trPr>
        <w:tc>
          <w:tcPr>
            <w:tcW w:w="140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57" w:type="dxa"/>
            <w:vMerge w:val="restart"/>
            <w:tcBorders>
              <w:top w:val="single" w:sz="6" w:space="0" w:color="000000"/>
              <w:left w:val="single" w:sz="12" w:space="0" w:color="D2D2D2"/>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100,516,018.3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1" w:type="dxa"/>
            <w:vMerge w:val="restart"/>
            <w:tcBorders>
              <w:top w:val="single" w:sz="6" w:space="0" w:color="000000"/>
              <w:left w:val="single" w:sz="6" w:space="0" w:color="000000"/>
              <w:right w:val="single" w:sz="6" w:space="0" w:color="000000"/>
            </w:tcBorders>
          </w:tcPr>
          <w:p>
            <w:pPr/>
          </w:p>
        </w:tc>
        <w:tc>
          <w:tcPr>
            <w:tcW w:w="1172"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100,516,018.3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1"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148,198,007.8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9</w:t>
            </w:r>
          </w:p>
        </w:tc>
        <w:tc>
          <w:tcPr>
            <w:tcW w:w="1171" w:type="dxa"/>
            <w:vMerge w:val="restart"/>
            <w:tcBorders>
              <w:top w:val="single" w:sz="6" w:space="0" w:color="000000"/>
              <w:left w:val="single" w:sz="6" w:space="0" w:color="000000"/>
              <w:right w:val="single" w:sz="6" w:space="0" w:color="000000"/>
            </w:tcBorders>
          </w:tcPr>
          <w:p>
            <w:pPr/>
          </w:p>
        </w:tc>
        <w:tc>
          <w:tcPr>
            <w:tcW w:w="1157" w:type="dxa"/>
            <w:vMerge w:val="restart"/>
            <w:tcBorders>
              <w:top w:val="single" w:sz="6" w:space="0" w:color="000000"/>
              <w:left w:val="single" w:sz="6" w:space="0" w:color="000000"/>
              <w:right w:val="single" w:sz="12" w:space="0" w:color="D2D2D2"/>
            </w:tcBorders>
          </w:tcPr>
          <w:p>
            <w:pPr>
              <w:pStyle w:val="TableParagraph"/>
              <w:spacing w:line="240" w:lineRule="auto" w:before="102"/>
              <w:ind w:right="7"/>
              <w:jc w:val="right"/>
              <w:rPr>
                <w:rFonts w:ascii="Times New Roman" w:hAnsi="Times New Roman" w:cs="Times New Roman" w:eastAsia="Times New Roman" w:hint="default"/>
                <w:sz w:val="18"/>
                <w:szCs w:val="18"/>
              </w:rPr>
            </w:pPr>
            <w:r>
              <w:rPr>
                <w:rFonts w:ascii="Times New Roman"/>
                <w:sz w:val="18"/>
              </w:rPr>
              <w:t>148,198,007.8</w:t>
            </w:r>
          </w:p>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z w:val="18"/>
              </w:rPr>
              <w:t>9</w:t>
            </w:r>
          </w:p>
        </w:tc>
        <w:tc>
          <w:tcPr>
            <w:tcW w:w="117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40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7" w:type="dxa"/>
            <w:vMerge/>
            <w:tcBorders>
              <w:left w:val="single" w:sz="12" w:space="0" w:color="D2D2D2"/>
              <w:right w:val="single" w:sz="6" w:space="0" w:color="000000"/>
            </w:tcBorders>
          </w:tcPr>
          <w:p>
            <w:pPr/>
          </w:p>
        </w:tc>
        <w:tc>
          <w:tcPr>
            <w:tcW w:w="1171" w:type="dxa"/>
            <w:vMerge/>
            <w:tcBorders>
              <w:left w:val="single" w:sz="6" w:space="0" w:color="000000"/>
              <w:right w:val="single" w:sz="6" w:space="0" w:color="000000"/>
            </w:tcBorders>
          </w:tcPr>
          <w:p>
            <w:pPr/>
          </w:p>
        </w:tc>
        <w:tc>
          <w:tcPr>
            <w:tcW w:w="1172" w:type="dxa"/>
            <w:vMerge/>
            <w:tcBorders>
              <w:left w:val="single" w:sz="6" w:space="0" w:color="000000"/>
              <w:right w:val="single" w:sz="6" w:space="0" w:color="000000"/>
            </w:tcBorders>
          </w:tcPr>
          <w:p>
            <w:pPr/>
          </w:p>
        </w:tc>
        <w:tc>
          <w:tcPr>
            <w:tcW w:w="1171" w:type="dxa"/>
            <w:vMerge/>
            <w:tcBorders>
              <w:left w:val="single" w:sz="6" w:space="0" w:color="000000"/>
              <w:right w:val="single" w:sz="6" w:space="0" w:color="000000"/>
            </w:tcBorders>
          </w:tcPr>
          <w:p>
            <w:pPr/>
          </w:p>
        </w:tc>
        <w:tc>
          <w:tcPr>
            <w:tcW w:w="1171" w:type="dxa"/>
            <w:vMerge/>
            <w:tcBorders>
              <w:left w:val="single" w:sz="6" w:space="0" w:color="000000"/>
              <w:right w:val="single" w:sz="6" w:space="0" w:color="000000"/>
            </w:tcBorders>
          </w:tcPr>
          <w:p>
            <w:pPr/>
          </w:p>
        </w:tc>
        <w:tc>
          <w:tcPr>
            <w:tcW w:w="1157" w:type="dxa"/>
            <w:vMerge/>
            <w:tcBorders>
              <w:left w:val="single" w:sz="6" w:space="0" w:color="000000"/>
              <w:right w:val="single" w:sz="12" w:space="0" w:color="D2D2D2"/>
            </w:tcBorders>
          </w:tcPr>
          <w:p>
            <w:pPr/>
          </w:p>
        </w:tc>
        <w:tc>
          <w:tcPr>
            <w:tcW w:w="117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140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57" w:type="dxa"/>
            <w:vMerge/>
            <w:tcBorders>
              <w:left w:val="single" w:sz="12" w:space="0" w:color="D2D2D2"/>
              <w:bottom w:val="single" w:sz="6" w:space="0" w:color="000000"/>
              <w:right w:val="single" w:sz="6" w:space="0" w:color="000000"/>
            </w:tcBorders>
          </w:tcPr>
          <w:p>
            <w:pPr/>
          </w:p>
        </w:tc>
        <w:tc>
          <w:tcPr>
            <w:tcW w:w="1171" w:type="dxa"/>
            <w:vMerge/>
            <w:tcBorders>
              <w:left w:val="single" w:sz="6" w:space="0" w:color="000000"/>
              <w:bottom w:val="single" w:sz="6" w:space="0" w:color="000000"/>
              <w:right w:val="single" w:sz="6" w:space="0" w:color="000000"/>
            </w:tcBorders>
          </w:tcPr>
          <w:p>
            <w:pPr/>
          </w:p>
        </w:tc>
        <w:tc>
          <w:tcPr>
            <w:tcW w:w="1172" w:type="dxa"/>
            <w:vMerge/>
            <w:tcBorders>
              <w:left w:val="single" w:sz="6" w:space="0" w:color="000000"/>
              <w:bottom w:val="single" w:sz="6" w:space="0" w:color="000000"/>
              <w:right w:val="single" w:sz="6" w:space="0" w:color="000000"/>
            </w:tcBorders>
          </w:tcPr>
          <w:p>
            <w:pPr/>
          </w:p>
        </w:tc>
        <w:tc>
          <w:tcPr>
            <w:tcW w:w="1171" w:type="dxa"/>
            <w:vMerge/>
            <w:tcBorders>
              <w:left w:val="single" w:sz="6" w:space="0" w:color="000000"/>
              <w:bottom w:val="single" w:sz="6" w:space="0" w:color="000000"/>
              <w:right w:val="single" w:sz="6" w:space="0" w:color="000000"/>
            </w:tcBorders>
          </w:tcPr>
          <w:p>
            <w:pPr/>
          </w:p>
        </w:tc>
        <w:tc>
          <w:tcPr>
            <w:tcW w:w="1171" w:type="dxa"/>
            <w:vMerge/>
            <w:tcBorders>
              <w:left w:val="single" w:sz="6" w:space="0" w:color="000000"/>
              <w:bottom w:val="single" w:sz="6" w:space="0" w:color="000000"/>
              <w:right w:val="single" w:sz="6" w:space="0" w:color="000000"/>
            </w:tcBorders>
          </w:tcPr>
          <w:p>
            <w:pPr/>
          </w:p>
        </w:tc>
        <w:tc>
          <w:tcPr>
            <w:tcW w:w="1157" w:type="dxa"/>
            <w:vMerge/>
            <w:tcBorders>
              <w:left w:val="single" w:sz="6" w:space="0" w:color="000000"/>
              <w:bottom w:val="single" w:sz="6" w:space="0" w:color="000000"/>
              <w:right w:val="single" w:sz="12" w:space="0" w:color="D2D2D2"/>
            </w:tcBorders>
          </w:tcPr>
          <w:p>
            <w:pPr/>
          </w:p>
        </w:tc>
        <w:tc>
          <w:tcPr>
            <w:tcW w:w="1171" w:type="dxa"/>
            <w:tcBorders>
              <w:top w:val="nil" w:sz="6" w:space="0" w:color="auto"/>
              <w:left w:val="single" w:sz="6" w:space="0" w:color="000000"/>
              <w:bottom w:val="single" w:sz="6" w:space="0" w:color="000000"/>
              <w:right w:val="single" w:sz="6" w:space="0" w:color="000000"/>
            </w:tcBorders>
            <w:shd w:val="clear" w:color="auto" w:fill="D2D2D2"/>
          </w:tcPr>
          <w:p>
            <w:pPr/>
          </w:p>
        </w:tc>
      </w:tr>
    </w:tbl>
    <w:p>
      <w:pPr>
        <w:pStyle w:val="BodyText"/>
        <w:spacing w:line="240" w:lineRule="auto"/>
        <w:ind w:right="0"/>
        <w:jc w:val="left"/>
      </w:pPr>
      <w:r>
        <w:rPr/>
        <w:t>坏账准备减值情况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37"/>
        <w:gridCol w:w="2118"/>
        <w:gridCol w:w="2102"/>
        <w:gridCol w:w="180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40" w:right="44"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36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损失准备本期变动金额重大的账面余额变动情况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因金融资产转移而终止确认的长期应收款" w:id="286"/>
      <w:bookmarkEnd w:id="286"/>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87"/>
      <w:bookmarkEnd w:id="287"/>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7、长期股权投资" w:id="288"/>
      <w:bookmarkEnd w:id="288"/>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391"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5"/>
              <w:ind w:left="285" w:right="4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5"/>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35"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07"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07"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07"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0"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8、其他权益工具投资" w:id="289"/>
      <w:bookmarkEnd w:id="289"/>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分项披露本期非交易性权益工具投资</w:t>
      </w:r>
    </w:p>
    <w:p>
      <w:pPr>
        <w:pStyle w:val="BodyText"/>
        <w:spacing w:line="240" w:lineRule="auto" w:before="12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33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14"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59"/>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14"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9、其他非流动金融资产" w:id="290"/>
      <w:bookmarkEnd w:id="290"/>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133,247,302.38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136,446,676.00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133,247,302.38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136,446,676.00</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0、投资性房地产" w:id="291"/>
      <w:bookmarkEnd w:id="291"/>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采用成本计量模式的投资性房地产" w:id="292"/>
      <w:bookmarkEnd w:id="29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投资性房地产" w:id="293"/>
      <w:bookmarkEnd w:id="29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3）未办妥产权证书的投资性房地产情况" w:id="294"/>
      <w:bookmarkEnd w:id="29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1、固定资产" w:id="295"/>
      <w:bookmarkEnd w:id="295"/>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9,654,944.40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11,201,716.43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9,654,944.40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11,201,716.43</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96"/>
      <w:bookmarkEnd w:id="29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922"/>
        <w:gridCol w:w="1923"/>
        <w:gridCol w:w="1907"/>
        <w:gridCol w:w="1922"/>
      </w:tblGrid>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8,065,463.03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5,175,687.60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6,368,142.00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19,609,292.63</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24,366.98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411,744.49</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436,111.47</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9,989.00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396,489.67</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406,478.67</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4"/>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4"/>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14,377.98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15,254.82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29,632.80</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276,686.00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44,347.25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321,033.25</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276,686.00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44,347.25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321,033.25</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7,813,144.01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5,543,084.84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6,368,142.00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19,724,370.85</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5,168,421.99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3,063,247.49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175,906.72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8,407,576.20</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977,349.68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763,467.62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201,742.80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1,942,560.10</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964,853.66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754,758.60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201,742.80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1,921,355.06</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12,496.02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8,709.02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21,205.04</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262,851.70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17,858.15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280,709.85</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8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262,851.70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17,858.15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280,709.85</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5,882,919.97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3,808,856.96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377,649.52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10,069,426.45</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8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1,930,224.04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1,734,227.88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5,990,492.48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9,654,944.40</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2,897,041.04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2,112,440.11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6,192,235.28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11,201,716.43</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97"/>
      <w:bookmarkEnd w:id="29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98"/>
      <w:bookmarkEnd w:id="29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99"/>
      <w:bookmarkEnd w:id="29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5）未办妥产权证书的固定资产情况" w:id="300"/>
      <w:bookmarkEnd w:id="30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6）固定资产清理" w:id="301"/>
      <w:bookmarkEnd w:id="301"/>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2、在建工程" w:id="302"/>
      <w:bookmarkEnd w:id="302"/>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303"/>
      <w:bookmarkEnd w:id="30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304"/>
      <w:bookmarkEnd w:id="30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1336"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55" w:right="105"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55" w:right="10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75" w:right="103"/>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105"/>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90"/>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70" w:right="90"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90" w:right="90"/>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70" w:right="8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8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14"/>
              <w:jc w:val="center"/>
              <w:rPr>
                <w:rFonts w:ascii="宋体" w:hAnsi="宋体" w:cs="宋体" w:eastAsia="宋体" w:hint="default"/>
                <w:sz w:val="18"/>
                <w:szCs w:val="18"/>
              </w:rPr>
            </w:pPr>
            <w:r>
              <w:rPr>
                <w:rFonts w:ascii="宋体" w:hAnsi="宋体" w:cs="宋体" w:eastAsia="宋体" w:hint="default"/>
                <w:spacing w:val="-12"/>
                <w:sz w:val="18"/>
                <w:szCs w:val="18"/>
              </w:rPr>
              <w:t>其中：本</w:t>
            </w:r>
            <w:r>
              <w:rPr>
                <w:rFonts w:ascii="宋体" w:hAnsi="宋体" w:cs="宋体" w:eastAsia="宋体" w:hint="default"/>
                <w:sz w:val="18"/>
                <w:szCs w:val="18"/>
              </w:rPr>
              <w:t> 期利息 资本化 金额</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105"/>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55" w:right="103" w:hanging="181"/>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305"/>
      <w:bookmarkEnd w:id="30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35"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工程物资" w:id="306"/>
      <w:bookmarkEnd w:id="306"/>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132"/>
        <w:gridCol w:w="3860"/>
        <w:gridCol w:w="3589"/>
      </w:tblGrid>
      <w:tr>
        <w:trPr>
          <w:trHeight w:val="390"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132"/>
        <w:gridCol w:w="1322"/>
        <w:gridCol w:w="1337"/>
        <w:gridCol w:w="1201"/>
        <w:gridCol w:w="1201"/>
        <w:gridCol w:w="1187"/>
        <w:gridCol w:w="1201"/>
      </w:tblGrid>
      <w:tr>
        <w:trPr>
          <w:trHeight w:val="390"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23、生产性生物资产" w:id="307"/>
      <w:bookmarkEnd w:id="307"/>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采用成本计量模式的生产性生物资产" w:id="308"/>
      <w:bookmarkEnd w:id="30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生产性生物资产" w:id="309"/>
      <w:bookmarkEnd w:id="30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24、油气资产" w:id="310"/>
      <w:bookmarkEnd w:id="310"/>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25、使用权资产" w:id="311"/>
      <w:bookmarkEnd w:id="311"/>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6、无形资产" w:id="312"/>
      <w:bookmarkEnd w:id="312"/>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无形资产情况" w:id="313"/>
      <w:bookmarkEnd w:id="31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77"/>
        <w:gridCol w:w="1614"/>
        <w:gridCol w:w="1592"/>
        <w:gridCol w:w="1592"/>
        <w:gridCol w:w="1592"/>
        <w:gridCol w:w="1607"/>
      </w:tblGrid>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5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1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1,094,231.59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1,094,231.59</w:t>
            </w:r>
          </w:p>
        </w:tc>
      </w:tr>
      <w:tr>
        <w:trPr>
          <w:trHeight w:val="7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2,524,405.66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2,524,405.66</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2,524,405.66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2,524,405.66</w:t>
            </w:r>
          </w:p>
        </w:tc>
      </w:tr>
      <w:tr>
        <w:trPr>
          <w:trHeight w:val="72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5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70"/>
        <w:gridCol w:w="1630"/>
        <w:gridCol w:w="1592"/>
        <w:gridCol w:w="1592"/>
        <w:gridCol w:w="1592"/>
        <w:gridCol w:w="1607"/>
      </w:tblGrid>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3,618,637.25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3,618,637.25</w:t>
            </w: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384,760.27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384,760.27</w:t>
            </w:r>
          </w:p>
        </w:tc>
      </w:tr>
      <w:tr>
        <w:trPr>
          <w:trHeight w:val="721"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383,648.21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383,648.21</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383,648.21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383,648.21</w:t>
            </w:r>
          </w:p>
        </w:tc>
      </w:tr>
      <w:tr>
        <w:trPr>
          <w:trHeight w:val="391"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768,408.48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768,408.48</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2,850,228.77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2,850,228.77</w:t>
            </w:r>
          </w:p>
        </w:tc>
      </w:tr>
      <w:tr>
        <w:trPr>
          <w:trHeight w:val="7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709,471.32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709,471.32</w:t>
            </w:r>
          </w:p>
        </w:tc>
      </w:tr>
    </w:tbl>
    <w:p>
      <w:pPr>
        <w:pStyle w:val="BodyText"/>
        <w:spacing w:line="240" w:lineRule="auto" w:before="45"/>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未办妥产权证书的土地使用权情况" w:id="314"/>
      <w:bookmarkEnd w:id="314"/>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7、开发支出" w:id="315"/>
      <w:bookmarkEnd w:id="315"/>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51"/>
        <w:gridCol w:w="1066"/>
        <w:gridCol w:w="1067"/>
        <w:gridCol w:w="1066"/>
        <w:gridCol w:w="1067"/>
        <w:gridCol w:w="1066"/>
      </w:tblGrid>
      <w:tr>
        <w:trPr>
          <w:trHeight w:val="390" w:hRule="exact"/>
        </w:trPr>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3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3" w:hRule="exact"/>
        </w:trPr>
        <w:tc>
          <w:tcPr>
            <w:tcW w:w="10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2"/>
              <w:ind w:left="3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2"/>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59"/>
              <w:ind w:left="420" w:right="89" w:hanging="361"/>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59"/>
              <w:ind w:left="345" w:right="74" w:hanging="271"/>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59"/>
              <w:ind w:left="435" w:right="73"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96" w:hRule="exact"/>
        </w:trPr>
        <w:tc>
          <w:tcPr>
            <w:tcW w:w="1066"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val="restart"/>
            <w:tcBorders>
              <w:top w:val="nil" w:sz="6" w:space="0" w:color="auto"/>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95" w:hRule="exact"/>
        </w:trPr>
        <w:tc>
          <w:tcPr>
            <w:tcW w:w="1066" w:type="dxa"/>
            <w:vMerge/>
            <w:tcBorders>
              <w:left w:val="single" w:sz="6" w:space="0" w:color="000000"/>
              <w:right w:val="single" w:sz="6" w:space="0" w:color="000000"/>
            </w:tcBorders>
            <w:shd w:val="clear" w:color="auto" w:fill="D2D2D2"/>
          </w:tcPr>
          <w:p>
            <w:pP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72"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8、商誉" w:id="316"/>
      <w:bookmarkEnd w:id="316"/>
      <w:r>
        <w:rPr>
          <w:b w:val="0"/>
          <w:bCs w:val="0"/>
        </w:rPr>
      </w:r>
      <w:r>
        <w:rPr>
          <w:rFonts w:ascii="Times New Roman" w:hAnsi="Times New Roman" w:cs="Times New Roman" w:eastAsia="Times New Roman" w:hint="default"/>
        </w:rPr>
        <w:t>28</w:t>
      </w:r>
      <w:r>
        <w:rPr/>
        <w:t>、商誉</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商誉账面原值" w:id="317"/>
      <w:bookmarkEnd w:id="31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08"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0"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41"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8"/>
              <w:ind w:left="4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8"/>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48" w:space="0" w:color="D2D2D2"/>
              <w:left w:val="single" w:sz="6" w:space="0" w:color="000000"/>
              <w:bottom w:val="single" w:sz="6" w:space="0" w:color="000000"/>
              <w:right w:val="single" w:sz="6" w:space="0" w:color="000000"/>
            </w:tcBorders>
          </w:tcPr>
          <w:p>
            <w:pPr/>
          </w:p>
        </w:tc>
        <w:tc>
          <w:tcPr>
            <w:tcW w:w="1382" w:type="dxa"/>
            <w:tcBorders>
              <w:top w:val="single" w:sz="48" w:space="0" w:color="D2D2D2"/>
              <w:left w:val="single" w:sz="6" w:space="0" w:color="000000"/>
              <w:bottom w:val="single" w:sz="6" w:space="0" w:color="000000"/>
              <w:right w:val="single" w:sz="6" w:space="0" w:color="000000"/>
            </w:tcBorders>
          </w:tcPr>
          <w:p>
            <w:pPr/>
          </w:p>
        </w:tc>
        <w:tc>
          <w:tcPr>
            <w:tcW w:w="1366" w:type="dxa"/>
            <w:tcBorders>
              <w:top w:val="single" w:sz="48"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318"/>
      <w:bookmarkEnd w:id="31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9"/>
        <w:gridCol w:w="1367"/>
        <w:gridCol w:w="1367"/>
        <w:gridCol w:w="1382"/>
        <w:gridCol w:w="1366"/>
        <w:gridCol w:w="1367"/>
        <w:gridCol w:w="1367"/>
      </w:tblGrid>
      <w:tr>
        <w:trPr>
          <w:trHeight w:val="308" w:hRule="exact"/>
        </w:trPr>
        <w:tc>
          <w:tcPr>
            <w:tcW w:w="1359"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2" w:right="59"/>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0" w:hRule="exact"/>
        </w:trPr>
        <w:tc>
          <w:tcPr>
            <w:tcW w:w="1359" w:type="dxa"/>
            <w:vMerge/>
            <w:tcBorders>
              <w:left w:val="single" w:sz="6" w:space="0" w:color="000000"/>
              <w:right w:val="single" w:sz="6" w:space="0" w:color="000000"/>
            </w:tcBorders>
            <w:shd w:val="clear" w:color="auto" w:fill="D2D2D2"/>
          </w:tcPr>
          <w:p>
            <w:pPr/>
          </w:p>
        </w:tc>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40" w:hRule="exact"/>
        </w:trPr>
        <w:tc>
          <w:tcPr>
            <w:tcW w:w="1359" w:type="dxa"/>
            <w:vMerge/>
            <w:tcBorders>
              <w:left w:val="single" w:sz="6" w:space="0" w:color="000000"/>
              <w:right w:val="single" w:sz="6" w:space="0" w:color="000000"/>
            </w:tcBorders>
            <w:shd w:val="clear" w:color="auto" w:fill="D2D2D2"/>
          </w:tcPr>
          <w:p>
            <w:pPr/>
          </w:p>
        </w:tc>
        <w:tc>
          <w:tcPr>
            <w:tcW w:w="1367"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9"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48" w:space="0" w:color="D2D2D2"/>
              <w:left w:val="single" w:sz="6" w:space="0" w:color="000000"/>
              <w:bottom w:val="single" w:sz="6" w:space="0" w:color="000000"/>
              <w:right w:val="single" w:sz="6" w:space="0" w:color="000000"/>
            </w:tcBorders>
          </w:tcPr>
          <w:p>
            <w:pPr/>
          </w:p>
        </w:tc>
        <w:tc>
          <w:tcPr>
            <w:tcW w:w="1382" w:type="dxa"/>
            <w:tcBorders>
              <w:top w:val="single" w:sz="48" w:space="0" w:color="D2D2D2"/>
              <w:left w:val="single" w:sz="6" w:space="0" w:color="000000"/>
              <w:bottom w:val="single" w:sz="6" w:space="0" w:color="000000"/>
              <w:right w:val="single" w:sz="6" w:space="0" w:color="000000"/>
            </w:tcBorders>
          </w:tcPr>
          <w:p>
            <w:pPr/>
          </w:p>
        </w:tc>
        <w:tc>
          <w:tcPr>
            <w:tcW w:w="1366" w:type="dxa"/>
            <w:tcBorders>
              <w:top w:val="single" w:sz="48"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7"/>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商誉所在资产组或资产组组合的相关信息</w:t>
      </w:r>
    </w:p>
    <w:p>
      <w:pPr>
        <w:pStyle w:val="BodyText"/>
        <w:spacing w:line="307" w:lineRule="auto" w:before="124"/>
        <w:ind w:right="0"/>
        <w:jc w:val="left"/>
      </w:pPr>
      <w:r>
        <w:rPr>
          <w:spacing w:val="-2"/>
        </w:rPr>
        <w:t>说明商誉减值测试过程、关键参数（如预计未来现金流量现值时的预测期增长率、稳定期增长率、利润率、折现率、预测期</w:t>
      </w:r>
      <w:r>
        <w:rPr>
          <w:spacing w:val="-72"/>
        </w:rPr>
        <w:t> </w:t>
      </w:r>
      <w:r>
        <w:rPr>
          <w:spacing w:val="-72"/>
        </w:rPr>
      </w:r>
      <w:r>
        <w:rPr/>
        <w:t>等）及商誉减值损失的确认方法：</w:t>
      </w:r>
    </w:p>
    <w:p>
      <w:pPr>
        <w:pStyle w:val="BodyText"/>
        <w:spacing w:line="350" w:lineRule="auto" w:before="74"/>
        <w:ind w:right="8589"/>
        <w:jc w:val="left"/>
      </w:pPr>
      <w:r>
        <w:rPr/>
        <w:t>商誉减值测试的影响 其他说明</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9、长期待摊费用" w:id="319"/>
      <w:bookmarkEnd w:id="319"/>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30、递延所得税资产/递延所得税负债" w:id="320"/>
      <w:bookmarkEnd w:id="320"/>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未经抵销的递延所得税资产" w:id="321"/>
      <w:bookmarkEnd w:id="32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322"/>
      <w:bookmarkEnd w:id="32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323"/>
      <w:bookmarkEnd w:id="32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15"/>
        <w:gridCol w:w="1915"/>
        <w:gridCol w:w="1915"/>
        <w:gridCol w:w="1907"/>
      </w:tblGrid>
      <w:tr>
        <w:trPr>
          <w:trHeight w:val="172" w:hRule="exact"/>
        </w:trPr>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405" w:right="52"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323" w:right="44"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405" w:right="53"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323" w:right="37"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0" w:hRule="exact"/>
        </w:trPr>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15" w:type="dxa"/>
            <w:vMerge/>
            <w:tcBorders>
              <w:left w:val="single" w:sz="6" w:space="0" w:color="000000"/>
              <w:right w:val="single" w:sz="6" w:space="0" w:color="000000"/>
            </w:tcBorders>
            <w:shd w:val="clear" w:color="auto" w:fill="D2D2D2"/>
          </w:tcPr>
          <w:p>
            <w:pPr/>
          </w:p>
        </w:tc>
        <w:tc>
          <w:tcPr>
            <w:tcW w:w="1915"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r>
      <w:tr>
        <w:trPr>
          <w:trHeight w:val="158" w:hRule="exact"/>
        </w:trPr>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9" w:right="0"/>
              <w:jc w:val="left"/>
              <w:rPr>
                <w:rFonts w:ascii="Times New Roman" w:hAnsi="Times New Roman" w:cs="Times New Roman" w:eastAsia="Times New Roman" w:hint="default"/>
                <w:sz w:val="18"/>
                <w:szCs w:val="18"/>
              </w:rPr>
            </w:pPr>
            <w:r>
              <w:rPr>
                <w:rFonts w:ascii="Times New Roman"/>
                <w:sz w:val="18"/>
              </w:rPr>
              <w:t>59,967,247.05</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8" w:right="0"/>
              <w:jc w:val="left"/>
              <w:rPr>
                <w:rFonts w:ascii="Times New Roman" w:hAnsi="Times New Roman" w:cs="Times New Roman" w:eastAsia="Times New Roman" w:hint="default"/>
                <w:sz w:val="18"/>
                <w:szCs w:val="18"/>
              </w:rPr>
            </w:pPr>
            <w:r>
              <w:rPr>
                <w:rFonts w:ascii="Times New Roman"/>
                <w:sz w:val="18"/>
              </w:rPr>
              <w:t>43,261,655.44</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324"/>
      <w:bookmarkEnd w:id="32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3,636,906.11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1,540,462.09</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306,115.20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599,145.73</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3,943,021.31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2,139,607.82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325"/>
      <w:bookmarkEnd w:id="32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1,587.15</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1,458.12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1,458.12</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58,915.00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176,292.71</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11,563.94</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101,496.36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408,243.81</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144,245.72</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2" w:type="dxa"/>
        <w:tblLayout w:type="fixed"/>
        <w:tblCellMar>
          <w:top w:w="0" w:type="dxa"/>
          <w:left w:w="0" w:type="dxa"/>
          <w:bottom w:w="0" w:type="dxa"/>
          <w:right w:w="0" w:type="dxa"/>
        </w:tblCellMar>
        <w:tblLook w:val="01E0"/>
      </w:tblPr>
      <w:tblGrid>
        <w:gridCol w:w="2384"/>
        <w:gridCol w:w="2411"/>
        <w:gridCol w:w="2388"/>
        <w:gridCol w:w="2403"/>
      </w:tblGrid>
      <w:tr>
        <w:trPr>
          <w:trHeight w:val="390" w:hRule="exact"/>
        </w:trPr>
        <w:tc>
          <w:tcPr>
            <w:tcW w:w="23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1562" w:right="0"/>
              <w:jc w:val="left"/>
              <w:rPr>
                <w:rFonts w:ascii="Times New Roman" w:hAnsi="Times New Roman" w:cs="Times New Roman" w:eastAsia="Times New Roman" w:hint="default"/>
                <w:sz w:val="18"/>
                <w:szCs w:val="18"/>
              </w:rPr>
            </w:pPr>
            <w:r>
              <w:rPr>
                <w:rFonts w:ascii="Times New Roman"/>
                <w:sz w:val="18"/>
              </w:rPr>
              <w:t>306,115.20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47" w:right="0"/>
              <w:jc w:val="left"/>
              <w:rPr>
                <w:rFonts w:ascii="Times New Roman" w:hAnsi="Times New Roman" w:cs="Times New Roman" w:eastAsia="Times New Roman" w:hint="default"/>
                <w:sz w:val="18"/>
                <w:szCs w:val="18"/>
              </w:rPr>
            </w:pPr>
            <w:r>
              <w:rPr>
                <w:rFonts w:ascii="Times New Roman"/>
                <w:sz w:val="18"/>
              </w:rPr>
              <w:t>599,145.73</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31、其他非流动资产" w:id="326"/>
      <w:bookmarkEnd w:id="326"/>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50"/>
          <w:pgMar w:header="731" w:footer="981" w:top="1040" w:bottom="1180" w:left="1000" w:right="0"/>
        </w:sectPr>
      </w:pPr>
    </w:p>
    <w:p>
      <w:pPr>
        <w:pStyle w:val="BodyText"/>
        <w:spacing w:line="240" w:lineRule="auto"/>
        <w:ind w:right="-20"/>
        <w:jc w:val="left"/>
      </w:pPr>
      <w:r>
        <w:rPr/>
        <w:t>是否已执行新收入准则</w:t>
      </w:r>
    </w:p>
    <w:p>
      <w:pPr>
        <w:pStyle w:val="BodyText"/>
        <w:spacing w:line="240" w:lineRule="auto" w:before="124"/>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2、短期借款" w:id="327"/>
      <w:bookmarkEnd w:id="327"/>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短期借款分类" w:id="328"/>
      <w:bookmarkEnd w:id="32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3,814,811,333.02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8,518,694,672.15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未到期应付利息</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8,501,092.17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117,126,066.27</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3,973,312,425.19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8,805,820,738.42</w:t>
            </w:r>
          </w:p>
        </w:tc>
      </w:tr>
    </w:tbl>
    <w:p>
      <w:pPr>
        <w:pStyle w:val="BodyText"/>
        <w:spacing w:line="240" w:lineRule="auto"/>
        <w:ind w:right="0"/>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已逾期未偿还的短期借款情况" w:id="329"/>
      <w:bookmarkEnd w:id="32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本期末已逾期未偿还的短期借款总额为元，其中重要的已逾期未偿还的短期借款情况如下：</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3、交易性金融负债" w:id="330"/>
      <w:bookmarkEnd w:id="330"/>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998,000.00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50,354,479.87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998,000.00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50,354,479.87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8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998,000.00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50,354,479.87</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4、衍生金融负债" w:id="331"/>
      <w:bookmarkEnd w:id="331"/>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35、应付票据" w:id="332"/>
      <w:bookmarkEnd w:id="332"/>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种类</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3,800,000.00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3,800,000.00</w:t>
            </w:r>
          </w:p>
        </w:tc>
      </w:tr>
    </w:tbl>
    <w:p>
      <w:pPr>
        <w:pStyle w:val="BodyText"/>
        <w:spacing w:line="240" w:lineRule="auto"/>
        <w:ind w:right="0"/>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36、应付账款" w:id="333"/>
      <w:bookmarkEnd w:id="333"/>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应付账款列示" w:id="334"/>
      <w:bookmarkEnd w:id="33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348,485,527.18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666,454,703.76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825,439.01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1,561,244.29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349,310,966.19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668,015,948.05</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335"/>
      <w:bookmarkEnd w:id="335"/>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年的重要应付账款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3,200,689.66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1,123,610.24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978,465.28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5,302,765.18</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7、预收款项" w:id="336"/>
      <w:bookmarkEnd w:id="336"/>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1）预收款项列示" w:id="337"/>
      <w:bookmarkEnd w:id="33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预收货款和服务费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147,008,201.72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105,053,318.44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预收其他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10,039.86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10,039.86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147,018,241.58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105,063,358.30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38"/>
      <w:bookmarkEnd w:id="338"/>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年的重要预收款项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3,760,000.00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医院场地未达安装条件</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3,760,000.00</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39"/>
      <w:bookmarkEnd w:id="339"/>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38、合同负债" w:id="340"/>
      <w:bookmarkEnd w:id="340"/>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报告期内账面价值发生重大变动的金额和原因</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405"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9、应付职工薪酬" w:id="341"/>
      <w:bookmarkEnd w:id="341"/>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42"/>
      <w:bookmarkEnd w:id="34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12,357,008.44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71,467,393.16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70,992,214.78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12,832,186.82</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5"/>
              <w:ind w:left="7" w:right="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11,483.49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3,133,278.54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3,133,527.62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11,234.41</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12,368,491.93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74,600,671.70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74,125,742.40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12,843,421.23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短期薪酬列示" w:id="343"/>
      <w:bookmarkEnd w:id="34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12,335,565.84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64,723,424.39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64,251,191.91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12,807,798.32</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3,539,708.86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3,539,208.86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1,500.00</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6,803.60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1,163,201.96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1,162,263.06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7,742.50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6,069.40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1,007,890.31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1,007,078.46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6,881.25</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177.20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40,427.19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40,381.49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222.90</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557.00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114,884.46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114,803.11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638.35</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13,639.00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2,020,987.00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2,019,480.00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15,146.00</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16,834.50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16,834.50</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7"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、其他（商业补充医疗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保险）</w:t>
            </w:r>
          </w:p>
        </w:tc>
        <w:tc>
          <w:tcPr>
            <w:tcW w:w="1930"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3,236.45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3,236.45</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12,357,008.44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71,467,393.16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70,992,214.78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12,832,186.82</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44"/>
      <w:bookmarkEnd w:id="34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11,117.09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3,058,410.74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3,058,724.23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10,803.60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366.40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74,867.80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74,803.39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430.81</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11,483.49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3,133,278.54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3,133,527.62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11,234.41</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40、应交税费" w:id="345"/>
      <w:bookmarkEnd w:id="345"/>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110,954,790.98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64,550,332.10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16,629,747.33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37,070,636.72</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222,088.08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171,350.41</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978,830.61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15,321.76</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419,587.45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6,558.21</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279,594.44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4,202.55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129,484,638.89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101,818,401.75</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41、其他应付款" w:id="346"/>
      <w:bookmarkEnd w:id="346"/>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70,318,457.04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83,682,426.91</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70,318,457.04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83,682,426.91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347"/>
      <w:bookmarkEnd w:id="347"/>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重要的已逾期未支付的利息情况：</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应付股利" w:id="348"/>
      <w:bookmarkEnd w:id="348"/>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9"/>
        <w:ind w:right="0"/>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6"/>
        <w:rPr>
          <w:rFonts w:ascii="宋体" w:hAnsi="宋体" w:cs="宋体" w:eastAsia="宋体" w:hint="default"/>
          <w:sz w:val="26"/>
          <w:szCs w:val="26"/>
        </w:rPr>
      </w:pPr>
    </w:p>
    <w:p>
      <w:pPr>
        <w:pStyle w:val="Heading3"/>
        <w:spacing w:line="496" w:lineRule="auto"/>
        <w:ind w:right="7903"/>
        <w:jc w:val="left"/>
        <w:rPr>
          <w:b w:val="0"/>
          <w:bCs w:val="0"/>
        </w:rPr>
      </w:pPr>
      <w:bookmarkStart w:name="（3）其他应付款" w:id="349"/>
      <w:bookmarkEnd w:id="349"/>
      <w:r>
        <w:rPr>
          <w:b w:val="0"/>
          <w:bCs w:val="0"/>
        </w:rPr>
      </w:r>
      <w:r>
        <w:rPr/>
        <w:t>（</w:t>
      </w:r>
      <w:r>
        <w:rPr>
          <w:rFonts w:ascii="Times New Roman" w:hAnsi="Times New Roman" w:cs="Times New Roman" w:eastAsia="Times New Roman" w:hint="default"/>
        </w:rPr>
        <w:t>3</w:t>
      </w:r>
      <w:r>
        <w:rPr/>
        <w:t>）其他应付款</w:t>
      </w:r>
      <w:r>
        <w:rPr>
          <w:w w:val="99"/>
        </w:rPr>
        <w:t> </w:t>
      </w:r>
      <w:bookmarkStart w:name="1）按款项性质列示其他应付款" w:id="350"/>
      <w:bookmarkEnd w:id="350"/>
      <w:r>
        <w:rPr>
          <w:w w:val="99"/>
        </w:rPr>
      </w:r>
      <w:r>
        <w:rPr>
          <w:rFonts w:ascii="Times New Roman" w:hAnsi="Times New Roman" w:cs="Times New Roman" w:eastAsia="Times New Roman" w:hint="default"/>
        </w:rPr>
        <w:t>1</w:t>
      </w:r>
      <w:r>
        <w:rPr/>
        <w:t>）按款项性质列示其他应付款</w:t>
      </w:r>
      <w:r>
        <w:rPr>
          <w:b w:val="0"/>
          <w:bCs w:val="0"/>
        </w:rPr>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70,130,400.22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83,674,149.78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188,056.82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8,277.13</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70,318,457.04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83,682,426.91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51"/>
      <w:bookmarkEnd w:id="351"/>
      <w:r>
        <w:rPr>
          <w:b w:val="0"/>
          <w:bCs w:val="0"/>
        </w:rPr>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年的重要其他应付款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18,703,877.92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业务未完结，保证金未退</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2,130,000.00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业务未完结，保证金未退</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1,974,800.00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业务未完结，保证金未退</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业务未完结，保证金未退</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业务未完结，保证金未退</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26,108,677.92</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42、持有待售负债" w:id="352"/>
      <w:bookmarkEnd w:id="352"/>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3、一年内到期的非流动负债" w:id="353"/>
      <w:bookmarkEnd w:id="353"/>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4,663,485.08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4,663,485.08</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4、其他流动负债" w:id="354"/>
      <w:bookmarkEnd w:id="354"/>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50"/>
          <w:pgMar w:header="731" w:footer="981" w:top="1040" w:bottom="1180" w:left="1000" w:right="0"/>
        </w:sectPr>
      </w:pPr>
    </w:p>
    <w:p>
      <w:pPr>
        <w:pStyle w:val="BodyText"/>
        <w:spacing w:line="240" w:lineRule="auto"/>
        <w:ind w:right="-19"/>
        <w:jc w:val="left"/>
      </w:pPr>
      <w:r>
        <w:rPr/>
        <w:t>是否已执行新收入准则</w:t>
      </w:r>
    </w:p>
    <w:p>
      <w:pPr>
        <w:pStyle w:val="BodyText"/>
        <w:spacing w:line="240" w:lineRule="auto" w:before="125"/>
        <w:ind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943" w:space="6904"/>
            <w:col w:w="2063"/>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银行一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银行二</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108,175,067.15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银行三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96,362,357.80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银行四</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27,452,800.00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银行五</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48,833,400.00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339,995,068.06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99,618,287.31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251,319.44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487,833.04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433,240,431.70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367,935,701.10</w:t>
            </w:r>
          </w:p>
        </w:tc>
      </w:tr>
    </w:tbl>
    <w:p>
      <w:pPr>
        <w:pStyle w:val="BodyText"/>
        <w:spacing w:line="240" w:lineRule="auto"/>
        <w:ind w:right="0"/>
        <w:jc w:val="left"/>
      </w:pPr>
      <w:r>
        <w:rPr/>
        <w:t>短期应付债券的增减变动：</w:t>
      </w:r>
    </w:p>
    <w:p>
      <w:pPr>
        <w:pStyle w:val="BodyText"/>
        <w:spacing w:line="240" w:lineRule="auto" w:before="110"/>
        <w:ind w:left="0" w:right="1109"/>
        <w:jc w:val="right"/>
      </w:pPr>
      <w:r>
        <w:rPr/>
        <w:t>单位： 元</w:t>
      </w:r>
    </w:p>
    <w:p>
      <w:pPr>
        <w:spacing w:after="0" w:line="240" w:lineRule="auto"/>
        <w:jc w:val="right"/>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ind w:right="0"/>
        <w:jc w:val="left"/>
      </w:pPr>
      <w:r>
        <w:rPr/>
        <w:t>其他说明：</w:t>
      </w:r>
    </w:p>
    <w:p>
      <w:pPr>
        <w:pStyle w:val="BodyText"/>
        <w:spacing w:line="312" w:lineRule="auto" w:before="125"/>
        <w:ind w:right="0"/>
        <w:jc w:val="left"/>
      </w:pPr>
      <w:r>
        <w:rPr>
          <w:rFonts w:ascii="Times New Roman" w:hAnsi="Times New Roman" w:cs="Times New Roman" w:eastAsia="Times New Roman" w:hint="default"/>
        </w:rPr>
        <w:t>1</w:t>
      </w:r>
      <w:r>
        <w:rPr/>
        <w:t>、其他流动负债系公司将所需支付货款对应的资金存入境内银行作为全额或部分保证金开具信用证等远期票据给子公司瑞 </w:t>
      </w:r>
      <w:r>
        <w:rPr>
          <w:spacing w:val="-4"/>
        </w:rPr>
        <w:t>通国际，瑞通国际以所持有的远期票据向境外银行以无追索权形式进行贴现，进而取得外币资金向境外供应商支付货款产生。</w:t>
      </w:r>
      <w:r>
        <w:rPr>
          <w:spacing w:val="-50"/>
        </w:rPr>
        <w:t> </w:t>
      </w:r>
      <w:r>
        <w:rPr>
          <w:spacing w:val="-50"/>
        </w:rPr>
      </w:r>
      <w:r>
        <w:rPr>
          <w:rFonts w:ascii="Times New Roman" w:hAnsi="Times New Roman" w:cs="Times New Roman" w:eastAsia="Times New Roman" w:hint="default"/>
        </w:rPr>
        <w:t>2</w:t>
      </w:r>
      <w:r>
        <w:rPr/>
        <w:t>、其他流动负债质押物均为保证金质押，其披露内容详见七、合并财务报表项目注释</w:t>
      </w:r>
      <w:r>
        <w:rPr>
          <w:rFonts w:ascii="Times New Roman" w:hAnsi="Times New Roman" w:cs="Times New Roman" w:eastAsia="Times New Roman" w:hint="default"/>
        </w:rPr>
        <w:t>/1</w:t>
      </w:r>
      <w:r>
        <w:rPr/>
        <w:t>、货币资金。</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45、长期借款" w:id="355"/>
      <w:bookmarkEnd w:id="355"/>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56"/>
      <w:bookmarkEnd w:id="35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0" w:lineRule="auto" w:before="45"/>
        <w:ind w:right="8589"/>
        <w:jc w:val="left"/>
      </w:pPr>
      <w:r>
        <w:rPr/>
        <w:t>长期借款分类的说明： 其他说明，包括利率区间：</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6、应付债券" w:id="357"/>
      <w:bookmarkEnd w:id="357"/>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应付债券" w:id="358"/>
      <w:bookmarkEnd w:id="35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59"/>
      <w:bookmarkEnd w:id="35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173" w:hRule="exact"/>
        </w:trPr>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vMerge w:val="restart"/>
            <w:tcBorders>
              <w:top w:val="single" w:sz="6" w:space="0" w:color="000000"/>
              <w:left w:val="single" w:sz="6" w:space="0" w:color="000000"/>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58"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12"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12"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可转换公司债券的转股条件、转股时间说明" w:id="360"/>
      <w:bookmarkEnd w:id="360"/>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61"/>
      <w:bookmarkEnd w:id="361"/>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期末发行在外的优先股、永续债等其他金融工具基本情况</w:t>
      </w:r>
    </w:p>
    <w:p>
      <w:pPr>
        <w:pStyle w:val="BodyText"/>
        <w:spacing w:line="240" w:lineRule="auto" w:before="125"/>
        <w:ind w:right="0"/>
        <w:jc w:val="left"/>
      </w:pPr>
      <w:r>
        <w:rPr/>
        <w:t>期末发行在外的优先股、永续债等金融工具变动情况表</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391"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5"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5"/>
        <w:ind w:right="0"/>
        <w:jc w:val="left"/>
      </w:pPr>
      <w:r>
        <w:rPr/>
        <w:t>其他金融工具划分为金融负债的依据说明</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7、租赁负债" w:id="362"/>
      <w:bookmarkEnd w:id="362"/>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11"/>
        <w:jc w:val="right"/>
      </w:pPr>
      <w:r>
        <w:rPr/>
        <w:t>单位：</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48、长期应付款" w:id="363"/>
      <w:bookmarkEnd w:id="363"/>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10,096,380.48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23,056,197.65</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10,096,380.48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23,056,197.65</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按款项性质列示长期应付款" w:id="364"/>
      <w:bookmarkEnd w:id="36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融资租赁销项税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10,096,380.48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23,056,197.65</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专项应付款" w:id="365"/>
      <w:bookmarkEnd w:id="365"/>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49、长期应付职工薪酬" w:id="366"/>
      <w:bookmarkEnd w:id="366"/>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长期应付职工薪酬表" w:id="367"/>
      <w:bookmarkEnd w:id="367"/>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68"/>
      <w:bookmarkEnd w:id="368"/>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设定受益计划义务现值：</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0"/>
        <w:jc w:val="left"/>
      </w:pPr>
      <w:r>
        <w:rPr/>
        <w:t>计划资产：</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ind w:right="0"/>
        <w:jc w:val="left"/>
      </w:pPr>
      <w:r>
        <w:rPr/>
        <w:t>设定受益计划净负债（净资产）</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2" w:lineRule="auto"/>
        <w:ind w:right="3549"/>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4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0、预计负债" w:id="369"/>
      <w:bookmarkEnd w:id="36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pStyle w:val="BodyText"/>
        <w:spacing w:line="240" w:lineRule="auto" w:before="1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51、递延收益" w:id="370"/>
      <w:bookmarkEnd w:id="37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ind w:right="0"/>
        <w:jc w:val="left"/>
      </w:pPr>
      <w:r>
        <w:rPr/>
        <w:t>涉及政府补助的项目：</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06"/>
        <w:gridCol w:w="1262"/>
        <w:gridCol w:w="1006"/>
        <w:gridCol w:w="1006"/>
        <w:gridCol w:w="1021"/>
        <w:gridCol w:w="1007"/>
        <w:gridCol w:w="1006"/>
        <w:gridCol w:w="1262"/>
        <w:gridCol w:w="1006"/>
      </w:tblGrid>
      <w:tr>
        <w:trPr>
          <w:trHeight w:val="1021" w:hRule="exact"/>
        </w:trPr>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59" w:right="2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45"/>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5" w:right="4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88" w:lineRule="auto"/>
              <w:ind w:left="45" w:right="24" w:hanging="3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2、其他非流动负债" w:id="371"/>
      <w:bookmarkEnd w:id="371"/>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3、股本" w:id="372"/>
      <w:bookmarkEnd w:id="372"/>
      <w:r>
        <w:rPr>
          <w:b w:val="0"/>
          <w:bCs w:val="0"/>
        </w:rPr>
      </w:r>
      <w:r>
        <w:rPr>
          <w:rFonts w:ascii="Times New Roman" w:hAnsi="Times New Roman" w:cs="Times New Roman" w:eastAsia="Times New Roman" w:hint="default"/>
        </w:rPr>
        <w:t>53</w:t>
      </w:r>
      <w:r>
        <w:rPr/>
        <w:t>、股本</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5992"/>
        <w:gridCol w:w="1201"/>
      </w:tblGrid>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8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373,318,054.00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373,318,054.00</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54、其他权益工具" w:id="373"/>
      <w:bookmarkEnd w:id="37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74"/>
      <w:bookmarkEnd w:id="374"/>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75"/>
      <w:bookmarkEnd w:id="375"/>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406"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0"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0" w:lineRule="auto" w:before="45"/>
        <w:ind w:right="4629"/>
        <w:jc w:val="left"/>
      </w:pPr>
      <w:r>
        <w:rPr/>
        <w:t>其他权益工具本期增减变动情况、变动原因说明，以及相关会计处理的依据： 其他说明：</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55、资本公积" w:id="376"/>
      <w:bookmarkEnd w:id="376"/>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255,030,524.77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255,030,524.77</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255,030,524.77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255,030,524.77</w:t>
            </w:r>
          </w:p>
        </w:tc>
      </w:tr>
    </w:tbl>
    <w:p>
      <w:pPr>
        <w:pStyle w:val="BodyText"/>
        <w:spacing w:line="240" w:lineRule="auto"/>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55"/>
        <w:ind w:right="0"/>
        <w:jc w:val="left"/>
        <w:rPr>
          <w:b w:val="0"/>
          <w:bCs w:val="0"/>
        </w:rPr>
      </w:pPr>
      <w:bookmarkStart w:name="56、库存股" w:id="377"/>
      <w:bookmarkEnd w:id="377"/>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7、其他综合收益" w:id="378"/>
      <w:bookmarkEnd w:id="378"/>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553"/>
        <w:gridCol w:w="976"/>
        <w:gridCol w:w="871"/>
        <w:gridCol w:w="1044"/>
        <w:gridCol w:w="841"/>
        <w:gridCol w:w="863"/>
        <w:gridCol w:w="856"/>
        <w:gridCol w:w="849"/>
        <w:gridCol w:w="728"/>
      </w:tblGrid>
      <w:tr>
        <w:trPr>
          <w:trHeight w:val="383" w:hRule="exact"/>
        </w:trPr>
        <w:tc>
          <w:tcPr>
            <w:tcW w:w="2553" w:type="dxa"/>
            <w:vMerge w:val="restart"/>
            <w:tcBorders>
              <w:top w:val="single" w:sz="6" w:space="0" w:color="000000"/>
              <w:left w:val="single" w:sz="6" w:space="0" w:color="000000"/>
              <w:right w:val="single" w:sz="6" w:space="0" w:color="000000"/>
            </w:tcBorders>
            <w:shd w:val="clear" w:color="auto" w:fill="D2D2D2"/>
          </w:tcPr>
          <w:p>
            <w:pPr/>
          </w:p>
        </w:tc>
        <w:tc>
          <w:tcPr>
            <w:tcW w:w="976" w:type="dxa"/>
            <w:vMerge w:val="restart"/>
            <w:tcBorders>
              <w:top w:val="single" w:sz="6" w:space="0" w:color="000000"/>
              <w:left w:val="single" w:sz="6" w:space="0" w:color="000000"/>
              <w:right w:val="single" w:sz="6" w:space="0" w:color="000000"/>
            </w:tcBorders>
            <w:shd w:val="clear" w:color="auto" w:fill="D2D2D2"/>
          </w:tcPr>
          <w:p>
            <w:pPr/>
          </w:p>
        </w:tc>
        <w:tc>
          <w:tcPr>
            <w:tcW w:w="5324"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8" w:type="dxa"/>
            <w:vMerge w:val="restart"/>
            <w:tcBorders>
              <w:top w:val="single" w:sz="6" w:space="0" w:color="000000"/>
              <w:left w:val="single" w:sz="6" w:space="0" w:color="000000"/>
              <w:right w:val="single" w:sz="6" w:space="0" w:color="000000"/>
            </w:tcBorders>
            <w:shd w:val="clear" w:color="auto" w:fill="D2D2D2"/>
          </w:tcPr>
          <w:p>
            <w:pPr/>
          </w:p>
        </w:tc>
      </w:tr>
      <w:tr>
        <w:trPr>
          <w:trHeight w:val="165" w:hRule="exact"/>
        </w:trPr>
        <w:tc>
          <w:tcPr>
            <w:tcW w:w="2553"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71" w:type="dxa"/>
            <w:vMerge w:val="restart"/>
            <w:tcBorders>
              <w:top w:val="single" w:sz="6" w:space="0" w:color="000000"/>
              <w:left w:val="single" w:sz="6" w:space="0" w:color="000000"/>
              <w:right w:val="single" w:sz="6" w:space="0" w:color="000000"/>
            </w:tcBorders>
            <w:shd w:val="clear" w:color="auto" w:fill="D2D2D2"/>
          </w:tcPr>
          <w:p>
            <w:pPr/>
          </w:p>
        </w:tc>
        <w:tc>
          <w:tcPr>
            <w:tcW w:w="1044" w:type="dxa"/>
            <w:tcBorders>
              <w:top w:val="single" w:sz="6" w:space="0" w:color="000000"/>
              <w:left w:val="single" w:sz="6" w:space="0" w:color="000000"/>
              <w:bottom w:val="nil" w:sz="6" w:space="0" w:color="auto"/>
              <w:right w:val="single" w:sz="6" w:space="0" w:color="000000"/>
            </w:tcBorders>
            <w:shd w:val="clear" w:color="auto" w:fill="D2D2D2"/>
          </w:tcPr>
          <w:p>
            <w:pPr/>
          </w:p>
        </w:tc>
        <w:tc>
          <w:tcPr>
            <w:tcW w:w="841"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52" w:right="51"/>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63" w:type="dxa"/>
            <w:vMerge w:val="restart"/>
            <w:tcBorders>
              <w:top w:val="single" w:sz="6" w:space="0" w:color="000000"/>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49" w:type="dxa"/>
            <w:vMerge w:val="restart"/>
            <w:tcBorders>
              <w:top w:val="single" w:sz="6" w:space="0" w:color="000000"/>
              <w:left w:val="single" w:sz="6" w:space="0" w:color="000000"/>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54" w:hRule="exact"/>
        </w:trPr>
        <w:tc>
          <w:tcPr>
            <w:tcW w:w="2553"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71" w:type="dxa"/>
            <w:vMerge/>
            <w:tcBorders>
              <w:left w:val="single" w:sz="6" w:space="0" w:color="000000"/>
              <w:bottom w:val="nil" w:sz="6" w:space="0" w:color="auto"/>
              <w:right w:val="single" w:sz="6" w:space="0" w:color="000000"/>
            </w:tcBorders>
            <w:shd w:val="clear" w:color="auto" w:fill="D2D2D2"/>
          </w:tcPr>
          <w:p>
            <w:pPr/>
          </w:p>
        </w:tc>
        <w:tc>
          <w:tcPr>
            <w:tcW w:w="1044"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15" w:right="21"/>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41" w:type="dxa"/>
            <w:vMerge/>
            <w:tcBorders>
              <w:left w:val="single" w:sz="6" w:space="0" w:color="000000"/>
              <w:right w:val="single" w:sz="6" w:space="0" w:color="000000"/>
            </w:tcBorders>
            <w:shd w:val="clear" w:color="auto" w:fill="D2D2D2"/>
          </w:tcPr>
          <w:p>
            <w:pPr/>
          </w:p>
        </w:tc>
        <w:tc>
          <w:tcPr>
            <w:tcW w:w="863"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9" w:type="dxa"/>
            <w:vMerge/>
            <w:tcBorders>
              <w:left w:val="single" w:sz="6" w:space="0" w:color="000000"/>
              <w:bottom w:val="single" w:sz="18" w:space="0" w:color="FFFFFF"/>
              <w:right w:val="single" w:sz="6" w:space="0" w:color="000000"/>
            </w:tcBorders>
            <w:shd w:val="clear" w:color="auto" w:fill="D2D2D2"/>
          </w:tcPr>
          <w:p>
            <w:pPr/>
          </w:p>
        </w:tc>
        <w:tc>
          <w:tcPr>
            <w:tcW w:w="728" w:type="dxa"/>
            <w:vMerge/>
            <w:tcBorders>
              <w:left w:val="single" w:sz="6" w:space="0" w:color="000000"/>
              <w:bottom w:val="single" w:sz="18" w:space="0" w:color="FFFFFF"/>
              <w:right w:val="single" w:sz="6" w:space="0" w:color="000000"/>
            </w:tcBorders>
            <w:shd w:val="clear" w:color="auto" w:fill="D2D2D2"/>
          </w:tcPr>
          <w:p>
            <w:pPr/>
          </w:p>
        </w:tc>
      </w:tr>
      <w:tr>
        <w:trPr>
          <w:trHeight w:val="139" w:hRule="exact"/>
        </w:trPr>
        <w:tc>
          <w:tcPr>
            <w:tcW w:w="2553" w:type="dxa"/>
            <w:vMerge/>
            <w:tcBorders>
              <w:left w:val="single" w:sz="6" w:space="0" w:color="000000"/>
              <w:bottom w:val="nil" w:sz="6" w:space="0" w:color="auto"/>
              <w:right w:val="single" w:sz="6" w:space="0" w:color="000000"/>
            </w:tcBorders>
            <w:shd w:val="clear" w:color="auto" w:fill="D2D2D2"/>
          </w:tcPr>
          <w:p>
            <w:pPr/>
          </w:p>
        </w:tc>
        <w:tc>
          <w:tcPr>
            <w:tcW w:w="976" w:type="dxa"/>
            <w:vMerge/>
            <w:tcBorders>
              <w:left w:val="single" w:sz="6" w:space="0" w:color="000000"/>
              <w:bottom w:val="nil" w:sz="6" w:space="0" w:color="auto"/>
              <w:right w:val="single" w:sz="6" w:space="0" w:color="000000"/>
            </w:tcBorders>
            <w:shd w:val="clear" w:color="auto" w:fill="D2D2D2"/>
          </w:tcPr>
          <w:p>
            <w:pPr/>
          </w:p>
        </w:tc>
        <w:tc>
          <w:tcPr>
            <w:tcW w:w="871"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56"/>
              <w:ind w:left="60" w:right="75"/>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44"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863" w:type="dxa"/>
            <w:vMerge/>
            <w:tcBorders>
              <w:left w:val="single" w:sz="6" w:space="0" w:color="000000"/>
              <w:bottom w:val="nil" w:sz="6" w:space="0" w:color="auto"/>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9" w:type="dxa"/>
            <w:vMerge w:val="restart"/>
            <w:tcBorders>
              <w:top w:val="single" w:sz="18" w:space="0" w:color="FFFFFF"/>
              <w:left w:val="single" w:sz="6" w:space="0" w:color="000000"/>
              <w:right w:val="single" w:sz="6" w:space="0" w:color="000000"/>
            </w:tcBorders>
            <w:shd w:val="clear" w:color="auto" w:fill="D2D2D2"/>
          </w:tcPr>
          <w:p>
            <w:pPr>
              <w:pStyle w:val="TableParagraph"/>
              <w:spacing w:line="314" w:lineRule="auto" w:before="33"/>
              <w:ind w:left="45" w:right="66"/>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8" w:type="dxa"/>
            <w:vMerge w:val="restart"/>
            <w:tcBorders>
              <w:top w:val="single" w:sz="18" w:space="0" w:color="FFFFFF"/>
              <w:left w:val="single" w:sz="6" w:space="0" w:color="000000"/>
              <w:right w:val="single" w:sz="6" w:space="0" w:color="000000"/>
            </w:tcBorders>
            <w:shd w:val="clear" w:color="auto" w:fill="D2D2D2"/>
          </w:tcPr>
          <w:p>
            <w:pPr>
              <w:pStyle w:val="TableParagraph"/>
              <w:spacing w:line="224" w:lineRule="exact"/>
              <w:ind w:right="6"/>
              <w:jc w:val="center"/>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68" w:hRule="exact"/>
        </w:trPr>
        <w:tc>
          <w:tcPr>
            <w:tcW w:w="255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97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871" w:type="dxa"/>
            <w:vMerge/>
            <w:tcBorders>
              <w:left w:val="single" w:sz="6" w:space="0" w:color="000000"/>
              <w:right w:val="single" w:sz="6" w:space="0" w:color="000000"/>
            </w:tcBorders>
            <w:shd w:val="clear" w:color="auto" w:fill="D2D2D2"/>
          </w:tcPr>
          <w:p>
            <w:pPr/>
          </w:p>
        </w:tc>
        <w:tc>
          <w:tcPr>
            <w:tcW w:w="1044"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863"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7"/>
              <w:ind w:left="142" w:right="7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7"/>
              <w:ind w:left="45" w:right="7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9" w:type="dxa"/>
            <w:vMerge/>
            <w:tcBorders>
              <w:left w:val="single" w:sz="6" w:space="0" w:color="000000"/>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65" w:hRule="exact"/>
        </w:trPr>
        <w:tc>
          <w:tcPr>
            <w:tcW w:w="2553" w:type="dxa"/>
            <w:vMerge w:val="restart"/>
            <w:tcBorders>
              <w:top w:val="nil" w:sz="6" w:space="0" w:color="auto"/>
              <w:left w:val="single" w:sz="6" w:space="0" w:color="000000"/>
              <w:right w:val="single" w:sz="6" w:space="0" w:color="000000"/>
            </w:tcBorders>
            <w:shd w:val="clear" w:color="auto" w:fill="D2D2D2"/>
          </w:tcPr>
          <w:p>
            <w:pPr/>
          </w:p>
        </w:tc>
        <w:tc>
          <w:tcPr>
            <w:tcW w:w="976" w:type="dxa"/>
            <w:vMerge w:val="restart"/>
            <w:tcBorders>
              <w:top w:val="nil" w:sz="6" w:space="0" w:color="auto"/>
              <w:left w:val="single" w:sz="6" w:space="0" w:color="000000"/>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c>
          <w:tcPr>
            <w:tcW w:w="1044"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863"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9" w:type="dxa"/>
            <w:vMerge/>
            <w:tcBorders>
              <w:left w:val="single" w:sz="6" w:space="0" w:color="000000"/>
              <w:right w:val="single" w:sz="6" w:space="0" w:color="000000"/>
            </w:tcBorders>
            <w:shd w:val="clear" w:color="auto" w:fill="D2D2D2"/>
          </w:tcPr>
          <w:p>
            <w:pPr/>
          </w:p>
        </w:tc>
        <w:tc>
          <w:tcPr>
            <w:tcW w:w="728" w:type="dxa"/>
            <w:vMerge/>
            <w:tcBorders>
              <w:left w:val="single" w:sz="6" w:space="0" w:color="000000"/>
              <w:bottom w:val="nil" w:sz="6" w:space="0" w:color="auto"/>
              <w:right w:val="single" w:sz="6" w:space="0" w:color="000000"/>
            </w:tcBorders>
            <w:shd w:val="clear" w:color="auto" w:fill="D2D2D2"/>
          </w:tcPr>
          <w:p>
            <w:pPr/>
          </w:p>
        </w:tc>
      </w:tr>
      <w:tr>
        <w:trPr>
          <w:trHeight w:val="195" w:hRule="exact"/>
        </w:trPr>
        <w:tc>
          <w:tcPr>
            <w:tcW w:w="2553"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c>
          <w:tcPr>
            <w:tcW w:w="1044"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863"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9" w:type="dxa"/>
            <w:vMerge/>
            <w:tcBorders>
              <w:left w:val="single" w:sz="6" w:space="0" w:color="000000"/>
              <w:right w:val="single" w:sz="6" w:space="0" w:color="000000"/>
            </w:tcBorders>
            <w:shd w:val="clear" w:color="auto" w:fill="D2D2D2"/>
          </w:tcPr>
          <w:p>
            <w:pPr/>
          </w:p>
        </w:tc>
        <w:tc>
          <w:tcPr>
            <w:tcW w:w="728" w:type="dxa"/>
            <w:vMerge w:val="restart"/>
            <w:tcBorders>
              <w:top w:val="nil" w:sz="6" w:space="0" w:color="auto"/>
              <w:left w:val="single" w:sz="6" w:space="0" w:color="000000"/>
              <w:right w:val="single" w:sz="6" w:space="0" w:color="000000"/>
            </w:tcBorders>
            <w:shd w:val="clear" w:color="auto" w:fill="D2D2D2"/>
          </w:tcPr>
          <w:p>
            <w:pPr/>
          </w:p>
        </w:tc>
      </w:tr>
      <w:tr>
        <w:trPr>
          <w:trHeight w:val="165" w:hRule="exact"/>
        </w:trPr>
        <w:tc>
          <w:tcPr>
            <w:tcW w:w="2553"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71" w:type="dxa"/>
            <w:vMerge/>
            <w:tcBorders>
              <w:left w:val="single" w:sz="6" w:space="0" w:color="000000"/>
              <w:bottom w:val="nil" w:sz="6" w:space="0" w:color="auto"/>
              <w:right w:val="single" w:sz="6" w:space="0" w:color="000000"/>
            </w:tcBorders>
            <w:shd w:val="clear" w:color="auto" w:fill="D2D2D2"/>
          </w:tcPr>
          <w:p>
            <w:pPr/>
          </w:p>
        </w:tc>
        <w:tc>
          <w:tcPr>
            <w:tcW w:w="1044"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863"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849" w:type="dxa"/>
            <w:vMerge/>
            <w:tcBorders>
              <w:left w:val="single" w:sz="6" w:space="0" w:color="000000"/>
              <w:bottom w:val="nil" w:sz="6" w:space="0" w:color="auto"/>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50" w:hRule="exact"/>
        </w:trPr>
        <w:tc>
          <w:tcPr>
            <w:tcW w:w="2553"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71" w:type="dxa"/>
            <w:vMerge w:val="restart"/>
            <w:tcBorders>
              <w:top w:val="nil" w:sz="6" w:space="0" w:color="auto"/>
              <w:left w:val="single" w:sz="6" w:space="0" w:color="000000"/>
              <w:right w:val="single" w:sz="6" w:space="0" w:color="000000"/>
            </w:tcBorders>
            <w:shd w:val="clear" w:color="auto" w:fill="D2D2D2"/>
          </w:tcPr>
          <w:p>
            <w:pPr/>
          </w:p>
        </w:tc>
        <w:tc>
          <w:tcPr>
            <w:tcW w:w="1044" w:type="dxa"/>
            <w:vMerge/>
            <w:tcBorders>
              <w:left w:val="single" w:sz="6" w:space="0" w:color="000000"/>
              <w:bottom w:val="nil" w:sz="6" w:space="0" w:color="auto"/>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863"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9" w:type="dxa"/>
            <w:vMerge w:val="restart"/>
            <w:tcBorders>
              <w:top w:val="nil" w:sz="6" w:space="0" w:color="auto"/>
              <w:left w:val="single" w:sz="6" w:space="0" w:color="000000"/>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58" w:hRule="exact"/>
        </w:trPr>
        <w:tc>
          <w:tcPr>
            <w:tcW w:w="2553" w:type="dxa"/>
            <w:vMerge/>
            <w:tcBorders>
              <w:left w:val="single" w:sz="6" w:space="0" w:color="000000"/>
              <w:bottom w:val="single" w:sz="6" w:space="0" w:color="000000"/>
              <w:right w:val="single" w:sz="6" w:space="0" w:color="000000"/>
            </w:tcBorders>
            <w:shd w:val="clear" w:color="auto" w:fill="D2D2D2"/>
          </w:tcPr>
          <w:p>
            <w:pPr/>
          </w:p>
        </w:tc>
        <w:tc>
          <w:tcPr>
            <w:tcW w:w="976" w:type="dxa"/>
            <w:vMerge/>
            <w:tcBorders>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c>
          <w:tcPr>
            <w:tcW w:w="1044" w:type="dxa"/>
            <w:tcBorders>
              <w:top w:val="nil" w:sz="6" w:space="0" w:color="auto"/>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863"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49" w:type="dxa"/>
            <w:vMerge/>
            <w:tcBorders>
              <w:left w:val="single" w:sz="6" w:space="0" w:color="000000"/>
              <w:bottom w:val="single" w:sz="6" w:space="0" w:color="000000"/>
              <w:right w:val="single" w:sz="6" w:space="0" w:color="000000"/>
            </w:tcBorders>
            <w:shd w:val="clear" w:color="auto" w:fill="D2D2D2"/>
          </w:tcPr>
          <w:p>
            <w:pPr/>
          </w:p>
        </w:tc>
        <w:tc>
          <w:tcPr>
            <w:tcW w:w="728"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二、将重分类进损益的其他综合</w:t>
            </w:r>
          </w:p>
        </w:tc>
        <w:tc>
          <w:tcPr>
            <w:tcW w:w="9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7"/>
              <w:ind w:left="6" w:right="0"/>
              <w:jc w:val="center"/>
              <w:rPr>
                <w:rFonts w:ascii="Times New Roman" w:hAnsi="Times New Roman" w:cs="Times New Roman" w:eastAsia="Times New Roman" w:hint="default"/>
                <w:sz w:val="18"/>
                <w:szCs w:val="18"/>
              </w:rPr>
            </w:pPr>
            <w:r>
              <w:rPr>
                <w:rFonts w:ascii="Times New Roman"/>
                <w:sz w:val="18"/>
              </w:rPr>
              <w:t>-2,257,000.4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-2,738,424</w:t>
            </w:r>
          </w:p>
        </w:tc>
        <w:tc>
          <w:tcPr>
            <w:tcW w:w="1044"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63"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-2,738,424</w:t>
            </w:r>
          </w:p>
        </w:tc>
        <w:tc>
          <w:tcPr>
            <w:tcW w:w="849"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7" w:right="0"/>
              <w:jc w:val="left"/>
              <w:rPr>
                <w:rFonts w:ascii="Times New Roman" w:hAnsi="Times New Roman" w:cs="Times New Roman" w:eastAsia="Times New Roman" w:hint="default"/>
                <w:sz w:val="18"/>
                <w:szCs w:val="18"/>
              </w:rPr>
            </w:pPr>
            <w:r>
              <w:rPr>
                <w:rFonts w:ascii="Times New Roman"/>
                <w:sz w:val="18"/>
              </w:rPr>
              <w:t>-4,995,4</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553"/>
        <w:gridCol w:w="976"/>
        <w:gridCol w:w="856"/>
        <w:gridCol w:w="1051"/>
        <w:gridCol w:w="857"/>
        <w:gridCol w:w="856"/>
        <w:gridCol w:w="856"/>
        <w:gridCol w:w="841"/>
        <w:gridCol w:w="736"/>
      </w:tblGrid>
      <w:tr>
        <w:trPr>
          <w:trHeight w:val="360"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.68</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sz w:val="18"/>
              </w:rPr>
              <w:t>.68</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00" w:right="0"/>
              <w:jc w:val="left"/>
              <w:rPr>
                <w:rFonts w:ascii="Times New Roman" w:hAnsi="Times New Roman" w:cs="Times New Roman" w:eastAsia="Times New Roman" w:hint="default"/>
                <w:sz w:val="18"/>
                <w:szCs w:val="18"/>
              </w:rPr>
            </w:pPr>
            <w:r>
              <w:rPr>
                <w:rFonts w:ascii="Times New Roman"/>
                <w:sz w:val="18"/>
              </w:rPr>
              <w:t>25.16</w:t>
            </w:r>
          </w:p>
        </w:tc>
      </w:tr>
      <w:tr>
        <w:trPr>
          <w:trHeight w:val="720"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-2,257,000.4</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-2,738,424</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.68</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-2,738,424</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.68</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-4,995,4</w:t>
            </w:r>
          </w:p>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25.16</w:t>
            </w:r>
          </w:p>
        </w:tc>
      </w:tr>
      <w:tr>
        <w:trPr>
          <w:trHeight w:val="706"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-2,257,000.4</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-2,738,424</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.68</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-2,738,424</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.68</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-4,995,4</w:t>
            </w:r>
          </w:p>
          <w:p>
            <w:pPr>
              <w:pStyle w:val="TableParagraph"/>
              <w:spacing w:line="240" w:lineRule="auto" w:before="108"/>
              <w:ind w:left="285" w:right="0"/>
              <w:jc w:val="center"/>
              <w:rPr>
                <w:rFonts w:ascii="Times New Roman" w:hAnsi="Times New Roman" w:cs="Times New Roman" w:eastAsia="Times New Roman" w:hint="default"/>
                <w:sz w:val="18"/>
                <w:szCs w:val="18"/>
              </w:rPr>
            </w:pPr>
            <w:r>
              <w:rPr>
                <w:rFonts w:ascii="Times New Roman"/>
                <w:sz w:val="18"/>
              </w:rPr>
              <w:t>25.16</w:t>
            </w:r>
          </w:p>
        </w:tc>
      </w:tr>
    </w:tbl>
    <w:p>
      <w:pPr>
        <w:pStyle w:val="BodyText"/>
        <w:spacing w:line="240" w:lineRule="auto"/>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8、专项储备" w:id="379"/>
      <w:bookmarkEnd w:id="379"/>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5"/>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9、盈余公积" w:id="380"/>
      <w:bookmarkEnd w:id="380"/>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78,166,131.16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3,724,058.20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81,890,189.36</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78,166,131.16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3,724,058.20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81,890,189.36</w:t>
            </w:r>
          </w:p>
        </w:tc>
      </w:tr>
    </w:tbl>
    <w:p>
      <w:pPr>
        <w:pStyle w:val="BodyText"/>
        <w:spacing w:line="240" w:lineRule="auto" w:before="45"/>
        <w:ind w:right="0"/>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0、未分配利润" w:id="381"/>
      <w:bookmarkEnd w:id="381"/>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10"/>
        <w:gridCol w:w="2936"/>
        <w:gridCol w:w="2929"/>
      </w:tblGrid>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634,936,476.35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554,791,054.39</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634,936,476.35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554,791,054.39</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62,942,762.72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102,112,535.47</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3,724,058.20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9,544,441.61</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17,544,569.66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12,422,671.90</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676,610,611.21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634,936,476.35</w:t>
            </w:r>
          </w:p>
        </w:tc>
      </w:tr>
    </w:tbl>
    <w:p>
      <w:pPr>
        <w:pStyle w:val="BodyText"/>
        <w:spacing w:line="240" w:lineRule="auto" w:before="45"/>
        <w:ind w:right="0"/>
        <w:jc w:val="left"/>
      </w:pPr>
      <w:r>
        <w:rPr/>
        <w:t>调整期初未分配利润明细：</w:t>
      </w:r>
    </w:p>
    <w:p>
      <w:pPr>
        <w:pStyle w:val="BodyText"/>
        <w:spacing w:line="240" w:lineRule="auto" w:before="124"/>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11"/>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96"/>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11"/>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96"/>
        <w:ind w:right="0"/>
        <w:jc w:val="left"/>
      </w:pPr>
      <w:r>
        <w:rPr>
          <w:rFonts w:ascii="Times New Roman" w:hAnsi="Times New Roman" w:cs="Times New Roman" w:eastAsia="Times New Roman" w:hint="default"/>
        </w:rPr>
        <w:t>5)</w:t>
      </w:r>
      <w:r>
        <w:rPr/>
        <w:t>、其他调整合计影响期初未分配利润元。</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61、营业收入和营业成本" w:id="382"/>
      <w:bookmarkEnd w:id="382"/>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203"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3" w:hRule="exact"/>
        </w:trPr>
        <w:tc>
          <w:tcPr>
            <w:tcW w:w="191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15"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3"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6,512,430,900.39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5,911,518,087.05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5,772,257,245.52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5,264,328,079.18</w:t>
            </w: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21,272.18</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6,512,430,900.39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5,911,518,087.05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5,772,278,517.70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5,264,328,079.18</w:t>
            </w:r>
          </w:p>
        </w:tc>
      </w:tr>
    </w:tbl>
    <w:p>
      <w:pPr>
        <w:pStyle w:val="BodyText"/>
        <w:spacing w:line="240" w:lineRule="auto"/>
        <w:ind w:right="0"/>
        <w:jc w:val="left"/>
      </w:pPr>
      <w:r>
        <w:rPr/>
        <w:t>是否已执行新收入准则</w:t>
      </w:r>
    </w:p>
    <w:p>
      <w:pPr>
        <w:pStyle w:val="BodyText"/>
        <w:spacing w:line="331" w:lineRule="auto" w:before="125"/>
        <w:ind w:right="93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62、税金及附加" w:id="383"/>
      <w:bookmarkEnd w:id="383"/>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1,725,610.07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1,333,498.98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737,762.08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570,770.34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314,647.30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240,460.46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490,280.37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379,233.06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7,907.60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7,983.84</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3,276,207.42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2,531,946.68</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3、销售费用" w:id="384"/>
      <w:bookmarkEnd w:id="38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207,256,514.60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124,288,876.89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12,925,128.74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28,434,864.60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982,256.44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6,100,387.06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仓库租赁费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11,419,144.15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10,934,235.40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11,439,854.49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4,664,185.52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26,059,535.02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5,650,869.15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25,736,401.22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14,077,065.97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295,818,834.66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194,150,484.59</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64、管理费用" w:id="385"/>
      <w:bookmarkEnd w:id="385"/>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49,598,146.11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51,914,810.96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16,233,206.91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12,034,569.93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10,897,176.35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9,445,618.80</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4,153,895.93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3,044,975.41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股份支付服务成本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-11,335,140.57</w:t>
            </w:r>
            <w:r>
              <w:rPr>
                <w:rFonts w:ascii="Times New Roman"/>
                <w:sz w:val="18"/>
              </w:rPr>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666,536.87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533,162.77</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4,003,978.59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3,710,081.96</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3,696,510.45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3,266,555.78</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1,829,938.87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1,561,358.26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9,602,247.32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7,066,206.99</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电话通讯费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1,922,539.76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985,749.01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1,842,800.83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2,617,462.67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律师费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1,056,324.53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1,633,391.18</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13,497,178.85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8,796,461.01</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119,000,481.37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95,275,264.16</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5、研发费用" w:id="386"/>
      <w:bookmarkEnd w:id="386"/>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13,799,294.57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9,194,927.86</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物业水电费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1,401,052.77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1,424,609.36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1,736,423.42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1,528,191.18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268,727.21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382,273.33</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115,326.19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125,611.89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17,320,824.16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12,655,613.62</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6、财务费用" w:id="387"/>
      <w:bookmarkEnd w:id="387"/>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72,606,506.36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317,611,721.28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57,395,111.78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306,642,025.30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22,029,167.42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91,807,579.20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7,575,765.24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24,071,729.27</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贴现息</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2,034,512.53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3,725,309.72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46,850,839.77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130,574,314.17</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67、其他收益" w:id="388"/>
      <w:bookmarkEnd w:id="388"/>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2,980,346.08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23,418,699.00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147,042.45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494.71</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3,127,388.53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23,419,193.71</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8、投资收益" w:id="389"/>
      <w:bookmarkEnd w:id="389"/>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469"/>
        <w:gridCol w:w="3184"/>
        <w:gridCol w:w="2929"/>
      </w:tblGrid>
      <w:tr>
        <w:trPr>
          <w:trHeight w:val="390"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84" w:type="dxa"/>
            <w:tcBorders>
              <w:top w:val="single" w:sz="6" w:space="0" w:color="000000"/>
              <w:left w:val="single" w:sz="18" w:space="0" w:color="D2D2D2"/>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w:t>
            </w:r>
          </w:p>
        </w:tc>
      </w:tr>
      <w:tr>
        <w:trPr>
          <w:trHeight w:val="40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处置其他非流动金融资产的投资收益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-3,199,373.62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其他非流动金融资产持有期间的股利收入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2,000,000.00</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15,537,021.42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52,330,505.87</w:t>
            </w:r>
          </w:p>
        </w:tc>
      </w:tr>
      <w:tr>
        <w:trPr>
          <w:trHeight w:val="391"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14,337,647.80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54,330,505.87</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69、净敞口套期收益" w:id="390"/>
      <w:bookmarkEnd w:id="390"/>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0、公允价值变动收益" w:id="391"/>
      <w:bookmarkEnd w:id="391"/>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3,145,927.42</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72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9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3,145,927.42</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-1,617,519.61</w:t>
            </w:r>
            <w:r>
              <w:rPr>
                <w:rFonts w:ascii="Times New Roman"/>
                <w:sz w:val="18"/>
              </w:rPr>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3,145,927.42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-1,617,519.61</w:t>
            </w:r>
            <w:r>
              <w:rPr>
                <w:rFonts w:ascii="Times New Roman"/>
                <w:sz w:val="18"/>
              </w:rPr>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1、信用减值损失" w:id="392"/>
      <w:bookmarkEnd w:id="392"/>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-55,574,734.61</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-55,574,734.61</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2、资产减值损失" w:id="393"/>
      <w:bookmarkEnd w:id="393"/>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50"/>
          <w:pgMar w:header="731" w:footer="981" w:top="1040" w:bottom="1180" w:left="1000" w:right="0"/>
        </w:sectPr>
      </w:pPr>
    </w:p>
    <w:p>
      <w:pPr>
        <w:pStyle w:val="BodyText"/>
        <w:spacing w:line="240" w:lineRule="auto"/>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-25,296,714.15</w:t>
            </w:r>
            <w:r>
              <w:rPr>
                <w:rFonts w:ascii="Times New Roman"/>
                <w:sz w:val="18"/>
              </w:rPr>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-25,296,714.15</w:t>
            </w:r>
            <w:r>
              <w:rPr>
                <w:rFonts w:ascii="Times New Roman"/>
                <w:sz w:val="18"/>
              </w:rPr>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5"/>
        <w:ind w:right="0"/>
        <w:jc w:val="left"/>
        <w:rPr>
          <w:b w:val="0"/>
          <w:bCs w:val="0"/>
        </w:rPr>
      </w:pPr>
      <w:bookmarkStart w:name="73、资产处置收益" w:id="394"/>
      <w:bookmarkEnd w:id="394"/>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2,075.98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23,000.00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2,075.98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23,000.00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74、营业外收入" w:id="395"/>
      <w:bookmarkEnd w:id="395"/>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210,955.42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83,167.56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210,955.42</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210,955.42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83,167.56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210,955.42</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计入当期损益的政府补助：</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81"/>
        <w:gridCol w:w="1051"/>
        <w:gridCol w:w="1066"/>
      </w:tblGrid>
      <w:tr>
        <w:trPr>
          <w:trHeight w:val="705"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9"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74"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89"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20"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5" w:right="39" w:hanging="1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75、营业外支出" w:id="396"/>
      <w:bookmarkEnd w:id="396"/>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5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73"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160,839.02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11,000.00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12,016.05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7,080.95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12,016.05</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24,195.69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71,138.90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24,195.69</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93,699.83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32,346.92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93,699.83</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140,911.57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271,405.79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140,911.57</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6、所得税费用" w:id="397"/>
      <w:bookmarkEnd w:id="397"/>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98"/>
      <w:bookmarkEnd w:id="39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37,472,833.70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50,133,777.92</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-16,702,190.33</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-28,864,925.92</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20,770,643.37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21,268,852.00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99"/>
      <w:bookmarkEnd w:id="39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83,753,974.93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20,938,493.73</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-1,906,277.81</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141,507.42</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-523,012.75</w:t>
            </w:r>
            <w:r>
              <w:rPr>
                <w:rFonts w:ascii="Times New Roman"/>
                <w:sz w:val="18"/>
              </w:rPr>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1,696,276.41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-13,634.40</w:t>
            </w:r>
            <w:r>
              <w:rPr>
                <w:rFonts w:ascii="Times New Roman"/>
                <w:sz w:val="18"/>
              </w:rPr>
            </w:r>
          </w:p>
        </w:tc>
      </w:tr>
      <w:tr>
        <w:trPr>
          <w:trHeight w:val="7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437,290.77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20,770,643.37</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7、其他综合收益" w:id="400"/>
      <w:bookmarkEnd w:id="400"/>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详见附注</w:t>
      </w:r>
      <w:r>
        <w:rPr>
          <w:spacing w:val="-45"/>
        </w:rPr>
        <w:t> </w:t>
      </w:r>
      <w:r>
        <w:rPr>
          <w:rFonts w:ascii="Times New Roman" w:hAnsi="Times New Roman" w:cs="Times New Roman" w:eastAsia="Times New Roman" w:hint="default"/>
        </w:rPr>
        <w:t>57</w:t>
      </w:r>
      <w:r>
        <w:rPr/>
        <w:t>、其他综合收益。</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78、现金流量表项目" w:id="401"/>
      <w:bookmarkEnd w:id="401"/>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收到的其他与经营活动有关的现金" w:id="402"/>
      <w:bookmarkEnd w:id="40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27,353,667,662.90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37,647,340,192.55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3,971,078.58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1,251,957.18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6,826,426.08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24,335,799.00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35,483,443.12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50,048,282.70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5,927,669.75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20,436,170.23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27,405,876,280.43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37,743,412,401.66</w:t>
            </w:r>
          </w:p>
        </w:tc>
      </w:tr>
    </w:tbl>
    <w:p>
      <w:pPr>
        <w:pStyle w:val="BodyText"/>
        <w:spacing w:line="240" w:lineRule="auto" w:before="45"/>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支付的其他与经营活动有关的现金" w:id="403"/>
      <w:bookmarkEnd w:id="40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27,552,634,268.90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38,724,617,658.86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208,838,440.37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125,756,219.79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运费及汽车费用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20,888,399.09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44,836,284.89</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20,473,268.98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11,915,281.05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16,501,604.16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11,186,315.14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8,548,444.05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7,378,225.59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4,257,594.08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2,698,884.18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45,594,647.83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68,157,550.40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27,877,736,667.46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38,996,546,419.90</w:t>
            </w:r>
          </w:p>
        </w:tc>
      </w:tr>
    </w:tbl>
    <w:p>
      <w:pPr>
        <w:pStyle w:val="BodyText"/>
        <w:spacing w:line="240" w:lineRule="auto" w:before="45"/>
        <w:ind w:right="0"/>
        <w:jc w:val="left"/>
      </w:pPr>
      <w:r>
        <w:rPr/>
        <w:t>支付的其他与经营活动有关的现金说明：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3）收到的其他与投资活动有关的现金" w:id="404"/>
      <w:bookmarkEnd w:id="40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14,044,636.98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14,044,636.98</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4）支付的其他与投资活动有关的现金" w:id="405"/>
      <w:bookmarkEnd w:id="40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21,000,000.00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收到的其他与筹资活动有关的现金" w:id="406"/>
      <w:bookmarkEnd w:id="40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远期外汇组合产品收益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93,368,341.50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172,112,440.19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128,258,073.48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251,514,229.04</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300,802.98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2,117,825.82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221,927,217.96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425,744,495.05</w:t>
            </w:r>
          </w:p>
        </w:tc>
      </w:tr>
    </w:tbl>
    <w:p>
      <w:pPr>
        <w:pStyle w:val="BodyText"/>
        <w:spacing w:line="240" w:lineRule="auto"/>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支付的其他与筹资活动有关的现金" w:id="407"/>
      <w:bookmarkEnd w:id="40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远期外汇组合产品损失</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29,430,471.76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123,624,957.47</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8,009,640.85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23,802,133.79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贴现息</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2,034,512.53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3,725,309.72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3,989,999.96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38,578,218.83</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43,464,625.10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189,730,619.81</w:t>
            </w:r>
          </w:p>
        </w:tc>
      </w:tr>
    </w:tbl>
    <w:p>
      <w:pPr>
        <w:pStyle w:val="BodyText"/>
        <w:spacing w:line="240" w:lineRule="auto" w:before="45"/>
        <w:ind w:right="0"/>
        <w:jc w:val="left"/>
      </w:pPr>
      <w:r>
        <w:rPr/>
        <w:t>支付的其他与筹资活动有关的现金说明：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r>
        <w:rPr/>
        <w:pict>
          <v:group style="position:absolute;margin-left:224.529999pt;margin-top:471.429993pt;width:150.2pt;height:19.5pt;mso-position-horizontal-relative:page;mso-position-vertical-relative:page;z-index:-1101424" coordorigin="4491,9429" coordsize="3004,390">
            <v:shape style="position:absolute;left:4491;top:9429;width:3004;height:390" coordorigin="4491,9429" coordsize="3004,390" path="m4491,9819l7495,9819,7495,9429,4491,9429,4491,9819xe" filled="true" fillcolor="#ffffff" stroked="false">
              <v:path arrowok="t"/>
              <v:fill type="solid"/>
            </v:shape>
            <w10:wrap type="none"/>
          </v:group>
        </w:pict>
      </w:r>
    </w:p>
    <w:p>
      <w:pPr>
        <w:pStyle w:val="Heading3"/>
        <w:spacing w:line="240" w:lineRule="auto" w:before="35"/>
        <w:ind w:right="0"/>
        <w:jc w:val="left"/>
        <w:rPr>
          <w:b w:val="0"/>
          <w:bCs w:val="0"/>
        </w:rPr>
      </w:pPr>
      <w:bookmarkStart w:name="79、现金流量表补充资料" w:id="408"/>
      <w:bookmarkEnd w:id="408"/>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现金流量表补充资料" w:id="409"/>
      <w:bookmarkEnd w:id="40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62,983,331.56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102,164,190.89</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55,574,734.61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25,296,714.15</w:t>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52" w:firstLine="721"/>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1,921,355.06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1,890,286.89</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383,648.21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213,346.28</w:t>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53" w:firstLine="721"/>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-2,075.98</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-23,000.00</w:t>
            </w:r>
            <w:r>
              <w:rPr>
                <w:rFonts w:ascii="Times New Roman"/>
                <w:sz w:val="18"/>
              </w:rPr>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12,016.05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7,080.95</w:t>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-3,145,927.42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1,617,519.61</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6"/>
              <w:jc w:val="righ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36,702,569.60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129,968,010.76</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66"/>
              <w:jc w:val="righ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-14,337,647.80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-54,330,505.87</w:t>
            </w:r>
            <w:r>
              <w:rPr>
                <w:rFonts w:ascii="Times New Roman"/>
                <w:sz w:val="18"/>
              </w:rPr>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-16,705,591.61</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-28,868,803.97</w:t>
            </w:r>
            <w:r>
              <w:rPr>
                <w:rFonts w:ascii="Times New Roman"/>
                <w:sz w:val="18"/>
              </w:rPr>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1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tabs>
                <w:tab w:pos="1892" w:val="left" w:leader="none"/>
              </w:tabs>
              <w:spacing w:line="240" w:lineRule="auto" w:before="59"/>
              <w:ind w:left="-136"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145,070,439.35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-135,626,112.54</w:t>
            </w:r>
            <w:r>
              <w:rPr>
                <w:rFonts w:ascii="Times New Roman"/>
                <w:sz w:val="18"/>
              </w:rPr>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-40,989,935.54</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-608,597,217.69</w:t>
            </w:r>
            <w:r>
              <w:rPr>
                <w:rFonts w:ascii="Times New Roman"/>
                <w:sz w:val="18"/>
              </w:rPr>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-310,070,615.54</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-227,595,650.72</w:t>
            </w:r>
            <w:r>
              <w:rPr>
                <w:rFonts w:ascii="Times New Roman"/>
                <w:sz w:val="18"/>
              </w:rPr>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-200,384,720.57</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281,487,086.31</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33"/>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-282,988,420.02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-512,397,054.95</w:t>
            </w:r>
            <w:r>
              <w:rPr>
                <w:rFonts w:ascii="Times New Roman"/>
                <w:sz w:val="18"/>
              </w:rPr>
            </w:r>
          </w:p>
        </w:tc>
      </w:tr>
      <w:tr>
        <w:trPr>
          <w:trHeight w:val="173" w:hRule="exact"/>
        </w:trPr>
        <w:tc>
          <w:tcPr>
            <w:tcW w:w="3319"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60"/>
              <w:ind w:left="7"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319" w:type="dxa"/>
            <w:vMerge/>
            <w:tcBorders>
              <w:left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3319" w:type="dxa"/>
            <w:vMerge/>
            <w:tcBorders>
              <w:left w:val="single" w:sz="6" w:space="0" w:color="000000"/>
              <w:bottom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336,957,152.71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435,171,115.26</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435,171,115.26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1,674,633,081.59</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-98,213,962.55</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-1,239,461,966.33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本期支付的取得子公司的现金净额" w:id="410"/>
      <w:bookmarkEnd w:id="41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本期收到的处置子公司的现金净额" w:id="411"/>
      <w:bookmarkEnd w:id="41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6"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现金和现金等价物的构成" w:id="412"/>
      <w:bookmarkEnd w:id="41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336,957,152.71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435,171,115.26</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179,571.89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305,062.31</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336,777,580.82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434,866,052.95</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336,957,152.71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435,171,115.26</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80、所有者权益变动表项目注释" w:id="413"/>
      <w:bookmarkEnd w:id="413"/>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81、所有权或使用权受到限制的资产" w:id="414"/>
      <w:bookmarkEnd w:id="414"/>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3,948,172,958.44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3,948,172,958.44</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82、外币货币性项目" w:id="415"/>
      <w:bookmarkEnd w:id="415"/>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外币货币性项目" w:id="416"/>
      <w:bookmarkEnd w:id="41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91,361,895.58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6.976200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637,358,855.95</w:t>
            </w:r>
          </w:p>
        </w:tc>
      </w:tr>
      <w:tr>
        <w:trPr>
          <w:trHeight w:val="391"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177,036,493.54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7.815500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1,383,628,715.26</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5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3,844,916.30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0.895780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3,444,199.12</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227,728,585.47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7.202800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1,640,283,455.42</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960,527.06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0.064086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61,556.34</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72,156.55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0.232786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16,797.03</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13.03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5.342100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69.61</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14,751.03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9.150100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134,973.40</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2,661,329.96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6.976200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18,565,970.07</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20,626.63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7.815500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161,207.43</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62,914.48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0.895780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56,357.53</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1,200.43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9.150100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10,984.05</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34,609.00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0.064086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2,217.95</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16,178.24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0.232786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3,766.07</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4,874.86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5.342100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26,041.99</w:t>
            </w:r>
          </w:p>
        </w:tc>
      </w:tr>
      <w:tr>
        <w:trPr>
          <w:trHeight w:val="391"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2,807,703.21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0.895780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2,515,084.38</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2,411,712.78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7.815500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18,848,741.23</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3,654,723.08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6.976200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25,496,079.15</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21,451,867.11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0.232786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4,993,694.34</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520,051.34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5.342100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2,778,166.26</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164,271,699.27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7.815500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1,283,865,465.64</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72,210,284.35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6.976200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503,753,385.68</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227,771,464.01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7.202800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1,640,592,300.97</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43,680,623.35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6.976200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304,724,764.61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18,569.90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7.815500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145,133.05</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22,628,800.00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0.064086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1,450,189.28</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2,471,712.81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0.895780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2,214,110.90</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1,195,242.24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6.976200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8,338,248.91</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86" w:lineRule="exact" w:before="156"/>
        <w:ind w:right="0"/>
        <w:jc w:val="left"/>
        <w:rPr>
          <w:b w:val="0"/>
          <w:bCs w:val="0"/>
        </w:rPr>
      </w:pPr>
      <w:bookmarkStart w:name="（2）境外经营实体说明，包括对于重要的境外经营实体，应披露其境外主要经营地、记账" w:id="417"/>
      <w:bookmarkEnd w:id="41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53"/>
        </w:rPr>
        <w:t> </w:t>
      </w:r>
      <w:r>
        <w:rPr>
          <w:spacing w:val="-53"/>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83、套期" w:id="418"/>
      <w:bookmarkEnd w:id="418"/>
      <w:r>
        <w:rPr>
          <w:b w:val="0"/>
          <w:bCs w:val="0"/>
        </w:rPr>
      </w:r>
      <w:r>
        <w:rPr>
          <w:rFonts w:ascii="Times New Roman" w:hAnsi="Times New Roman" w:cs="Times New Roman" w:eastAsia="Times New Roman" w:hint="default"/>
        </w:rPr>
        <w:t>83</w:t>
      </w:r>
      <w:r>
        <w:rPr/>
        <w:t>、套期</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84、政府补助" w:id="419"/>
      <w:bookmarkEnd w:id="419"/>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政府补助基本情况" w:id="420"/>
      <w:bookmarkEnd w:id="42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东西湖物流园区企业发展金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47,534.96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47,534.96</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30"/>
              <w:jc w:val="left"/>
              <w:rPr>
                <w:rFonts w:ascii="宋体" w:hAnsi="宋体" w:cs="宋体" w:eastAsia="宋体" w:hint="default"/>
                <w:sz w:val="18"/>
                <w:szCs w:val="18"/>
              </w:rPr>
            </w:pPr>
            <w:r>
              <w:rPr>
                <w:rFonts w:ascii="宋体" w:hAnsi="宋体" w:cs="宋体" w:eastAsia="宋体" w:hint="default"/>
                <w:sz w:val="18"/>
                <w:szCs w:val="18"/>
              </w:rPr>
              <w:t>综合保税区</w:t>
            </w:r>
            <w:r>
              <w:rPr>
                <w:rFonts w:ascii="Times New Roman" w:hAnsi="Times New Roman" w:cs="Times New Roman" w:eastAsia="Times New Roman" w:hint="default"/>
                <w:sz w:val="18"/>
                <w:szCs w:val="18"/>
              </w:rPr>
              <w:t>“</w:t>
            </w:r>
            <w:r>
              <w:rPr>
                <w:rFonts w:ascii="宋体" w:hAnsi="宋体" w:cs="宋体" w:eastAsia="宋体" w:hint="default"/>
                <w:sz w:val="18"/>
                <w:szCs w:val="18"/>
              </w:rPr>
              <w:t>自贸十条</w:t>
            </w:r>
            <w:r>
              <w:rPr>
                <w:rFonts w:ascii="Times New Roman" w:hAnsi="Times New Roman" w:cs="Times New Roman" w:eastAsia="Times New Roman" w:hint="default"/>
                <w:sz w:val="18"/>
                <w:szCs w:val="18"/>
              </w:rPr>
              <w:t>”</w:t>
            </w:r>
            <w:r>
              <w:rPr>
                <w:rFonts w:ascii="宋体" w:hAnsi="宋体" w:cs="宋体" w:eastAsia="宋体" w:hint="default"/>
                <w:sz w:val="18"/>
                <w:szCs w:val="18"/>
              </w:rPr>
              <w:t>专项资</w:t>
            </w:r>
            <w:r>
              <w:rPr>
                <w:rFonts w:ascii="宋体" w:hAnsi="宋体" w:cs="宋体" w:eastAsia="宋体" w:hint="default"/>
                <w:spacing w:val="-84"/>
                <w:sz w:val="18"/>
                <w:szCs w:val="18"/>
              </w:rPr>
              <w:t> </w:t>
            </w:r>
            <w:r>
              <w:rPr>
                <w:rFonts w:ascii="宋体" w:hAnsi="宋体" w:cs="宋体" w:eastAsia="宋体" w:hint="default"/>
                <w:sz w:val="18"/>
                <w:szCs w:val="18"/>
              </w:rPr>
              <w:t>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101,800.00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101,800.00</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年战略性新兴产业互联 网发展专项资金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1,050,000.00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36,249.86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36,249.86</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年搭建服务平台政府补 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商务局外贸奖励资金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202,300.00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202,300.00</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商务厅外贸奖励资金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年外贸进出口大户奖励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500,000.00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0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6"/>
              <w:jc w:val="left"/>
              <w:rPr>
                <w:rFonts w:ascii="宋体" w:hAnsi="宋体" w:cs="宋体" w:eastAsia="宋体" w:hint="default"/>
                <w:sz w:val="18"/>
                <w:szCs w:val="18"/>
              </w:rPr>
            </w:pPr>
            <w:r>
              <w:rPr>
                <w:rFonts w:ascii="宋体" w:hAnsi="宋体" w:cs="宋体" w:eastAsia="宋体" w:hint="default"/>
                <w:sz w:val="18"/>
                <w:szCs w:val="18"/>
              </w:rPr>
              <w:t>武汉新港空港综合保税区（东 西湖园区）</w:t>
            </w:r>
            <w:r>
              <w:rPr>
                <w:rFonts w:ascii="Times New Roman" w:hAnsi="Times New Roman" w:cs="Times New Roman" w:eastAsia="Times New Roman" w:hint="default"/>
                <w:sz w:val="18"/>
                <w:szCs w:val="18"/>
              </w:rPr>
              <w:t>2017-2018 </w:t>
            </w:r>
            <w:r>
              <w:rPr>
                <w:rFonts w:ascii="宋体" w:hAnsi="宋体" w:cs="宋体" w:eastAsia="宋体" w:hint="default"/>
                <w:sz w:val="18"/>
                <w:szCs w:val="18"/>
              </w:rPr>
              <w:t>年入园 企业支持资金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840,461.26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840,461.26</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年重点物流企业贴息财 政资助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冲减相关成本费用</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年物博会参展商展位费 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42,480.00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冲减相关成本费用</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42,480.00</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贷款贴息支持</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801,800.00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冲减相关成本费用</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801,800.00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年第一批计算机软件资 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冲减相关成本费用</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421"/>
      <w:bookmarkEnd w:id="42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4"/>
        <w:rPr>
          <w:rFonts w:ascii="宋体" w:hAnsi="宋体" w:cs="宋体" w:eastAsia="宋体" w:hint="default"/>
          <w:sz w:val="24"/>
          <w:szCs w:val="24"/>
        </w:rPr>
      </w:pPr>
    </w:p>
    <w:p>
      <w:pPr>
        <w:spacing w:line="487" w:lineRule="auto" w:before="0"/>
        <w:ind w:left="141" w:right="8324" w:firstLine="0"/>
        <w:jc w:val="left"/>
        <w:rPr>
          <w:rFonts w:ascii="宋体" w:hAnsi="宋体" w:cs="宋体" w:eastAsia="宋体" w:hint="default"/>
          <w:sz w:val="21"/>
          <w:szCs w:val="21"/>
        </w:rPr>
      </w:pPr>
      <w:bookmarkStart w:name="85、其他" w:id="422"/>
      <w:bookmarkEnd w:id="422"/>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23"/>
      <w:bookmarkEnd w:id="423"/>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bookmarkStart w:name="1、非同一控制下企业合并" w:id="424"/>
      <w:bookmarkEnd w:id="424"/>
      <w:r>
        <w:rPr>
          <w:rFonts w:ascii="宋体" w:hAnsi="宋体" w:cs="宋体" w:eastAsia="宋体" w:hint="default"/>
          <w:b/>
          <w:bCs/>
          <w:spacing w:val="-11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70"/>
        <w:ind w:right="0"/>
        <w:jc w:val="left"/>
        <w:rPr>
          <w:b w:val="0"/>
          <w:bCs w:val="0"/>
        </w:rPr>
      </w:pPr>
      <w:bookmarkStart w:name="（1）本期发生的非同一控制下企业合并" w:id="425"/>
      <w:bookmarkEnd w:id="42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10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8"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40"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2）合并成本及商誉" w:id="426"/>
      <w:bookmarkEnd w:id="42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12"/>
        <w:rPr>
          <w:rFonts w:ascii="宋体" w:hAnsi="宋体" w:cs="宋体" w:eastAsia="宋体" w:hint="default"/>
          <w:sz w:val="8"/>
          <w:szCs w:val="8"/>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pt;mso-position-horizontal-relative:char;mso-position-vertical-relative:line" coordorigin="0,0" coordsize="9597,420">
            <v:group style="position:absolute;left:23;top:8;width:2;height:405" coordorigin="23,8" coordsize="2,405">
              <v:shape style="position:absolute;left:23;top:8;width:2;height:405" coordorigin="23,8" coordsize="0,405" path="m23,8l23,413e" filled="false" stroked="true" strokeweight=".75pt" strokecolor="#d2d2d2">
                <v:path arrowok="t"/>
              </v:shape>
            </v:group>
            <v:group style="position:absolute;left:4784;top:8;width:2;height:405" coordorigin="4784,8" coordsize="2,405">
              <v:shape style="position:absolute;left:4784;top:8;width:2;height:405" coordorigin="4784,8" coordsize="0,405" path="m4784,8l4784,413e" filled="false" stroked="true" strokeweight=".75pt" strokecolor="#d2d2d2">
                <v:path arrowok="t"/>
              </v:shape>
            </v:group>
            <v:group style="position:absolute;left:30;top:8;width:4746;height:405" coordorigin="30,8" coordsize="4746,405">
              <v:shape style="position:absolute;left:30;top:8;width:4746;height:405" coordorigin="30,8" coordsize="4746,405" path="m30,413l4776,413,4776,8,30,8,30,413xe" filled="true" fillcolor="#d2d2d2" stroked="false">
                <v:path arrowok="t"/>
                <v:fill type="solid"/>
              </v:shape>
            </v:group>
            <v:group style="position:absolute;left:4814;top:8;width:2;height:405" coordorigin="4814,8" coordsize="2,405">
              <v:shape style="position:absolute;left:4814;top:8;width:2;height:405" coordorigin="4814,8" coordsize="0,405" path="m4814,8l4814,413e" filled="false" stroked="true" strokeweight=".75pt" strokecolor="#d2d2d2">
                <v:path arrowok="t"/>
              </v:shape>
            </v:group>
            <v:group style="position:absolute;left:9574;top:8;width:2;height:405" coordorigin="9574,8" coordsize="2,405">
              <v:shape style="position:absolute;left:9574;top:8;width:2;height:405" coordorigin="9574,8" coordsize="0,405" path="m9574,8l9574,413e" filled="false" stroked="true" strokeweight=".75pt" strokecolor="#d2d2d2">
                <v:path arrowok="t"/>
              </v:shape>
            </v:group>
            <v:group style="position:absolute;left:4821;top:8;width:4746;height:405" coordorigin="4821,8" coordsize="4746,405">
              <v:shape style="position:absolute;left:4821;top:8;width:4746;height:405" coordorigin="4821,8" coordsize="4746,405" path="m4821,413l9567,413,9567,8,4821,8,4821,413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05" coordorigin="8,8" coordsize="2,405">
              <v:shape style="position:absolute;left:8;top:8;width:2;height:405" coordorigin="8,8" coordsize="0,405" path="m8,8l8,413e" filled="false" stroked="true" strokeweight=".75pt" strokecolor="#000000">
                <v:path arrowok="t"/>
              </v:shape>
            </v:group>
            <v:group style="position:absolute;left:15;top:405;width:4776;height:2" coordorigin="15,405" coordsize="4776,2">
              <v:shape style="position:absolute;left:15;top:405;width:4776;height:2" coordorigin="15,405" coordsize="4776,0" path="m15,405l4791,405e" filled="false" stroked="true" strokeweight=".75pt" strokecolor="#000000">
                <v:path arrowok="t"/>
              </v:shape>
            </v:group>
            <v:group style="position:absolute;left:4799;top:8;width:2;height:405" coordorigin="4799,8" coordsize="2,405">
              <v:shape style="position:absolute;left:4799;top:8;width:2;height:405" coordorigin="4799,8" coordsize="0,405" path="m4799,8l4799,413e" filled="false" stroked="true" strokeweight=".75pt" strokecolor="#000000">
                <v:path arrowok="t"/>
              </v:shape>
            </v:group>
            <v:group style="position:absolute;left:4806;top:405;width:4776;height:2" coordorigin="4806,405" coordsize="4776,2">
              <v:shape style="position:absolute;left:4806;top:405;width:4776;height:2" coordorigin="4806,405" coordsize="4776,0" path="m4806,405l9582,405e" filled="false" stroked="true" strokeweight=".75pt" strokecolor="#000000">
                <v:path arrowok="t"/>
              </v:shape>
            </v:group>
            <v:group style="position:absolute;left:9589;top:8;width:2;height:405" coordorigin="9589,8" coordsize="2,405">
              <v:shape style="position:absolute;left:9589;top:8;width:2;height:405" coordorigin="9589,8" coordsize="0,405" path="m9589,8l9589,413e" filled="false" stroked="true" strokeweight=".75pt" strokecolor="#000000">
                <v:path arrowok="t"/>
              </v:shape>
              <v:shape style="position:absolute;left:8;top:15;width:4792;height:390" type="#_x0000_t202" filled="false" stroked="false">
                <v:textbox inset="0,0,0,0">
                  <w:txbxContent>
                    <w:p>
                      <w:pPr>
                        <w:spacing w:before="37"/>
                        <w:ind w:left="0" w:right="29"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2" w:lineRule="auto" w:before="38"/>
        <w:ind w:right="6069"/>
        <w:jc w:val="left"/>
      </w:pPr>
      <w:r>
        <w:rPr/>
        <w:t>合并成本公允价值的确定方法、或有对价及其变动的说明： 大额商誉形成的主要原因：</w:t>
      </w:r>
    </w:p>
    <w:p>
      <w:pPr>
        <w:pStyle w:val="BodyText"/>
        <w:spacing w:line="240" w:lineRule="auto" w:before="4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被购买方于购买日可辨认资产、负债" w:id="427"/>
      <w:bookmarkEnd w:id="42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398" w:type="dxa"/>
            <w:gridSpan w:val="2"/>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ind w:right="7526"/>
        <w:jc w:val="both"/>
      </w:pPr>
      <w:r>
        <w:rPr/>
        <w:t>可辨认资产、负债公允价值的确定方法： 企业合并中承担的被购买方的或有负债： 其他说明：</w:t>
      </w:r>
    </w:p>
    <w:p>
      <w:pPr>
        <w:spacing w:line="240" w:lineRule="auto" w:before="10"/>
        <w:rPr>
          <w:rFonts w:ascii="宋体" w:hAnsi="宋体" w:cs="宋体" w:eastAsia="宋体" w:hint="default"/>
          <w:sz w:val="21"/>
          <w:szCs w:val="21"/>
        </w:rPr>
      </w:pPr>
    </w:p>
    <w:p>
      <w:pPr>
        <w:pStyle w:val="Heading3"/>
        <w:spacing w:line="240" w:lineRule="auto"/>
        <w:ind w:right="0"/>
        <w:jc w:val="both"/>
        <w:rPr>
          <w:b w:val="0"/>
          <w:bCs w:val="0"/>
        </w:rPr>
      </w:pPr>
      <w:bookmarkStart w:name="（4）购买日之前持有的股权按照公允价值重新计量产生的利得或损失" w:id="428"/>
      <w:bookmarkEnd w:id="42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24"/>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7"/>
        <w:rPr>
          <w:rFonts w:ascii="宋体" w:hAnsi="宋体" w:cs="宋体" w:eastAsia="宋体" w:hint="default"/>
          <w:sz w:val="26"/>
          <w:szCs w:val="26"/>
        </w:rPr>
      </w:pPr>
    </w:p>
    <w:p>
      <w:pPr>
        <w:pStyle w:val="Heading3"/>
        <w:spacing w:line="240" w:lineRule="auto"/>
        <w:ind w:right="0"/>
        <w:jc w:val="both"/>
        <w:rPr>
          <w:b w:val="0"/>
          <w:bCs w:val="0"/>
        </w:rPr>
      </w:pPr>
      <w:bookmarkStart w:name="（5）购买日或合并当期期末无法合理确定合并对价或被购买方可辨认资产、负债公允价值" w:id="429"/>
      <w:bookmarkEnd w:id="42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1"/>
        <w:rPr>
          <w:rFonts w:ascii="宋体" w:hAnsi="宋体" w:cs="宋体" w:eastAsia="宋体" w:hint="default"/>
          <w:b/>
          <w:bCs/>
          <w:sz w:val="24"/>
          <w:szCs w:val="24"/>
        </w:rPr>
      </w:pPr>
    </w:p>
    <w:p>
      <w:pPr>
        <w:pStyle w:val="Heading3"/>
        <w:spacing w:line="508" w:lineRule="auto"/>
        <w:ind w:right="8535"/>
        <w:jc w:val="left"/>
        <w:rPr>
          <w:b w:val="0"/>
          <w:bCs w:val="0"/>
        </w:rPr>
      </w:pPr>
      <w:bookmarkStart w:name="（6）其他说明" w:id="430"/>
      <w:bookmarkEnd w:id="430"/>
      <w:r>
        <w:rPr>
          <w:b w:val="0"/>
          <w:bCs w:val="0"/>
        </w:rPr>
      </w:r>
      <w:r>
        <w:rPr/>
        <w:t>（</w:t>
      </w:r>
      <w:r>
        <w:rPr>
          <w:rFonts w:ascii="Times New Roman" w:hAnsi="Times New Roman" w:cs="Times New Roman" w:eastAsia="Times New Roman" w:hint="default"/>
        </w:rPr>
        <w:t>6</w:t>
      </w:r>
      <w:r>
        <w:rPr/>
        <w:t>）其他说明</w:t>
      </w:r>
      <w:r>
        <w:rPr>
          <w:w w:val="99"/>
        </w:rPr>
        <w:t> </w:t>
      </w:r>
      <w:bookmarkStart w:name="2、同一控制下企业合并" w:id="431"/>
      <w:bookmarkEnd w:id="431"/>
      <w:r>
        <w:rPr>
          <w:w w:val="99"/>
        </w:rPr>
      </w:r>
      <w:r>
        <w:rPr>
          <w:rFonts w:ascii="Times New Roman" w:hAnsi="Times New Roman" w:cs="Times New Roman" w:eastAsia="Times New Roman" w:hint="default"/>
        </w:rPr>
        <w:t>2</w:t>
      </w:r>
      <w:r>
        <w:rPr/>
        <w:t>、同一控制下企业合并</w:t>
      </w:r>
      <w:r>
        <w:rPr>
          <w:b w:val="0"/>
          <w:bCs w:val="0"/>
        </w:rPr>
      </w:r>
    </w:p>
    <w:p>
      <w:pPr>
        <w:pStyle w:val="Heading3"/>
        <w:spacing w:line="240" w:lineRule="auto" w:before="49"/>
        <w:ind w:right="0"/>
        <w:jc w:val="both"/>
        <w:rPr>
          <w:b w:val="0"/>
          <w:bCs w:val="0"/>
        </w:rPr>
      </w:pPr>
      <w:bookmarkStart w:name="（1）本期发生的同一控制下企业合并" w:id="432"/>
      <w:bookmarkEnd w:id="43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13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420" w:right="88"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5" w:right="73"/>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89"/>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合并成本" w:id="433"/>
      <w:bookmarkEnd w:id="43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13"/>
        <w:rPr>
          <w:rFonts w:ascii="宋体" w:hAnsi="宋体" w:cs="宋体" w:eastAsia="宋体" w:hint="default"/>
          <w:sz w:val="8"/>
          <w:szCs w:val="8"/>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05pt;mso-position-horizontal-relative:char;mso-position-vertical-relative:line" coordorigin="0,0" coordsize="9597,421">
            <v:group style="position:absolute;left:23;top:8;width:2;height:391" coordorigin="23,8" coordsize="2,391">
              <v:shape style="position:absolute;left:23;top:8;width:2;height:391" coordorigin="23,8" coordsize="0,391" path="m23,8l23,398e" filled="false" stroked="true" strokeweight=".75pt" strokecolor="#d2d2d2">
                <v:path arrowok="t"/>
              </v:shape>
            </v:group>
            <v:group style="position:absolute;left:4784;top:8;width:2;height:391" coordorigin="4784,8" coordsize="2,391">
              <v:shape style="position:absolute;left:4784;top:8;width:2;height:391" coordorigin="4784,8" coordsize="0,391" path="m4784,8l4784,398e" filled="false" stroked="true" strokeweight=".75pt" strokecolor="#d2d2d2">
                <v:path arrowok="t"/>
              </v:shape>
            </v:group>
            <v:group style="position:absolute;left:30;top:8;width:4746;height:391" coordorigin="30,8" coordsize="4746,391">
              <v:shape style="position:absolute;left:30;top:8;width:4746;height:391" coordorigin="30,8" coordsize="4746,391" path="m30,398l4776,398,4776,8,30,8,30,398xe" filled="true" fillcolor="#d2d2d2" stroked="false">
                <v:path arrowok="t"/>
                <v:fill type="solid"/>
              </v:shape>
            </v:group>
            <v:group style="position:absolute;left:4814;top:8;width:2;height:391" coordorigin="4814,8" coordsize="2,391">
              <v:shape style="position:absolute;left:4814;top:8;width:2;height:391" coordorigin="4814,8" coordsize="0,391" path="m4814,8l4814,398e" filled="false" stroked="true" strokeweight=".75pt" strokecolor="#d2d2d2">
                <v:path arrowok="t"/>
              </v:shape>
            </v:group>
            <v:group style="position:absolute;left:9574;top:8;width:2;height:391" coordorigin="9574,8" coordsize="2,391">
              <v:shape style="position:absolute;left:9574;top:8;width:2;height:391" coordorigin="9574,8" coordsize="0,391" path="m9574,8l9574,398e" filled="false" stroked="true" strokeweight=".75pt" strokecolor="#d2d2d2">
                <v:path arrowok="t"/>
              </v:shape>
            </v:group>
            <v:group style="position:absolute;left:4821;top:8;width:4746;height:391" coordorigin="4821,8" coordsize="4746,391">
              <v:shape style="position:absolute;left:4821;top:8;width:4746;height:391" coordorigin="4821,8" coordsize="4746,391" path="m4821,398l9567,398,9567,8,4821,8,4821,398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06" coordorigin="8,8" coordsize="2,406">
              <v:shape style="position:absolute;left:8;top:8;width:2;height:406" coordorigin="8,8" coordsize="0,406" path="m8,8l8,413e" filled="false" stroked="true" strokeweight=".75pt" strokecolor="#000000">
                <v:path arrowok="t"/>
              </v:shape>
            </v:group>
            <v:group style="position:absolute;left:15;top:405;width:4776;height:2" coordorigin="15,405" coordsize="4776,2">
              <v:shape style="position:absolute;left:15;top:405;width:4776;height:2" coordorigin="15,405" coordsize="4776,0" path="m15,405l4791,405e" filled="false" stroked="true" strokeweight=".75pt" strokecolor="#000000">
                <v:path arrowok="t"/>
              </v:shape>
            </v:group>
            <v:group style="position:absolute;left:4799;top:8;width:2;height:406" coordorigin="4799,8" coordsize="2,406">
              <v:shape style="position:absolute;left:4799;top:8;width:2;height:406" coordorigin="4799,8" coordsize="0,406" path="m4799,8l4799,413e" filled="false" stroked="true" strokeweight=".75pt" strokecolor="#000000">
                <v:path arrowok="t"/>
              </v:shape>
            </v:group>
            <v:group style="position:absolute;left:4806;top:405;width:4776;height:2" coordorigin="4806,405" coordsize="4776,2">
              <v:shape style="position:absolute;left:4806;top:405;width:4776;height:2" coordorigin="4806,405" coordsize="4776,0" path="m4806,405l9582,405e" filled="false" stroked="true" strokeweight=".75pt" strokecolor="#000000">
                <v:path arrowok="t"/>
              </v:shape>
            </v:group>
            <v:group style="position:absolute;left:9589;top:8;width:2;height:406" coordorigin="9589,8" coordsize="2,406">
              <v:shape style="position:absolute;left:9589;top:8;width:2;height:406" coordorigin="9589,8" coordsize="0,406" path="m9589,8l9589,413e" filled="false" stroked="true" strokeweight=".75pt" strokecolor="#000000">
                <v:path arrowok="t"/>
              </v:shape>
              <v:shape style="position:absolute;left:8;top:15;width:4792;height:391" type="#_x0000_t202" filled="false" stroked="false">
                <v:textbox inset="0,0,0,0">
                  <w:txbxContent>
                    <w:p>
                      <w:pPr>
                        <w:spacing w:before="37"/>
                        <w:ind w:left="0" w:right="29"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2" w:lineRule="auto" w:before="37"/>
        <w:ind w:right="8589"/>
        <w:jc w:val="left"/>
      </w:pPr>
      <w:r>
        <w:rPr/>
        <w:t>或有对价及其变动的说明： 其他说明：</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3）合并日被合并方资产、负债的账面价值" w:id="434"/>
      <w:bookmarkEnd w:id="43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10"/>
        <w:rPr>
          <w:rFonts w:ascii="宋体" w:hAnsi="宋体" w:cs="宋体" w:eastAsia="宋体" w:hint="default"/>
          <w:sz w:val="7"/>
          <w:szCs w:val="7"/>
        </w:rPr>
      </w:pPr>
    </w:p>
    <w:p>
      <w:pPr>
        <w:spacing w:line="840" w:lineRule="exact"/>
        <w:ind w:left="126"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85pt;height:42.05pt;mso-position-horizontal-relative:char;mso-position-vertical-relative:line" coordorigin="0,0" coordsize="9597,841">
            <v:group style="position:absolute;left:23;top:23;width:2;height:390" coordorigin="23,23" coordsize="2,390">
              <v:shape style="position:absolute;left:23;top:23;width:2;height:390" coordorigin="23,23" coordsize="0,390" path="m23,23l23,413e" filled="false" stroked="true" strokeweight=".75pt" strokecolor="#d2d2d2">
                <v:path arrowok="t"/>
              </v:shape>
            </v:group>
            <v:group style="position:absolute;left:3184;top:23;width:2;height:390" coordorigin="3184,23" coordsize="2,390">
              <v:shape style="position:absolute;left:3184;top:23;width:2;height:390" coordorigin="3184,23" coordsize="0,390" path="m3184,23l3184,413e" filled="false" stroked="true" strokeweight="1.5pt" strokecolor="#d2d2d2">
                <v:path arrowok="t"/>
              </v:shape>
            </v:group>
            <v:group style="position:absolute;left:30;top:23;width:3139;height:390" coordorigin="30,23" coordsize="3139,390">
              <v:shape style="position:absolute;left:30;top:23;width:3139;height:390" coordorigin="30,23" coordsize="3139,390" path="m30,413l3169,413,3169,23,30,23,30,413xe" filled="true" fillcolor="#d2d2d2" stroked="false">
                <v:path arrowok="t"/>
                <v:fill type="solid"/>
              </v:shape>
            </v:group>
            <v:group style="position:absolute;left:3222;top:23;width:2;height:390" coordorigin="3222,23" coordsize="2,390">
              <v:shape style="position:absolute;left:3222;top:23;width:2;height:390" coordorigin="3222,23" coordsize="0,390" path="m3222,23l3222,413e" filled="false" stroked="true" strokeweight=".75pt" strokecolor="#d2d2d2">
                <v:path arrowok="t"/>
              </v:shape>
            </v:group>
            <v:group style="position:absolute;left:9574;top:23;width:2;height:390" coordorigin="9574,23" coordsize="2,390">
              <v:shape style="position:absolute;left:9574;top:23;width:2;height:390" coordorigin="9574,23" coordsize="0,390" path="m9574,23l9574,413e" filled="false" stroked="true" strokeweight=".75pt" strokecolor="#d2d2d2">
                <v:path arrowok="t"/>
              </v:shape>
            </v:group>
            <v:group style="position:absolute;left:3229;top:23;width:6338;height:390" coordorigin="3229,23" coordsize="6338,390">
              <v:shape style="position:absolute;left:3229;top:23;width:6338;height:390" coordorigin="3229,23" coordsize="6338,390" path="m3229,413l9567,413,9567,23,3229,23,3229,413xe" filled="true" fillcolor="#d2d2d2" stroked="false">
                <v:path arrowok="t"/>
                <v:fill type="solid"/>
              </v:shape>
            </v:group>
            <v:group style="position:absolute;left:15;top:15;width:3184;height:2" coordorigin="15,15" coordsize="3184,2">
              <v:shape style="position:absolute;left:15;top:15;width:3184;height:2" coordorigin="15,15" coordsize="3184,0" path="m15,15l3199,15e" filled="false" stroked="true" strokeweight=".77502pt" strokecolor="#000000">
                <v:path arrowok="t"/>
              </v:shape>
            </v:group>
            <v:group style="position:absolute;left:3214;top:15;width:6368;height:2" coordorigin="3214,15" coordsize="6368,2">
              <v:shape style="position:absolute;left:3214;top:15;width:6368;height:2" coordorigin="3214,15" coordsize="6368,0" path="m3214,15l9582,15e" filled="false" stroked="true" strokeweight=".77502pt" strokecolor="#000000">
                <v:path arrowok="t"/>
              </v:shape>
            </v:group>
            <v:group style="position:absolute;left:23;top:428;width:2;height:391" coordorigin="23,428" coordsize="2,391">
              <v:shape style="position:absolute;left:23;top:428;width:2;height:391" coordorigin="23,428" coordsize="0,391" path="m23,428l23,818e" filled="false" stroked="true" strokeweight=".75pt" strokecolor="#d2d2d2">
                <v:path arrowok="t"/>
              </v:shape>
            </v:group>
            <v:group style="position:absolute;left:3184;top:428;width:2;height:391" coordorigin="3184,428" coordsize="2,391">
              <v:shape style="position:absolute;left:3184;top:428;width:2;height:391" coordorigin="3184,428" coordsize="0,391" path="m3184,428l3184,818e" filled="false" stroked="true" strokeweight="1.5pt" strokecolor="#d2d2d2">
                <v:path arrowok="t"/>
              </v:shape>
            </v:group>
            <v:group style="position:absolute;left:30;top:428;width:3139;height:391" coordorigin="30,428" coordsize="3139,391">
              <v:shape style="position:absolute;left:30;top:428;width:3139;height:391" coordorigin="30,428" coordsize="3139,391" path="m30,818l3169,818,3169,428,30,428,30,818xe" filled="true" fillcolor="#d2d2d2" stroked="false">
                <v:path arrowok="t"/>
                <v:fill type="solid"/>
              </v:shape>
            </v:group>
            <v:group style="position:absolute;left:3222;top:428;width:2;height:391" coordorigin="3222,428" coordsize="2,391">
              <v:shape style="position:absolute;left:3222;top:428;width:2;height:391" coordorigin="3222,428" coordsize="0,391" path="m3222,428l3222,818e" filled="false" stroked="true" strokeweight=".75pt" strokecolor="#d2d2d2">
                <v:path arrowok="t"/>
              </v:shape>
            </v:group>
            <v:group style="position:absolute;left:6368;top:428;width:30;height:391" coordorigin="6368,428" coordsize="30,391">
              <v:shape style="position:absolute;left:6368;top:428;width:30;height:391" coordorigin="6368,428" coordsize="30,391" path="m6368,818l6398,818,6398,428,6368,428,6368,818xe" filled="true" fillcolor="#d2d2d2" stroked="false">
                <v:path arrowok="t"/>
                <v:fill type="solid"/>
              </v:shape>
            </v:group>
            <v:group style="position:absolute;left:3229;top:428;width:3139;height:391" coordorigin="3229,428" coordsize="3139,391">
              <v:shape style="position:absolute;left:3229;top:428;width:3139;height:391" coordorigin="3229,428" coordsize="3139,391" path="m3229,818l6368,818,6368,428,3229,428,3229,818xe" filled="true" fillcolor="#d2d2d2" stroked="false">
                <v:path arrowok="t"/>
                <v:fill type="solid"/>
              </v:shape>
            </v:group>
            <v:group style="position:absolute;left:6398;top:428;width:30;height:391" coordorigin="6398,428" coordsize="30,391">
              <v:shape style="position:absolute;left:6398;top:428;width:30;height:391" coordorigin="6398,428" coordsize="30,391" path="m6398,818l6428,818,6428,428,6398,428,6398,818xe" filled="true" fillcolor="#d2d2d2" stroked="false">
                <v:path arrowok="t"/>
                <v:fill type="solid"/>
              </v:shape>
            </v:group>
            <v:group style="position:absolute;left:9574;top:428;width:2;height:391" coordorigin="9574,428" coordsize="2,391">
              <v:shape style="position:absolute;left:9574;top:428;width:2;height:391" coordorigin="9574,428" coordsize="0,391" path="m9574,428l9574,818e" filled="false" stroked="true" strokeweight=".75pt" strokecolor="#d2d2d2">
                <v:path arrowok="t"/>
              </v:shape>
            </v:group>
            <v:group style="position:absolute;left:6428;top:428;width:3139;height:391" coordorigin="6428,428" coordsize="3139,391">
              <v:shape style="position:absolute;left:6428;top:428;width:3139;height:391" coordorigin="6428,428" coordsize="3139,391" path="m6428,818l9567,818,9567,428,6428,428,6428,818xe" filled="true" fillcolor="#d2d2d2" stroked="false">
                <v:path arrowok="t"/>
                <v:fill type="solid"/>
              </v:shape>
            </v:group>
            <v:group style="position:absolute;left:15;top:421;width:3184;height:2" coordorigin="15,421" coordsize="3184,2">
              <v:shape style="position:absolute;left:15;top:421;width:3184;height:2" coordorigin="15,421" coordsize="3184,0" path="m15,421l3199,421e" filled="false" stroked="true" strokeweight=".75pt" strokecolor="#000000">
                <v:path arrowok="t"/>
              </v:shape>
            </v:group>
            <v:group style="position:absolute;left:3214;top:421;width:3169;height:2" coordorigin="3214,421" coordsize="3169,2">
              <v:shape style="position:absolute;left:3214;top:421;width:3169;height:2" coordorigin="3214,421" coordsize="3169,0" path="m3214,421l6383,421e" filled="false" stroked="true" strokeweight=".75pt" strokecolor="#000000">
                <v:path arrowok="t"/>
              </v:shape>
            </v:group>
            <v:group style="position:absolute;left:6398;top:421;width:3184;height:2" coordorigin="6398,421" coordsize="3184,2">
              <v:shape style="position:absolute;left:6398;top:421;width:3184;height:2" coordorigin="6398,421" coordsize="3184,0" path="m6398,421l9582,421e" filled="false" stroked="true" strokeweight=".75pt" strokecolor="#000000">
                <v:path arrowok="t"/>
              </v:shape>
            </v:group>
            <v:group style="position:absolute;left:8;top:8;width:2;height:826" coordorigin="8,8" coordsize="2,826">
              <v:shape style="position:absolute;left:8;top:8;width:2;height:826" coordorigin="8,8" coordsize="0,826" path="m8,8l8,833e" filled="false" stroked="true" strokeweight=".75pt" strokecolor="#000000">
                <v:path arrowok="t"/>
              </v:shape>
            </v:group>
            <v:group style="position:absolute;left:15;top:826;width:3184;height:2" coordorigin="15,826" coordsize="3184,2">
              <v:shape style="position:absolute;left:15;top:826;width:3184;height:2" coordorigin="15,826" coordsize="3184,0" path="m15,826l3199,826e" filled="false" stroked="true" strokeweight=".75pt" strokecolor="#000000">
                <v:path arrowok="t"/>
              </v:shape>
            </v:group>
            <v:group style="position:absolute;left:3207;top:8;width:2;height:826" coordorigin="3207,8" coordsize="2,826">
              <v:shape style="position:absolute;left:3207;top:8;width:2;height:826" coordorigin="3207,8" coordsize="0,826" path="m3207,8l3207,833e" filled="false" stroked="true" strokeweight=".75pt" strokecolor="#000000">
                <v:path arrowok="t"/>
              </v:shape>
            </v:group>
            <v:group style="position:absolute;left:3214;top:826;width:3169;height:2" coordorigin="3214,826" coordsize="3169,2">
              <v:shape style="position:absolute;left:3214;top:826;width:3169;height:2" coordorigin="3214,826" coordsize="3169,0" path="m3214,826l6383,826e" filled="false" stroked="true" strokeweight=".75pt" strokecolor="#000000">
                <v:path arrowok="t"/>
              </v:shape>
            </v:group>
            <v:group style="position:absolute;left:6391;top:413;width:2;height:421" coordorigin="6391,413" coordsize="2,421">
              <v:shape style="position:absolute;left:6391;top:413;width:2;height:421" coordorigin="6391,413" coordsize="0,421" path="m6391,413l6391,833e" filled="false" stroked="true" strokeweight=".75pt" strokecolor="#000000">
                <v:path arrowok="t"/>
              </v:shape>
            </v:group>
            <v:group style="position:absolute;left:6398;top:826;width:3184;height:2" coordorigin="6398,826" coordsize="3184,2">
              <v:shape style="position:absolute;left:6398;top:826;width:3184;height:2" coordorigin="6398,826" coordsize="3184,0" path="m6398,826l9582,826e" filled="false" stroked="true" strokeweight=".75pt" strokecolor="#000000">
                <v:path arrowok="t"/>
              </v:shape>
            </v:group>
            <v:group style="position:absolute;left:9589;top:8;width:2;height:826" coordorigin="9589,8" coordsize="2,826">
              <v:shape style="position:absolute;left:9589;top:8;width:2;height:826" coordorigin="9589,8" coordsize="0,826" path="m9589,8l9589,833e" filled="false" stroked="true" strokeweight=".75pt" strokecolor="#000000">
                <v:path arrowok="t"/>
              </v:shape>
              <v:shape style="position:absolute;left:3192;top:421;width:3200;height:406" type="#_x0000_t202" filled="false" stroked="false">
                <v:textbox inset="0,0,0,0">
                  <w:txbxContent>
                    <w:p>
                      <w:pPr>
                        <w:spacing w:before="52"/>
                        <w:ind w:left="0" w:right="1"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1;top:421;width:3199;height:406" type="#_x0000_t202" filled="false" stroked="false">
                <v:textbox inset="0,0,0,0">
                  <w:txbxContent>
                    <w:p>
                      <w:pPr>
                        <w:spacing w:before="52"/>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pStyle w:val="BodyText"/>
        <w:spacing w:line="352" w:lineRule="auto" w:before="38"/>
        <w:ind w:right="7509"/>
        <w:jc w:val="left"/>
      </w:pPr>
      <w:r>
        <w:rPr/>
        <w:t>企业合并中承担的被合并方的或有负债： 其他说明：</w:t>
      </w:r>
    </w:p>
    <w:p>
      <w:pPr>
        <w:spacing w:after="0" w:line="352"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3、反向购买" w:id="435"/>
      <w:bookmarkEnd w:id="43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
        <w:rPr>
          <w:rFonts w:ascii="宋体" w:hAnsi="宋体" w:cs="宋体" w:eastAsia="宋体" w:hint="default"/>
          <w:b/>
          <w:bCs/>
          <w:sz w:val="24"/>
          <w:szCs w:val="24"/>
        </w:rPr>
      </w:pPr>
    </w:p>
    <w:p>
      <w:pPr>
        <w:pStyle w:val="BodyText"/>
        <w:spacing w:line="321" w:lineRule="auto" w:before="0"/>
        <w:ind w:right="0"/>
        <w:jc w:val="left"/>
      </w:pPr>
      <w:r>
        <w:rPr>
          <w:spacing w:val="-2"/>
        </w:rPr>
        <w:t>交易基本信息、交易构成反向购买的依据、上市公司保留的资产、负债是否构成业务及其依据、合并成本的确定、按照权益</w:t>
      </w:r>
      <w:r>
        <w:rPr>
          <w:spacing w:val="-54"/>
        </w:rPr>
        <w:t> </w:t>
      </w:r>
      <w:r>
        <w:rPr>
          <w:spacing w:val="-54"/>
        </w:rPr>
      </w:r>
      <w:r>
        <w:rPr/>
        <w:t>性交易处理时调整权益的金额及其计算：</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4、处置子公司" w:id="436"/>
      <w:bookmarkEnd w:id="43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是否存在单次处置对子公司投资即丧失控制权的情形</w:t>
      </w:r>
    </w:p>
    <w:p>
      <w:pPr>
        <w:pStyle w:val="BodyText"/>
        <w:spacing w:line="319" w:lineRule="auto" w:before="139"/>
        <w:ind w:right="49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是否存在通过多次交易分步处置对子公司投资且在本期丧失控制权的情形</w:t>
      </w:r>
    </w:p>
    <w:p>
      <w:pPr>
        <w:pStyle w:val="BodyText"/>
        <w:spacing w:line="240" w:lineRule="auto" w:before="8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5、其他原因的合并范围变动" w:id="437"/>
      <w:bookmarkEnd w:id="43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4"/>
          <w:szCs w:val="24"/>
        </w:rPr>
      </w:pPr>
    </w:p>
    <w:p>
      <w:pPr>
        <w:pStyle w:val="BodyText"/>
        <w:spacing w:line="343" w:lineRule="auto" w:before="0"/>
        <w:ind w:right="2109"/>
        <w:jc w:val="left"/>
      </w:pPr>
      <w:r>
        <w:rPr/>
        <w:t>说明其他原因导致的合并范围变动（如，新设子公司、清算子公司等）及其相关情况： 本报告期新设子公司有：广州市普路通供应链管理有限公司、荆门保税物流中心普路通供应链管理有限公司。 本报告期注销子公司有：郑州市普路通供应链管理有限公司。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27"/>
        <w:ind w:left="141" w:right="8098" w:firstLine="0"/>
        <w:jc w:val="left"/>
        <w:rPr>
          <w:rFonts w:ascii="宋体" w:hAnsi="宋体" w:cs="宋体" w:eastAsia="宋体" w:hint="default"/>
          <w:sz w:val="21"/>
          <w:szCs w:val="21"/>
        </w:rPr>
      </w:pPr>
      <w:bookmarkStart w:name="6、其他" w:id="438"/>
      <w:bookmarkEnd w:id="43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39"/>
      <w:bookmarkEnd w:id="439"/>
      <w:r>
        <w:rPr>
          <w:rFonts w:ascii="宋体" w:hAnsi="宋体" w:cs="宋体" w:eastAsia="宋体" w:hint="default"/>
          <w:b/>
          <w:bCs/>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在子公司中的权益" w:id="440"/>
      <w:bookmarkEnd w:id="440"/>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5"/>
        <w:ind w:right="0"/>
        <w:jc w:val="left"/>
        <w:rPr>
          <w:b w:val="0"/>
          <w:bCs w:val="0"/>
        </w:rPr>
      </w:pPr>
      <w:bookmarkStart w:name="（1）企业集团的构成" w:id="441"/>
      <w:bookmarkEnd w:id="44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香港瑞通国际有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香港智通国际有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香港慧通国际有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3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武汉市普路通供 应链管理有限公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3"/>
              <w:jc w:val="both"/>
              <w:rPr>
                <w:rFonts w:ascii="宋体" w:hAnsi="宋体" w:cs="宋体" w:eastAsia="宋体" w:hint="default"/>
                <w:sz w:val="18"/>
                <w:szCs w:val="18"/>
              </w:rPr>
            </w:pPr>
            <w:r>
              <w:rPr>
                <w:rFonts w:ascii="宋体" w:hAnsi="宋体" w:cs="宋体" w:eastAsia="宋体" w:hint="default"/>
                <w:sz w:val="18"/>
                <w:szCs w:val="18"/>
              </w:rPr>
              <w:t>北海市普路通供 应链管理有限公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武汉东湖综保区</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67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普路通供应链管 理有限公司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深圳市前海瑞智 供应链管理有限 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成都和普时代商 贸有限公司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深圳市前海瑞泰 融资租赁有限公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武汉市瑞盈通供 应链管理有限公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广西普路通供应 链管理有限公司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普路通全球物流</w:t>
            </w:r>
          </w:p>
          <w:p>
            <w:pPr>
              <w:pStyle w:val="TableParagraph"/>
              <w:spacing w:line="321" w:lineRule="auto" w:before="65"/>
              <w:ind w:left="15" w:right="74"/>
              <w:jc w:val="left"/>
              <w:rPr>
                <w:rFonts w:ascii="宋体" w:hAnsi="宋体" w:cs="宋体" w:eastAsia="宋体" w:hint="default"/>
                <w:sz w:val="18"/>
                <w:szCs w:val="18"/>
              </w:rPr>
            </w:pPr>
            <w:r>
              <w:rPr>
                <w:rFonts w:ascii="宋体" w:hAnsi="宋体" w:cs="宋体" w:eastAsia="宋体" w:hint="default"/>
                <w:sz w:val="18"/>
                <w:szCs w:val="18"/>
              </w:rPr>
              <w:t>（深圳）有限公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both"/>
              <w:rPr>
                <w:rFonts w:ascii="宋体" w:hAnsi="宋体" w:cs="宋体" w:eastAsia="宋体" w:hint="default"/>
                <w:sz w:val="18"/>
                <w:szCs w:val="18"/>
              </w:rPr>
            </w:pPr>
            <w:r>
              <w:rPr>
                <w:rFonts w:ascii="宋体" w:hAnsi="宋体" w:cs="宋体" w:eastAsia="宋体" w:hint="default"/>
                <w:sz w:val="18"/>
                <w:szCs w:val="18"/>
              </w:rPr>
              <w:t>深圳市丝路纪元 供应链科技有限 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河南特通贸易有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厦门市普路通供 应链管理有限公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重庆市普路通供 应链管理有限公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30"/>
              <w:ind w:left="15" w:right="74"/>
              <w:jc w:val="both"/>
              <w:rPr>
                <w:rFonts w:ascii="宋体" w:hAnsi="宋体" w:cs="宋体" w:eastAsia="宋体" w:hint="default"/>
                <w:sz w:val="18"/>
                <w:szCs w:val="18"/>
              </w:rPr>
            </w:pPr>
            <w:r>
              <w:rPr>
                <w:rFonts w:ascii="宋体" w:hAnsi="宋体" w:cs="宋体" w:eastAsia="宋体" w:hint="default"/>
                <w:sz w:val="18"/>
                <w:szCs w:val="18"/>
              </w:rPr>
              <w:t>深圳市前海普路 通电子商务综合 服务有限公司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香港智慧云国际 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香港云泰国际有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深圳市联动量子 股权投资管理有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6"/>
              <w:jc w:val="left"/>
              <w:rPr>
                <w:rFonts w:ascii="宋体" w:hAnsi="宋体" w:cs="宋体" w:eastAsia="宋体" w:hint="default"/>
                <w:sz w:val="18"/>
                <w:szCs w:val="18"/>
              </w:rPr>
            </w:pPr>
            <w:r>
              <w:rPr>
                <w:rFonts w:ascii="宋体" w:hAnsi="宋体" w:cs="宋体" w:eastAsia="宋体" w:hint="default"/>
                <w:sz w:val="18"/>
                <w:szCs w:val="18"/>
              </w:rPr>
              <w:t>资产管理、投资 管理</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武汉市瑞亿通供</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67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应链管理有限公 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珠海市普路通供 应链管理有限公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香港雪梨小姐国 际有限公司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6"/>
              <w:jc w:val="left"/>
              <w:rPr>
                <w:rFonts w:ascii="宋体" w:hAnsi="宋体" w:cs="宋体" w:eastAsia="宋体" w:hint="default"/>
                <w:sz w:val="18"/>
                <w:szCs w:val="18"/>
              </w:rPr>
            </w:pPr>
            <w:r>
              <w:rPr>
                <w:rFonts w:ascii="宋体" w:hAnsi="宋体" w:cs="宋体" w:eastAsia="宋体" w:hint="default"/>
                <w:sz w:val="18"/>
                <w:szCs w:val="18"/>
              </w:rPr>
              <w:t>进出口贸易及服 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荆门市普路通供 应链管理有限公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荆门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荆门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荆门市赢洲电子 商务有限公司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荆门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荆门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广西慧通供应链 管理有限公司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凭祥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凭祥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香港坎普国际贸 易科技有限公司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一般贸易及服务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广州市普路通供 应链管理有限公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30"/>
              <w:ind w:left="15" w:right="74"/>
              <w:jc w:val="both"/>
              <w:rPr>
                <w:rFonts w:ascii="宋体" w:hAnsi="宋体" w:cs="宋体" w:eastAsia="宋体" w:hint="default"/>
                <w:sz w:val="18"/>
                <w:szCs w:val="18"/>
              </w:rPr>
            </w:pPr>
            <w:r>
              <w:rPr>
                <w:rFonts w:ascii="宋体" w:hAnsi="宋体" w:cs="宋体" w:eastAsia="宋体" w:hint="default"/>
                <w:sz w:val="18"/>
                <w:szCs w:val="18"/>
              </w:rPr>
              <w:t>荆门保税物流中 心普路通供应链 管理有限公司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荆门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荆门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52" w:lineRule="auto"/>
        <w:ind w:right="2829"/>
        <w:jc w:val="left"/>
      </w:pPr>
      <w:r>
        <w:rPr/>
        <w:t>在子公司的持股比例不同于表决权比例的说明：</w:t>
      </w:r>
      <w:r>
        <w:rPr>
          <w:spacing w:val="-86"/>
        </w:rPr>
        <w:t> </w:t>
      </w:r>
      <w:r>
        <w:rPr>
          <w:spacing w:val="-86"/>
        </w:rPr>
      </w:r>
      <w:r>
        <w:rPr/>
        <w:t>持有半数或以下表决权但仍控制被投资单位、以及持有半数以上表决权但不控制被投资单位的依据： 对于纳入合并范围的重要的结构化主体，控制的依据：</w:t>
      </w:r>
    </w:p>
    <w:p>
      <w:pPr>
        <w:pStyle w:val="BodyText"/>
        <w:spacing w:line="352" w:lineRule="auto" w:before="40"/>
        <w:ind w:right="7689"/>
        <w:jc w:val="left"/>
      </w:pPr>
      <w:r>
        <w:rPr/>
        <w:t>确定公司是代理人还是委托人的依据： 其他说明：</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2）重要的非全资子公司" w:id="442"/>
      <w:bookmarkEnd w:id="44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6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75"/>
              <w:ind w:left="781" w:right="46"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75"/>
              <w:ind w:left="586" w:right="45" w:hanging="542"/>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2" w:lineRule="auto"/>
        <w:ind w:right="6429"/>
        <w:jc w:val="left"/>
      </w:pPr>
      <w:r>
        <w:rPr/>
        <w:t>子公司少数股东的持股比例不同于表决权比例的说明： 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3）重要非全资子公司的主要财务信息" w:id="443"/>
      <w:bookmarkEnd w:id="44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4416"/>
        <w:gridCol w:w="4430"/>
      </w:tblGrid>
      <w:tr>
        <w:trPr>
          <w:trHeight w:val="405"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4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705"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65"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69" w:right="88"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90"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90" w:hanging="181"/>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89"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105" w:hanging="91"/>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55" w:right="103" w:hanging="181"/>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405"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6"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55"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21" w:right="90"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40" w:right="89"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4）使用企业集团资产和清偿企业集团债务的重大限制" w:id="444"/>
      <w:bookmarkEnd w:id="44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5）向纳入合并财务报表范围的结构化主体提供的财务支持或其他支持" w:id="445"/>
      <w:bookmarkEnd w:id="44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在子公司的所有者权益份额发生变化且仍控制子公司的交易" w:id="446"/>
      <w:bookmarkEnd w:id="44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在子公司所有者权益份额发生变化的情况说明" w:id="447"/>
      <w:bookmarkEnd w:id="44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48"/>
      <w:bookmarkEnd w:id="44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13"/>
        <w:rPr>
          <w:rFonts w:ascii="宋体" w:hAnsi="宋体" w:cs="宋体" w:eastAsia="宋体" w:hint="default"/>
          <w:sz w:val="8"/>
          <w:szCs w:val="8"/>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pt;mso-position-horizontal-relative:char;mso-position-vertical-relative:line" coordorigin="0,0" coordsize="9597,420">
            <v:group style="position:absolute;left:23;top:8;width:2;height:390" coordorigin="23,8" coordsize="2,390">
              <v:shape style="position:absolute;left:23;top:8;width:2;height:390" coordorigin="23,8" coordsize="0,390" path="m23,8l23,398e" filled="false" stroked="true" strokeweight=".75pt" strokecolor="#d2d2d2">
                <v:path arrowok="t"/>
              </v:shape>
            </v:group>
            <v:group style="position:absolute;left:4784;top:8;width:2;height:390" coordorigin="4784,8" coordsize="2,390">
              <v:shape style="position:absolute;left:4784;top:8;width:2;height:390" coordorigin="4784,8" coordsize="0,390" path="m4784,8l4784,398e" filled="false" stroked="true" strokeweight=".75pt" strokecolor="#d2d2d2">
                <v:path arrowok="t"/>
              </v:shape>
            </v:group>
            <v:group style="position:absolute;left:30;top:8;width:4746;height:390" coordorigin="30,8" coordsize="4746,390">
              <v:shape style="position:absolute;left:30;top:8;width:4746;height:390" coordorigin="30,8" coordsize="4746,390" path="m30,398l4776,398,4776,8,30,8,30,398xe" filled="true" fillcolor="#d2d2d2" stroked="false">
                <v:path arrowok="t"/>
                <v:fill type="solid"/>
              </v:shape>
            </v:group>
            <v:group style="position:absolute;left:4814;top:8;width:2;height:390" coordorigin="4814,8" coordsize="2,390">
              <v:shape style="position:absolute;left:4814;top:8;width:2;height:390" coordorigin="4814,8" coordsize="0,390" path="m4814,8l4814,398e" filled="false" stroked="true" strokeweight=".75pt" strokecolor="#d2d2d2">
                <v:path arrowok="t"/>
              </v:shape>
            </v:group>
            <v:group style="position:absolute;left:9574;top:8;width:2;height:390" coordorigin="9574,8" coordsize="2,390">
              <v:shape style="position:absolute;left:9574;top:8;width:2;height:390" coordorigin="9574,8" coordsize="0,390" path="m9574,8l9574,398e" filled="false" stroked="true" strokeweight=".75pt" strokecolor="#d2d2d2">
                <v:path arrowok="t"/>
              </v:shape>
            </v:group>
            <v:group style="position:absolute;left:4821;top:8;width:4746;height:390" coordorigin="4821,8" coordsize="4746,390">
              <v:shape style="position:absolute;left:4821;top:8;width:4746;height:390" coordorigin="4821,8" coordsize="4746,390" path="m4821,398l9567,398,9567,8,4821,8,4821,398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05" coordorigin="8,8" coordsize="2,405">
              <v:shape style="position:absolute;left:8;top:8;width:2;height:405" coordorigin="8,8" coordsize="0,405" path="m8,8l8,413e" filled="false" stroked="true" strokeweight=".75pt" strokecolor="#000000">
                <v:path arrowok="t"/>
              </v:shape>
            </v:group>
            <v:group style="position:absolute;left:15;top:405;width:4776;height:2" coordorigin="15,405" coordsize="4776,2">
              <v:shape style="position:absolute;left:15;top:405;width:4776;height:2" coordorigin="15,405" coordsize="4776,0" path="m15,405l4791,405e" filled="false" stroked="true" strokeweight=".75pt" strokecolor="#000000">
                <v:path arrowok="t"/>
              </v:shape>
            </v:group>
            <v:group style="position:absolute;left:4799;top:8;width:2;height:405" coordorigin="4799,8" coordsize="2,405">
              <v:shape style="position:absolute;left:4799;top:8;width:2;height:405" coordorigin="4799,8" coordsize="0,405" path="m4799,8l4799,413e" filled="false" stroked="true" strokeweight=".75pt" strokecolor="#000000">
                <v:path arrowok="t"/>
              </v:shape>
            </v:group>
            <v:group style="position:absolute;left:4806;top:405;width:4776;height:2" coordorigin="4806,405" coordsize="4776,2">
              <v:shape style="position:absolute;left:4806;top:405;width:4776;height:2" coordorigin="4806,405" coordsize="4776,0" path="m4806,405l9582,405e" filled="false" stroked="true" strokeweight=".75pt" strokecolor="#000000">
                <v:path arrowok="t"/>
              </v:shape>
            </v:group>
            <v:group style="position:absolute;left:9589;top:8;width:2;height:405" coordorigin="9589,8" coordsize="2,405">
              <v:shape style="position:absolute;left:9589;top:8;width:2;height:405" coordorigin="9589,8" coordsize="0,405" path="m9589,8l9589,413e" filled="false" stroked="true" strokeweight=".75pt" strokecolor="#000000">
                <v:path arrowok="t"/>
              </v:shape>
            </v:group>
          </v:group>
        </w:pict>
      </w:r>
      <w:r>
        <w:rPr>
          <w:rFonts w:ascii="宋体" w:hAnsi="宋体" w:cs="宋体" w:eastAsia="宋体" w:hint="default"/>
          <w:position w:val="-7"/>
          <w:sz w:val="20"/>
          <w:szCs w:val="20"/>
        </w:rPr>
      </w:r>
    </w:p>
    <w:p>
      <w:pPr>
        <w:pStyle w:val="BodyText"/>
        <w:spacing w:line="240" w:lineRule="auto" w:before="38"/>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在合营安排或联营企业中的权益" w:id="449"/>
      <w:bookmarkEnd w:id="44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重要的合营企业或联营企业" w:id="450"/>
      <w:bookmarkEnd w:id="45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321" w:lineRule="auto"/>
              <w:ind w:left="315" w:right="44" w:hanging="271"/>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29"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1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ind w:right="0"/>
        <w:jc w:val="left"/>
      </w:pPr>
      <w:r>
        <w:rPr/>
        <w:t>在合营企业或联营企业的持股比例不同于表决权比例的说明：</w:t>
      </w:r>
    </w:p>
    <w:p>
      <w:pPr>
        <w:pStyle w:val="BodyText"/>
        <w:spacing w:line="240" w:lineRule="auto" w:before="140"/>
        <w:ind w:right="0"/>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2"/>
        </w:rPr>
        <w:t> </w:t>
      </w:r>
      <w:r>
        <w:rPr>
          <w:rFonts w:ascii="Times New Roman" w:hAnsi="Times New Roman" w:cs="Times New Roman" w:eastAsia="Times New Roman" w:hint="default"/>
        </w:rPr>
        <w:t>20%</w:t>
      </w:r>
      <w:r>
        <w:rPr/>
        <w:t>或以上表决权但不具有重大影响的依据：</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重要合营企业的主要财务信息" w:id="451"/>
      <w:bookmarkEnd w:id="45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3）重要联营企业的主要财务信息" w:id="452"/>
      <w:bookmarkEnd w:id="45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不重要的合营企业和联营企业的汇总财务信息" w:id="453"/>
      <w:bookmarkEnd w:id="45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合营企业或联营企业向本公司转移资金的能力存在重大限制的说明" w:id="454"/>
      <w:bookmarkEnd w:id="45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6）合营企业或联营企业发生的超额亏损" w:id="455"/>
      <w:bookmarkEnd w:id="455"/>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111" w:right="107"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45" w:right="15" w:hanging="631"/>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与合营企业投资相关的未确认承诺" w:id="456"/>
      <w:bookmarkEnd w:id="45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3"/>
          <w:szCs w:val="23"/>
        </w:rPr>
      </w:pPr>
    </w:p>
    <w:p>
      <w:pPr>
        <w:pStyle w:val="Heading3"/>
        <w:spacing w:line="508" w:lineRule="auto"/>
        <w:ind w:right="6216"/>
        <w:jc w:val="left"/>
        <w:rPr>
          <w:b w:val="0"/>
          <w:bCs w:val="0"/>
        </w:rPr>
      </w:pPr>
      <w:bookmarkStart w:name="（8）与合营企业或联营企业投资相关的或有负债" w:id="457"/>
      <w:bookmarkEnd w:id="457"/>
      <w:r>
        <w:rPr>
          <w:b w:val="0"/>
          <w:bCs w:val="0"/>
        </w:rPr>
      </w:r>
      <w:r>
        <w:rPr/>
        <w:t>（</w:t>
      </w:r>
      <w:r>
        <w:rPr>
          <w:rFonts w:ascii="Times New Roman" w:hAnsi="Times New Roman" w:cs="Times New Roman" w:eastAsia="Times New Roman" w:hint="default"/>
        </w:rPr>
        <w:t>8</w:t>
      </w:r>
      <w:r>
        <w:rPr/>
        <w:t>）与合营企业或联营企业投资相关的或有负债</w:t>
      </w:r>
      <w:r>
        <w:rPr>
          <w:w w:val="99"/>
        </w:rPr>
        <w:t> </w:t>
      </w:r>
      <w:bookmarkStart w:name="4、重要的共同经营" w:id="458"/>
      <w:bookmarkEnd w:id="458"/>
      <w:r>
        <w:rPr>
          <w:w w:val="99"/>
        </w:rPr>
      </w: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5"/>
          <w:szCs w:val="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607"/>
        <w:gridCol w:w="1592"/>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391"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7" w:lineRule="auto" w:before="45"/>
        <w:ind w:right="5529"/>
        <w:jc w:val="left"/>
      </w:pPr>
      <w:r>
        <w:rPr/>
        <w:t>在共同经营中的持股比例或享有的份额不同于表决权比例的说明： 共同经营为单独主体的，分类为共同经营的依据：</w:t>
      </w:r>
    </w:p>
    <w:p>
      <w:pPr>
        <w:pStyle w:val="BodyText"/>
        <w:spacing w:line="240" w:lineRule="auto" w:before="1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5、在未纳入合并财务报表范围的结构化主体中的权益" w:id="459"/>
      <w:bookmarkEnd w:id="45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未纳入合并财务报表范围的结构化主体的相关说明：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6、其他" w:id="460"/>
      <w:bookmarkEnd w:id="460"/>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0"/>
          <w:szCs w:val="20"/>
        </w:rPr>
      </w:pPr>
    </w:p>
    <w:p>
      <w:pPr>
        <w:pStyle w:val="Heading2"/>
        <w:spacing w:line="240" w:lineRule="auto"/>
        <w:ind w:right="0"/>
        <w:jc w:val="left"/>
        <w:rPr>
          <w:b w:val="0"/>
          <w:bCs w:val="0"/>
        </w:rPr>
      </w:pPr>
      <w:bookmarkStart w:name="十、与金融工具相关的风险" w:id="461"/>
      <w:bookmarkEnd w:id="461"/>
      <w:r>
        <w:rPr>
          <w:b w:val="0"/>
          <w:bCs w:val="0"/>
        </w:rPr>
      </w:r>
      <w:r>
        <w:rPr/>
        <w:t>十、与金融工具相关的风险</w:t>
      </w:r>
      <w:r>
        <w:rPr>
          <w:b w:val="0"/>
          <w:bCs w:val="0"/>
        </w:rPr>
      </w:r>
    </w:p>
    <w:p>
      <w:pPr>
        <w:spacing w:line="240" w:lineRule="auto" w:before="1"/>
        <w:rPr>
          <w:rFonts w:ascii="宋体" w:hAnsi="宋体" w:cs="宋体" w:eastAsia="宋体" w:hint="default"/>
          <w:b/>
          <w:bCs/>
          <w:sz w:val="26"/>
          <w:szCs w:val="26"/>
        </w:rPr>
      </w:pPr>
    </w:p>
    <w:p>
      <w:pPr>
        <w:pStyle w:val="BodyText"/>
        <w:tabs>
          <w:tab w:pos="982" w:val="left" w:leader="none"/>
        </w:tabs>
        <w:spacing w:line="314" w:lineRule="auto" w:before="0"/>
        <w:ind w:right="1046"/>
        <w:jc w:val="left"/>
      </w:pPr>
      <w:r>
        <w:rPr/>
        <w:t>（一）</w:t>
        <w:tab/>
        <w:t>信用风险 </w:t>
      </w:r>
      <w:r>
        <w:rPr>
          <w:spacing w:val="-4"/>
        </w:rPr>
        <w:t>公司对客户赊销所产生的信用风险进行了严格的管控，制定了尽可能降低坏账风险的风险管理政策，包括信用额度管控政策、</w:t>
      </w:r>
      <w:r>
        <w:rPr>
          <w:spacing w:val="-50"/>
        </w:rPr>
        <w:t> </w:t>
      </w:r>
      <w:r>
        <w:rPr>
          <w:spacing w:val="-50"/>
        </w:rPr>
      </w:r>
      <w:r>
        <w:rPr/>
        <w:t>客户档案管控政策、订单及合同的分级审批管控政策、应收账款收款管控政策等。</w:t>
      </w:r>
    </w:p>
    <w:p>
      <w:pPr>
        <w:pStyle w:val="BodyText"/>
        <w:spacing w:line="312" w:lineRule="auto" w:before="39"/>
        <w:ind w:right="0"/>
        <w:jc w:val="left"/>
      </w:pPr>
      <w:r>
        <w:rPr/>
        <w:t>报告期内，公司应收账款账面价值分别为</w:t>
      </w:r>
      <w:r>
        <w:rPr>
          <w:rFonts w:ascii="Times New Roman" w:hAnsi="Times New Roman" w:cs="Times New Roman" w:eastAsia="Times New Roman" w:hint="default"/>
        </w:rPr>
        <w:t>129,383.94</w:t>
      </w:r>
      <w:r>
        <w:rPr/>
        <w:t>万元，</w:t>
      </w:r>
      <w:r>
        <w:rPr>
          <w:rFonts w:ascii="Times New Roman" w:hAnsi="Times New Roman" w:cs="Times New Roman" w:eastAsia="Times New Roman" w:hint="default"/>
        </w:rPr>
        <w:t>127,758.78</w:t>
      </w:r>
      <w:r>
        <w:rPr/>
        <w:t>万元，分别占公司当期营业收入的</w:t>
      </w:r>
      <w:r>
        <w:rPr>
          <w:rFonts w:ascii="Times New Roman" w:hAnsi="Times New Roman" w:cs="Times New Roman" w:eastAsia="Times New Roman" w:hint="default"/>
        </w:rPr>
        <w:t>19.87 %</w:t>
      </w:r>
      <w:r>
        <w:rPr/>
        <w:t>，</w:t>
      </w:r>
      <w:r>
        <w:rPr>
          <w:rFonts w:ascii="Times New Roman" w:hAnsi="Times New Roman" w:cs="Times New Roman" w:eastAsia="Times New Roman" w:hint="default"/>
        </w:rPr>
        <w:t>22.13%</w:t>
      </w:r>
      <w:r>
        <w:rPr/>
        <w:t>。</w:t>
      </w:r>
      <w:r>
        <w:rPr>
          <w:spacing w:val="-82"/>
        </w:rPr>
        <w:t> </w:t>
      </w:r>
      <w:r>
        <w:rPr>
          <w:spacing w:val="-2"/>
        </w:rPr>
        <w:t>报告期内，公司应收账款中的大部分是由于客户指定的供应商将货物赊销给公司，公司再对等赊销给客户所造成的，公司在</w:t>
      </w:r>
      <w:r>
        <w:rPr>
          <w:spacing w:val="-69"/>
        </w:rPr>
        <w:t> </w:t>
      </w:r>
      <w:r>
        <w:rPr>
          <w:spacing w:val="-69"/>
        </w:rPr>
      </w:r>
      <w:r>
        <w:rPr>
          <w:spacing w:val="-2"/>
        </w:rPr>
        <w:t>收到客户支付的货款后才需向其指定的供应商支付货款，在此之前形成了对客户的应收账款以及对其指定供应商金额相对应</w:t>
      </w:r>
      <w:r>
        <w:rPr>
          <w:spacing w:val="-58"/>
        </w:rPr>
        <w:t> </w:t>
      </w:r>
      <w:r>
        <w:rPr>
          <w:spacing w:val="-58"/>
        </w:rPr>
      </w:r>
      <w:r>
        <w:rPr/>
        <w:t>的应付账款；其余部分是由于公司采购货物后赊销给客户所造成的。 </w:t>
      </w:r>
      <w:r>
        <w:rPr>
          <w:spacing w:val="-2"/>
        </w:rPr>
        <w:t>公司应收账款发生坏账的风险较小，但如果相关客户经营环境或财务状况出现重大恶化，公司将存在因对客户的应收款无法</w:t>
      </w:r>
      <w:r>
        <w:rPr>
          <w:spacing w:val="-72"/>
        </w:rPr>
        <w:t> </w:t>
      </w:r>
      <w:r>
        <w:rPr>
          <w:spacing w:val="-72"/>
        </w:rPr>
      </w:r>
      <w:r>
        <w:rPr/>
        <w:t>收回而对公司盈利能力产生不利影响的风险。</w:t>
      </w:r>
    </w:p>
    <w:p>
      <w:pPr>
        <w:pStyle w:val="BodyText"/>
        <w:tabs>
          <w:tab w:pos="982" w:val="left" w:leader="none"/>
        </w:tabs>
        <w:spacing w:line="319" w:lineRule="auto" w:before="26"/>
        <w:ind w:right="1046"/>
        <w:jc w:val="left"/>
      </w:pPr>
      <w:r>
        <w:rPr/>
        <w:t>（二）</w:t>
        <w:tab/>
        <w:t>流动性风险 </w:t>
      </w:r>
      <w:r>
        <w:rPr>
          <w:spacing w:val="-2"/>
        </w:rPr>
        <w:t>本公司从事供应链管理业务，主要业务模式有以下几种：一是客户会将资金提前支付给本公司，委托本公司采购其指定的货</w:t>
      </w:r>
      <w:r>
        <w:rPr>
          <w:spacing w:val="-75"/>
        </w:rPr>
        <w:t> </w:t>
      </w:r>
      <w:r>
        <w:rPr>
          <w:spacing w:val="-75"/>
        </w:rPr>
      </w:r>
      <w:r>
        <w:rPr>
          <w:spacing w:val="-2"/>
        </w:rPr>
        <w:t>物，本公司收取部分服务费；二是客户指定的供应商将货物赊销给本公司，本公司再对等赊销给客户，本公司在收到客户支</w:t>
      </w:r>
      <w:r>
        <w:rPr>
          <w:spacing w:val="-41"/>
        </w:rPr>
        <w:t> </w:t>
      </w:r>
      <w:r>
        <w:rPr>
          <w:spacing w:val="-41"/>
        </w:rPr>
      </w:r>
      <w:r>
        <w:rPr/>
        <w:t>付的货款后才需向其指定的供应商支付货款；三是本公司买断货物所有权后进行销售，待收到最终客户货款后支付采购款。 </w:t>
      </w:r>
      <w:r>
        <w:rPr>
          <w:spacing w:val="-2"/>
        </w:rPr>
        <w:t>总的来说，本公司面临的流动性风险较小，但是如果相关客户经营情况和财务状况出现重大变化，可能使公司面临货物无法</w:t>
      </w:r>
      <w:r>
        <w:rPr>
          <w:spacing w:val="-75"/>
        </w:rPr>
        <w:t> </w:t>
      </w:r>
      <w:r>
        <w:rPr>
          <w:spacing w:val="-75"/>
        </w:rPr>
      </w:r>
      <w:r>
        <w:rPr/>
        <w:t>收回导致无法按时支付供应商款项及其他款项的流动性风险。</w:t>
      </w:r>
    </w:p>
    <w:p>
      <w:pPr>
        <w:pStyle w:val="BodyText"/>
        <w:tabs>
          <w:tab w:pos="982" w:val="left" w:leader="none"/>
        </w:tabs>
        <w:spacing w:line="240" w:lineRule="auto" w:before="20"/>
        <w:ind w:right="0"/>
        <w:jc w:val="left"/>
      </w:pPr>
      <w:r>
        <w:rPr/>
        <w:t>（三）</w:t>
        <w:tab/>
        <w:t>市场风险</w:t>
      </w:r>
    </w:p>
    <w:p>
      <w:pPr>
        <w:pStyle w:val="BodyText"/>
        <w:spacing w:line="288" w:lineRule="auto" w:before="95"/>
        <w:ind w:right="1119"/>
        <w:jc w:val="left"/>
      </w:pPr>
      <w:r>
        <w:rPr>
          <w:rFonts w:ascii="Times New Roman" w:hAnsi="Times New Roman" w:cs="Times New Roman" w:eastAsia="Times New Roman" w:hint="default"/>
        </w:rPr>
        <w:t>1</w:t>
      </w:r>
      <w:r>
        <w:rPr/>
        <w:t>．利率风险 本公司融资期限主要为</w:t>
      </w:r>
      <w:r>
        <w:rPr>
          <w:rFonts w:ascii="Times New Roman" w:hAnsi="Times New Roman" w:cs="Times New Roman" w:eastAsia="Times New Roman" w:hint="default"/>
        </w:rPr>
        <w:t>1</w:t>
      </w:r>
      <w:r>
        <w:rPr/>
        <w:t>年期以内，和融资相关的保证金存款业务期限一般与融资期限一致，存贷款利率都已和金融机构通 过合同等约定，面临的利率风险较小。</w:t>
      </w:r>
    </w:p>
    <w:p>
      <w:pPr>
        <w:pStyle w:val="BodyText"/>
        <w:spacing w:line="312" w:lineRule="auto" w:before="59"/>
        <w:ind w:right="1091"/>
        <w:jc w:val="left"/>
      </w:pPr>
      <w:r>
        <w:rPr>
          <w:rFonts w:ascii="Times New Roman" w:hAnsi="Times New Roman" w:cs="Times New Roman" w:eastAsia="Times New Roman" w:hint="default"/>
        </w:rPr>
        <w:t>2</w:t>
      </w:r>
      <w:r>
        <w:rPr/>
        <w:t>．汇率风险 </w:t>
      </w:r>
      <w:r>
        <w:rPr>
          <w:spacing w:val="-2"/>
        </w:rPr>
        <w:t>公司从事供应链管理业务涉及较多的进出口业务，须频繁收付外汇。由于境外人民币远期外汇合约和境内人民币即期汇率存</w:t>
      </w:r>
      <w:r>
        <w:rPr>
          <w:spacing w:val="-72"/>
        </w:rPr>
        <w:t> </w:t>
      </w:r>
      <w:r>
        <w:rPr>
          <w:spacing w:val="-72"/>
        </w:rPr>
      </w:r>
      <w:r>
        <w:rPr>
          <w:spacing w:val="-2"/>
        </w:rPr>
        <w:t>在远期即期差，且境内人民币存款利率与境内境外外币贷款利率也存在利率差，公司可以通过银行提供的组合售汇产品进行</w:t>
      </w:r>
      <w:r>
        <w:rPr>
          <w:spacing w:val="-72"/>
        </w:rPr>
        <w:t> </w:t>
      </w:r>
      <w:r>
        <w:rPr>
          <w:spacing w:val="-72"/>
        </w:rPr>
      </w:r>
      <w:r>
        <w:rPr>
          <w:spacing w:val="-2"/>
        </w:rPr>
        <w:t>货款结算降低外币货款的支付成本。无论人民币升值、波动或者贬值，只要存在人民币即期远期汇率差与不同币种存款贷款</w:t>
      </w:r>
      <w:r>
        <w:rPr>
          <w:spacing w:val="-75"/>
        </w:rPr>
        <w:t> </w:t>
      </w:r>
      <w:r>
        <w:rPr>
          <w:spacing w:val="-75"/>
        </w:rPr>
      </w:r>
      <w:r>
        <w:rPr/>
        <w:t>利率差合计为正的情况，公司就可以通过购买银行提供的组合售汇产品降低外币货款支付成本。 </w:t>
      </w:r>
      <w:r>
        <w:rPr>
          <w:spacing w:val="-2"/>
        </w:rPr>
        <w:t>公司通过银行提供的组合售汇产品进行货款结算可取得无风险收益，但由于组合售汇要受人民币即期远期汇差及不同币种存</w:t>
      </w:r>
    </w:p>
    <w:p>
      <w:pPr>
        <w:pStyle w:val="BodyText"/>
        <w:spacing w:line="321" w:lineRule="auto" w:before="26"/>
        <w:ind w:right="1091"/>
        <w:jc w:val="left"/>
      </w:pPr>
      <w:r>
        <w:rPr>
          <w:spacing w:val="-2"/>
        </w:rPr>
        <w:t>款贷款利率差影响，若汇差和利差的波动区间较窄可能导致公司组合售汇收益减少，甚至可能出现不能通过组合售汇获取收</w:t>
      </w:r>
      <w:r>
        <w:rPr>
          <w:spacing w:val="-72"/>
        </w:rPr>
        <w:t> </w:t>
      </w:r>
      <w:r>
        <w:rPr>
          <w:spacing w:val="-72"/>
        </w:rPr>
      </w:r>
      <w:r>
        <w:rPr/>
        <w:t>益的情况。</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2"/>
        <w:spacing w:line="240" w:lineRule="auto"/>
        <w:ind w:right="0"/>
        <w:jc w:val="left"/>
        <w:rPr>
          <w:b w:val="0"/>
          <w:bCs w:val="0"/>
        </w:rPr>
      </w:pPr>
      <w:bookmarkStart w:name="十一、公允价值的披露" w:id="462"/>
      <w:bookmarkEnd w:id="462"/>
      <w:r>
        <w:rPr>
          <w:b w:val="0"/>
          <w:bCs w:val="0"/>
        </w:rPr>
      </w:r>
      <w:r>
        <w:rPr/>
        <w:t>十一、公允价值的披露</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以公允价值计量的资产和负债的期末公允价值" w:id="463"/>
      <w:bookmarkEnd w:id="46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97"/>
        <w:gridCol w:w="1825"/>
        <w:gridCol w:w="1930"/>
        <w:gridCol w:w="1907"/>
        <w:gridCol w:w="1915"/>
      </w:tblGrid>
      <w:tr>
        <w:trPr>
          <w:trHeight w:val="405"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58" w:hRule="exact"/>
        </w:trPr>
        <w:tc>
          <w:tcPr>
            <w:tcW w:w="1997" w:type="dxa"/>
            <w:vMerge/>
            <w:tcBorders>
              <w:left w:val="single" w:sz="6" w:space="0" w:color="000000"/>
              <w:right w:val="single" w:sz="6" w:space="0" w:color="000000"/>
            </w:tcBorders>
            <w:shd w:val="clear" w:color="auto" w:fill="D2D2D2"/>
          </w:tcPr>
          <w:p>
            <w:pPr/>
          </w:p>
        </w:tc>
        <w:tc>
          <w:tcPr>
            <w:tcW w:w="182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811" w:right="97"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30"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1997" w:type="dxa"/>
            <w:vMerge/>
            <w:tcBorders>
              <w:left w:val="single" w:sz="6" w:space="0" w:color="000000"/>
              <w:right w:val="single" w:sz="6" w:space="0" w:color="000000"/>
            </w:tcBorders>
            <w:shd w:val="clear" w:color="auto" w:fill="D2D2D2"/>
          </w:tcPr>
          <w:p>
            <w:pPr/>
          </w:p>
        </w:tc>
        <w:tc>
          <w:tcPr>
            <w:tcW w:w="1825" w:type="dxa"/>
            <w:vMerge/>
            <w:tcBorders>
              <w:left w:val="single" w:sz="6" w:space="0" w:color="000000"/>
              <w:right w:val="single" w:sz="6" w:space="0" w:color="000000"/>
            </w:tcBorders>
            <w:shd w:val="clear" w:color="auto" w:fill="D2D2D2"/>
          </w:tcPr>
          <w:p>
            <w:pPr/>
          </w:p>
        </w:tc>
        <w:tc>
          <w:tcPr>
            <w:tcW w:w="193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73"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25" w:type="dxa"/>
            <w:vMerge/>
            <w:tcBorders>
              <w:left w:val="single" w:sz="6" w:space="0" w:color="000000"/>
              <w:bottom w:val="single" w:sz="6" w:space="0" w:color="000000"/>
              <w:right w:val="single" w:sz="6" w:space="0" w:color="000000"/>
            </w:tcBorders>
            <w:shd w:val="clear" w:color="auto" w:fill="D2D2D2"/>
          </w:tcPr>
          <w:p>
            <w:pPr/>
          </w:p>
        </w:tc>
        <w:tc>
          <w:tcPr>
            <w:tcW w:w="1930"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一、持续的公允价值计量</w:t>
            </w:r>
          </w:p>
        </w:tc>
        <w:tc>
          <w:tcPr>
            <w:tcW w:w="18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841" w:right="0"/>
              <w:jc w:val="left"/>
              <w:rPr>
                <w:rFonts w:ascii="Times New Roman" w:hAnsi="Times New Roman" w:cs="Times New Roman" w:eastAsia="Times New Roman" w:hint="default"/>
                <w:sz w:val="18"/>
                <w:szCs w:val="18"/>
              </w:rPr>
            </w:pPr>
            <w:r>
              <w:rPr>
                <w:rFonts w:ascii="Times New Roman"/>
                <w:sz w:val="18"/>
              </w:rPr>
              <w:t>--</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23"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22"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848" w:right="0"/>
              <w:jc w:val="left"/>
              <w:rPr>
                <w:rFonts w:ascii="Times New Roman" w:hAnsi="Times New Roman" w:cs="Times New Roman" w:eastAsia="Times New Roman" w:hint="default"/>
                <w:sz w:val="18"/>
                <w:szCs w:val="18"/>
              </w:rPr>
            </w:pPr>
            <w:r>
              <w:rPr>
                <w:rFonts w:ascii="Times New Roman"/>
                <w:sz w:val="18"/>
              </w:rPr>
              <w:t>4,143,927.42</w:t>
            </w:r>
          </w:p>
        </w:tc>
        <w:tc>
          <w:tcPr>
            <w:tcW w:w="1930"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46" w:right="0"/>
              <w:jc w:val="left"/>
              <w:rPr>
                <w:rFonts w:ascii="Times New Roman" w:hAnsi="Times New Roman" w:cs="Times New Roman" w:eastAsia="Times New Roman" w:hint="default"/>
                <w:sz w:val="18"/>
                <w:szCs w:val="18"/>
              </w:rPr>
            </w:pPr>
            <w:r>
              <w:rPr>
                <w:rFonts w:ascii="Times New Roman"/>
                <w:sz w:val="18"/>
              </w:rPr>
              <w:t>4,143,927.42</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982"/>
        <w:gridCol w:w="1840"/>
        <w:gridCol w:w="1923"/>
        <w:gridCol w:w="1907"/>
        <w:gridCol w:w="1922"/>
      </w:tblGrid>
      <w:tr>
        <w:trPr>
          <w:trHeight w:val="102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7"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4,143,927.42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4,143,927.42</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4,143,927.42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4,143,927.42</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40"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133,247,302.38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133,247,302.38</w:t>
            </w:r>
          </w:p>
        </w:tc>
      </w:tr>
      <w:tr>
        <w:trPr>
          <w:trHeight w:val="72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4,143,927.42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133,247,302.38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137,391,229.80</w:t>
            </w:r>
          </w:p>
        </w:tc>
      </w:tr>
      <w:tr>
        <w:trPr>
          <w:trHeight w:val="391"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（六）交易性金融负债</w:t>
            </w:r>
          </w:p>
        </w:tc>
        <w:tc>
          <w:tcPr>
            <w:tcW w:w="18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998,000.00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998,000.00</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998,000.00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998,000.00</w:t>
            </w:r>
          </w:p>
        </w:tc>
      </w:tr>
      <w:tr>
        <w:trPr>
          <w:trHeight w:val="721"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57"/>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998,000.00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998,000.00</w:t>
            </w:r>
          </w:p>
        </w:tc>
      </w:tr>
      <w:tr>
        <w:trPr>
          <w:trHeight w:val="158" w:hRule="exact"/>
        </w:trPr>
        <w:tc>
          <w:tcPr>
            <w:tcW w:w="198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7" w:right="24"/>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w:t>
            </w:r>
          </w:p>
        </w:tc>
        <w:tc>
          <w:tcPr>
            <w:tcW w:w="1840"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1982" w:type="dxa"/>
            <w:vMerge/>
            <w:tcBorders>
              <w:left w:val="single" w:sz="6" w:space="0" w:color="000000"/>
              <w:right w:val="single" w:sz="6" w:space="0" w:color="000000"/>
            </w:tcBorders>
            <w:shd w:val="clear" w:color="auto" w:fill="D2D2D2"/>
          </w:tcPr>
          <w:p>
            <w:pPr/>
          </w:p>
        </w:tc>
        <w:tc>
          <w:tcPr>
            <w:tcW w:w="184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1982" w:type="dxa"/>
            <w:vMerge/>
            <w:tcBorders>
              <w:left w:val="single" w:sz="6" w:space="0" w:color="000000"/>
              <w:bottom w:val="single" w:sz="6" w:space="0" w:color="000000"/>
              <w:right w:val="single" w:sz="6" w:space="0" w:color="000000"/>
            </w:tcBorders>
            <w:shd w:val="clear" w:color="auto" w:fill="D2D2D2"/>
          </w:tcPr>
          <w:p>
            <w:pPr/>
          </w:p>
        </w:tc>
        <w:tc>
          <w:tcPr>
            <w:tcW w:w="1840"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464"/>
      <w:bookmarkEnd w:id="46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是在计量日能够取得的相同资产或负债在活跃市场上未经调整的报价</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持续和非持续第二层次公允价值计量项目，采用的估值技术和重要参数的定性及定量信" w:id="465"/>
      <w:bookmarkEnd w:id="46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3"/>
        <w:rPr>
          <w:rFonts w:ascii="宋体" w:hAnsi="宋体" w:cs="宋体" w:eastAsia="宋体" w:hint="default"/>
          <w:b/>
          <w:bCs/>
          <w:sz w:val="25"/>
          <w:szCs w:val="25"/>
        </w:rPr>
      </w:pPr>
    </w:p>
    <w:p>
      <w:pPr>
        <w:pStyle w:val="BodyText"/>
        <w:spacing w:line="307" w:lineRule="auto" w:before="0"/>
        <w:ind w:right="5349"/>
        <w:jc w:val="left"/>
      </w:pPr>
      <w:r>
        <w:rPr/>
        <w:t>是除第一层次输入值外相关资产或负债直接或间接可观察的输入值； 第二层次输入值包括：</w:t>
      </w:r>
    </w:p>
    <w:p>
      <w:pPr>
        <w:pStyle w:val="BodyText"/>
        <w:spacing w:line="240" w:lineRule="auto"/>
        <w:ind w:right="0"/>
        <w:jc w:val="left"/>
      </w:pPr>
      <w:r>
        <w:rPr>
          <w:rFonts w:ascii="Times New Roman" w:hAnsi="Times New Roman" w:cs="Times New Roman" w:eastAsia="Times New Roman" w:hint="default"/>
        </w:rPr>
        <w:t>1</w:t>
      </w:r>
      <w:r>
        <w:rPr/>
        <w:t>）活跃市场中类似资产或负债的报价；</w:t>
      </w:r>
    </w:p>
    <w:p>
      <w:pPr>
        <w:pStyle w:val="BodyText"/>
        <w:spacing w:line="240" w:lineRule="auto" w:before="66"/>
        <w:ind w:right="0"/>
        <w:jc w:val="left"/>
      </w:pPr>
      <w:r>
        <w:rPr>
          <w:rFonts w:ascii="Times New Roman" w:hAnsi="Times New Roman" w:cs="Times New Roman" w:eastAsia="Times New Roman" w:hint="default"/>
        </w:rPr>
        <w:t>2</w:t>
      </w:r>
      <w:r>
        <w:rPr/>
        <w:t>）非活跃市场中相同或类似资产或负债的报价；</w:t>
      </w:r>
    </w:p>
    <w:p>
      <w:pPr>
        <w:pStyle w:val="BodyText"/>
        <w:spacing w:line="240" w:lineRule="auto" w:before="66"/>
        <w:ind w:right="0"/>
        <w:jc w:val="left"/>
      </w:pPr>
      <w:r>
        <w:rPr>
          <w:rFonts w:ascii="Times New Roman" w:hAnsi="Times New Roman" w:cs="Times New Roman" w:eastAsia="Times New Roman" w:hint="default"/>
        </w:rPr>
        <w:t>3</w:t>
      </w:r>
      <w:r>
        <w:rPr/>
        <w:t>）除报价以外的其他可观察输入值，包括在正常报价间隔期间可观察的利率和收益率曲线、隐含波动率和信用利差等；</w:t>
      </w:r>
    </w:p>
    <w:p>
      <w:pPr>
        <w:pStyle w:val="BodyText"/>
        <w:spacing w:line="240" w:lineRule="auto" w:before="66"/>
        <w:ind w:right="0"/>
        <w:jc w:val="left"/>
      </w:pPr>
      <w:r>
        <w:rPr>
          <w:rFonts w:ascii="Times New Roman" w:hAnsi="Times New Roman" w:cs="Times New Roman" w:eastAsia="Times New Roman" w:hint="default"/>
        </w:rPr>
        <w:t>4</w:t>
      </w:r>
      <w:r>
        <w:rPr/>
        <w:t>）市场验证的输入值等。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bookmarkStart w:name="4、持续和非持续第三层次公允价值计量项目，采用的估值技术和重要参数的定性及定量信" w:id="466"/>
      <w:bookmarkEnd w:id="46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是相关资产或负债的不可观察输入值。</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持续的第三层次公允价值计量项目，期初与期末账面价值间的调节信息及不可观察参数" w:id="467"/>
      <w:bookmarkEnd w:id="46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68"/>
      <w:bookmarkEnd w:id="468"/>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69"/>
      <w:bookmarkEnd w:id="469"/>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70"/>
      <w:bookmarkEnd w:id="470"/>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
        <w:rPr>
          <w:rFonts w:ascii="宋体" w:hAnsi="宋体" w:cs="宋体" w:eastAsia="宋体" w:hint="default"/>
          <w:b/>
          <w:bCs/>
          <w:sz w:val="24"/>
          <w:szCs w:val="24"/>
        </w:rPr>
      </w:pPr>
    </w:p>
    <w:p>
      <w:pPr>
        <w:pStyle w:val="BodyText"/>
        <w:spacing w:line="321" w:lineRule="auto" w:before="0"/>
        <w:ind w:right="2109"/>
        <w:jc w:val="left"/>
      </w:pPr>
      <w:r>
        <w:rPr/>
        <w:t>不以公允价值计量的金融资产和负债主要包括：应收款项、短期借款、应付款项、长期应收款和长期应付款。 上述不以公允价值计量的金融资产和负债的账面价值与公允价值相差很小。</w:t>
      </w:r>
    </w:p>
    <w:p>
      <w:pPr>
        <w:spacing w:after="0" w:line="321"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482" w:lineRule="auto" w:before="35"/>
        <w:ind w:left="141" w:right="8098" w:firstLine="0"/>
        <w:jc w:val="left"/>
        <w:rPr>
          <w:rFonts w:ascii="宋体" w:hAnsi="宋体" w:cs="宋体" w:eastAsia="宋体" w:hint="default"/>
          <w:sz w:val="21"/>
          <w:szCs w:val="21"/>
        </w:rPr>
      </w:pPr>
      <w:bookmarkStart w:name="9、其他" w:id="471"/>
      <w:bookmarkEnd w:id="47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472"/>
      <w:bookmarkEnd w:id="472"/>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本企业的母公司情况" w:id="473"/>
      <w:bookmarkEnd w:id="473"/>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6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45" w:right="74" w:hanging="271"/>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2267"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314" w:lineRule="auto"/>
              <w:ind w:left="15" w:right="120"/>
              <w:jc w:val="both"/>
              <w:rPr>
                <w:rFonts w:ascii="宋体" w:hAnsi="宋体" w:cs="宋体" w:eastAsia="宋体" w:hint="default"/>
                <w:sz w:val="18"/>
                <w:szCs w:val="18"/>
              </w:rPr>
            </w:pPr>
            <w:r>
              <w:rPr>
                <w:rFonts w:ascii="宋体" w:hAnsi="宋体" w:cs="宋体" w:eastAsia="宋体" w:hint="default"/>
                <w:sz w:val="18"/>
                <w:szCs w:val="18"/>
              </w:rPr>
              <w:t>广东省绿色金融投 资控股集团有限公 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321" w:lineRule="auto"/>
              <w:ind w:left="30" w:right="118"/>
              <w:jc w:val="left"/>
              <w:rPr>
                <w:rFonts w:ascii="宋体" w:hAnsi="宋体" w:cs="宋体" w:eastAsia="宋体" w:hint="default"/>
                <w:sz w:val="18"/>
                <w:szCs w:val="18"/>
              </w:rPr>
            </w:pPr>
            <w:r>
              <w:rPr>
                <w:rFonts w:ascii="宋体" w:hAnsi="宋体" w:cs="宋体" w:eastAsia="宋体" w:hint="default"/>
                <w:sz w:val="18"/>
                <w:szCs w:val="18"/>
              </w:rPr>
              <w:t>广州市花都区新华 街迎宾大道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号</w:t>
            </w:r>
          </w:p>
          <w:p>
            <w:pPr>
              <w:pStyle w:val="TableParagraph"/>
              <w:spacing w:line="247" w:lineRule="exact"/>
              <w:ind w:left="30" w:right="0"/>
              <w:jc w:val="left"/>
              <w:rPr>
                <w:rFonts w:ascii="宋体" w:hAnsi="宋体" w:cs="宋体" w:eastAsia="宋体" w:hint="default"/>
                <w:sz w:val="18"/>
                <w:szCs w:val="18"/>
              </w:rPr>
            </w:pPr>
            <w:r>
              <w:rPr>
                <w:rFonts w:ascii="宋体" w:hAnsi="宋体" w:cs="宋体" w:eastAsia="宋体" w:hint="default"/>
                <w:sz w:val="18"/>
                <w:szCs w:val="18"/>
              </w:rPr>
              <w:t>高晟广场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幢</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楼</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4" w:right="58"/>
              <w:jc w:val="left"/>
              <w:rPr>
                <w:rFonts w:ascii="宋体" w:hAnsi="宋体" w:cs="宋体" w:eastAsia="宋体" w:hint="default"/>
                <w:sz w:val="18"/>
                <w:szCs w:val="18"/>
              </w:rPr>
            </w:pPr>
            <w:r>
              <w:rPr>
                <w:rFonts w:ascii="宋体" w:hAnsi="宋体" w:cs="宋体" w:eastAsia="宋体" w:hint="default"/>
                <w:sz w:val="18"/>
                <w:szCs w:val="18"/>
              </w:rPr>
              <w:t>企业管理服务</w:t>
            </w:r>
            <w:r>
              <w:rPr>
                <w:rFonts w:ascii="Times New Roman" w:hAnsi="Times New Roman" w:cs="Times New Roman" w:eastAsia="Times New Roman" w:hint="default"/>
                <w:sz w:val="18"/>
                <w:szCs w:val="18"/>
              </w:rPr>
              <w:t>(</w:t>
            </w:r>
            <w:r>
              <w:rPr>
                <w:rFonts w:ascii="宋体" w:hAnsi="宋体" w:cs="宋体" w:eastAsia="宋体" w:hint="default"/>
                <w:sz w:val="18"/>
                <w:szCs w:val="18"/>
              </w:rPr>
              <w:t>涉及 许可经营项目的除</w:t>
            </w:r>
          </w:p>
          <w:p>
            <w:pPr>
              <w:pStyle w:val="TableParagraph"/>
              <w:spacing w:line="297" w:lineRule="auto" w:before="67"/>
              <w:ind w:left="14" w:right="59"/>
              <w:jc w:val="left"/>
              <w:rPr>
                <w:rFonts w:ascii="宋体" w:hAnsi="宋体" w:cs="宋体" w:eastAsia="宋体" w:hint="default"/>
                <w:sz w:val="18"/>
                <w:szCs w:val="18"/>
              </w:rPr>
            </w:pPr>
            <w:r>
              <w:rPr>
                <w:rFonts w:ascii="宋体" w:hAnsi="宋体" w:cs="宋体" w:eastAsia="宋体" w:hint="default"/>
                <w:sz w:val="18"/>
                <w:szCs w:val="18"/>
              </w:rPr>
              <w:t>外</w:t>
            </w:r>
            <w:r>
              <w:rPr>
                <w:rFonts w:ascii="Times New Roman" w:hAnsi="Times New Roman" w:cs="Times New Roman" w:eastAsia="Times New Roman" w:hint="default"/>
                <w:sz w:val="18"/>
                <w:szCs w:val="18"/>
              </w:rPr>
              <w:t>);</w:t>
            </w:r>
            <w:r>
              <w:rPr>
                <w:rFonts w:ascii="宋体" w:hAnsi="宋体" w:cs="宋体" w:eastAsia="宋体" w:hint="default"/>
                <w:sz w:val="18"/>
                <w:szCs w:val="18"/>
              </w:rPr>
              <w:t>投资管理服务</w:t>
            </w:r>
            <w:r>
              <w:rPr>
                <w:rFonts w:ascii="Times New Roman" w:hAnsi="Times New Roman" w:cs="Times New Roman" w:eastAsia="Times New Roman" w:hint="default"/>
                <w:sz w:val="18"/>
                <w:szCs w:val="18"/>
              </w:rPr>
              <w:t>; </w:t>
            </w:r>
            <w:r>
              <w:rPr>
                <w:rFonts w:ascii="宋体" w:hAnsi="宋体" w:cs="宋体" w:eastAsia="宋体" w:hint="default"/>
                <w:sz w:val="18"/>
                <w:szCs w:val="18"/>
              </w:rPr>
              <w:t>投资咨询服务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资产 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不含许可审批 项目</w:t>
            </w:r>
            <w:r>
              <w:rPr>
                <w:rFonts w:ascii="Times New Roman" w:hAnsi="Times New Roman" w:cs="Times New Roman" w:eastAsia="Times New Roman" w:hint="default"/>
                <w:sz w:val="18"/>
                <w:szCs w:val="18"/>
              </w:rPr>
              <w:t>);</w:t>
            </w:r>
            <w:r>
              <w:rPr>
                <w:rFonts w:ascii="宋体" w:hAnsi="宋体" w:cs="宋体" w:eastAsia="宋体" w:hint="default"/>
                <w:sz w:val="18"/>
                <w:szCs w:val="18"/>
              </w:rPr>
              <w:t>企业自有资 金投资。</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2,495,049,500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020" w:right="0"/>
              <w:jc w:val="left"/>
              <w:rPr>
                <w:rFonts w:ascii="Times New Roman" w:hAnsi="Times New Roman" w:cs="Times New Roman" w:eastAsia="Times New Roman" w:hint="default"/>
                <w:sz w:val="18"/>
                <w:szCs w:val="18"/>
              </w:rPr>
            </w:pPr>
            <w:r>
              <w:rPr>
                <w:rFonts w:ascii="Times New Roman"/>
                <w:sz w:val="18"/>
              </w:rPr>
              <w:t>10.66%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021" w:right="0"/>
              <w:jc w:val="left"/>
              <w:rPr>
                <w:rFonts w:ascii="Times New Roman" w:hAnsi="Times New Roman" w:cs="Times New Roman" w:eastAsia="Times New Roman" w:hint="default"/>
                <w:sz w:val="18"/>
                <w:szCs w:val="18"/>
              </w:rPr>
            </w:pPr>
            <w:r>
              <w:rPr>
                <w:rFonts w:ascii="Times New Roman"/>
                <w:sz w:val="18"/>
              </w:rPr>
              <w:t>29.84%</w:t>
            </w:r>
          </w:p>
        </w:tc>
      </w:tr>
    </w:tbl>
    <w:p>
      <w:pPr>
        <w:pStyle w:val="BodyText"/>
        <w:spacing w:line="367" w:lineRule="auto"/>
        <w:ind w:right="0"/>
        <w:jc w:val="left"/>
      </w:pPr>
      <w:r>
        <w:rPr/>
        <w:t>本企业的母公司情况的说明 本公司母公司为绿色金控，直接持有本公司</w:t>
      </w:r>
      <w:r>
        <w:rPr>
          <w:rFonts w:ascii="Times New Roman" w:hAnsi="Times New Roman" w:cs="Times New Roman" w:eastAsia="Times New Roman" w:hint="default"/>
        </w:rPr>
        <w:t>5.37%</w:t>
      </w:r>
      <w:r>
        <w:rPr/>
        <w:t>的股权，并通过聚智通间接持有本公司</w:t>
      </w:r>
      <w:r>
        <w:rPr>
          <w:rFonts w:ascii="Times New Roman" w:hAnsi="Times New Roman" w:cs="Times New Roman" w:eastAsia="Times New Roman" w:hint="default"/>
        </w:rPr>
        <w:t>5.29%</w:t>
      </w:r>
      <w:r>
        <w:rPr/>
        <w:t>的股权，合计持有本公司</w:t>
      </w:r>
    </w:p>
    <w:p>
      <w:pPr>
        <w:pStyle w:val="BodyText"/>
        <w:spacing w:line="209" w:lineRule="exact" w:before="0"/>
        <w:ind w:right="0"/>
        <w:jc w:val="left"/>
      </w:pPr>
      <w:r>
        <w:rPr>
          <w:rFonts w:ascii="Times New Roman" w:hAnsi="Times New Roman" w:cs="Times New Roman" w:eastAsia="Times New Roman" w:hint="default"/>
        </w:rPr>
        <w:t>10.66%</w:t>
      </w:r>
      <w:r>
        <w:rPr/>
        <w:t>的股权。根据陈书智先生与绿色金控签署的《表决权委托协议》，陈书智先生将其持有的</w:t>
      </w:r>
      <w:r>
        <w:rPr>
          <w:rFonts w:ascii="Times New Roman" w:hAnsi="Times New Roman" w:cs="Times New Roman" w:eastAsia="Times New Roman" w:hint="default"/>
        </w:rPr>
        <w:t>71,559,567</w:t>
      </w:r>
      <w:r>
        <w:rPr/>
        <w:t>股股份（占公司</w:t>
      </w:r>
    </w:p>
    <w:p>
      <w:pPr>
        <w:pStyle w:val="BodyText"/>
        <w:spacing w:line="240" w:lineRule="auto" w:before="66"/>
        <w:ind w:right="0"/>
        <w:jc w:val="left"/>
      </w:pPr>
      <w:r>
        <w:rPr/>
        <w:t>股份总数的</w:t>
      </w:r>
      <w:r>
        <w:rPr>
          <w:rFonts w:ascii="Times New Roman" w:hAnsi="Times New Roman" w:cs="Times New Roman" w:eastAsia="Times New Roman" w:hint="default"/>
        </w:rPr>
        <w:t>19.18%</w:t>
      </w:r>
      <w:r>
        <w:rPr/>
        <w:t>）委托给绿色金控行使，绿色金控拥有本公司表决权的比例为</w:t>
      </w:r>
      <w:r>
        <w:rPr>
          <w:rFonts w:ascii="Times New Roman" w:hAnsi="Times New Roman" w:cs="Times New Roman" w:eastAsia="Times New Roman" w:hint="default"/>
        </w:rPr>
        <w:t>29.84%</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BodyText"/>
        <w:spacing w:line="350" w:lineRule="auto" w:before="0"/>
        <w:ind w:right="7689"/>
        <w:jc w:val="left"/>
      </w:pPr>
      <w:r>
        <w:rPr/>
        <w:t>本企业最终控制方是广州市人民政府。 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本企业的子公司情况" w:id="474"/>
      <w:bookmarkEnd w:id="47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本企业子公司的情况详见附注九、在其他主体中的权益。</w:t>
      </w:r>
    </w:p>
    <w:p>
      <w:pPr>
        <w:spacing w:line="240" w:lineRule="auto" w:before="0"/>
        <w:rPr>
          <w:rFonts w:ascii="宋体" w:hAnsi="宋体" w:cs="宋体" w:eastAsia="宋体" w:hint="default"/>
          <w:sz w:val="18"/>
          <w:szCs w:val="18"/>
        </w:rPr>
      </w:pPr>
    </w:p>
    <w:p>
      <w:pPr>
        <w:pStyle w:val="Heading3"/>
        <w:spacing w:line="240" w:lineRule="auto" w:before="155"/>
        <w:ind w:right="0"/>
        <w:jc w:val="left"/>
        <w:rPr>
          <w:b w:val="0"/>
          <w:bCs w:val="0"/>
        </w:rPr>
      </w:pPr>
      <w:bookmarkStart w:name="3、本企业合营和联营企业情况" w:id="475"/>
      <w:bookmarkEnd w:id="47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1"/>
        <w:rPr>
          <w:rFonts w:ascii="宋体" w:hAnsi="宋体" w:cs="宋体" w:eastAsia="宋体" w:hint="default"/>
          <w:b/>
          <w:bCs/>
          <w:sz w:val="24"/>
          <w:szCs w:val="24"/>
        </w:rPr>
      </w:pPr>
    </w:p>
    <w:p>
      <w:pPr>
        <w:pStyle w:val="BodyText"/>
        <w:spacing w:line="367" w:lineRule="auto" w:before="0"/>
        <w:ind w:right="2289"/>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62"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4、其他关联方情况" w:id="476"/>
      <w:bookmarkEnd w:id="47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8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吴立扬</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本企业及本企业控股股东董事长</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金雷</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本企业副董事长、本企业控股股东董事及总经理</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葛昱康</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本企业董事、本企业控股股东副总经理</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胡仲亮</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本企业董事、本企业控股股东副总经理</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张云</w:t>
            </w:r>
            <w:r>
              <w:rPr>
                <w:rFonts w:ascii="Times New Roman" w:hAnsi="Times New Roman" w:cs="Times New Roman" w:eastAsia="Times New Roman" w:hint="default"/>
                <w:sz w:val="18"/>
                <w:szCs w:val="18"/>
              </w:rPr>
              <w:t>¹</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本企业持股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以上股东，董事、总经理</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本企业持股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以上股东，董事、副总经理</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本企业独立董事</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彭燎原</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本企业独立董事</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张俊生</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本企业独立董事</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梅方飞</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本企业监事会主席</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江虹</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本企业监事</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余海星</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本企业监事</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康海文</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本企业副总经理</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本企业副总经理</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本企业财务总监</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倪伟雄</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本公司副总经理、董事会秘书</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本企业副总经理</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本企业持股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19.18%</w:t>
            </w:r>
            <w:r>
              <w:rPr>
                <w:rFonts w:ascii="宋体" w:hAnsi="宋体" w:cs="宋体" w:eastAsia="宋体" w:hint="default"/>
                <w:sz w:val="18"/>
                <w:szCs w:val="18"/>
              </w:rPr>
              <w:t>的股东</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陈建华</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本企业控股股东董事</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张丹奇</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本企业控股股东董事</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刘卫英</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本企业控股股东董事</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曾昭章</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本企业控股股东监事会主席</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张云</w:t>
            </w:r>
            <w:r>
              <w:rPr>
                <w:rFonts w:ascii="Times New Roman" w:hAnsi="Times New Roman" w:cs="Times New Roman" w:eastAsia="Times New Roman" w:hint="default"/>
                <w:sz w:val="18"/>
                <w:szCs w:val="18"/>
              </w:rPr>
              <w:t>²</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本企业控股股东监事</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汤敏华</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本企业控股股东监事</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广东省绿色金融投资控股集团有限公司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本企业控股股东</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本企业控股股东控制的企业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广州广花基金管理有限公司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本企业控股股东控制的企业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广州金控花都商业保理有限公司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本企业控股股东控制的企业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广州广花资产管理有限公司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本企业控股股东控制的企业</w:t>
            </w:r>
          </w:p>
        </w:tc>
      </w:tr>
    </w:tbl>
    <w:p>
      <w:pPr>
        <w:pStyle w:val="BodyText"/>
        <w:spacing w:line="357" w:lineRule="auto" w:before="45"/>
        <w:ind w:right="5775"/>
        <w:jc w:val="left"/>
      </w:pPr>
      <w:r>
        <w:rPr/>
        <w:t>其他说明 张云</w:t>
      </w:r>
      <w:r>
        <w:rPr>
          <w:rFonts w:ascii="Times New Roman" w:hAnsi="Times New Roman" w:cs="Times New Roman" w:eastAsia="Times New Roman" w:hint="default"/>
        </w:rPr>
        <w:t>¹</w:t>
      </w:r>
      <w:r>
        <w:rPr/>
        <w:t>：为本企业持股</w:t>
      </w:r>
      <w:r>
        <w:rPr>
          <w:rFonts w:ascii="Times New Roman" w:hAnsi="Times New Roman" w:cs="Times New Roman" w:eastAsia="Times New Roman" w:hint="default"/>
        </w:rPr>
        <w:t>5%</w:t>
      </w:r>
      <w:r>
        <w:rPr/>
        <w:t>以上股东，担任本企业董事、总经理；</w:t>
      </w:r>
      <w:r>
        <w:rPr>
          <w:spacing w:val="-83"/>
        </w:rPr>
        <w:t> </w:t>
      </w:r>
      <w:r>
        <w:rPr/>
        <w:t>张云</w:t>
      </w:r>
      <w:r>
        <w:rPr>
          <w:rFonts w:ascii="Times New Roman" w:hAnsi="Times New Roman" w:cs="Times New Roman" w:eastAsia="Times New Roman" w:hint="default"/>
        </w:rPr>
        <w:t>²</w:t>
      </w:r>
      <w:r>
        <w:rPr/>
        <w:t>：担任本企业控股股东监事。</w:t>
      </w:r>
    </w:p>
    <w:p>
      <w:pPr>
        <w:pStyle w:val="BodyText"/>
        <w:spacing w:line="219" w:lineRule="exact" w:before="0"/>
        <w:ind w:right="0"/>
        <w:jc w:val="left"/>
      </w:pPr>
      <w:r>
        <w:rPr/>
        <w:t>两者非同一人，特此说明。</w:t>
      </w:r>
    </w:p>
    <w:p>
      <w:pPr>
        <w:spacing w:after="0" w:line="219" w:lineRule="exact"/>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5、关联交易情况" w:id="477"/>
      <w:bookmarkEnd w:id="47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78"/>
      <w:bookmarkEnd w:id="47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32"/>
        <w:gridCol w:w="1471"/>
        <w:gridCol w:w="1457"/>
        <w:gridCol w:w="1697"/>
        <w:gridCol w:w="1712"/>
        <w:gridCol w:w="1712"/>
      </w:tblGrid>
      <w:tr>
        <w:trPr>
          <w:trHeight w:val="390"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403"/>
        <w:gridCol w:w="2252"/>
        <w:gridCol w:w="2268"/>
        <w:gridCol w:w="2658"/>
      </w:tblGrid>
      <w:tr>
        <w:trPr>
          <w:trHeight w:val="390"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关联受托管理/承包及委托管理/出包情况" w:id="479"/>
      <w:bookmarkEnd w:id="47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85" w:right="29" w:hanging="55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210" w:right="28" w:hanging="195"/>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05" w:right="59" w:hanging="7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36" w:lineRule="auto"/>
        <w:jc w:val="left"/>
        <w:rPr>
          <w:rFonts w:ascii="宋体" w:hAnsi="宋体" w:cs="宋体" w:eastAsia="宋体" w:hint="default"/>
          <w:sz w:val="18"/>
          <w:szCs w:val="18"/>
        </w:rPr>
        <w:sectPr>
          <w:pgSz w:w="11910" w:h="16850"/>
          <w:pgMar w:header="731" w:footer="981" w:top="1040" w:bottom="1180" w:left="1000" w:right="0"/>
        </w:sectPr>
      </w:pPr>
    </w:p>
    <w:p>
      <w:pPr>
        <w:pStyle w:val="BodyText"/>
        <w:spacing w:line="333" w:lineRule="auto" w:before="60"/>
        <w:ind w:right="-9"/>
        <w:jc w:val="left"/>
      </w:pPr>
      <w:r>
        <w:rPr/>
        <w:t>关联托管</w:t>
      </w:r>
      <w:r>
        <w:rPr>
          <w:rFonts w:ascii="Times New Roman" w:hAnsi="Times New Roman" w:cs="Times New Roman" w:eastAsia="Times New Roman" w:hint="default"/>
        </w:rPr>
        <w:t>/</w:t>
      </w:r>
      <w:r>
        <w:rPr/>
        <w:t>承包情况说明 </w:t>
      </w:r>
      <w:r>
        <w:rPr>
          <w:spacing w:val="-1"/>
        </w:rPr>
        <w:t>本公司委托管理</w:t>
      </w:r>
      <w:r>
        <w:rPr>
          <w:rFonts w:ascii="Times New Roman" w:hAnsi="Times New Roman" w:cs="Times New Roman" w:eastAsia="Times New Roman" w:hint="default"/>
          <w:spacing w:val="-1"/>
        </w:rPr>
        <w:t>/</w:t>
      </w:r>
      <w:r>
        <w:rPr>
          <w:spacing w:val="-1"/>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2529" w:space="6318"/>
            <w:col w:w="2063"/>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585" w:right="29" w:hanging="55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390" w:right="29" w:hanging="37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85" w:right="59" w:hanging="25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9"/>
        <w:ind w:right="0"/>
        <w:jc w:val="left"/>
      </w:pPr>
      <w:r>
        <w:rPr/>
        <w:t>关联管理</w:t>
      </w:r>
      <w:r>
        <w:rPr>
          <w:rFonts w:ascii="Times New Roman" w:hAnsi="Times New Roman" w:cs="Times New Roman" w:eastAsia="Times New Roman" w:hint="default"/>
        </w:rPr>
        <w:t>/</w:t>
      </w:r>
      <w:r>
        <w:rPr/>
        <w:t>出包情况说明</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3）关联租赁情况" w:id="480"/>
      <w:bookmarkEnd w:id="48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本公司作为出租方：</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ind w:right="0"/>
        <w:jc w:val="left"/>
      </w:pPr>
      <w:r>
        <w:rPr/>
        <w:t>本公司作为承租方：</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关联担保情况" w:id="481"/>
      <w:bookmarkEnd w:id="48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本公司作为担保方</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本公司作为被担保方</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1,340,000,000.00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89"/>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ind w:right="0"/>
        <w:jc w:val="both"/>
      </w:pPr>
      <w:r>
        <w:rPr/>
        <w:t>关联担保情况说明</w:t>
      </w:r>
    </w:p>
    <w:p>
      <w:pPr>
        <w:pStyle w:val="BodyText"/>
        <w:spacing w:line="304" w:lineRule="auto" w:before="125"/>
        <w:ind w:right="1125"/>
        <w:jc w:val="both"/>
      </w:pPr>
      <w:r>
        <w:rPr/>
        <w:t>（</w:t>
      </w:r>
      <w:r>
        <w:rPr>
          <w:rFonts w:ascii="Times New Roman" w:hAnsi="Times New Roman" w:cs="Times New Roman" w:eastAsia="Times New Roman" w:hint="default"/>
        </w:rPr>
        <w:t>1</w:t>
      </w:r>
      <w:r>
        <w:rPr/>
        <w:t>）深圳市聚智通信息技术有限公司为本公司与广发银行深圳分行签署的编号为（</w:t>
      </w:r>
      <w:r>
        <w:rPr>
          <w:rFonts w:ascii="Times New Roman" w:hAnsi="Times New Roman" w:cs="Times New Roman" w:eastAsia="Times New Roman" w:hint="default"/>
        </w:rPr>
        <w:t>2018</w:t>
      </w:r>
      <w:r>
        <w:rPr/>
        <w:t>）深银综授额字第</w:t>
      </w:r>
      <w:r>
        <w:rPr>
          <w:rFonts w:ascii="Times New Roman" w:hAnsi="Times New Roman" w:cs="Times New Roman" w:eastAsia="Times New Roman" w:hint="default"/>
        </w:rPr>
        <w:t>000020</w:t>
      </w:r>
      <w:r>
        <w:rPr/>
        <w:t>号《授信</w:t>
      </w:r>
      <w:r>
        <w:rPr>
          <w:spacing w:val="-81"/>
        </w:rPr>
        <w:t> </w:t>
      </w:r>
      <w:r>
        <w:rPr/>
        <w:t>额度合同》项下不超过人民币</w:t>
      </w:r>
      <w:r>
        <w:rPr>
          <w:rFonts w:ascii="Times New Roman" w:hAnsi="Times New Roman" w:cs="Times New Roman" w:eastAsia="Times New Roman" w:hint="default"/>
        </w:rPr>
        <w:t>15000</w:t>
      </w:r>
      <w:r>
        <w:rPr/>
        <w:t>万元本金及利息、罚息、复利、违约金、损害赔偿金、为实现债权而发生的费用（包括</w:t>
      </w:r>
      <w:r>
        <w:rPr>
          <w:spacing w:val="-87"/>
        </w:rPr>
        <w:t> </w:t>
      </w:r>
      <w:r>
        <w:rPr>
          <w:spacing w:val="-2"/>
        </w:rPr>
        <w:t>但不限于诉讼费，仲裁费，律师费，差旅费，执行费。保全费，评估费，拍卖或变卖费，过户费，公告费等）和其他所有应</w:t>
      </w:r>
      <w:r>
        <w:rPr>
          <w:spacing w:val="-72"/>
        </w:rPr>
        <w:t> </w:t>
      </w:r>
      <w:r>
        <w:rPr>
          <w:spacing w:val="-72"/>
        </w:rPr>
      </w:r>
      <w:r>
        <w:rPr/>
        <w:t>付费用向广发银行股份有限公司深圳分行提供连带保证责任，额度有效期为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16</w:t>
      </w:r>
      <w:r>
        <w:rPr/>
        <w:t>日。</w:t>
      </w:r>
    </w:p>
    <w:p>
      <w:pPr>
        <w:pStyle w:val="BodyText"/>
        <w:spacing w:line="304" w:lineRule="auto" w:before="12"/>
        <w:ind w:right="1119"/>
        <w:jc w:val="left"/>
      </w:pPr>
      <w:r>
        <w:rPr/>
        <w:t>（</w:t>
      </w:r>
      <w:r>
        <w:rPr>
          <w:rFonts w:ascii="Times New Roman" w:hAnsi="Times New Roman" w:cs="Times New Roman" w:eastAsia="Times New Roman" w:hint="default"/>
        </w:rPr>
        <w:t>2</w:t>
      </w:r>
      <w:r>
        <w:rPr/>
        <w:t>）深圳市聚智通信息技术有限公司为本公司与宁波银行深圳分行签署的编号为</w:t>
      </w:r>
      <w:r>
        <w:rPr>
          <w:rFonts w:ascii="Times New Roman" w:hAnsi="Times New Roman" w:cs="Times New Roman" w:eastAsia="Times New Roman" w:hint="default"/>
        </w:rPr>
        <w:t>07300JC20188004</w:t>
      </w:r>
      <w:r>
        <w:rPr/>
        <w:t>《进出口融资总协议》</w:t>
      </w:r>
      <w:r>
        <w:rPr>
          <w:spacing w:val="-79"/>
        </w:rPr>
        <w:t> </w:t>
      </w:r>
      <w:r>
        <w:rPr/>
        <w:t>项下不超过人民币</w:t>
      </w:r>
      <w:r>
        <w:rPr>
          <w:rFonts w:ascii="Times New Roman" w:hAnsi="Times New Roman" w:cs="Times New Roman" w:eastAsia="Times New Roman" w:hint="default"/>
        </w:rPr>
        <w:t>10000</w:t>
      </w:r>
      <w:r>
        <w:rPr/>
        <w:t>万元本金及利息、逾期利息、复利、罚息、违约金、损害赔偿金和诉讼费、保全费、执行费、律师 费、差旅费等实现债权的费用和所有其他应付的一切费用向宁波银行深圳分行提供连带担保，额度有效期为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w:t>
      </w:r>
      <w:r>
        <w:rPr>
          <w:spacing w:val="-80"/>
        </w:rPr>
        <w:t> </w:t>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w:t>
      </w:r>
    </w:p>
    <w:p>
      <w:pPr>
        <w:pStyle w:val="BodyText"/>
        <w:spacing w:line="304" w:lineRule="auto" w:before="0"/>
        <w:ind w:right="1016"/>
        <w:jc w:val="left"/>
      </w:pPr>
      <w:r>
        <w:rPr>
          <w:spacing w:val="-2"/>
        </w:rPr>
        <w:t>（</w:t>
      </w:r>
      <w:r>
        <w:rPr>
          <w:rFonts w:ascii="Times New Roman" w:hAnsi="Times New Roman" w:cs="Times New Roman" w:eastAsia="Times New Roman" w:hint="default"/>
          <w:spacing w:val="-2"/>
        </w:rPr>
        <w:t>3</w:t>
      </w:r>
      <w:r>
        <w:rPr>
          <w:spacing w:val="-2"/>
        </w:rPr>
        <w:t>）深圳市聚智通信息技术有限公司为本公司与光大银行深圳分行签署的编号为</w:t>
      </w:r>
      <w:r>
        <w:rPr>
          <w:rFonts w:ascii="Times New Roman" w:hAnsi="Times New Roman" w:cs="Times New Roman" w:eastAsia="Times New Roman" w:hint="default"/>
          <w:spacing w:val="-2"/>
        </w:rPr>
        <w:t>ZM</w:t>
      </w:r>
      <w:r>
        <w:rPr>
          <w:rFonts w:ascii="Times New Roman" w:hAnsi="Times New Roman" w:cs="Times New Roman" w:eastAsia="Times New Roman" w:hint="default"/>
        </w:rPr>
        <w:t> </w:t>
      </w:r>
      <w:r>
        <w:rPr>
          <w:rFonts w:ascii="Times New Roman" w:hAnsi="Times New Roman" w:cs="Times New Roman" w:eastAsia="Times New Roman" w:hint="default"/>
          <w:spacing w:val="-2"/>
        </w:rPr>
        <w:t>78211803002</w:t>
      </w:r>
      <w:r>
        <w:rPr>
          <w:spacing w:val="-2"/>
        </w:rPr>
        <w:t>《贸易融资综合授信协议》</w:t>
      </w:r>
      <w:r>
        <w:rPr>
          <w:spacing w:val="-81"/>
        </w:rPr>
        <w:t> </w:t>
      </w:r>
      <w:r>
        <w:rPr/>
        <w:t>项下不超过人民币</w:t>
      </w:r>
      <w:r>
        <w:rPr>
          <w:rFonts w:ascii="Times New Roman" w:hAnsi="Times New Roman" w:cs="Times New Roman" w:eastAsia="Times New Roman" w:hint="default"/>
        </w:rPr>
        <w:t>10000</w:t>
      </w:r>
      <w:r>
        <w:rPr/>
        <w:t>万元本金及利息、逾期利息、复利、罚息、违约金、损害赔偿金和诉讼费、保全费、执行费、律师 费、差旅费等实现债权的费用和所有其他应付的一切费用向光大银行深圳分行提供连带担保，额度有效期为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r>
        <w:rPr>
          <w:spacing w:val="-80"/>
        </w:rPr>
        <w:t> </w:t>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p>
    <w:p>
      <w:pPr>
        <w:pStyle w:val="BodyText"/>
        <w:spacing w:line="295" w:lineRule="auto" w:before="12"/>
        <w:ind w:right="1128"/>
        <w:jc w:val="both"/>
      </w:pPr>
      <w:r>
        <w:rPr/>
        <w:t>（</w:t>
      </w:r>
      <w:r>
        <w:rPr>
          <w:rFonts w:ascii="Times New Roman" w:hAnsi="Times New Roman" w:cs="Times New Roman" w:eastAsia="Times New Roman" w:hint="default"/>
        </w:rPr>
        <w:t>4</w:t>
      </w:r>
      <w:r>
        <w:rPr/>
        <w:t>）深圳市聚智通信息技术有限公司为本公司与中信银行深圳分行签署</w:t>
      </w:r>
      <w:r>
        <w:rPr>
          <w:rFonts w:ascii="Times New Roman" w:hAnsi="Times New Roman" w:cs="Times New Roman" w:eastAsia="Times New Roman" w:hint="default"/>
        </w:rPr>
        <w:t>2018</w:t>
      </w:r>
      <w:r>
        <w:rPr/>
        <w:t>深银大鹏综字第</w:t>
      </w:r>
      <w:r>
        <w:rPr>
          <w:rFonts w:ascii="Times New Roman" w:hAnsi="Times New Roman" w:cs="Times New Roman" w:eastAsia="Times New Roman" w:hint="default"/>
        </w:rPr>
        <w:t>0001</w:t>
      </w:r>
      <w:r>
        <w:rPr/>
        <w:t>号《综合授信合同》项下</w:t>
      </w:r>
      <w:r>
        <w:rPr>
          <w:spacing w:val="-83"/>
        </w:rPr>
        <w:t> </w:t>
      </w:r>
      <w:r>
        <w:rPr/>
        <w:t>不超过人民币</w:t>
      </w:r>
      <w:r>
        <w:rPr>
          <w:rFonts w:ascii="Times New Roman" w:hAnsi="Times New Roman" w:cs="Times New Roman" w:eastAsia="Times New Roman" w:hint="default"/>
        </w:rPr>
        <w:t>27000</w:t>
      </w:r>
      <w:r>
        <w:rPr/>
        <w:t>万元本金，利息，罚息，违约金，损害赔偿金及为实现债权与担保权而发生的一切费用向中信银行深圳 分行提供连带担保责任。额度有效期为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09</w:t>
      </w:r>
      <w:r>
        <w:rPr/>
        <w:t>日。</w:t>
      </w:r>
    </w:p>
    <w:p>
      <w:pPr>
        <w:pStyle w:val="BodyText"/>
        <w:spacing w:line="304" w:lineRule="auto" w:before="20"/>
        <w:ind w:right="1101"/>
        <w:jc w:val="both"/>
      </w:pPr>
      <w:r>
        <w:rPr>
          <w:spacing w:val="-2"/>
        </w:rPr>
        <w:t>（</w:t>
      </w:r>
      <w:r>
        <w:rPr>
          <w:rFonts w:ascii="Times New Roman" w:hAnsi="Times New Roman" w:cs="Times New Roman" w:eastAsia="Times New Roman" w:hint="default"/>
          <w:spacing w:val="-2"/>
        </w:rPr>
        <w:t>5</w:t>
      </w:r>
      <w:r>
        <w:rPr>
          <w:spacing w:val="-2"/>
        </w:rPr>
        <w:t>）深圳市聚智通信息技术有限公司为本公司与中国银行股份有限公司深圳罗湖支行签署的</w:t>
      </w:r>
      <w:r>
        <w:rPr>
          <w:rFonts w:ascii="Times New Roman" w:hAnsi="Times New Roman" w:cs="Times New Roman" w:eastAsia="Times New Roman" w:hint="default"/>
          <w:spacing w:val="-2"/>
        </w:rPr>
        <w:t>2018</w:t>
      </w:r>
      <w:r>
        <w:rPr>
          <w:spacing w:val="-2"/>
        </w:rPr>
        <w:t>圳中银罗额协字第</w:t>
      </w:r>
      <w:r>
        <w:rPr>
          <w:rFonts w:ascii="Times New Roman" w:hAnsi="Times New Roman" w:cs="Times New Roman" w:eastAsia="Times New Roman" w:hint="default"/>
          <w:spacing w:val="-2"/>
        </w:rPr>
        <w:t>0000018</w:t>
      </w:r>
      <w:r>
        <w:rPr>
          <w:rFonts w:ascii="Times New Roman" w:hAnsi="Times New Roman" w:cs="Times New Roman" w:eastAsia="Times New Roman" w:hint="default"/>
          <w:spacing w:val="8"/>
        </w:rPr>
        <w:t> </w:t>
      </w:r>
      <w:r>
        <w:rPr>
          <w:spacing w:val="-1"/>
        </w:rPr>
        <w:t>号《授信额度协议》项下不超过人民币</w:t>
      </w:r>
      <w:r>
        <w:rPr>
          <w:rFonts w:ascii="Times New Roman" w:hAnsi="Times New Roman" w:cs="Times New Roman" w:eastAsia="Times New Roman" w:hint="default"/>
          <w:spacing w:val="-1"/>
        </w:rPr>
        <w:t>120000</w:t>
      </w:r>
      <w:r>
        <w:rPr>
          <w:spacing w:val="-1"/>
        </w:rPr>
        <w:t>万元本金及利息、违约金等向中国银行深圳罗湖支行提供连带责任保证，额度</w:t>
      </w:r>
      <w:r>
        <w:rPr/>
        <w:t> 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w:t>
      </w:r>
    </w:p>
    <w:p>
      <w:pPr>
        <w:pStyle w:val="BodyText"/>
        <w:spacing w:line="247" w:lineRule="exact" w:before="0"/>
        <w:ind w:right="0"/>
        <w:jc w:val="both"/>
      </w:pPr>
      <w:r>
        <w:rPr/>
        <w:t>（</w:t>
      </w:r>
      <w:r>
        <w:rPr>
          <w:rFonts w:ascii="Times New Roman" w:hAnsi="Times New Roman" w:cs="Times New Roman" w:eastAsia="Times New Roman" w:hint="default"/>
        </w:rPr>
        <w:t>6</w:t>
      </w:r>
      <w:r>
        <w:rPr/>
        <w:t>）深圳市聚智通信息技术有限公司为本公司与建设银行深圳分行签署的编号为借</w:t>
      </w:r>
      <w:r>
        <w:rPr>
          <w:rFonts w:ascii="Times New Roman" w:hAnsi="Times New Roman" w:cs="Times New Roman" w:eastAsia="Times New Roman" w:hint="default"/>
        </w:rPr>
        <w:t>2018</w:t>
      </w:r>
      <w:r>
        <w:rPr/>
        <w:t>综</w:t>
      </w:r>
      <w:r>
        <w:rPr>
          <w:rFonts w:ascii="Times New Roman" w:hAnsi="Times New Roman" w:cs="Times New Roman" w:eastAsia="Times New Roman" w:hint="default"/>
        </w:rPr>
        <w:t>08020</w:t>
      </w:r>
      <w:r>
        <w:rPr/>
        <w:t>宝安</w:t>
      </w:r>
      <w:r>
        <w:rPr>
          <w:rFonts w:ascii="Times New Roman" w:hAnsi="Times New Roman" w:cs="Times New Roman" w:eastAsia="Times New Roman" w:hint="default"/>
        </w:rPr>
        <w:t>R</w:t>
      </w:r>
      <w:r>
        <w:rPr/>
        <w:t>《综合融资额度合同》</w:t>
      </w:r>
    </w:p>
    <w:p>
      <w:pPr>
        <w:spacing w:after="0" w:line="247" w:lineRule="exact"/>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2" w:lineRule="auto"/>
        <w:ind w:right="1103"/>
        <w:jc w:val="both"/>
      </w:pPr>
      <w:r>
        <w:rPr>
          <w:spacing w:val="-1"/>
        </w:rPr>
        <w:t>项下不超过人民币</w:t>
      </w:r>
      <w:r>
        <w:rPr>
          <w:rFonts w:ascii="Times New Roman" w:hAnsi="Times New Roman" w:cs="Times New Roman" w:eastAsia="Times New Roman" w:hint="default"/>
          <w:spacing w:val="-1"/>
        </w:rPr>
        <w:t>134000</w:t>
      </w:r>
      <w:r>
        <w:rPr>
          <w:spacing w:val="-1"/>
        </w:rPr>
        <w:t>万本金、利息、违约金、赔偿金、以及债权人为实现债权与担保权而发生的一切费用向建设银行深</w:t>
      </w:r>
      <w:r>
        <w:rPr/>
        <w:t> 圳分行提供连带担保，额度有效期为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w:t>
      </w:r>
    </w:p>
    <w:p>
      <w:pPr>
        <w:pStyle w:val="BodyText"/>
        <w:spacing w:line="295" w:lineRule="auto" w:before="14"/>
        <w:ind w:right="1124"/>
        <w:jc w:val="both"/>
      </w:pPr>
      <w:r>
        <w:rPr>
          <w:spacing w:val="-4"/>
          <w:w w:val="99"/>
        </w:rPr>
        <w:t>（</w:t>
      </w:r>
      <w:r>
        <w:rPr>
          <w:rFonts w:ascii="Times New Roman" w:hAnsi="Times New Roman" w:cs="Times New Roman" w:eastAsia="Times New Roman" w:hint="default"/>
          <w:spacing w:val="-4"/>
          <w:w w:val="99"/>
        </w:rPr>
        <w:t>7</w:t>
      </w:r>
      <w:r>
        <w:rPr>
          <w:spacing w:val="-4"/>
          <w:w w:val="99"/>
        </w:rPr>
        <w:t>）深圳市聚智通信息技术有限公司为本公司与平安银行深圳分行签署的编号为平银（深圳）综第</w:t>
      </w:r>
      <w:r>
        <w:rPr>
          <w:rFonts w:ascii="Times New Roman" w:hAnsi="Times New Roman" w:cs="Times New Roman" w:eastAsia="Times New Roman" w:hint="default"/>
          <w:spacing w:val="-4"/>
          <w:w w:val="99"/>
        </w:rPr>
        <w:t>A021201805070001</w:t>
      </w:r>
      <w:r>
        <w:rPr>
          <w:spacing w:val="-4"/>
          <w:w w:val="99"/>
        </w:rPr>
        <w:t>号《综</w:t>
      </w:r>
      <w:r>
        <w:rPr>
          <w:spacing w:val="-50"/>
          <w:w w:val="99"/>
        </w:rPr>
        <w:t> </w:t>
      </w:r>
      <w:r>
        <w:rPr>
          <w:spacing w:val="-50"/>
          <w:w w:val="99"/>
        </w:rPr>
      </w:r>
      <w:r>
        <w:rPr/>
        <w:t>合授信额度合同》项下不超过人民币</w:t>
      </w:r>
      <w:r>
        <w:rPr>
          <w:rFonts w:ascii="Times New Roman" w:hAnsi="Times New Roman" w:cs="Times New Roman" w:eastAsia="Times New Roman" w:hint="default"/>
        </w:rPr>
        <w:t>40000</w:t>
      </w:r>
      <w:r>
        <w:rPr/>
        <w:t>万本金、利息、复利、及罚息、实现债权的费用等向平安银行深圳分行提供连带</w:t>
      </w:r>
      <w:r>
        <w:rPr>
          <w:spacing w:val="-84"/>
        </w:rPr>
        <w:t> </w:t>
      </w:r>
      <w:r>
        <w:rPr>
          <w:spacing w:val="-84"/>
        </w:rPr>
      </w:r>
      <w:r>
        <w:rPr/>
        <w:t>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05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04</w:t>
      </w:r>
      <w:r>
        <w:rPr/>
        <w:t>日。</w:t>
      </w:r>
    </w:p>
    <w:p>
      <w:pPr>
        <w:pStyle w:val="BodyText"/>
        <w:spacing w:line="240" w:lineRule="auto" w:before="20"/>
        <w:ind w:right="0"/>
        <w:jc w:val="both"/>
      </w:pPr>
      <w:r>
        <w:rPr/>
        <w:t>（</w:t>
      </w:r>
      <w:r>
        <w:rPr>
          <w:rFonts w:ascii="Times New Roman" w:hAnsi="Times New Roman" w:cs="Times New Roman" w:eastAsia="Times New Roman" w:hint="default"/>
        </w:rPr>
        <w:t>8</w:t>
      </w:r>
      <w:r>
        <w:rPr/>
        <w:t>）深圳市聚智通信息技术有限公司为本公司与南洋商业银行（中国）有限公司深圳分行签署的编号为</w:t>
      </w:r>
    </w:p>
    <w:p>
      <w:pPr>
        <w:pStyle w:val="BodyText"/>
        <w:spacing w:line="304" w:lineRule="auto" w:before="66"/>
        <w:ind w:right="1101"/>
        <w:jc w:val="both"/>
      </w:pPr>
      <w:r>
        <w:rPr>
          <w:rFonts w:ascii="Times New Roman" w:hAnsi="Times New Roman" w:cs="Times New Roman" w:eastAsia="Times New Roman" w:hint="default"/>
        </w:rPr>
        <w:t>043-905-18-400004C000</w:t>
      </w:r>
      <w:r>
        <w:rPr/>
        <w:t>号《授信额度协议》项下不超过人民币</w:t>
      </w:r>
      <w:r>
        <w:rPr>
          <w:rFonts w:ascii="Times New Roman" w:hAnsi="Times New Roman" w:cs="Times New Roman" w:eastAsia="Times New Roman" w:hint="default"/>
        </w:rPr>
        <w:t>10000</w:t>
      </w:r>
      <w:r>
        <w:rPr/>
        <w:t>万本金、利息、复利、及罚息、实现债权的费用等向南</w:t>
      </w:r>
      <w:r>
        <w:rPr>
          <w:spacing w:val="-86"/>
        </w:rPr>
        <w:t> </w:t>
      </w:r>
      <w:r>
        <w:rPr/>
        <w:t>洋商业银行（中国）有限公司深圳分行提供连带担保责任。额度有效期为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06</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04</w:t>
      </w:r>
      <w:r>
        <w:rPr/>
        <w:t>日。</w:t>
      </w:r>
    </w:p>
    <w:p>
      <w:pPr>
        <w:pStyle w:val="BodyText"/>
        <w:spacing w:line="304" w:lineRule="auto" w:before="0"/>
        <w:ind w:right="1111"/>
        <w:jc w:val="both"/>
      </w:pPr>
      <w:r>
        <w:rPr>
          <w:spacing w:val="-1"/>
        </w:rPr>
        <w:t>（</w:t>
      </w:r>
      <w:r>
        <w:rPr>
          <w:rFonts w:ascii="Times New Roman" w:hAnsi="Times New Roman" w:cs="Times New Roman" w:eastAsia="Times New Roman" w:hint="default"/>
          <w:spacing w:val="-1"/>
        </w:rPr>
        <w:t>9</w:t>
      </w:r>
      <w:r>
        <w:rPr>
          <w:spacing w:val="-1"/>
        </w:rPr>
        <w:t>）深圳市聚智通信息技术有限公司为本公司与浦发银行深圳分行签署编号为</w:t>
      </w:r>
      <w:r>
        <w:rPr>
          <w:rFonts w:ascii="Times New Roman" w:hAnsi="Times New Roman" w:cs="Times New Roman" w:eastAsia="Times New Roman" w:hint="default"/>
          <w:spacing w:val="-1"/>
        </w:rPr>
        <w:t>BC2018083000000075</w:t>
      </w:r>
      <w:r>
        <w:rPr>
          <w:spacing w:val="-1"/>
        </w:rPr>
        <w:t>《融资额度协议》项下</w:t>
      </w:r>
      <w:r>
        <w:rPr>
          <w:spacing w:val="-67"/>
        </w:rPr>
        <w:t> </w:t>
      </w:r>
      <w:r>
        <w:rPr>
          <w:spacing w:val="-67"/>
        </w:rPr>
      </w:r>
      <w:r>
        <w:rPr/>
        <w:t>不超过人民币</w:t>
      </w:r>
      <w:r>
        <w:rPr>
          <w:rFonts w:ascii="Times New Roman" w:hAnsi="Times New Roman" w:cs="Times New Roman" w:eastAsia="Times New Roman" w:hint="default"/>
        </w:rPr>
        <w:t>30000</w:t>
      </w:r>
      <w:r>
        <w:rPr/>
        <w:t>万元本金、利息（含罚息、复利）、违约金、损害赔偿金、债权人实现债权的费用等向浦发银行深圳分 行提供连带担保责任。额度有效期为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both"/>
        <w:rPr>
          <w:b w:val="0"/>
          <w:bCs w:val="0"/>
        </w:rPr>
      </w:pPr>
      <w:bookmarkStart w:name="（5）关联方资金拆借" w:id="482"/>
      <w:bookmarkEnd w:id="48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6"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390"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483"/>
      <w:bookmarkEnd w:id="48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84"/>
      <w:bookmarkEnd w:id="48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5,927,319.35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5,840,080.96</w:t>
            </w:r>
          </w:p>
        </w:tc>
      </w:tr>
    </w:tbl>
    <w:p>
      <w:pPr>
        <w:spacing w:line="240" w:lineRule="auto" w:before="11"/>
        <w:rPr>
          <w:rFonts w:ascii="宋体" w:hAnsi="宋体" w:cs="宋体" w:eastAsia="宋体" w:hint="default"/>
          <w:sz w:val="19"/>
          <w:szCs w:val="19"/>
        </w:rPr>
      </w:pPr>
    </w:p>
    <w:p>
      <w:pPr>
        <w:pStyle w:val="Heading3"/>
        <w:spacing w:line="508" w:lineRule="auto" w:before="35"/>
        <w:ind w:right="8535"/>
        <w:jc w:val="left"/>
        <w:rPr>
          <w:b w:val="0"/>
          <w:bCs w:val="0"/>
        </w:rPr>
      </w:pPr>
      <w:bookmarkStart w:name="（8）其他关联交易" w:id="485"/>
      <w:bookmarkEnd w:id="485"/>
      <w:r>
        <w:rPr>
          <w:b w:val="0"/>
          <w:bCs w:val="0"/>
        </w:rPr>
      </w:r>
      <w:r>
        <w:rPr/>
        <w:t>（</w:t>
      </w:r>
      <w:r>
        <w:rPr>
          <w:rFonts w:ascii="Times New Roman" w:hAnsi="Times New Roman" w:cs="Times New Roman" w:eastAsia="Times New Roman" w:hint="default"/>
        </w:rPr>
        <w:t>8</w:t>
      </w:r>
      <w:r>
        <w:rPr/>
        <w:t>）其他关联交易</w:t>
      </w:r>
      <w:r>
        <w:rPr>
          <w:w w:val="99"/>
        </w:rPr>
        <w:t> </w:t>
      </w:r>
      <w:bookmarkStart w:name="6、关联方应收应付款项" w:id="486"/>
      <w:bookmarkEnd w:id="486"/>
      <w:r>
        <w:rPr>
          <w:w w:val="99"/>
        </w:rPr>
      </w:r>
      <w:r>
        <w:rPr>
          <w:rFonts w:ascii="Times New Roman" w:hAnsi="Times New Roman" w:cs="Times New Roman" w:eastAsia="Times New Roman" w:hint="default"/>
        </w:rPr>
        <w:t>6</w:t>
      </w:r>
      <w:r>
        <w:rPr/>
        <w:t>、关联方应收应付款项</w:t>
      </w:r>
      <w:r>
        <w:rPr>
          <w:b w:val="0"/>
          <w:bCs w:val="0"/>
        </w:rPr>
      </w:r>
    </w:p>
    <w:p>
      <w:pPr>
        <w:pStyle w:val="Heading3"/>
        <w:spacing w:line="240" w:lineRule="auto" w:before="64"/>
        <w:ind w:right="0"/>
        <w:jc w:val="left"/>
        <w:rPr>
          <w:b w:val="0"/>
          <w:bCs w:val="0"/>
        </w:rPr>
      </w:pPr>
      <w:bookmarkStart w:name="（1）应收项目" w:id="487"/>
      <w:bookmarkEnd w:id="48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应付项目" w:id="488"/>
      <w:bookmarkEnd w:id="48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89"/>
      <w:bookmarkEnd w:id="48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1"/>
        <w:rPr>
          <w:rFonts w:ascii="宋体" w:hAnsi="宋体" w:cs="宋体" w:eastAsia="宋体" w:hint="default"/>
          <w:b/>
          <w:bCs/>
          <w:sz w:val="24"/>
          <w:szCs w:val="24"/>
        </w:rPr>
      </w:pPr>
    </w:p>
    <w:p>
      <w:pPr>
        <w:spacing w:line="482" w:lineRule="auto" w:before="0"/>
        <w:ind w:left="141" w:right="8746" w:firstLine="0"/>
        <w:jc w:val="left"/>
        <w:rPr>
          <w:rFonts w:ascii="宋体" w:hAnsi="宋体" w:cs="宋体" w:eastAsia="宋体" w:hint="default"/>
          <w:sz w:val="21"/>
          <w:szCs w:val="21"/>
        </w:rPr>
      </w:pPr>
      <w:bookmarkStart w:name="8、其他" w:id="490"/>
      <w:bookmarkEnd w:id="49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三、股份支付" w:id="491"/>
      <w:bookmarkEnd w:id="491"/>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92"/>
      <w:bookmarkEnd w:id="49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2、以权益结算的股份支付情况" w:id="493"/>
      <w:bookmarkEnd w:id="49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3、以现金结算的股份支付情况" w:id="494"/>
      <w:bookmarkEnd w:id="49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4、股份支付的修改、终止情况" w:id="495"/>
      <w:bookmarkEnd w:id="49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9"/>
        <w:rPr>
          <w:rFonts w:ascii="宋体" w:hAnsi="宋体" w:cs="宋体" w:eastAsia="宋体" w:hint="default"/>
          <w:b/>
          <w:bCs/>
          <w:sz w:val="23"/>
          <w:szCs w:val="23"/>
        </w:rPr>
      </w:pPr>
    </w:p>
    <w:p>
      <w:pPr>
        <w:spacing w:line="496" w:lineRule="auto" w:before="0"/>
        <w:ind w:left="141" w:right="8339" w:firstLine="0"/>
        <w:jc w:val="left"/>
        <w:rPr>
          <w:rFonts w:ascii="宋体" w:hAnsi="宋体" w:cs="宋体" w:eastAsia="宋体" w:hint="default"/>
          <w:sz w:val="18"/>
          <w:szCs w:val="18"/>
        </w:rPr>
      </w:pPr>
      <w:bookmarkStart w:name="5、其他" w:id="496"/>
      <w:bookmarkEnd w:id="49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497"/>
      <w:bookmarkEnd w:id="497"/>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bookmarkStart w:name="1、重要承诺事项" w:id="498"/>
      <w:bookmarkEnd w:id="498"/>
      <w:r>
        <w:rPr>
          <w:rFonts w:ascii="宋体" w:hAnsi="宋体" w:cs="宋体" w:eastAsia="宋体" w:hint="default"/>
          <w:b/>
          <w:bCs/>
          <w:spacing w:val="-116"/>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bookmarkStart w:name="2、或有事项" w:id="499"/>
      <w:bookmarkEnd w:id="49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资产负债表日存在的重要或有事项" w:id="500"/>
      <w:bookmarkEnd w:id="50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2）公司没有需要披露的重要或有事项，也应予以说明" w:id="501"/>
      <w:bookmarkEnd w:id="50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公司不存在需要披露的重要或有事项。</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spacing w:line="482" w:lineRule="auto" w:before="35"/>
        <w:ind w:left="141" w:right="7857" w:firstLine="0"/>
        <w:jc w:val="left"/>
        <w:rPr>
          <w:rFonts w:ascii="宋体" w:hAnsi="宋体" w:cs="宋体" w:eastAsia="宋体" w:hint="default"/>
          <w:sz w:val="21"/>
          <w:szCs w:val="21"/>
        </w:rPr>
      </w:pPr>
      <w:bookmarkStart w:name="3、其他" w:id="502"/>
      <w:bookmarkEnd w:id="50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503"/>
      <w:bookmarkEnd w:id="503"/>
      <w:r>
        <w:rPr>
          <w:rFonts w:ascii="宋体" w:hAnsi="宋体" w:cs="宋体" w:eastAsia="宋体" w:hint="default"/>
          <w:b/>
          <w:bCs/>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重要的非调整事项" w:id="504"/>
      <w:bookmarkEnd w:id="504"/>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9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020" w:right="105"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505"/>
      <w:bookmarkEnd w:id="50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979"/>
        <w:gridCol w:w="4603"/>
      </w:tblGrid>
      <w:tr>
        <w:trPr>
          <w:trHeight w:val="406"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6,719,724.97</w:t>
            </w:r>
          </w:p>
        </w:tc>
      </w:tr>
      <w:tr>
        <w:trPr>
          <w:trHeight w:val="390"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6,719,724.97</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506"/>
      <w:bookmarkEnd w:id="50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507"/>
      <w:bookmarkEnd w:id="50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309" w:lineRule="auto" w:before="0"/>
        <w:ind w:right="1029"/>
        <w:jc w:val="left"/>
      </w:pPr>
      <w:r>
        <w:rPr>
          <w:rFonts w:ascii="Times New Roman" w:hAnsi="Times New Roman" w:cs="Times New Roman" w:eastAsia="Times New Roman" w:hint="default"/>
        </w:rPr>
        <w:t>1</w:t>
      </w:r>
      <w:r>
        <w:rPr/>
        <w:t>、新型冠状病毒肺炎疫情（简称</w:t>
      </w:r>
      <w:r>
        <w:rPr>
          <w:rFonts w:ascii="Times New Roman" w:hAnsi="Times New Roman" w:cs="Times New Roman" w:eastAsia="Times New Roman" w:hint="default"/>
        </w:rPr>
        <w:t>“</w:t>
      </w:r>
      <w:r>
        <w:rPr/>
        <w:t>疫情</w:t>
      </w:r>
      <w:r>
        <w:rPr>
          <w:rFonts w:ascii="Times New Roman" w:hAnsi="Times New Roman" w:cs="Times New Roman" w:eastAsia="Times New Roman" w:hint="default"/>
        </w:rPr>
        <w:t>”</w:t>
      </w:r>
      <w:r>
        <w:rPr/>
        <w:t>）爆发以来，公司密切关注疫情动态，坚决贯彻落实各级政府防控工作的要求，加</w:t>
      </w:r>
      <w:r>
        <w:rPr>
          <w:spacing w:val="-82"/>
        </w:rPr>
        <w:t> </w:t>
      </w:r>
      <w:r>
        <w:rPr/>
        <w:t>强员工自我防护，合理安排业务活动。 本次疫情对海外影响很大，国外部分企业停工停产导致机械制造、医疗行业、电子元器件、通信设备等行业进口需求减少， </w:t>
      </w:r>
      <w:r>
        <w:rPr>
          <w:spacing w:val="-2"/>
        </w:rPr>
        <w:t>同时航班减少，空运海运费用上涨，对本公司的经营造成较大影响。公司将持续密切关注新冠疫情的发展情况，认真做好疫</w:t>
      </w:r>
      <w:r>
        <w:rPr>
          <w:spacing w:val="-42"/>
        </w:rPr>
        <w:t> </w:t>
      </w:r>
      <w:r>
        <w:rPr>
          <w:spacing w:val="-42"/>
        </w:rPr>
      </w:r>
      <w:r>
        <w:rPr/>
        <w:t>情防控和经营应对工作，并评估和积极应对其对本公司财务状况、经营成果等方面的影响。</w:t>
      </w:r>
    </w:p>
    <w:p>
      <w:pPr>
        <w:pStyle w:val="BodyText"/>
        <w:spacing w:line="300" w:lineRule="auto" w:before="42"/>
        <w:ind w:right="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29</w:t>
      </w:r>
      <w:r>
        <w:rPr>
          <w:spacing w:val="-2"/>
        </w:rPr>
        <w:t>日，根据公司第四届董事会第十三次会议审议通过《关于会计政策变更的议案》。财政部于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日发</w:t>
      </w:r>
      <w:r>
        <w:rPr>
          <w:spacing w:val="-37"/>
        </w:rPr>
        <w:t> </w:t>
      </w:r>
      <w:r>
        <w:rPr>
          <w:spacing w:val="-2"/>
        </w:rPr>
        <w:t>布了《关于修订印发</w:t>
      </w:r>
      <w:r>
        <w:rPr>
          <w:rFonts w:ascii="Times New Roman" w:hAnsi="Times New Roman" w:cs="Times New Roman" w:eastAsia="Times New Roman" w:hint="default"/>
          <w:spacing w:val="-2"/>
        </w:rPr>
        <w:t>&lt;</w:t>
      </w:r>
      <w:r>
        <w:rPr>
          <w:spacing w:val="-2"/>
        </w:rPr>
        <w:t>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w:t>
      </w:r>
      <w:r>
        <w:rPr>
          <w:rFonts w:ascii="Times New Roman" w:hAnsi="Times New Roman" w:cs="Times New Roman" w:eastAsia="Times New Roman" w:hint="default"/>
          <w:spacing w:val="-2"/>
        </w:rPr>
        <w:t>&gt;</w:t>
      </w:r>
      <w:r>
        <w:rPr>
          <w:spacing w:val="-2"/>
        </w:rPr>
        <w:t>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22</w:t>
      </w:r>
      <w:r>
        <w:rPr>
          <w:spacing w:val="-2"/>
        </w:rPr>
        <w:t>号）（以下简称</w:t>
      </w:r>
      <w:r>
        <w:rPr>
          <w:rFonts w:ascii="Times New Roman" w:hAnsi="Times New Roman" w:cs="Times New Roman" w:eastAsia="Times New Roman" w:hint="default"/>
          <w:spacing w:val="-2"/>
        </w:rPr>
        <w:t>“</w:t>
      </w:r>
      <w:r>
        <w:rPr>
          <w:spacing w:val="-2"/>
        </w:rPr>
        <w:t>新收入准则</w:t>
      </w:r>
      <w:r>
        <w:rPr>
          <w:rFonts w:ascii="Times New Roman" w:hAnsi="Times New Roman" w:cs="Times New Roman" w:eastAsia="Times New Roman" w:hint="default"/>
          <w:spacing w:val="-2"/>
        </w:rPr>
        <w:t>”</w:t>
      </w:r>
      <w:r>
        <w:rPr>
          <w:spacing w:val="-2"/>
        </w:rPr>
        <w:t>），要求在境</w:t>
      </w:r>
      <w:r>
        <w:rPr>
          <w:spacing w:val="-60"/>
        </w:rPr>
        <w:t> </w:t>
      </w:r>
      <w:r>
        <w:rPr>
          <w:spacing w:val="-60"/>
        </w:rPr>
      </w:r>
      <w:r>
        <w:rPr/>
        <w:t>内外同时上市的企业以及在境外上市并采用国际财务报告准则或企业会计准则编制财务报表的企业，自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w:t>
      </w:r>
      <w:r>
        <w:rPr>
          <w:spacing w:val="-80"/>
        </w:rPr>
        <w:t> </w:t>
      </w:r>
      <w:r>
        <w:rPr/>
        <w:t>行；其他境内上市企业，自</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日起施行。公司结合具体情况自</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日起施行上述新收入准则。</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bookmarkStart w:name="十六、其他重要事项" w:id="508"/>
      <w:bookmarkEnd w:id="508"/>
      <w:r>
        <w:rPr>
          <w:b w:val="0"/>
          <w:bCs w:val="0"/>
        </w:rPr>
      </w:r>
      <w:r>
        <w:rPr/>
        <w:t>十六、其他重要事项</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前期会计差错更正" w:id="509"/>
      <w:bookmarkEnd w:id="50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510"/>
      <w:bookmarkEnd w:id="51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840" w:right="105"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511"/>
      <w:bookmarkEnd w:id="51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4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5"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6"/>
          <w:szCs w:val="26"/>
        </w:rPr>
      </w:pPr>
    </w:p>
    <w:p>
      <w:pPr>
        <w:pStyle w:val="Heading3"/>
        <w:spacing w:line="240" w:lineRule="auto" w:before="35"/>
        <w:ind w:right="0"/>
        <w:jc w:val="left"/>
        <w:rPr>
          <w:b w:val="0"/>
          <w:bCs w:val="0"/>
        </w:rPr>
      </w:pPr>
      <w:bookmarkStart w:name="2、债务重组" w:id="512"/>
      <w:bookmarkEnd w:id="51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513"/>
      <w:bookmarkEnd w:id="51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514"/>
      <w:bookmarkEnd w:id="51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1"/>
        <w:rPr>
          <w:rFonts w:ascii="宋体" w:hAnsi="宋体" w:cs="宋体" w:eastAsia="宋体" w:hint="default"/>
          <w:b/>
          <w:bCs/>
          <w:sz w:val="24"/>
          <w:szCs w:val="24"/>
        </w:rPr>
      </w:pPr>
    </w:p>
    <w:p>
      <w:pPr>
        <w:pStyle w:val="Heading3"/>
        <w:spacing w:line="508" w:lineRule="auto"/>
        <w:ind w:right="8049"/>
        <w:jc w:val="left"/>
        <w:rPr>
          <w:b w:val="0"/>
          <w:bCs w:val="0"/>
        </w:rPr>
      </w:pPr>
      <w:bookmarkStart w:name="（2）其他资产置换" w:id="515"/>
      <w:bookmarkEnd w:id="515"/>
      <w:r>
        <w:rPr>
          <w:b w:val="0"/>
          <w:bCs w:val="0"/>
        </w:rPr>
      </w:r>
      <w:r>
        <w:rPr>
          <w:w w:val="95"/>
        </w:rPr>
        <w:t>（</w:t>
      </w:r>
      <w:r>
        <w:rPr>
          <w:rFonts w:ascii="Times New Roman" w:hAnsi="Times New Roman" w:cs="Times New Roman" w:eastAsia="Times New Roman" w:hint="default"/>
          <w:w w:val="95"/>
        </w:rPr>
        <w:t>2</w:t>
      </w:r>
      <w:r>
        <w:rPr>
          <w:w w:val="95"/>
        </w:rPr>
        <w:t>）其他资产置换</w:t>
      </w:r>
      <w:r>
        <w:rPr>
          <w:spacing w:val="-18"/>
          <w:w w:val="95"/>
        </w:rPr>
        <w:t> </w:t>
      </w:r>
      <w:bookmarkStart w:name="4、年金计划" w:id="516"/>
      <w:bookmarkEnd w:id="516"/>
      <w:r>
        <w:rPr>
          <w:spacing w:val="-18"/>
          <w:w w:val="95"/>
        </w:rPr>
      </w:r>
      <w:r>
        <w:rPr>
          <w:rFonts w:ascii="Times New Roman" w:hAnsi="Times New Roman" w:cs="Times New Roman" w:eastAsia="Times New Roman" w:hint="default"/>
        </w:rPr>
        <w:t>4</w:t>
      </w:r>
      <w:r>
        <w:rPr/>
        <w:t>、年金计划</w:t>
      </w:r>
      <w:r>
        <w:rPr>
          <w:b w:val="0"/>
          <w:bCs w:val="0"/>
        </w:rPr>
      </w:r>
    </w:p>
    <w:p>
      <w:pPr>
        <w:pStyle w:val="Heading3"/>
        <w:spacing w:line="240" w:lineRule="auto" w:before="49"/>
        <w:ind w:right="0"/>
        <w:jc w:val="left"/>
        <w:rPr>
          <w:b w:val="0"/>
          <w:bCs w:val="0"/>
        </w:rPr>
      </w:pPr>
      <w:bookmarkStart w:name="5、终止经营" w:id="517"/>
      <w:bookmarkEnd w:id="51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9" w:right="59"/>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分部信息" w:id="518"/>
      <w:bookmarkEnd w:id="51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left"/>
        <w:rPr>
          <w:b w:val="0"/>
          <w:bCs w:val="0"/>
        </w:rPr>
      </w:pPr>
      <w:bookmarkStart w:name="（1）报告分部的确定依据与会计政策" w:id="519"/>
      <w:bookmarkEnd w:id="51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520"/>
      <w:bookmarkEnd w:id="52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521"/>
      <w:bookmarkEnd w:id="52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1"/>
        <w:rPr>
          <w:rFonts w:ascii="宋体" w:hAnsi="宋体" w:cs="宋体" w:eastAsia="宋体" w:hint="default"/>
          <w:b/>
          <w:bCs/>
          <w:sz w:val="24"/>
          <w:szCs w:val="24"/>
        </w:rPr>
      </w:pPr>
    </w:p>
    <w:p>
      <w:pPr>
        <w:pStyle w:val="Heading3"/>
        <w:spacing w:line="508" w:lineRule="auto"/>
        <w:ind w:right="6427"/>
        <w:jc w:val="left"/>
        <w:rPr>
          <w:b w:val="0"/>
          <w:bCs w:val="0"/>
        </w:rPr>
      </w:pPr>
      <w:bookmarkStart w:name="（4）其他说明" w:id="522"/>
      <w:bookmarkEnd w:id="522"/>
      <w:r>
        <w:rPr>
          <w:b w:val="0"/>
          <w:bCs w:val="0"/>
        </w:rPr>
      </w:r>
      <w:r>
        <w:rPr/>
        <w:t>（</w:t>
      </w:r>
      <w:r>
        <w:rPr>
          <w:rFonts w:ascii="Times New Roman" w:hAnsi="Times New Roman" w:cs="Times New Roman" w:eastAsia="Times New Roman" w:hint="default"/>
        </w:rPr>
        <w:t>4</w:t>
      </w:r>
      <w:r>
        <w:rPr/>
        <w:t>）其他说明</w:t>
      </w:r>
      <w:r>
        <w:rPr>
          <w:w w:val="99"/>
        </w:rPr>
        <w:t> </w:t>
      </w:r>
      <w:bookmarkStart w:name="7、其他对投资者决策有影响的重要交易和事项" w:id="523"/>
      <w:bookmarkEnd w:id="523"/>
      <w:r>
        <w:rPr>
          <w:w w:val="99"/>
        </w:rPr>
      </w:r>
      <w:r>
        <w:rPr>
          <w:rFonts w:ascii="Times New Roman" w:hAnsi="Times New Roman" w:cs="Times New Roman" w:eastAsia="Times New Roman" w:hint="default"/>
        </w:rPr>
        <w:t>7</w:t>
      </w:r>
      <w:r>
        <w:rPr/>
        <w:t>、其他对投资者决策有影响的重要交易和事项</w:t>
      </w:r>
      <w:r>
        <w:rPr>
          <w:b w:val="0"/>
          <w:bCs w:val="0"/>
        </w:rPr>
      </w:r>
    </w:p>
    <w:p>
      <w:pPr>
        <w:spacing w:line="482" w:lineRule="auto" w:before="64"/>
        <w:ind w:left="141" w:right="6894" w:firstLine="0"/>
        <w:jc w:val="left"/>
        <w:rPr>
          <w:rFonts w:ascii="宋体" w:hAnsi="宋体" w:cs="宋体" w:eastAsia="宋体" w:hint="default"/>
          <w:sz w:val="21"/>
          <w:szCs w:val="21"/>
        </w:rPr>
      </w:pPr>
      <w:bookmarkStart w:name="8、其他" w:id="524"/>
      <w:bookmarkEnd w:id="52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七、母公司财务报表主要项目注释" w:id="525"/>
      <w:bookmarkEnd w:id="525"/>
      <w:r>
        <w:rPr>
          <w:rFonts w:ascii="宋体" w:hAnsi="宋体" w:cs="宋体" w:eastAsia="宋体" w:hint="default"/>
          <w:b/>
          <w:bCs/>
          <w:w w:val="99"/>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26"/>
      <w:bookmarkEnd w:id="52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90"/>
        <w:ind w:right="0"/>
        <w:jc w:val="left"/>
        <w:rPr>
          <w:b w:val="0"/>
          <w:bCs w:val="0"/>
        </w:rPr>
      </w:pPr>
      <w:bookmarkStart w:name="（1）应收账款分类披露" w:id="527"/>
      <w:bookmarkEnd w:id="52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37"/>
        <w:gridCol w:w="3845"/>
        <w:gridCol w:w="4100"/>
      </w:tblGrid>
      <w:tr>
        <w:trPr>
          <w:trHeight w:val="39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8"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38,802,2</w:t>
            </w:r>
          </w:p>
          <w:p>
            <w:pPr>
              <w:pStyle w:val="TableParagraph"/>
              <w:spacing w:line="240" w:lineRule="auto" w:before="108"/>
              <w:ind w:left="307" w:right="0"/>
              <w:jc w:val="left"/>
              <w:rPr>
                <w:rFonts w:ascii="Times New Roman" w:hAnsi="Times New Roman" w:cs="Times New Roman" w:eastAsia="Times New Roman" w:hint="default"/>
                <w:sz w:val="18"/>
                <w:szCs w:val="18"/>
              </w:rPr>
            </w:pPr>
            <w:r>
              <w:rPr>
                <w:rFonts w:ascii="Times New Roman"/>
                <w:sz w:val="18"/>
              </w:rPr>
              <w:t>63.76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2.38%</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21,811,4</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58.52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56.21%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16,990,80</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5.24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9,747,077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0.61%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7,797,661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80.00%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1,949,415.4</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w:t>
            </w: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82" w:right="0"/>
              <w:jc w:val="left"/>
              <w:rPr>
                <w:rFonts w:ascii="Times New Roman" w:hAnsi="Times New Roman" w:cs="Times New Roman" w:eastAsia="Times New Roman" w:hint="default"/>
                <w:sz w:val="18"/>
                <w:szCs w:val="18"/>
              </w:rPr>
            </w:pPr>
            <w:r>
              <w:rPr>
                <w:rFonts w:ascii="Times New Roman"/>
                <w:sz w:val="18"/>
              </w:rPr>
              <w:t>1,588,48</w:t>
            </w:r>
          </w:p>
          <w:p>
            <w:pPr>
              <w:pStyle w:val="TableParagraph"/>
              <w:spacing w:line="240" w:lineRule="auto" w:before="108"/>
              <w:ind w:left="82" w:right="0"/>
              <w:jc w:val="left"/>
              <w:rPr>
                <w:rFonts w:ascii="Times New Roman" w:hAnsi="Times New Roman" w:cs="Times New Roman" w:eastAsia="Times New Roman" w:hint="default"/>
                <w:sz w:val="18"/>
                <w:szCs w:val="18"/>
              </w:rPr>
            </w:pPr>
            <w:r>
              <w:rPr>
                <w:rFonts w:ascii="Times New Roman"/>
                <w:sz w:val="18"/>
              </w:rPr>
              <w:t>3,458.14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97.62%</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41,883,2</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15.94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2.64%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1,546,600</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,242.20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1,577,209</w:t>
            </w:r>
          </w:p>
          <w:p>
            <w:pPr>
              <w:pStyle w:val="TableParagraph"/>
              <w:spacing w:line="240" w:lineRule="auto" w:before="108"/>
              <w:ind w:left="164" w:right="0"/>
              <w:jc w:val="center"/>
              <w:rPr>
                <w:rFonts w:ascii="Times New Roman" w:hAnsi="Times New Roman" w:cs="Times New Roman" w:eastAsia="Times New Roman" w:hint="default"/>
                <w:sz w:val="18"/>
                <w:szCs w:val="18"/>
              </w:rPr>
            </w:pPr>
            <w:r>
              <w:rPr>
                <w:rFonts w:ascii="Times New Roman"/>
                <w:sz w:val="18"/>
              </w:rPr>
              <w:t>,882.15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99.39%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28,205,52</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1.23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1.79%</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1,549,004,3</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60.92</w:t>
            </w: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1,588,48</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3,458.14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97.62%</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41,883,2</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15.94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2.64%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1,546,600</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,242.20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1,577,209</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,882.15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99.39%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28,205,52</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1.23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1.79%</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1,549,004,3</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60.92</w:t>
            </w: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1,627,28</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5,721.90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63,694,6</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74.46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3.91%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1,563,591</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,047.44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1,586,956</w:t>
            </w:r>
          </w:p>
          <w:p>
            <w:pPr>
              <w:pStyle w:val="TableParagraph"/>
              <w:spacing w:line="240" w:lineRule="auto" w:before="108"/>
              <w:ind w:left="164" w:right="0"/>
              <w:jc w:val="center"/>
              <w:rPr>
                <w:rFonts w:ascii="Times New Roman" w:hAnsi="Times New Roman" w:cs="Times New Roman" w:eastAsia="Times New Roman" w:hint="default"/>
                <w:sz w:val="18"/>
                <w:szCs w:val="18"/>
              </w:rPr>
            </w:pPr>
            <w:r>
              <w:rPr>
                <w:rFonts w:ascii="Times New Roman"/>
                <w:sz w:val="18"/>
              </w:rPr>
              <w:t>,959.19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36,003,18</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2.86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2.27%</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1,550,953,7</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76.33</w:t>
            </w:r>
          </w:p>
        </w:tc>
      </w:tr>
    </w:tbl>
    <w:p>
      <w:pPr>
        <w:pStyle w:val="BodyText"/>
        <w:spacing w:line="240" w:lineRule="auto"/>
        <w:ind w:right="0"/>
        <w:jc w:val="left"/>
      </w:pPr>
      <w:r>
        <w:rPr/>
        <w:t>按单项计提坏账准备：</w:t>
      </w:r>
    </w:p>
    <w:p>
      <w:pPr>
        <w:pStyle w:val="BodyText"/>
        <w:spacing w:line="240" w:lineRule="auto" w:before="110"/>
        <w:ind w:left="0" w:right="1109"/>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0" w:right="1127"/>
        <w:jc w:val="right"/>
      </w:pPr>
      <w:r>
        <w:rPr/>
        <w:pict>
          <v:shape style="position:absolute;margin-left:56.325001pt;margin-top:-247.76828pt;width:480.25pt;height:406.9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2"/>
                    <w:gridCol w:w="1907"/>
                    <w:gridCol w:w="1923"/>
                    <w:gridCol w:w="1907"/>
                    <w:gridCol w:w="1922"/>
                  </w:tblGrid>
                  <w:tr>
                    <w:trPr>
                      <w:trHeight w:val="391"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广州市君亚医疗器械有 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28,567,070.23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11,576,264.99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40.52%</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存在诉讼</w:t>
                        </w:r>
                      </w:p>
                    </w:tc>
                  </w:tr>
                  <w:tr>
                    <w:trPr>
                      <w:trHeight w:val="66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5" w:right="0"/>
                          <w:jc w:val="left"/>
                          <w:rPr>
                            <w:rFonts w:ascii="宋体" w:hAnsi="宋体" w:cs="宋体" w:eastAsia="宋体" w:hint="default"/>
                            <w:sz w:val="18"/>
                            <w:szCs w:val="18"/>
                          </w:rPr>
                        </w:pPr>
                        <w:r>
                          <w:rPr>
                            <w:rFonts w:ascii="宋体" w:hAnsi="宋体" w:cs="宋体" w:eastAsia="宋体" w:hint="default"/>
                            <w:sz w:val="18"/>
                            <w:szCs w:val="18"/>
                          </w:rPr>
                          <w:t>乐视移动智能信息技术</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5"/>
                          <w:jc w:val="right"/>
                          <w:rPr>
                            <w:rFonts w:ascii="Times New Roman" w:hAnsi="Times New Roman" w:cs="Times New Roman" w:eastAsia="Times New Roman" w:hint="default"/>
                            <w:sz w:val="18"/>
                            <w:szCs w:val="18"/>
                          </w:rPr>
                        </w:pPr>
                        <w:r>
                          <w:rPr>
                            <w:rFonts w:ascii="Times New Roman"/>
                            <w:sz w:val="18"/>
                          </w:rPr>
                          <w:t>9,747,077.04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5"/>
                          <w:jc w:val="right"/>
                          <w:rPr>
                            <w:rFonts w:ascii="Times New Roman" w:hAnsi="Times New Roman" w:cs="Times New Roman" w:eastAsia="Times New Roman" w:hint="default"/>
                            <w:sz w:val="18"/>
                            <w:szCs w:val="18"/>
                          </w:rPr>
                        </w:pPr>
                        <w:r>
                          <w:rPr>
                            <w:rFonts w:ascii="Times New Roman"/>
                            <w:sz w:val="18"/>
                          </w:rPr>
                          <w:t>9,747,077.04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公司一直密切关注媒体 对乐视系相关主体的债 权债务情况及其经营情 况等方面的报道，目前 公开信息及乐视网信息 技术（北京）股份有限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乐视</w:t>
                        </w:r>
                        <w:r>
                          <w:rPr>
                            <w:rFonts w:ascii="宋体" w:hAnsi="宋体" w:cs="宋体" w:eastAsia="宋体" w:hint="default"/>
                            <w:spacing w:val="-70"/>
                            <w:sz w:val="18"/>
                            <w:szCs w:val="18"/>
                          </w:rPr>
                          <w:t> </w:t>
                        </w:r>
                        <w:r>
                          <w:rPr>
                            <w:rFonts w:ascii="宋体" w:hAnsi="宋体" w:cs="宋体" w:eastAsia="宋体" w:hint="default"/>
                            <w:sz w:val="18"/>
                            <w:szCs w:val="18"/>
                          </w:rPr>
                          <w:t>网</w:t>
                        </w:r>
                        <w:r>
                          <w:rPr>
                            <w:rFonts w:ascii="Times New Roman" w:hAnsi="Times New Roman" w:cs="Times New Roman" w:eastAsia="Times New Roman" w:hint="default"/>
                            <w:sz w:val="18"/>
                            <w:szCs w:val="18"/>
                          </w:rPr>
                          <w:t>”</w:t>
                        </w:r>
                        <w:r>
                          <w:rPr>
                            <w:rFonts w:ascii="宋体" w:hAnsi="宋体" w:cs="宋体" w:eastAsia="宋体" w:hint="default"/>
                            <w:sz w:val="18"/>
                            <w:szCs w:val="18"/>
                          </w:rPr>
                          <w:t>）的最新公告显示， 乐视网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10" w:lineRule="exact"/>
                          <w:ind w:left="30" w:right="0"/>
                          <w:jc w:val="left"/>
                          <w:rPr>
                            <w:rFonts w:ascii="宋体" w:hAnsi="宋体" w:cs="宋体" w:eastAsia="宋体" w:hint="default"/>
                            <w:sz w:val="18"/>
                            <w:szCs w:val="18"/>
                          </w:rPr>
                        </w:pPr>
                        <w:r>
                          <w:rPr>
                            <w:rFonts w:ascii="宋体" w:hAnsi="宋体" w:cs="宋体" w:eastAsia="宋体" w:hint="default"/>
                            <w:sz w:val="18"/>
                            <w:szCs w:val="18"/>
                          </w:rPr>
                          <w:t>日起暂停上市，且其</w:t>
                        </w:r>
                      </w:p>
                      <w:p>
                        <w:pPr>
                          <w:pStyle w:val="TableParagraph"/>
                          <w:spacing w:line="304" w:lineRule="auto" w:before="95"/>
                          <w:ind w:left="30"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年度被大华会计师 </w:t>
                        </w:r>
                        <w:r>
                          <w:rPr>
                            <w:rFonts w:ascii="宋体" w:hAnsi="宋体" w:cs="宋体" w:eastAsia="宋体" w:hint="default"/>
                            <w:spacing w:val="-4"/>
                            <w:sz w:val="18"/>
                            <w:szCs w:val="18"/>
                          </w:rPr>
                          <w:t>事务所（特殊普通合伙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出具了大华审字</w:t>
                        </w:r>
                      </w:p>
                      <w:p>
                        <w:pPr>
                          <w:pStyle w:val="TableParagraph"/>
                          <w:spacing w:line="240" w:lineRule="auto" w:before="4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[2020]007787 </w:t>
                        </w:r>
                        <w:r>
                          <w:rPr>
                            <w:rFonts w:ascii="宋体" w:hAnsi="宋体" w:cs="宋体" w:eastAsia="宋体" w:hint="default"/>
                            <w:sz w:val="18"/>
                            <w:szCs w:val="18"/>
                          </w:rPr>
                          <w:t>号带强调</w:t>
                        </w:r>
                      </w:p>
                      <w:p>
                        <w:pPr>
                          <w:pStyle w:val="TableParagraph"/>
                          <w:spacing w:line="312" w:lineRule="auto" w:before="36"/>
                          <w:ind w:left="30" w:right="13"/>
                          <w:jc w:val="both"/>
                          <w:rPr>
                            <w:rFonts w:ascii="宋体" w:hAnsi="宋体" w:cs="宋体" w:eastAsia="宋体" w:hint="default"/>
                            <w:sz w:val="18"/>
                            <w:szCs w:val="18"/>
                          </w:rPr>
                        </w:pPr>
                        <w:r>
                          <w:rPr>
                            <w:rFonts w:ascii="宋体" w:hAnsi="宋体" w:cs="宋体" w:eastAsia="宋体" w:hint="default"/>
                            <w:sz w:val="18"/>
                            <w:szCs w:val="18"/>
                          </w:rPr>
                          <w:t>事项的审计报告，报告 显示乐视网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年度归 属于母公司的净利润为</w:t>
                        </w:r>
                      </w:p>
                      <w:p>
                        <w:pPr>
                          <w:pStyle w:val="TableParagraph"/>
                          <w:spacing w:line="300" w:lineRule="auto" w:before="41"/>
                          <w:ind w:left="30"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-112.79 </w:t>
                        </w:r>
                        <w:r>
                          <w:rPr>
                            <w:rFonts w:ascii="宋体" w:hAnsi="宋体" w:cs="宋体" w:eastAsia="宋体" w:hint="default"/>
                            <w:sz w:val="18"/>
                            <w:szCs w:val="18"/>
                          </w:rPr>
                          <w:t>亿元，归属于上</w:t>
                        </w:r>
                        <w:r>
                          <w:rPr>
                            <w:rFonts w:ascii="宋体" w:hAnsi="宋体" w:cs="宋体" w:eastAsia="宋体" w:hint="default"/>
                            <w:w w:val="99"/>
                            <w:sz w:val="18"/>
                            <w:szCs w:val="18"/>
                          </w:rPr>
                          <w:t> </w:t>
                        </w:r>
                        <w:r>
                          <w:rPr>
                            <w:rFonts w:ascii="宋体" w:hAnsi="宋体" w:cs="宋体" w:eastAsia="宋体" w:hint="default"/>
                            <w:sz w:val="18"/>
                            <w:szCs w:val="18"/>
                          </w:rPr>
                          <w:t>市公司股东的净资产约</w:t>
                        </w:r>
                        <w:r>
                          <w:rPr>
                            <w:rFonts w:ascii="宋体" w:hAnsi="宋体" w:cs="宋体" w:eastAsia="宋体" w:hint="default"/>
                            <w:w w:val="99"/>
                            <w:sz w:val="18"/>
                            <w:szCs w:val="18"/>
                          </w:rPr>
                          <w:t> </w:t>
                        </w:r>
                        <w:r>
                          <w:rPr>
                            <w:rFonts w:ascii="宋体" w:hAnsi="宋体" w:cs="宋体" w:eastAsia="宋体" w:hint="default"/>
                            <w:sz w:val="18"/>
                            <w:szCs w:val="18"/>
                          </w:rPr>
                          <w:t>为</w:t>
                        </w:r>
                        <w:r>
                          <w:rPr>
                            <w:rFonts w:ascii="Times New Roman" w:hAnsi="Times New Roman" w:cs="Times New Roman" w:eastAsia="Times New Roman" w:hint="default"/>
                            <w:sz w:val="18"/>
                            <w:szCs w:val="18"/>
                          </w:rPr>
                          <w:t>-143.29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亿元，存在终</w:t>
                        </w:r>
                        <w:r>
                          <w:rPr>
                            <w:rFonts w:ascii="宋体" w:hAnsi="宋体" w:cs="宋体" w:eastAsia="宋体" w:hint="default"/>
                            <w:w w:val="99"/>
                            <w:sz w:val="18"/>
                            <w:szCs w:val="18"/>
                          </w:rPr>
                          <w:t> </w:t>
                        </w:r>
                        <w:r>
                          <w:rPr>
                            <w:rFonts w:ascii="宋体" w:hAnsi="宋体" w:cs="宋体" w:eastAsia="宋体" w:hint="default"/>
                            <w:sz w:val="18"/>
                            <w:szCs w:val="18"/>
                          </w:rPr>
                          <w:t>止上市风险，乐视体系</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5044" w:hRule="exact"/>
        </w:trPr>
        <w:tc>
          <w:tcPr>
            <w:tcW w:w="1922"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ind w:left="30" w:right="14"/>
              <w:jc w:val="both"/>
              <w:rPr>
                <w:rFonts w:ascii="宋体" w:hAnsi="宋体" w:cs="宋体" w:eastAsia="宋体" w:hint="default"/>
                <w:sz w:val="18"/>
                <w:szCs w:val="18"/>
              </w:rPr>
            </w:pPr>
            <w:r>
              <w:rPr>
                <w:rFonts w:ascii="宋体" w:hAnsi="宋体" w:cs="宋体" w:eastAsia="宋体" w:hint="default"/>
                <w:sz w:val="18"/>
                <w:szCs w:val="18"/>
              </w:rPr>
              <w:t>经营状况更加恶化。同 时，公司自收到法院判 决乐视智能向公司支付 欠款及利息、并由乐视 控股（北京）有限公司 承担保证责任的判决书 至今，乐视智能及担保 方仍未能履行判决给付 义务。因此，公司对乐 视智能的应收款项计提 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35" w:lineRule="exact"/>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spacing w:val="-76"/>
                <w:sz w:val="18"/>
                <w:szCs w:val="18"/>
              </w:rPr>
              <w:t>，</w:t>
            </w:r>
            <w:r>
              <w:rPr>
                <w:rFonts w:ascii="宋体" w:hAnsi="宋体" w:cs="宋体" w:eastAsia="宋体" w:hint="default"/>
                <w:sz w:val="18"/>
                <w:szCs w:val="18"/>
              </w:rPr>
              <w:t>公司对乐视</w:t>
            </w:r>
          </w:p>
          <w:p>
            <w:pPr>
              <w:pStyle w:val="TableParagraph"/>
              <w:spacing w:line="240" w:lineRule="auto" w:before="51"/>
              <w:ind w:left="30" w:right="0"/>
              <w:jc w:val="both"/>
              <w:rPr>
                <w:rFonts w:ascii="宋体" w:hAnsi="宋体" w:cs="宋体" w:eastAsia="宋体" w:hint="default"/>
                <w:sz w:val="18"/>
                <w:szCs w:val="18"/>
              </w:rPr>
            </w:pPr>
            <w:r>
              <w:rPr>
                <w:rFonts w:ascii="宋体" w:hAnsi="宋体" w:cs="宋体" w:eastAsia="宋体" w:hint="default"/>
                <w:sz w:val="18"/>
                <w:szCs w:val="18"/>
              </w:rPr>
              <w:t>智能的应收款项为</w:t>
            </w:r>
          </w:p>
          <w:p>
            <w:pPr>
              <w:pStyle w:val="TableParagraph"/>
              <w:spacing w:line="240" w:lineRule="auto" w:before="94"/>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197,662,085.99</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元，累计</w:t>
            </w:r>
          </w:p>
          <w:p>
            <w:pPr>
              <w:pStyle w:val="TableParagraph"/>
              <w:spacing w:line="240" w:lineRule="auto" w:before="51"/>
              <w:ind w:left="30" w:right="0"/>
              <w:jc w:val="both"/>
              <w:rPr>
                <w:rFonts w:ascii="宋体" w:hAnsi="宋体" w:cs="宋体" w:eastAsia="宋体" w:hint="default"/>
                <w:sz w:val="18"/>
                <w:szCs w:val="18"/>
              </w:rPr>
            </w:pPr>
            <w:r>
              <w:rPr>
                <w:rFonts w:ascii="宋体" w:hAnsi="宋体" w:cs="宋体" w:eastAsia="宋体" w:hint="default"/>
                <w:sz w:val="18"/>
                <w:szCs w:val="18"/>
              </w:rPr>
              <w:t>计提坏账准备金额为</w:t>
            </w:r>
          </w:p>
          <w:p>
            <w:pPr>
              <w:pStyle w:val="TableParagraph"/>
              <w:spacing w:line="240" w:lineRule="auto" w:before="94"/>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197,662,085.99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488,116.49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488,116.49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31" w:right="0"/>
              <w:jc w:val="left"/>
              <w:rPr>
                <w:rFonts w:ascii="Times New Roman" w:hAnsi="Times New Roman" w:cs="Times New Roman" w:eastAsia="Times New Roman" w:hint="default"/>
                <w:sz w:val="18"/>
                <w:szCs w:val="18"/>
              </w:rPr>
            </w:pPr>
            <w:r>
              <w:rPr>
                <w:rFonts w:ascii="Times New Roman"/>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38,802,263.76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21,811,458.52</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按单项计提坏账准备：</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ind w:right="0"/>
        <w:jc w:val="left"/>
      </w:pPr>
      <w:r>
        <w:rPr/>
        <w:t>按组合计提坏账准备：</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1,190,488,483.43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11,904,884.83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340,672,154.89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17,033,607.74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28,207,676.91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2,820,767.69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27,130,267.47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8,139,080.24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1,984,875.44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1,984,875.44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1,588,483,458.14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41,883,215.94</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350" w:lineRule="auto" w:before="45"/>
        <w:ind w:right="-18"/>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2124" w:space="6722"/>
            <w:col w:w="206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352" w:lineRule="auto"/>
        <w:ind w:right="1749"/>
        <w:jc w:val="left"/>
      </w:pPr>
      <w:r>
        <w:rPr/>
        <w:t>确定该组合依据的说明： 如是按照预期信用损失一般模型计提应收账款坏账准备，请参照其他应收款的披露方式披露坏账准备的相关信息：</w:t>
      </w:r>
    </w:p>
    <w:p>
      <w:pPr>
        <w:spacing w:after="0" w:line="352" w:lineRule="auto"/>
        <w:jc w:val="left"/>
        <w:sectPr>
          <w:pgSz w:w="11910" w:h="16850"/>
          <w:pgMar w:header="731" w:footer="981" w:top="1040" w:bottom="1180" w:left="1000" w:right="0"/>
        </w:sectPr>
      </w:pPr>
    </w:p>
    <w:p>
      <w:pPr>
        <w:pStyle w:val="BodyText"/>
        <w:spacing w:line="319" w:lineRule="auto" w:before="5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538" w:space="7308"/>
            <w:col w:w="2064"/>
          </w:cols>
        </w:sectPr>
      </w:pP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1,190,488,483.43</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340,672,154.89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30,008,943.64</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66,116,139.94</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48,612,428.41</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15,042,959.60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2,460,751.93</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1,627,285,721.90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528"/>
      <w:bookmarkEnd w:id="5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应收账款坏账准 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36,003,182.86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27,482,528.83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208,962.77</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63,694,674.46</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36,003,182.86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27,482,528.83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208,962.77</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63,694,674.46</w:t>
            </w:r>
          </w:p>
        </w:tc>
      </w:tr>
    </w:tbl>
    <w:p>
      <w:pPr>
        <w:pStyle w:val="BodyText"/>
        <w:spacing w:line="240" w:lineRule="auto" w:before="45"/>
        <w:ind w:right="0"/>
        <w:jc w:val="left"/>
      </w:pPr>
      <w:r>
        <w:rPr/>
        <w:t>其中本期坏账准备收回或转回金额重要的：</w:t>
      </w:r>
    </w:p>
    <w:p>
      <w:pPr>
        <w:pStyle w:val="BodyText"/>
        <w:spacing w:line="240" w:lineRule="auto" w:before="10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79"/>
        <w:gridCol w:w="3094"/>
        <w:gridCol w:w="3109"/>
      </w:tblGrid>
      <w:tr>
        <w:trPr>
          <w:trHeight w:val="405" w:hRule="exact"/>
        </w:trPr>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529"/>
      <w:bookmarkEnd w:id="52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t>其中重要的应收账款核销情况：</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应收账款核销说明：</w:t>
      </w:r>
    </w:p>
    <w:p>
      <w:pPr>
        <w:spacing w:after="0" w:line="240" w:lineRule="auto"/>
        <w:jc w:val="left"/>
        <w:sectPr>
          <w:type w:val="continuous"/>
          <w:pgSz w:w="11910" w:h="16850"/>
          <w:pgMar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4）按欠款方归集的期末余额前五名的应收账款情况" w:id="530"/>
      <w:bookmarkEnd w:id="53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915" w:right="105" w:hanging="811"/>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328,445,583.10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20.18%</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13,022,759.25</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228,613,934.58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14.05%</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2,286,139.35</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116,868,929.41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7.18%</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1,168,689.29</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76,072,676.21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4.67%</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760,726.76</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69,799,148.54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4.29%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697,991.49</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819,800,271.84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50.37%</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5）因金融资产转移而终止确认的应收账款" w:id="531"/>
      <w:bookmarkEnd w:id="53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532"/>
      <w:bookmarkEnd w:id="53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2、其他应收款" w:id="533"/>
      <w:bookmarkEnd w:id="53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209,472,842.37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204,343,283.72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209,472,842.37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204,343,283.72</w:t>
            </w:r>
          </w:p>
        </w:tc>
      </w:tr>
    </w:tbl>
    <w:p>
      <w:pPr>
        <w:spacing w:line="240" w:lineRule="auto" w:before="11"/>
        <w:rPr>
          <w:rFonts w:ascii="宋体" w:hAnsi="宋体" w:cs="宋体" w:eastAsia="宋体" w:hint="default"/>
          <w:sz w:val="19"/>
          <w:szCs w:val="19"/>
        </w:rPr>
      </w:pPr>
    </w:p>
    <w:p>
      <w:pPr>
        <w:pStyle w:val="Heading3"/>
        <w:spacing w:line="508" w:lineRule="auto" w:before="35"/>
        <w:ind w:right="9129"/>
        <w:jc w:val="left"/>
        <w:rPr>
          <w:b w:val="0"/>
          <w:bCs w:val="0"/>
        </w:rPr>
      </w:pPr>
      <w:bookmarkStart w:name="（1）应收利息" w:id="534"/>
      <w:bookmarkEnd w:id="534"/>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535"/>
      <w:bookmarkEnd w:id="535"/>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6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240" w:lineRule="auto"/>
        <w:ind w:right="0"/>
        <w:jc w:val="left"/>
        <w:rPr>
          <w:b w:val="0"/>
          <w:bCs w:val="0"/>
        </w:rPr>
      </w:pPr>
      <w:bookmarkStart w:name="2）重要逾期利息" w:id="536"/>
      <w:bookmarkEnd w:id="536"/>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3）坏账准备计提情况" w:id="537"/>
      <w:bookmarkEnd w:id="53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508" w:lineRule="auto"/>
        <w:ind w:right="9129"/>
        <w:jc w:val="left"/>
        <w:rPr>
          <w:b w:val="0"/>
          <w:bCs w:val="0"/>
        </w:rPr>
      </w:pPr>
      <w:bookmarkStart w:name="（2）应收股利" w:id="538"/>
      <w:bookmarkEnd w:id="538"/>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539"/>
      <w:bookmarkEnd w:id="539"/>
      <w:r>
        <w:rPr>
          <w:w w:val="99"/>
        </w:rPr>
      </w:r>
      <w:r>
        <w:rPr>
          <w:rFonts w:ascii="Times New Roman" w:hAnsi="Times New Roman" w:cs="Times New Roman" w:eastAsia="Times New Roman" w:hint="default"/>
          <w:w w:val="95"/>
        </w:rPr>
        <w:t>1</w:t>
      </w:r>
      <w:r>
        <w:rPr>
          <w:w w:val="95"/>
        </w:rPr>
        <w:t>）应收股利分类</w:t>
      </w:r>
      <w:r>
        <w:rPr>
          <w:b w:val="0"/>
          <w:bCs w:val="0"/>
        </w:rPr>
      </w:r>
    </w:p>
    <w:p>
      <w:pPr>
        <w:pStyle w:val="BodyText"/>
        <w:spacing w:line="240" w:lineRule="auto" w:before="5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重要的账龄超过1年的应收股利" w:id="540"/>
      <w:bookmarkEnd w:id="540"/>
      <w:r>
        <w:rPr>
          <w:b w:val="0"/>
          <w:bCs w:val="0"/>
        </w:rPr>
      </w:r>
      <w:r>
        <w:rPr>
          <w:rFonts w:ascii="Times New Roman" w:hAnsi="Times New Roman" w:cs="Times New Roman" w:eastAsia="Times New Roman" w:hint="default"/>
        </w:rPr>
        <w:t>2</w:t>
      </w:r>
      <w:r>
        <w:rPr/>
        <w:t>）重要的账龄超过</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坏账准备计提情况" w:id="541"/>
      <w:bookmarkEnd w:id="54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5"/>
        <w:rPr>
          <w:rFonts w:ascii="宋体" w:hAnsi="宋体" w:cs="宋体" w:eastAsia="宋体" w:hint="default"/>
          <w:sz w:val="25"/>
          <w:szCs w:val="25"/>
        </w:rPr>
      </w:pPr>
    </w:p>
    <w:p>
      <w:pPr>
        <w:pStyle w:val="Heading3"/>
        <w:spacing w:line="496" w:lineRule="auto"/>
        <w:ind w:right="7481"/>
        <w:jc w:val="left"/>
        <w:rPr>
          <w:b w:val="0"/>
          <w:bCs w:val="0"/>
        </w:rPr>
      </w:pPr>
      <w:bookmarkStart w:name="（3）其他应收款" w:id="542"/>
      <w:bookmarkEnd w:id="542"/>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543"/>
      <w:bookmarkEnd w:id="543"/>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应收单位</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405,987,898.25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362,245,491.48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应收个人</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383,295.89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259,462.18</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406,371,194.14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362,504,953.66</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2）坏账准备计提情况" w:id="544"/>
      <w:bookmarkEnd w:id="54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15"/>
        <w:gridCol w:w="1652"/>
        <w:gridCol w:w="2103"/>
        <w:gridCol w:w="2102"/>
        <w:gridCol w:w="1802"/>
      </w:tblGrid>
      <w:tr>
        <w:trPr>
          <w:trHeight w:val="390"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5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7"/>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59"/>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8"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652"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645" w:right="0"/>
              <w:jc w:val="left"/>
              <w:rPr>
                <w:rFonts w:ascii="Times New Roman" w:hAnsi="Times New Roman" w:cs="Times New Roman" w:eastAsia="Times New Roman" w:hint="default"/>
                <w:sz w:val="18"/>
                <w:szCs w:val="18"/>
              </w:rPr>
            </w:pPr>
            <w:r>
              <w:rPr>
                <w:rFonts w:ascii="Times New Roman"/>
                <w:sz w:val="18"/>
              </w:rPr>
              <w:t>7,829,662.78</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31" w:right="0"/>
              <w:jc w:val="left"/>
              <w:rPr>
                <w:rFonts w:ascii="Times New Roman" w:hAnsi="Times New Roman" w:cs="Times New Roman" w:eastAsia="Times New Roman" w:hint="default"/>
                <w:sz w:val="18"/>
                <w:szCs w:val="18"/>
              </w:rPr>
            </w:pPr>
            <w:r>
              <w:rPr>
                <w:rFonts w:ascii="Times New Roman"/>
                <w:sz w:val="18"/>
              </w:rPr>
              <w:t>150,332,007.16</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46" w:right="0"/>
              <w:jc w:val="left"/>
              <w:rPr>
                <w:rFonts w:ascii="Times New Roman" w:hAnsi="Times New Roman" w:cs="Times New Roman" w:eastAsia="Times New Roman" w:hint="default"/>
                <w:sz w:val="18"/>
                <w:szCs w:val="18"/>
              </w:rPr>
            </w:pPr>
            <w:r>
              <w:rPr>
                <w:rFonts w:ascii="Times New Roman"/>
                <w:sz w:val="18"/>
              </w:rPr>
              <w:t>158,161,669.94</w:t>
            </w:r>
          </w:p>
        </w:tc>
      </w:tr>
      <w:tr>
        <w:trPr>
          <w:trHeight w:val="158" w:hRule="exact"/>
        </w:trPr>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44"/>
              <w:ind w:left="7"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15" w:type="dxa"/>
            <w:vMerge/>
            <w:tcBorders>
              <w:left w:val="single" w:sz="6" w:space="0" w:color="000000"/>
              <w:right w:val="single" w:sz="6" w:space="0" w:color="000000"/>
            </w:tcBorders>
            <w:shd w:val="clear" w:color="auto" w:fill="D2D2D2"/>
          </w:tcPr>
          <w:p>
            <w:pPr/>
          </w:p>
        </w:tc>
        <w:tc>
          <w:tcPr>
            <w:tcW w:w="165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15"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-4,909,804.29</w:t>
            </w:r>
            <w:r>
              <w:rPr>
                <w:rFonts w:ascii="Times New Roman"/>
                <w:sz w:val="18"/>
              </w:rPr>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4,909,804.29</w:t>
            </w: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980,775.40</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37,755,906.43</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38,736,681.83</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3,900,633.89</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192,997,717.88</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196,898,351.77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ind w:right="-20"/>
        <w:jc w:val="left"/>
      </w:pPr>
      <w:r>
        <w:rPr/>
        <w:t>损失准备本期变动金额重大的账面余额变动情况</w:t>
      </w:r>
    </w:p>
    <w:p>
      <w:pPr>
        <w:pStyle w:val="BodyText"/>
        <w:spacing w:line="331" w:lineRule="auto" w:before="125"/>
        <w:ind w:right="1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 元</w:t>
      </w:r>
    </w:p>
    <w:p>
      <w:pPr>
        <w:spacing w:after="0" w:line="240" w:lineRule="auto"/>
        <w:jc w:val="left"/>
        <w:sectPr>
          <w:type w:val="continuous"/>
          <w:pgSz w:w="11910" w:h="16850"/>
          <w:pgMar w:top="1040" w:bottom="1180" w:left="1000" w:right="0"/>
          <w:cols w:num="2" w:equalWidth="0">
            <w:col w:w="3922" w:space="4924"/>
            <w:col w:w="206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207,079,688.05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2,256,217.89</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58,555,313.53</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138,479,974.67</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131,932,497.71</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56,498.43</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6,490,978.53</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406,371,194.14</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收回或转回的坏账准备情况" w:id="545"/>
      <w:bookmarkEnd w:id="54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t>本期计提坏账准备情况：</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77"/>
        <w:gridCol w:w="1096"/>
        <w:gridCol w:w="1337"/>
        <w:gridCol w:w="1321"/>
        <w:gridCol w:w="1097"/>
        <w:gridCol w:w="1577"/>
        <w:gridCol w:w="1577"/>
      </w:tblGrid>
      <w:tr>
        <w:trPr>
          <w:trHeight w:val="406" w:hRule="exact"/>
        </w:trPr>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77" w:type="dxa"/>
            <w:vMerge/>
            <w:tcBorders>
              <w:left w:val="single" w:sz="6" w:space="0" w:color="000000"/>
              <w:bottom w:val="single" w:sz="6" w:space="0" w:color="000000"/>
              <w:right w:val="single" w:sz="6" w:space="0" w:color="000000"/>
            </w:tcBorders>
            <w:shd w:val="clear" w:color="auto" w:fill="D2D2D2"/>
          </w:tcPr>
          <w:p>
            <w:pPr/>
          </w:p>
        </w:tc>
        <w:tc>
          <w:tcPr>
            <w:tcW w:w="1096"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计提</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57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其他应收款坏账准 备</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158,161,669.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38,736,681.83</w:t>
            </w:r>
          </w:p>
        </w:tc>
        <w:tc>
          <w:tcPr>
            <w:tcW w:w="1321"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196,898,351.77</w:t>
            </w:r>
          </w:p>
        </w:tc>
      </w:tr>
      <w:tr>
        <w:trPr>
          <w:trHeight w:val="72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158,161,669.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38,736,681.83</w:t>
            </w:r>
          </w:p>
        </w:tc>
        <w:tc>
          <w:tcPr>
            <w:tcW w:w="1321"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196,898,351.77</w:t>
            </w:r>
          </w:p>
        </w:tc>
      </w:tr>
    </w:tbl>
    <w:p>
      <w:pPr>
        <w:pStyle w:val="BodyText"/>
        <w:spacing w:line="240" w:lineRule="auto" w:before="45"/>
        <w:ind w:right="0"/>
        <w:jc w:val="left"/>
      </w:pPr>
      <w:r>
        <w:rPr/>
        <w:t>其中本期坏账准备转回或收回金额重要的：</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4）本期实际核销的其他应收款情况" w:id="546"/>
      <w:bookmarkEnd w:id="546"/>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t>其中重要的其他应收款核销情况：</w:t>
      </w:r>
    </w:p>
    <w:p>
      <w:pPr>
        <w:pStyle w:val="BodyText"/>
        <w:spacing w:line="240" w:lineRule="auto" w:before="109"/>
        <w:ind w:left="0" w:right="1109"/>
        <w:jc w:val="right"/>
      </w:pPr>
      <w:r>
        <w:rPr/>
        <w:t>单位： 元</w:t>
      </w:r>
    </w:p>
    <w:p>
      <w:pPr>
        <w:spacing w:after="0" w:line="240" w:lineRule="auto"/>
        <w:jc w:val="right"/>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5"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按欠款方归集的期末余额前五名的其他应收款情况" w:id="547"/>
      <w:bookmarkEnd w:id="547"/>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21"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5" w:right="76"/>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187,915,008.95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46.24%</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187,915,008.95</w:t>
            </w: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152,538,789.73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37.54%</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1,525,387.90</w:t>
            </w:r>
          </w:p>
        </w:tc>
      </w:tr>
      <w:tr>
        <w:trPr>
          <w:trHeight w:val="4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18,811,706.09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4.63%</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188,117.06</w:t>
            </w:r>
          </w:p>
        </w:tc>
      </w:tr>
      <w:tr>
        <w:trPr>
          <w:trHeight w:val="4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代理采购税款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9,983,380.39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2.46%</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99,833.80</w:t>
            </w: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6,310,405.67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1.55%</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63,104.06</w:t>
            </w:r>
          </w:p>
        </w:tc>
      </w:tr>
      <w:tr>
        <w:trPr>
          <w:trHeight w:val="390"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375,559,290.83</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92.42%</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189,791,451.77</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548"/>
      <w:bookmarkEnd w:id="548"/>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027"/>
        <w:gridCol w:w="1863"/>
        <w:gridCol w:w="1877"/>
        <w:gridCol w:w="1862"/>
        <w:gridCol w:w="1952"/>
      </w:tblGrid>
      <w:tr>
        <w:trPr>
          <w:trHeight w:val="706" w:hRule="exact"/>
        </w:trPr>
        <w:tc>
          <w:tcPr>
            <w:tcW w:w="2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06" w:right="60"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549"/>
      <w:bookmarkEnd w:id="549"/>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550"/>
      <w:bookmarkEnd w:id="550"/>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长期股权投资" w:id="551"/>
      <w:bookmarkEnd w:id="55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390"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364,008,831.18</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364,008,831.18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58,008,831.18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58,008,831.18</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364,008,831.18</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364,008,831.18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58,008,831.18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58,008,831.18</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552"/>
      <w:bookmarkEnd w:id="55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pict>
          <v:group style="position:absolute;margin-left:57.075001pt;margin-top:20.211718pt;width:478.35pt;height:21.05pt;mso-position-horizontal-relative:page;mso-position-vertical-relative:paragraph;z-index:-1101184" coordorigin="1142,404" coordsize="9567,421">
            <v:group style="position:absolute;left:1149;top:419;width:2;height:391" coordorigin="1149,419" coordsize="2,391">
              <v:shape style="position:absolute;left:1149;top:419;width:2;height:391" coordorigin="1149,419" coordsize="0,391" path="m1149,419l1149,810e" filled="false" stroked="true" strokeweight=".75pt" strokecolor="#d2d2d2">
                <v:path arrowok="t"/>
              </v:shape>
            </v:group>
            <v:group style="position:absolute;left:2388;top:419;width:2;height:391" coordorigin="2388,419" coordsize="2,391">
              <v:shape style="position:absolute;left:2388;top:419;width:2;height:391" coordorigin="2388,419" coordsize="0,391" path="m2388,419l2388,810e" filled="false" stroked="true" strokeweight="1.5pt" strokecolor="#d2d2d2">
                <v:path arrowok="t"/>
              </v:shape>
            </v:group>
            <v:group style="position:absolute;left:1157;top:419;width:1217;height:391" coordorigin="1157,419" coordsize="1217,391">
              <v:shape style="position:absolute;left:1157;top:419;width:1217;height:391" coordorigin="1157,419" coordsize="1217,391" path="m1157,810l2373,810,2373,419,1157,419,1157,810xe" filled="true" fillcolor="#d2d2d2" stroked="false">
                <v:path arrowok="t"/>
                <v:fill type="solid"/>
              </v:shape>
            </v:group>
            <v:group style="position:absolute;left:2418;top:434;width:2;height:346" coordorigin="2418,434" coordsize="2,346">
              <v:shape style="position:absolute;left:2418;top:434;width:2;height:346" coordorigin="2418,434" coordsize="0,346" path="m2418,434l2418,780e" filled="false" stroked="true" strokeweight="1.5pt" strokecolor="#d2d2d2">
                <v:path arrowok="t"/>
              </v:shape>
            </v:group>
            <v:group style="position:absolute;left:3552;top:434;width:2;height:346" coordorigin="3552,434" coordsize="2,346">
              <v:shape style="position:absolute;left:3552;top:434;width:2;height:346" coordorigin="3552,434" coordsize="0,346" path="m3552,434l3552,780e" filled="false" stroked="true" strokeweight=".75pt" strokecolor="#d2d2d2">
                <v:path arrowok="t"/>
              </v:shape>
            </v:group>
            <v:group style="position:absolute;left:2433;top:434;width:1112;height:346" coordorigin="2433,434" coordsize="1112,346">
              <v:shape style="position:absolute;left:2433;top:434;width:1112;height:346" coordorigin="2433,434" coordsize="1112,346" path="m2433,780l3544,780,3544,434,2433,434,2433,780xe" filled="true" fillcolor="#d2d2d2" stroked="false">
                <v:path arrowok="t"/>
                <v:fill type="solid"/>
              </v:shape>
            </v:group>
            <v:group style="position:absolute;left:3590;top:419;width:2;height:391" coordorigin="3590,419" coordsize="2,391">
              <v:shape style="position:absolute;left:3590;top:419;width:2;height:391" coordorigin="3590,419" coordsize="0,391" path="m3590,419l3590,810e" filled="false" stroked="true" strokeweight="1.5pt" strokecolor="#d2d2d2">
                <v:path arrowok="t"/>
              </v:shape>
            </v:group>
            <v:group style="position:absolute;left:8275;top:419;width:2;height:391" coordorigin="8275,419" coordsize="2,391">
              <v:shape style="position:absolute;left:8275;top:419;width:2;height:391" coordorigin="8275,419" coordsize="0,391" path="m8275,419l8275,810e" filled="false" stroked="true" strokeweight="1.5pt" strokecolor="#d2d2d2">
                <v:path arrowok="t"/>
              </v:shape>
            </v:group>
            <v:group style="position:absolute;left:3605;top:419;width:4656;height:391" coordorigin="3605,419" coordsize="4656,391">
              <v:shape style="position:absolute;left:3605;top:419;width:4656;height:391" coordorigin="3605,419" coordsize="4656,391" path="m3605,810l8261,810,8261,419,3605,419,3605,810xe" filled="true" fillcolor="#d2d2d2" stroked="false">
                <v:path arrowok="t"/>
                <v:fill type="solid"/>
              </v:shape>
            </v:group>
            <v:group style="position:absolute;left:8305;top:434;width:2;height:346" coordorigin="8305,434" coordsize="2,346">
              <v:shape style="position:absolute;left:8305;top:434;width:2;height:346" coordorigin="8305,434" coordsize="0,346" path="m8305,434l8305,780e" filled="false" stroked="true" strokeweight="1.5pt" strokecolor="#d2d2d2">
                <v:path arrowok="t"/>
              </v:shape>
            </v:group>
            <v:group style="position:absolute;left:9484;top:434;width:2;height:346" coordorigin="9484,434" coordsize="2,346">
              <v:shape style="position:absolute;left:9484;top:434;width:2;height:346" coordorigin="9484,434" coordsize="0,346" path="m9484,434l9484,780e" filled="false" stroked="true" strokeweight=".75pt" strokecolor="#d2d2d2">
                <v:path arrowok="t"/>
              </v:shape>
            </v:group>
            <v:group style="position:absolute;left:8320;top:434;width:1157;height:346" coordorigin="8320,434" coordsize="1157,346">
              <v:shape style="position:absolute;left:8320;top:434;width:1157;height:346" coordorigin="8320,434" coordsize="1157,346" path="m8320,780l9477,780,9477,434,8320,434,8320,780xe" filled="true" fillcolor="#d2d2d2" stroked="false">
                <v:path arrowok="t"/>
                <v:fill type="solid"/>
              </v:shape>
            </v:group>
            <v:group style="position:absolute;left:9522;top:434;width:2;height:346" coordorigin="9522,434" coordsize="2,346">
              <v:shape style="position:absolute;left:9522;top:434;width:2;height:346" coordorigin="9522,434" coordsize="0,346" path="m9522,434l9522,780e" filled="false" stroked="true" strokeweight="1.5pt" strokecolor="#d2d2d2">
                <v:path arrowok="t"/>
              </v:shape>
            </v:group>
            <v:group style="position:absolute;left:10701;top:434;width:2;height:346" coordorigin="10701,434" coordsize="2,346">
              <v:shape style="position:absolute;left:10701;top:434;width:2;height:346" coordorigin="10701,434" coordsize="0,346" path="m10701,434l10701,780e" filled="false" stroked="true" strokeweight=".75pt" strokecolor="#d2d2d2">
                <v:path arrowok="t"/>
              </v:shape>
            </v:group>
            <v:group style="position:absolute;left:9537;top:434;width:1157;height:346" coordorigin="9537,434" coordsize="1157,346">
              <v:shape style="position:absolute;left:9537;top:434;width:1157;height:346" coordorigin="9537,434" coordsize="1157,346" path="m9537,780l10693,780,10693,434,9537,434,9537,780xe" filled="true" fillcolor="#d2d2d2" stroked="false">
                <v:path arrowok="t"/>
                <v:fill type="solid"/>
              </v:shape>
            </v:group>
            <w10:wrap type="none"/>
          </v:group>
        </w:pict>
      </w: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4716"/>
        <w:gridCol w:w="1217"/>
        <w:gridCol w:w="1216"/>
      </w:tblGrid>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p>
        </w:tc>
        <w:tc>
          <w:tcPr>
            <w:tcW w:w="47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3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60" w:right="0"/>
              <w:jc w:val="left"/>
              <w:rPr>
                <w:rFonts w:ascii="宋体" w:hAnsi="宋体" w:cs="宋体" w:eastAsia="宋体" w:hint="default"/>
                <w:sz w:val="18"/>
                <w:szCs w:val="18"/>
              </w:rPr>
            </w:pPr>
            <w:r>
              <w:rPr>
                <w:rFonts w:ascii="宋体" w:hAnsi="宋体" w:cs="宋体" w:eastAsia="宋体" w:hint="default"/>
                <w:sz w:val="18"/>
                <w:szCs w:val="18"/>
              </w:rPr>
              <w:t>减值准备期末</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2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9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香港瑞通国际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8,831.18</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8,831.18</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武汉市普路通 供应链管理有 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both"/>
              <w:rPr>
                <w:rFonts w:ascii="宋体" w:hAnsi="宋体" w:cs="宋体" w:eastAsia="宋体" w:hint="default"/>
                <w:sz w:val="18"/>
                <w:szCs w:val="18"/>
              </w:rPr>
            </w:pPr>
            <w:r>
              <w:rPr>
                <w:rFonts w:ascii="宋体" w:hAnsi="宋体" w:cs="宋体" w:eastAsia="宋体" w:hint="default"/>
                <w:sz w:val="18"/>
                <w:szCs w:val="18"/>
              </w:rPr>
              <w:t>北海市普路通 供应链管理有 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武汉东湖综保 区普路通供应 链管理有限公 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深圳市前海瑞 智供应链管理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both"/>
              <w:rPr>
                <w:rFonts w:ascii="宋体" w:hAnsi="宋体" w:cs="宋体" w:eastAsia="宋体" w:hint="default"/>
                <w:sz w:val="18"/>
                <w:szCs w:val="18"/>
              </w:rPr>
            </w:pPr>
            <w:r>
              <w:rPr>
                <w:rFonts w:ascii="宋体" w:hAnsi="宋体" w:cs="宋体" w:eastAsia="宋体" w:hint="default"/>
                <w:sz w:val="18"/>
                <w:szCs w:val="18"/>
              </w:rPr>
              <w:t>广西普路通供 应链管理有限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武汉市瑞盈通 供应链管理有 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both"/>
              <w:rPr>
                <w:rFonts w:ascii="宋体" w:hAnsi="宋体" w:cs="宋体" w:eastAsia="宋体" w:hint="default"/>
                <w:sz w:val="18"/>
                <w:szCs w:val="18"/>
              </w:rPr>
            </w:pPr>
            <w:r>
              <w:rPr>
                <w:rFonts w:ascii="宋体" w:hAnsi="宋体" w:cs="宋体" w:eastAsia="宋体" w:hint="default"/>
                <w:sz w:val="18"/>
                <w:szCs w:val="18"/>
              </w:rPr>
              <w:t>重庆市普路通 供应链管理有 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厦门市普路通 供应链管理有 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5,000,000.00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深圳市联动量 子股权投资管 理有限公司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20,000,000.00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both"/>
              <w:rPr>
                <w:rFonts w:ascii="宋体" w:hAnsi="宋体" w:cs="宋体" w:eastAsia="宋体" w:hint="default"/>
                <w:sz w:val="18"/>
                <w:szCs w:val="18"/>
              </w:rPr>
            </w:pPr>
            <w:r>
              <w:rPr>
                <w:rFonts w:ascii="宋体" w:hAnsi="宋体" w:cs="宋体" w:eastAsia="宋体" w:hint="default"/>
                <w:sz w:val="18"/>
                <w:szCs w:val="18"/>
              </w:rPr>
              <w:t>荆门市普路通 供应链管理有 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48,000,000.00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河南特通贸易 有限公司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成都和普时代 商贸有限公司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67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普路通全球物 </w:t>
            </w:r>
            <w:r>
              <w:rPr>
                <w:rFonts w:ascii="宋体" w:hAnsi="宋体" w:cs="宋体" w:eastAsia="宋体" w:hint="default"/>
                <w:spacing w:val="-9"/>
                <w:sz w:val="18"/>
                <w:szCs w:val="18"/>
              </w:rPr>
              <w:t>流（深圳）有限</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50,000,000.00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50,000,000.00</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36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广州市普路通 供应链管理有 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149"/>
              <w:jc w:val="both"/>
              <w:rPr>
                <w:rFonts w:ascii="宋体" w:hAnsi="宋体" w:cs="宋体" w:eastAsia="宋体" w:hint="default"/>
                <w:sz w:val="18"/>
                <w:szCs w:val="18"/>
              </w:rPr>
            </w:pPr>
            <w:r>
              <w:rPr>
                <w:rFonts w:ascii="宋体" w:hAnsi="宋体" w:cs="宋体" w:eastAsia="宋体" w:hint="default"/>
                <w:sz w:val="18"/>
                <w:szCs w:val="18"/>
              </w:rPr>
              <w:t>广西慧通供应 链管理有限公 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武汉市瑞亿通 供应链管理有 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珠海市普路通 供应链管理有 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both"/>
              <w:rPr>
                <w:rFonts w:ascii="宋体" w:hAnsi="宋体" w:cs="宋体" w:eastAsia="宋体" w:hint="default"/>
                <w:sz w:val="18"/>
                <w:szCs w:val="18"/>
              </w:rPr>
            </w:pPr>
            <w:r>
              <w:rPr>
                <w:rFonts w:ascii="宋体" w:hAnsi="宋体" w:cs="宋体" w:eastAsia="宋体" w:hint="default"/>
                <w:sz w:val="18"/>
                <w:szCs w:val="18"/>
              </w:rPr>
              <w:t>深圳市丝路纪 元供应链科技 有限公司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深圳市前海普 路通电子商务 综合服务有限 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38,000,000.00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38,000,000.00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荆门保税物流 中心普路通供 应链管理有限 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5,000,000.00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58,008,831.18</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311,000,000.0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5,000,000.00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364,008,831.18</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bookmarkStart w:name="（2）对联营、合营企业投资" w:id="553"/>
      <w:bookmarkEnd w:id="55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6"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304" w:lineRule="auto"/>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508" w:lineRule="auto" w:before="35"/>
        <w:ind w:right="8535"/>
        <w:jc w:val="left"/>
        <w:rPr>
          <w:b w:val="0"/>
          <w:bCs w:val="0"/>
        </w:rPr>
      </w:pPr>
      <w:bookmarkStart w:name="（3）其他说明" w:id="554"/>
      <w:bookmarkEnd w:id="554"/>
      <w:r>
        <w:rPr>
          <w:b w:val="0"/>
          <w:bCs w:val="0"/>
        </w:rPr>
      </w:r>
      <w:r>
        <w:rPr/>
        <w:t>（</w:t>
      </w:r>
      <w:r>
        <w:rPr>
          <w:rFonts w:ascii="Times New Roman" w:hAnsi="Times New Roman" w:cs="Times New Roman" w:eastAsia="Times New Roman" w:hint="default"/>
        </w:rPr>
        <w:t>3</w:t>
      </w:r>
      <w:r>
        <w:rPr/>
        <w:t>）其他说明</w:t>
      </w:r>
      <w:r>
        <w:rPr>
          <w:w w:val="99"/>
        </w:rPr>
        <w:t> </w:t>
      </w:r>
      <w:bookmarkStart w:name="4、营业收入和营业成本" w:id="555"/>
      <w:bookmarkEnd w:id="555"/>
      <w:r>
        <w:rPr>
          <w:w w:val="99"/>
        </w:rPr>
      </w:r>
      <w:r>
        <w:rPr>
          <w:rFonts w:ascii="Times New Roman" w:hAnsi="Times New Roman" w:cs="Times New Roman" w:eastAsia="Times New Roman" w:hint="default"/>
        </w:rPr>
        <w:t>4</w:t>
      </w:r>
      <w:r>
        <w:rPr/>
        <w:t>、营业收入和营业成本</w:t>
      </w:r>
      <w:r>
        <w:rPr>
          <w:b w:val="0"/>
          <w:bCs w:val="0"/>
        </w:rPr>
      </w:r>
    </w:p>
    <w:p>
      <w:pPr>
        <w:pStyle w:val="BodyText"/>
        <w:spacing w:line="240" w:lineRule="auto" w:before="6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2"/>
      </w:tblGrid>
      <w:tr>
        <w:trPr>
          <w:trHeight w:val="406"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6,069,261,741.95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5,594,048,740.92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5,558,042,935.37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5,160,192,820.82</w:t>
            </w:r>
          </w:p>
        </w:tc>
      </w:tr>
      <w:tr>
        <w:trPr>
          <w:trHeight w:val="391"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5,732,320.00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1,732,320.00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5,032,051.20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1,432,051.20</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6,074,994,061.95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5,595,781,060.92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5,563,074,986.57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5,161,624,872.02</w:t>
            </w:r>
          </w:p>
        </w:tc>
      </w:tr>
    </w:tbl>
    <w:p>
      <w:pPr>
        <w:pStyle w:val="BodyText"/>
        <w:spacing w:line="240" w:lineRule="auto"/>
        <w:ind w:right="0"/>
        <w:jc w:val="left"/>
      </w:pPr>
      <w:r>
        <w:rPr/>
        <w:t>是否已执行新收入准则</w:t>
      </w:r>
    </w:p>
    <w:p>
      <w:pPr>
        <w:pStyle w:val="BodyText"/>
        <w:spacing w:line="333" w:lineRule="auto" w:before="125"/>
        <w:ind w:right="9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5、投资收益" w:id="556"/>
      <w:bookmarkEnd w:id="55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390"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124,364.81</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4" w:type="dxa"/>
            <w:tcBorders>
              <w:top w:val="single" w:sz="6" w:space="0" w:color="000000"/>
              <w:left w:val="single" w:sz="18" w:space="0" w:color="D2D2D2"/>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w:t>
            </w: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处置其他非流动金融资产的投资收益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-3,199,373.62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其他非流动金融资产持有期间的股利收入</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2,000,000.00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14,151,135.14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w w:val="95"/>
                <w:sz w:val="18"/>
              </w:rPr>
              <w:t>-92,128,437.35</w:t>
            </w:r>
            <w:r>
              <w:rPr>
                <w:rFonts w:ascii="Times New Roman"/>
                <w:sz w:val="18"/>
              </w:rPr>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13,076,126.33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-90,128,437.35</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6、其他" w:id="557"/>
      <w:bookmarkEnd w:id="557"/>
      <w:r>
        <w:rPr>
          <w:b w:val="0"/>
          <w:bCs w:val="0"/>
        </w:rPr>
      </w: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58"/>
      <w:bookmarkEnd w:id="558"/>
      <w:r>
        <w:rPr>
          <w:b w:val="0"/>
          <w:bCs w:val="0"/>
        </w:rPr>
      </w:r>
      <w:r>
        <w:rPr/>
        <w:t>十八、补充资料</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1、当期非经常性损益明细表" w:id="559"/>
      <w:bookmarkEnd w:id="55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12"/>
        <w:gridCol w:w="3079"/>
        <w:gridCol w:w="3184"/>
      </w:tblGrid>
      <w:tr>
        <w:trPr>
          <w:trHeight w:val="390"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-9,940.07</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4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6,826,426.08</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-3,199,373.62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16"/>
          <w:pgSz w:w="11910" w:h="16850"/>
          <w:pgMar w:footer="981" w:header="73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19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ind w:left="15" w:right="46"/>
              <w:jc w:val="both"/>
              <w:rPr>
                <w:rFonts w:ascii="宋体" w:hAnsi="宋体" w:cs="宋体" w:eastAsia="宋体" w:hint="default"/>
                <w:sz w:val="18"/>
                <w:szCs w:val="18"/>
              </w:rPr>
            </w:pPr>
            <w:r>
              <w:rPr>
                <w:rFonts w:ascii="宋体" w:hAnsi="宋体" w:cs="宋体" w:eastAsia="宋体" w:hint="default"/>
                <w:sz w:val="18"/>
                <w:szCs w:val="18"/>
              </w:rPr>
              <w:t>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9" w:type="dxa"/>
            <w:tcBorders>
              <w:top w:val="single" w:sz="6" w:space="0" w:color="000000"/>
              <w:left w:val="single" w:sz="18" w:space="0" w:color="D2D2D2"/>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82,059.90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2,000,000.00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528,367.73</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5,170,804.56</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88" w:lineRule="auto" w:before="51"/>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0" w:right="1128"/>
        <w:jc w:val="right"/>
      </w:pPr>
      <w:r>
        <w:rPr/>
        <w:pict>
          <v:shape style="position:absolute;margin-left:56.325001pt;margin-top:-51.838268pt;width:480.25pt;height:123.1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4"/>
                    <w:gridCol w:w="3064"/>
                    <w:gridCol w:w="3184"/>
                  </w:tblGrid>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8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651"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3,145,927.42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91"/>
                          <w:jc w:val="both"/>
                          <w:rPr>
                            <w:rFonts w:ascii="宋体" w:hAnsi="宋体" w:cs="宋体" w:eastAsia="宋体" w:hint="default"/>
                            <w:sz w:val="18"/>
                            <w:szCs w:val="18"/>
                          </w:rPr>
                        </w:pPr>
                        <w:r>
                          <w:rPr>
                            <w:rFonts w:ascii="宋体" w:hAnsi="宋体" w:cs="宋体" w:eastAsia="宋体" w:hint="default"/>
                            <w:sz w:val="18"/>
                            <w:szCs w:val="18"/>
                          </w:rPr>
                          <w:t>公司在对外支付外币货款时，为降低支 付成本、锁定外汇风险，与金融机构签 署一揽子合约，其中包括存款质押合约 贷款合约、远期外汇合约等。因此，本 公司将该项目界定为经常性损益。</w:t>
                        </w:r>
                      </w:p>
                    </w:tc>
                  </w:tr>
                  <w:tr>
                    <w:trPr>
                      <w:trHeight w:val="390"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15,537,021.42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before="35"/>
        <w:ind w:right="0"/>
        <w:jc w:val="left"/>
        <w:rPr>
          <w:b w:val="0"/>
          <w:bCs w:val="0"/>
        </w:rPr>
      </w:pPr>
      <w:bookmarkStart w:name="2、净资产收益率及每股收益" w:id="560"/>
      <w:bookmarkEnd w:id="56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2658"/>
        <w:gridCol w:w="3094"/>
        <w:gridCol w:w="1907"/>
        <w:gridCol w:w="1922"/>
      </w:tblGrid>
      <w:tr>
        <w:trPr>
          <w:trHeight w:val="203" w:hRule="exact"/>
        </w:trPr>
        <w:tc>
          <w:tcPr>
            <w:tcW w:w="2658" w:type="dxa"/>
            <w:tcBorders>
              <w:top w:val="single" w:sz="6" w:space="0" w:color="000000"/>
              <w:left w:val="single" w:sz="6" w:space="0" w:color="000000"/>
              <w:bottom w:val="nil" w:sz="6" w:space="0" w:color="auto"/>
              <w:right w:val="single" w:sz="6" w:space="0" w:color="000000"/>
            </w:tcBorders>
            <w:shd w:val="clear" w:color="auto" w:fill="D2D2D2"/>
          </w:tcPr>
          <w:p>
            <w:pPr/>
          </w:p>
        </w:tc>
        <w:tc>
          <w:tcPr>
            <w:tcW w:w="30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5" w:hRule="exact"/>
        </w:trPr>
        <w:tc>
          <w:tcPr>
            <w:tcW w:w="265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870"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10" w:hRule="exact"/>
        </w:trPr>
        <w:tc>
          <w:tcPr>
            <w:tcW w:w="2658" w:type="dxa"/>
            <w:vMerge/>
            <w:tcBorders>
              <w:left w:val="single" w:sz="6" w:space="0" w:color="000000"/>
              <w:bottom w:val="nil" w:sz="6" w:space="0" w:color="auto"/>
              <w:right w:val="single" w:sz="6" w:space="0" w:color="000000"/>
            </w:tcBorders>
            <w:shd w:val="clear" w:color="auto" w:fill="D2D2D2"/>
          </w:tcPr>
          <w:p>
            <w:pPr/>
          </w:p>
        </w:tc>
        <w:tc>
          <w:tcPr>
            <w:tcW w:w="3094" w:type="dxa"/>
            <w:vMerge/>
            <w:tcBorders>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3" w:hRule="exact"/>
        </w:trPr>
        <w:tc>
          <w:tcPr>
            <w:tcW w:w="2658" w:type="dxa"/>
            <w:tcBorders>
              <w:top w:val="nil" w:sz="6" w:space="0" w:color="auto"/>
              <w:left w:val="single" w:sz="6" w:space="0" w:color="000000"/>
              <w:bottom w:val="single" w:sz="6" w:space="0" w:color="000000"/>
              <w:right w:val="single" w:sz="6" w:space="0" w:color="000000"/>
            </w:tcBorders>
            <w:shd w:val="clear" w:color="auto" w:fill="D2D2D2"/>
          </w:tcPr>
          <w:p>
            <w:pPr/>
          </w:p>
        </w:tc>
        <w:tc>
          <w:tcPr>
            <w:tcW w:w="30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4.63%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0.17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0.17</w:t>
            </w:r>
          </w:p>
        </w:tc>
      </w:tr>
      <w:tr>
        <w:trPr>
          <w:trHeight w:val="706" w:hRule="exact"/>
        </w:trPr>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0.15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0.15</w:t>
            </w:r>
          </w:p>
        </w:tc>
      </w:tr>
    </w:tbl>
    <w:p>
      <w:pPr>
        <w:spacing w:line="240" w:lineRule="auto" w:before="11"/>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61"/>
      <w:bookmarkEnd w:id="56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62"/>
      <w:bookmarkEnd w:id="56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563"/>
      <w:bookmarkEnd w:id="56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footerReference w:type="default" r:id="rId17"/>
          <w:pgSz w:w="11910" w:h="16850"/>
          <w:pgMar w:footer="981" w:header="731" w:top="1040" w:bottom="1180" w:left="1000" w:right="0"/>
          <w:pgNumType w:start="201"/>
        </w:sectPr>
      </w:pPr>
    </w:p>
    <w:p>
      <w:pPr>
        <w:spacing w:line="240" w:lineRule="auto" w:before="7"/>
        <w:rPr>
          <w:rFonts w:ascii="宋体" w:hAnsi="宋体" w:cs="宋体" w:eastAsia="宋体" w:hint="default"/>
          <w:sz w:val="27"/>
          <w:szCs w:val="27"/>
        </w:rPr>
      </w:pPr>
    </w:p>
    <w:p>
      <w:pPr>
        <w:pStyle w:val="Heading3"/>
        <w:spacing w:line="286" w:lineRule="exact" w:before="51"/>
        <w:ind w:right="0"/>
        <w:jc w:val="left"/>
        <w:rPr>
          <w:b w:val="0"/>
          <w:bCs w:val="0"/>
        </w:rPr>
      </w:pPr>
      <w:bookmarkStart w:name="（3）境内外会计准则下会计数据差异原因说明，对已经境外审计机构审计的数据进行差异" w:id="564"/>
      <w:bookmarkEnd w:id="56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55"/>
        </w:rPr>
        <w:t> </w:t>
      </w:r>
      <w:r>
        <w:rPr>
          <w:spacing w:val="-55"/>
        </w:rPr>
      </w:r>
      <w:r>
        <w:rPr/>
        <w:t>明该境外机构的名称</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right="0"/>
        <w:jc w:val="left"/>
        <w:rPr>
          <w:b w:val="0"/>
          <w:bCs w:val="0"/>
        </w:rPr>
      </w:pPr>
      <w:bookmarkStart w:name="4、其他" w:id="565"/>
      <w:bookmarkEnd w:id="56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Heading1"/>
        <w:spacing w:line="240" w:lineRule="auto"/>
        <w:ind w:left="3280" w:right="0"/>
        <w:jc w:val="left"/>
        <w:rPr>
          <w:b w:val="0"/>
          <w:bCs w:val="0"/>
        </w:rPr>
      </w:pPr>
      <w:bookmarkStart w:name="第十三节 备查文件目录" w:id="566"/>
      <w:bookmarkEnd w:id="566"/>
      <w:r>
        <w:rPr>
          <w:b w:val="0"/>
          <w:bCs w:val="0"/>
        </w:rPr>
      </w:r>
      <w:bookmarkStart w:name="_bookmark12" w:id="567"/>
      <w:bookmarkEnd w:id="567"/>
      <w:r>
        <w:rPr>
          <w:b w:val="0"/>
          <w:bCs w:val="0"/>
        </w:rPr>
      </w:r>
      <w:r>
        <w:rPr>
          <w:spacing w:val="6"/>
        </w:rPr>
        <w:t>第十三节</w:t>
      </w:r>
      <w:r>
        <w:rPr>
          <w:spacing w:val="58"/>
        </w:rPr>
        <w:t> </w:t>
      </w:r>
      <w:r>
        <w:rPr>
          <w:spacing w:val="4"/>
        </w:rPr>
        <w:t>备查文件目录</w:t>
      </w:r>
      <w:r>
        <w:rPr>
          <w:b w:val="0"/>
          <w:bCs w:val="0"/>
          <w:spacing w:val="4"/>
        </w:rPr>
      </w:r>
    </w:p>
    <w:p>
      <w:pPr>
        <w:spacing w:line="240" w:lineRule="auto" w:before="7"/>
        <w:rPr>
          <w:rFonts w:ascii="宋体" w:hAnsi="宋体" w:cs="宋体" w:eastAsia="宋体" w:hint="default"/>
          <w:b/>
          <w:bCs/>
          <w:sz w:val="42"/>
          <w:szCs w:val="42"/>
        </w:rPr>
      </w:pPr>
    </w:p>
    <w:p>
      <w:pPr>
        <w:pStyle w:val="BodyText"/>
        <w:spacing w:line="240" w:lineRule="auto" w:before="0"/>
        <w:ind w:right="0"/>
        <w:jc w:val="left"/>
      </w:pPr>
      <w:r>
        <w:rPr/>
        <w:t>（一）载有法定代表人、主管会计工作负责人、会计机构负责人（会计主管人员）签名并盖章的财务报表。</w:t>
      </w:r>
    </w:p>
    <w:p>
      <w:pPr>
        <w:pStyle w:val="BodyText"/>
        <w:spacing w:line="240" w:lineRule="auto" w:before="79"/>
        <w:ind w:right="0"/>
        <w:jc w:val="left"/>
      </w:pPr>
      <w:r>
        <w:rPr/>
        <w:t>（二）载有大华会计师事务所（特殊普通合伙）盖章、注册会计师签名并盖章的审计报告原件。</w:t>
      </w:r>
    </w:p>
    <w:p>
      <w:pPr>
        <w:pStyle w:val="BodyText"/>
        <w:spacing w:line="290" w:lineRule="auto" w:before="80"/>
        <w:ind w:right="1114"/>
        <w:jc w:val="left"/>
      </w:pPr>
      <w:r>
        <w:rPr/>
        <w:t>（三）报告期内在《证券时报》、《中国证券报》及巨潮资讯网（</w:t>
      </w:r>
      <w:hyperlink r:id="rId11">
        <w:r>
          <w:rPr>
            <w:rFonts w:ascii="Times New Roman" w:hAnsi="Times New Roman" w:cs="Times New Roman" w:eastAsia="Times New Roman" w:hint="default"/>
          </w:rPr>
          <w:t>http://www.cninfo.com.cn</w:t>
        </w:r>
      </w:hyperlink>
      <w:r>
        <w:rPr/>
        <w:t>）上公开披露过的所有公司文件 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475" w:lineRule="auto" w:before="130"/>
        <w:ind w:left="6734" w:right="1111" w:firstLine="1442"/>
        <w:jc w:val="right"/>
      </w:pPr>
      <w:r>
        <w:rPr/>
        <w:t>法定代表人：陈书智 深圳市普路通供应链管理股份有限公司</w:t>
      </w:r>
    </w:p>
    <w:p>
      <w:pPr>
        <w:pStyle w:val="BodyText"/>
        <w:spacing w:line="240" w:lineRule="auto" w:before="53"/>
        <w:ind w:left="0" w:right="1113"/>
        <w:jc w:val="right"/>
      </w:pPr>
      <w:r>
        <w:rPr/>
        <w:t>二〇二〇年四月二十九日</w:t>
      </w:r>
    </w:p>
    <w:sectPr>
      <w:pgSz w:w="11910" w:h="16850"/>
      <w:pgMar w:header="731" w:footer="981" w:top="1040" w:bottom="11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01808" type="#_x0000_t75" stroked="false">
          <v:imagedata r:id="rId1" o:title=""/>
        </v:shape>
      </w:pict>
    </w:r>
    <w:r>
      <w:rPr/>
      <w:pict>
        <v:shape style="position:absolute;margin-left:534.419983pt;margin-top:795.707947pt;width:6.5pt;height:11pt;mso-position-horizontal-relative:page;mso-position-vertical-relative:page;z-index:-110178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01760" type="#_x0000_t75" stroked="false">
          <v:imagedata r:id="rId1" o:title=""/>
        </v:shape>
      </w:pict>
    </w:r>
    <w:r>
      <w:rPr/>
      <w:pict>
        <v:shape style="position:absolute;margin-left:528.919983pt;margin-top:782.207947pt;width:13pt;height:11pt;mso-position-horizontal-relative:page;mso-position-vertical-relative:page;z-index:-110173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01712" type="#_x0000_t75" stroked="false">
          <v:imagedata r:id="rId1" o:title=""/>
        </v:shape>
      </w:pict>
    </w:r>
    <w:r>
      <w:rPr/>
      <w:pict>
        <v:shape style="position:absolute;margin-left:525.400024pt;margin-top:782.207947pt;width:15.5pt;height:11pt;mso-position-horizontal-relative:page;mso-position-vertical-relative:page;z-index:-110168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01664" type="#_x0000_t75" stroked="false">
          <v:imagedata r:id="rId1" o:title=""/>
        </v:shape>
      </w:pict>
    </w:r>
    <w:r>
      <w:rPr/>
      <w:pict>
        <v:shape style="position:absolute;margin-left:524.400024pt;margin-top:782.207947pt;width:18.25pt;height:11pt;mso-position-horizontal-relative:page;mso-position-vertical-relative:page;z-index:-11016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01616" type="#_x0000_t75" stroked="false">
          <v:imagedata r:id="rId1" o:title=""/>
        </v:shape>
      </w:pict>
    </w:r>
    <w:r>
      <w:rPr/>
      <w:pict>
        <v:shape style="position:absolute;margin-left:525.400024pt;margin-top:782.207947pt;width:15.5pt;height:11pt;mso-position-horizontal-relative:page;mso-position-vertical-relative:page;z-index:-110159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01568" type="#_x0000_t75" stroked="false">
          <v:imagedata r:id="rId1" o:title=""/>
        </v:shape>
      </w:pict>
    </w:r>
    <w:r>
      <w:rPr/>
      <w:pict>
        <v:shape style="position:absolute;margin-left:524.400024pt;margin-top:782.207947pt;width:17.5pt;height:11pt;mso-position-horizontal-relative:page;mso-position-vertical-relative:page;z-index:-11015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0.130005pt;margin-top:35.565624pt;width:240.75pt;height:11.5pt;mso-position-horizontal-relative:page;mso-position-vertical-relative:page;z-index:-1101832" type="#_x0000_t202" filled="false" stroked="false">
          <v:textbox inset="0,0,0,0">
            <w:txbxContent>
              <w:p>
                <w:pPr>
                  <w:pStyle w:val="BodyText"/>
                  <w:spacing w:line="214" w:lineRule="exact" w:before="0"/>
                  <w:ind w:left="20" w:right="0"/>
                  <w:jc w:val="left"/>
                </w:pPr>
                <w:r>
                  <w:rPr/>
                  <w:t>深圳市普路通供应链管理股份有限公司</w:t>
                </w:r>
                <w:r>
                  <w:rPr>
                    <w:spacing w:val="-41"/>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6"/>
      <w:ind w:left="141"/>
    </w:pPr>
    <w:rPr>
      <w:rFonts w:ascii="宋体" w:hAnsi="宋体" w:eastAsia="宋体"/>
      <w:b/>
      <w:bCs/>
      <w:sz w:val="24"/>
      <w:szCs w:val="24"/>
    </w:rPr>
  </w:style>
  <w:style w:styleId="BodyText" w:type="paragraph">
    <w:name w:val="Body Text"/>
    <w:basedOn w:val="Normal"/>
    <w:uiPriority w:val="1"/>
    <w:qFormat/>
    <w:pPr>
      <w:spacing w:before="44"/>
      <w:ind w:left="141"/>
    </w:pPr>
    <w:rPr>
      <w:rFonts w:ascii="宋体" w:hAnsi="宋体" w:eastAsia="宋体"/>
      <w:sz w:val="18"/>
      <w:szCs w:val="18"/>
    </w:rPr>
  </w:style>
  <w:style w:styleId="Heading1" w:type="paragraph">
    <w:name w:val="Heading 1"/>
    <w:basedOn w:val="Normal"/>
    <w:uiPriority w:val="1"/>
    <w:qFormat/>
    <w:pPr>
      <w:spacing w:before="9"/>
      <w:ind w:left="1872"/>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4"/>
      <w:szCs w:val="24"/>
    </w:rPr>
  </w:style>
  <w:style w:styleId="Heading3" w:type="paragraph">
    <w:name w:val="Heading 3"/>
    <w:basedOn w:val="Normal"/>
    <w:uiPriority w:val="1"/>
    <w:qFormat/>
    <w:pPr>
      <w:ind w:left="141"/>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prolto.com/" TargetMode="External"/><Relationship Id="rId10" Type="http://schemas.openxmlformats.org/officeDocument/2006/relationships/hyperlink" Target="mailto:ir@prolto.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yperlink" Target="http://www.cninfo.com/"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深圳市普路通供应链管理股份有限公司</dc:creator>
  <dc:title>深圳市普路通供应链管理股份有限公司2019年年度报告全文</dc:title>
  <dcterms:created xsi:type="dcterms:W3CDTF">2020-05-19T23:09:07Z</dcterms:created>
  <dcterms:modified xsi:type="dcterms:W3CDTF">2020-05-19T23:09:07Z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