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83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409564" cy="11620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564" cy="1162050"/>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5"/>
        <w:rPr>
          <w:rFonts w:ascii="Times New Roman" w:hAnsi="Times New Roman" w:cs="Times New Roman" w:eastAsia="Times New Roman" w:hint="default"/>
          <w:sz w:val="13"/>
          <w:szCs w:val="13"/>
        </w:rPr>
      </w:pPr>
    </w:p>
    <w:p>
      <w:pPr>
        <w:spacing w:line="460" w:lineRule="exact" w:before="0"/>
        <w:ind w:left="140" w:right="1117" w:firstLine="0"/>
        <w:jc w:val="center"/>
        <w:rPr>
          <w:rFonts w:ascii="宋体" w:hAnsi="宋体" w:cs="宋体" w:eastAsia="宋体" w:hint="default"/>
          <w:sz w:val="36"/>
          <w:szCs w:val="36"/>
        </w:rPr>
      </w:pPr>
      <w:r>
        <w:rPr>
          <w:rFonts w:ascii="宋体" w:hAnsi="宋体" w:cs="宋体" w:eastAsia="宋体" w:hint="default"/>
          <w:b/>
          <w:bCs/>
          <w:sz w:val="36"/>
          <w:szCs w:val="36"/>
        </w:rPr>
        <w:t>四川久远银海软件股份有限公司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138" w:right="111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141" w:right="1117" w:firstLine="0"/>
        <w:jc w:val="center"/>
        <w:rPr>
          <w:rFonts w:ascii="Times New Roman" w:hAnsi="Times New Roman" w:cs="Times New Roman" w:eastAsia="Times New Roman" w:hint="default"/>
          <w:sz w:val="22"/>
          <w:szCs w:val="22"/>
        </w:rPr>
      </w:pPr>
      <w:r>
        <w:rPr>
          <w:rFonts w:ascii="Times New Roman"/>
          <w:b/>
          <w:sz w:val="22"/>
        </w:rPr>
        <w:t>2016-029</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29"/>
        <w:ind w:left="141" w:right="111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09"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386" w:lineRule="auto" w:before="161"/>
        <w:ind w:left="15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公司负责人李慧霞、主管会计工作负责人张光红及会计机构负责人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张雪梅声明：保证年度报告中财务报告的真实、准确、完整。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本报告中所涉及未来的经营计划和经营目标，并不代表公司的盈利预测，</w:t>
      </w:r>
      <w:r>
        <w:rPr>
          <w:rFonts w:ascii="宋体" w:hAnsi="宋体" w:cs="宋体" w:eastAsia="宋体" w:hint="default"/>
          <w:spacing w:val="3"/>
          <w:sz w:val="28"/>
          <w:szCs w:val="28"/>
        </w:rPr>
      </w:r>
    </w:p>
    <w:p>
      <w:pPr>
        <w:spacing w:line="410" w:lineRule="auto" w:before="0"/>
        <w:ind w:left="153" w:right="0" w:firstLine="0"/>
        <w:jc w:val="left"/>
        <w:rPr>
          <w:rFonts w:ascii="宋体" w:hAnsi="宋体" w:cs="宋体" w:eastAsia="宋体" w:hint="default"/>
          <w:sz w:val="28"/>
          <w:szCs w:val="28"/>
        </w:rPr>
      </w:pPr>
      <w:r>
        <w:rPr>
          <w:rFonts w:ascii="宋体" w:hAnsi="宋体" w:cs="宋体" w:eastAsia="宋体" w:hint="default"/>
          <w:b/>
          <w:bCs/>
          <w:spacing w:val="-2"/>
          <w:w w:val="95"/>
          <w:sz w:val="28"/>
          <w:szCs w:val="28"/>
        </w:rPr>
        <w:t>也不构成公司对投资者的实质承诺，能否实现取决于市场状况变化等多种因素，</w:t>
      </w:r>
      <w:r>
        <w:rPr>
          <w:rFonts w:ascii="宋体" w:hAnsi="宋体" w:cs="宋体" w:eastAsia="宋体" w:hint="default"/>
          <w:b/>
          <w:bCs/>
          <w:spacing w:val="64"/>
          <w:w w:val="95"/>
          <w:sz w:val="28"/>
          <w:szCs w:val="28"/>
        </w:rPr>
        <w:t> </w:t>
      </w:r>
      <w:r>
        <w:rPr>
          <w:rFonts w:ascii="宋体" w:hAnsi="宋体" w:cs="宋体" w:eastAsia="宋体" w:hint="default"/>
          <w:b/>
          <w:bCs/>
          <w:spacing w:val="64"/>
          <w:w w:val="95"/>
          <w:sz w:val="28"/>
          <w:szCs w:val="28"/>
        </w:rPr>
      </w:r>
      <w:r>
        <w:rPr>
          <w:rFonts w:ascii="宋体" w:hAnsi="宋体" w:cs="宋体" w:eastAsia="宋体" w:hint="default"/>
          <w:b/>
          <w:bCs/>
          <w:sz w:val="28"/>
          <w:szCs w:val="28"/>
        </w:rPr>
        <w:t>存在不确定性，请投资者注意投资风险。</w:t>
      </w:r>
      <w:r>
        <w:rPr>
          <w:rFonts w:ascii="宋体" w:hAnsi="宋体" w:cs="宋体" w:eastAsia="宋体" w:hint="default"/>
          <w:sz w:val="28"/>
          <w:szCs w:val="28"/>
        </w:rPr>
      </w:r>
    </w:p>
    <w:p>
      <w:pPr>
        <w:spacing w:line="386" w:lineRule="auto" w:before="158"/>
        <w:ind w:left="153" w:right="1133"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公司在本报告第四节</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管理层讨论与分析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中</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公司未来发展的展望</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部分，</w:t>
      </w:r>
      <w:r>
        <w:rPr>
          <w:rFonts w:ascii="宋体" w:hAnsi="宋体" w:cs="宋体" w:eastAsia="宋体" w:hint="default"/>
          <w:b/>
          <w:bCs/>
          <w:w w:val="99"/>
          <w:sz w:val="28"/>
          <w:szCs w:val="28"/>
        </w:rPr>
        <w:t> </w:t>
      </w:r>
      <w:r>
        <w:rPr>
          <w:rFonts w:ascii="宋体" w:hAnsi="宋体" w:cs="宋体" w:eastAsia="宋体" w:hint="default"/>
          <w:b/>
          <w:bCs/>
          <w:spacing w:val="3"/>
          <w:sz w:val="28"/>
          <w:szCs w:val="28"/>
        </w:rPr>
        <w:t>描述了公司未来经营中可能面临的风险以及 </w:t>
      </w:r>
      <w:r>
        <w:rPr>
          <w:rFonts w:ascii="Times New Roman" w:hAnsi="Times New Roman" w:cs="Times New Roman" w:eastAsia="Times New Roman" w:hint="default"/>
          <w:b/>
          <w:bCs/>
          <w:sz w:val="28"/>
          <w:szCs w:val="28"/>
        </w:rPr>
        <w:t>2016</w:t>
      </w:r>
      <w:r>
        <w:rPr>
          <w:rFonts w:ascii="Times New Roman" w:hAnsi="Times New Roman" w:cs="Times New Roman" w:eastAsia="Times New Roman" w:hint="default"/>
          <w:b/>
          <w:bCs/>
          <w:spacing w:val="43"/>
          <w:sz w:val="28"/>
          <w:szCs w:val="28"/>
        </w:rPr>
        <w:t> </w:t>
      </w:r>
      <w:r>
        <w:rPr>
          <w:rFonts w:ascii="宋体" w:hAnsi="宋体" w:cs="宋体" w:eastAsia="宋体" w:hint="default"/>
          <w:b/>
          <w:bCs/>
          <w:spacing w:val="3"/>
          <w:sz w:val="28"/>
          <w:szCs w:val="28"/>
        </w:rPr>
        <w:t>年度经营目标，敬请广大投</w:t>
      </w:r>
      <w:r>
        <w:rPr>
          <w:rFonts w:ascii="宋体" w:hAnsi="宋体" w:cs="宋体" w:eastAsia="宋体" w:hint="default"/>
          <w:b/>
          <w:bCs/>
          <w:w w:val="99"/>
          <w:sz w:val="28"/>
          <w:szCs w:val="28"/>
        </w:rPr>
        <w:t> </w:t>
      </w:r>
      <w:r>
        <w:rPr>
          <w:rFonts w:ascii="宋体" w:hAnsi="宋体" w:cs="宋体" w:eastAsia="宋体" w:hint="default"/>
          <w:b/>
          <w:bCs/>
          <w:sz w:val="28"/>
          <w:szCs w:val="28"/>
        </w:rPr>
        <w:t>资者注意查阅。</w:t>
      </w:r>
      <w:r>
        <w:rPr>
          <w:rFonts w:ascii="宋体" w:hAnsi="宋体" w:cs="宋体" w:eastAsia="宋体" w:hint="default"/>
          <w:sz w:val="28"/>
          <w:szCs w:val="28"/>
        </w:rPr>
      </w:r>
    </w:p>
    <w:p>
      <w:pPr>
        <w:spacing w:before="185"/>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80,000,000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为基数，向</w:t>
      </w:r>
      <w:r>
        <w:rPr>
          <w:rFonts w:ascii="宋体" w:hAnsi="宋体" w:cs="宋体" w:eastAsia="宋体" w:hint="default"/>
          <w:sz w:val="28"/>
          <w:szCs w:val="28"/>
        </w:rPr>
      </w:r>
    </w:p>
    <w:p>
      <w:pPr>
        <w:spacing w:line="386" w:lineRule="auto" w:before="236"/>
        <w:ind w:left="153" w:right="0" w:firstLine="0"/>
        <w:jc w:val="left"/>
        <w:rPr>
          <w:rFonts w:ascii="宋体" w:hAnsi="宋体" w:cs="宋体" w:eastAsia="宋体" w:hint="default"/>
          <w:sz w:val="28"/>
          <w:szCs w:val="28"/>
        </w:rPr>
      </w:pPr>
      <w:r>
        <w:rPr>
          <w:rFonts w:ascii="宋体" w:hAnsi="宋体" w:cs="宋体" w:eastAsia="宋体" w:hint="default"/>
          <w:b/>
          <w:bCs/>
          <w:w w:val="99"/>
          <w:sz w:val="28"/>
          <w:szCs w:val="28"/>
        </w:rPr>
        <w:t>全体股东每</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5"/>
          <w:w w:val="99"/>
          <w:sz w:val="28"/>
          <w:szCs w:val="28"/>
        </w:rPr>
        <w:t> </w:t>
      </w:r>
      <w:r>
        <w:rPr>
          <w:rFonts w:ascii="Times New Roman" w:hAnsi="Times New Roman" w:cs="Times New Roman" w:eastAsia="Times New Roman" w:hint="default"/>
          <w:b/>
          <w:bCs/>
          <w:w w:val="99"/>
          <w:sz w:val="28"/>
          <w:szCs w:val="28"/>
        </w:rPr>
        <w:t>5</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19"/>
          <w:w w:val="99"/>
          <w:sz w:val="28"/>
          <w:szCs w:val="28"/>
        </w:rPr>
        <w:t>元（含税），送红股</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16"/>
          <w:w w:val="99"/>
          <w:sz w:val="28"/>
          <w:szCs w:val="28"/>
        </w:rPr>
        <w:t>股（含税），不以公积金</w:t>
      </w:r>
      <w:r>
        <w:rPr>
          <w:rFonts w:ascii="宋体" w:hAnsi="宋体" w:cs="宋体" w:eastAsia="宋体" w:hint="default"/>
          <w:b/>
          <w:bCs/>
          <w:w w:val="99"/>
          <w:sz w:val="28"/>
          <w:szCs w:val="28"/>
        </w:rPr>
        <w:t> </w:t>
      </w:r>
      <w:r>
        <w:rPr>
          <w:rFonts w:ascii="宋体" w:hAnsi="宋体" w:cs="宋体" w:eastAsia="宋体" w:hint="default"/>
          <w:b/>
          <w:bCs/>
          <w:sz w:val="28"/>
          <w:szCs w:val="28"/>
        </w:rPr>
        <w:t>转增股本。</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41" w:right="111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TOC_250009">
            <w:r>
              <w:rPr/>
              <w:t>第一节</w:t>
            </w:r>
            <w:r>
              <w:rPr>
                <w:spacing w:val="-19"/>
              </w:rPr>
              <w:t> </w:t>
            </w:r>
            <w:r>
              <w:rPr/>
              <w:t>重要提示、目录和释义</w:t>
            </w:r>
            <w:r>
              <w:rPr>
                <w:rFonts w:ascii="Times New Roman" w:hAnsi="Times New Roman" w:cs="Times New Roman" w:eastAsia="Times New Roman" w:hint="default"/>
              </w:rPr>
              <w:tab/>
              <w:t>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第二节</w:t>
            </w:r>
            <w:r>
              <w:rPr>
                <w:spacing w:val="-19"/>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第三节</w:t>
            </w:r>
            <w:r>
              <w:rPr>
                <w:spacing w:val="-19"/>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第四节</w:t>
            </w:r>
            <w:r>
              <w:rPr>
                <w:spacing w:val="-19"/>
              </w:rPr>
              <w:t> </w:t>
            </w:r>
            <w:r>
              <w:rPr/>
              <w:t>管理层讨论与分析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4"/>
              </w:rPr>
              <w:t>11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w:t>
            </w:r>
            <w:r>
              <w:rPr>
                <w:spacing w:val="-19"/>
              </w:rPr>
              <w:t> </w:t>
            </w:r>
            <w:r>
              <w:rPr/>
              <w:t>重要事项</w:t>
            </w:r>
            <w:r>
              <w:rPr>
                <w:rFonts w:ascii="Times New Roman" w:hAnsi="Times New Roman" w:cs="Times New Roman" w:eastAsia="Times New Roman" w:hint="default"/>
              </w:rPr>
              <w:tab/>
              <w:t>23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第六节</w:t>
            </w:r>
            <w:r>
              <w:rPr>
                <w:spacing w:val="-19"/>
              </w:rPr>
              <w:t> </w:t>
            </w:r>
            <w:r>
              <w:rPr/>
              <w:t>股份变动及股东情况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第七节</w:t>
            </w:r>
            <w:r>
              <w:rPr>
                <w:spacing w:val="-19"/>
              </w:rPr>
              <w:t> </w:t>
            </w:r>
            <w:r>
              <w:rPr/>
              <w:t>优先股相关情况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2">
            <w:r>
              <w:rPr/>
              <w:t>第八节</w:t>
            </w:r>
            <w:r>
              <w:rPr>
                <w:spacing w:val="-19"/>
              </w:rPr>
              <w:t> </w:t>
            </w:r>
            <w:r>
              <w:rPr/>
              <w:t>董事、监事、高级管理人员和员工情况</w:t>
            </w:r>
            <w:r>
              <w:rPr>
                <w:rFonts w:ascii="Times New Roman" w:hAnsi="Times New Roman" w:cs="Times New Roman" w:eastAsia="Times New Roman" w:hint="default"/>
              </w:rPr>
              <w:tab/>
              <w:t>41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第九节</w:t>
            </w:r>
            <w:r>
              <w:rPr>
                <w:spacing w:val="-19"/>
              </w:rPr>
              <w:t> </w:t>
            </w:r>
            <w:r>
              <w:rPr/>
              <w:t>公司治理</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第十节</w:t>
            </w:r>
            <w:r>
              <w:rPr>
                <w:spacing w:val="-19"/>
              </w:rPr>
              <w:t> </w:t>
            </w:r>
            <w:r>
              <w:rPr/>
              <w:t>财务报告</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r>
            <w:rPr/>
            <w:t>第十一节</w:t>
          </w:r>
          <w:r>
            <w:rPr>
              <w:spacing w:val="-20"/>
            </w:rPr>
            <w:t> </w:t>
          </w:r>
          <w:r>
            <w:rPr/>
            <w:t>备查文件目录</w:t>
          </w:r>
          <w:r>
            <w:rPr>
              <w:rFonts w:ascii="Times New Roman" w:hAnsi="Times New Roman" w:cs="Times New Roman" w:eastAsia="Times New Roman" w:hint="default"/>
            </w:rPr>
            <w:tab/>
            <w:t>158</w:t>
          </w:r>
          <w:r>
            <w:rPr>
              <w:rFonts w:ascii="Times New Roman" w:hAnsi="Times New Roman" w:cs="Times New Roman" w:eastAsia="Times New Roman" w:hint="default"/>
              <w:b w:val="0"/>
              <w:bCs w:val="0"/>
            </w:rPr>
          </w:r>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141" w:right="111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久远银海、公司、本公司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四川久远银海软件股份有限公司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控股股东、久远集团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实际控制人、中物院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中国工程物理研究院</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锐锋集团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四川科学城锐锋集团有限责任公司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广发信德</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广发信德投资管理有限公司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保荐机构、广发证券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会计师、上海立信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律师事务所</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860632"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8"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久远银海</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002777</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四川久远银海软件股份有限公司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久远银海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Sichuan Jiuyuan Yinhai</w:t>
            </w:r>
            <w:r>
              <w:rPr>
                <w:rFonts w:ascii="Times New Roman"/>
                <w:spacing w:val="-26"/>
                <w:sz w:val="18"/>
              </w:rPr>
              <w:t> </w:t>
            </w:r>
            <w:r>
              <w:rPr>
                <w:rFonts w:ascii="Times New Roman"/>
                <w:sz w:val="18"/>
              </w:rPr>
              <w:t>Software.Co.,Ltd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Jiuyuan</w:t>
            </w:r>
            <w:r>
              <w:rPr>
                <w:rFonts w:ascii="Times New Roman"/>
                <w:spacing w:val="-20"/>
                <w:sz w:val="18"/>
              </w:rPr>
              <w:t> </w:t>
            </w:r>
            <w:r>
              <w:rPr>
                <w:rFonts w:ascii="Times New Roman"/>
                <w:sz w:val="18"/>
              </w:rPr>
              <w:t>Yinhai</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李慧霞</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成都市高新区科园一路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610045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成都市三色路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610063</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www.yinhai.com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public@yinhai.com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游新</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成都市三色路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成都市三色路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028-65516146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028-65516146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028-65516084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028-65516084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yangchengwen@yinhai.com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youxin@yinhai.com</w:t>
              </w:r>
            </w:hyperlink>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公司证券投资部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3"/>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915101006818136552</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上海市黄埔区南京东路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钱骁玲、杨志平</w:t>
            </w:r>
          </w:p>
        </w:tc>
      </w:tr>
    </w:tbl>
    <w:p>
      <w:pPr>
        <w:pStyle w:val="BodyText"/>
        <w:spacing w:line="240" w:lineRule="auto" w:before="51"/>
        <w:ind w:left="154" w:right="0"/>
        <w:jc w:val="left"/>
      </w:pPr>
      <w:r>
        <w:rPr/>
        <w:t>公司聘请的报告期内履行持续督导职责的保荐机构</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广东省广州市天河区天河北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号大都会广场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龚晓锋、王锋</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日至</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0"/>
        <w:jc w:val="left"/>
      </w:pPr>
      <w:r>
        <w:rPr/>
        <w:t>公司聘请的报告期内履行持续督导职责的财务顾问</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449,817,897.70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365,710,363.14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296,835,262.18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57,222,712.49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55,768,580.55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54,095,834.53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54,277,158.47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51,745,437.08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43,035,860.10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94,910,159.89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88,960,143.43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72,540,057.89</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944,256,672.71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689,587,744.50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610,436,789.44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0" w:right="0"/>
              <w:jc w:val="left"/>
              <w:rPr>
                <w:rFonts w:ascii="Times New Roman" w:hAnsi="Times New Roman" w:cs="Times New Roman" w:eastAsia="Times New Roman" w:hint="default"/>
                <w:sz w:val="18"/>
                <w:szCs w:val="18"/>
              </w:rPr>
            </w:pPr>
            <w:r>
              <w:rPr>
                <w:rFonts w:ascii="Times New Roman"/>
                <w:sz w:val="18"/>
              </w:rPr>
              <w:t>419,959,147.01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9" w:right="0"/>
              <w:jc w:val="left"/>
              <w:rPr>
                <w:rFonts w:ascii="Times New Roman" w:hAnsi="Times New Roman" w:cs="Times New Roman" w:eastAsia="Times New Roman" w:hint="default"/>
                <w:sz w:val="18"/>
                <w:szCs w:val="18"/>
              </w:rPr>
            </w:pPr>
            <w:r>
              <w:rPr>
                <w:rFonts w:ascii="Times New Roman"/>
                <w:sz w:val="18"/>
              </w:rPr>
              <w:t>233,686,406.82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9" w:right="0"/>
              <w:jc w:val="left"/>
              <w:rPr>
                <w:rFonts w:ascii="Times New Roman" w:hAnsi="Times New Roman" w:cs="Times New Roman" w:eastAsia="Times New Roman" w:hint="default"/>
                <w:sz w:val="18"/>
                <w:szCs w:val="18"/>
              </w:rPr>
            </w:pPr>
            <w:r>
              <w:rPr>
                <w:rFonts w:ascii="Times New Roman"/>
                <w:sz w:val="18"/>
              </w:rPr>
              <w:t>79.71%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217,917,826.27</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2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50,072,868.78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126,648,245.34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64,056,636.92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209,040,146.66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5,050,115.98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19,395,589.60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6,550,724.78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26,226,282.13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5,050,115.98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16,749,191.73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6,538,804.75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25,939,046.01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-47,679,089.34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32,280,535.49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-6,182,386.30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116,491,100.04</w:t>
            </w:r>
          </w:p>
        </w:tc>
      </w:tr>
    </w:tbl>
    <w:p>
      <w:pPr>
        <w:pStyle w:val="BodyText"/>
        <w:spacing w:line="240" w:lineRule="auto" w:before="51"/>
        <w:ind w:left="154"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23,363.95</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6,994,183.07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3,413,441.89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4,809,290.58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5,111,300.00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170,243.01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103,975.17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-100,883.33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561,763.35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471,968.84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913,803.36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99,731.48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418,153.44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30,821.95</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2" w:right="0"/>
              <w:jc w:val="left"/>
              <w:rPr>
                <w:rFonts w:ascii="Times New Roman" w:hAnsi="Times New Roman" w:cs="Times New Roman" w:eastAsia="Times New Roman" w:hint="default"/>
                <w:sz w:val="18"/>
                <w:szCs w:val="18"/>
              </w:rPr>
            </w:pPr>
            <w:r>
              <w:rPr>
                <w:rFonts w:ascii="Times New Roman"/>
                <w:sz w:val="18"/>
              </w:rPr>
              <w:t>2,945,554.02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3" w:right="0"/>
              <w:jc w:val="left"/>
              <w:rPr>
                <w:rFonts w:ascii="Times New Roman" w:hAnsi="Times New Roman" w:cs="Times New Roman" w:eastAsia="Times New Roman" w:hint="default"/>
                <w:sz w:val="18"/>
                <w:szCs w:val="18"/>
              </w:rPr>
            </w:pPr>
            <w:r>
              <w:rPr>
                <w:rFonts w:ascii="Times New Roman"/>
                <w:sz w:val="18"/>
              </w:rPr>
              <w:t>4,023,143.47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11,059,974.43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7" w:id="16"/>
      <w:bookmarkStart w:name="第三节 公司业务概要" w:id="17"/>
      <w:r>
        <w:rPr>
          <w:b w:val="0"/>
          <w:bCs w:val="0"/>
        </w:rPr>
      </w:r>
      <w:r>
        <w:rPr/>
        <w:t>第三节</w:t>
      </w:r>
      <w:r>
        <w:rPr>
          <w:spacing w:val="-2"/>
        </w:rPr>
        <w:t> </w:t>
      </w:r>
      <w:r>
        <w:rPr/>
        <w:t>公司业务概要</w:t>
      </w:r>
      <w:bookmarkEnd w:id="16"/>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left="454" w:right="1192"/>
        <w:jc w:val="left"/>
      </w:pPr>
      <w:r>
        <w:rPr>
          <w:rFonts w:ascii="Times New Roman" w:hAnsi="Times New Roman" w:cs="Times New Roman" w:eastAsia="Times New Roman" w:hint="default"/>
        </w:rPr>
        <w:t>1</w:t>
      </w:r>
      <w:r>
        <w:rPr/>
        <w:t>、公司主营业务 公司主营业务以人力资源和社会保障为核心的民生信息化领域软件产品、运维服务和系统集成，服务于</w:t>
      </w:r>
      <w:r>
        <w:rPr>
          <w:rFonts w:ascii="Times New Roman" w:hAnsi="Times New Roman" w:cs="Times New Roman" w:eastAsia="Times New Roman" w:hint="default"/>
        </w:rPr>
        <w:t>“</w:t>
      </w:r>
      <w:r>
        <w:rPr/>
        <w:t>城乡一体化社</w:t>
      </w:r>
    </w:p>
    <w:p>
      <w:pPr>
        <w:pStyle w:val="BodyText"/>
        <w:spacing w:line="309" w:lineRule="auto" w:before="13"/>
        <w:ind w:right="1033"/>
        <w:jc w:val="left"/>
      </w:pPr>
      <w:r>
        <w:rPr/>
        <w:t>会保障体系</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城乡一体化就业服务体系</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城乡一体化人力资源体系</w:t>
      </w:r>
      <w:r>
        <w:rPr>
          <w:rFonts w:ascii="Times New Roman" w:hAnsi="Times New Roman" w:cs="Times New Roman" w:eastAsia="Times New Roman" w:hint="default"/>
        </w:rPr>
        <w:t>”</w:t>
      </w:r>
      <w:r>
        <w:rPr/>
        <w:t>三大民生体系的构建，业务与产品覆盖养老保险、 医疗保险、失业保险、工伤保险、生育保险、人力资源、劳动就业、医疗卫生、民政和住房公积金等领域。公司还为金融、 军工等行业提供高端系统集成服务。</w:t>
      </w:r>
    </w:p>
    <w:p>
      <w:pPr>
        <w:pStyle w:val="BodyText"/>
        <w:spacing w:line="300" w:lineRule="auto" w:before="24"/>
        <w:ind w:left="453" w:right="1183" w:hanging="29"/>
        <w:jc w:val="left"/>
      </w:pPr>
      <w:r>
        <w:rPr>
          <w:rFonts w:ascii="Times New Roman" w:hAnsi="Times New Roman" w:cs="Times New Roman" w:eastAsia="Times New Roman" w:hint="default"/>
        </w:rPr>
        <w:t>2</w:t>
      </w:r>
      <w:r>
        <w:rPr/>
        <w:t>、行业地位 公司是人力资源和社会保障部战略合作伙伴，是同时参与了金保工程一期、二期总体设计、规划立项的</w:t>
      </w:r>
      <w:r>
        <w:rPr>
          <w:rFonts w:ascii="Times New Roman" w:hAnsi="Times New Roman" w:cs="Times New Roman" w:eastAsia="Times New Roman" w:hint="default"/>
        </w:rPr>
        <w:t>2</w:t>
      </w:r>
      <w:r>
        <w:rPr/>
        <w:t>家企业之一；</w:t>
      </w:r>
    </w:p>
    <w:p>
      <w:pPr>
        <w:pStyle w:val="BodyText"/>
        <w:spacing w:line="300" w:lineRule="auto" w:before="13"/>
        <w:ind w:right="0"/>
        <w:jc w:val="left"/>
      </w:pPr>
      <w:r>
        <w:rPr/>
        <w:t>是人力资源和社会保障部社会保险核心平台创立者和主研单位；是具备人力资源和社会保障部三认证和开发认证的</w:t>
      </w:r>
      <w:r>
        <w:rPr>
          <w:rFonts w:ascii="Times New Roman" w:hAnsi="Times New Roman" w:cs="Times New Roman" w:eastAsia="Times New Roman" w:hint="default"/>
        </w:rPr>
        <w:t>2</w:t>
      </w:r>
      <w:r>
        <w:rPr/>
        <w:t>家企业 </w:t>
      </w:r>
      <w:r>
        <w:rPr>
          <w:spacing w:val="-2"/>
        </w:rPr>
        <w:t>之一；公司也是卫生信息化标准</w:t>
      </w:r>
      <w:r>
        <w:rPr>
          <w:rFonts w:ascii="Times New Roman" w:hAnsi="Times New Roman" w:cs="Times New Roman" w:eastAsia="Times New Roman" w:hint="default"/>
          <w:spacing w:val="-2"/>
        </w:rPr>
        <w:t>HL7</w:t>
      </w:r>
      <w:r>
        <w:rPr>
          <w:rFonts w:ascii="Times New Roman" w:hAnsi="Times New Roman" w:cs="Times New Roman" w:eastAsia="Times New Roman" w:hint="default"/>
        </w:rPr>
        <w:t> </w:t>
      </w:r>
      <w:r>
        <w:rPr>
          <w:rFonts w:ascii="Times New Roman" w:hAnsi="Times New Roman" w:cs="Times New Roman" w:eastAsia="Times New Roman" w:hint="default"/>
          <w:spacing w:val="-2"/>
        </w:rPr>
        <w:t>China</w:t>
      </w:r>
      <w:r>
        <w:rPr>
          <w:spacing w:val="-2"/>
        </w:rPr>
        <w:t>理事会成员、中国医药电子信息创新示范单位、工信部</w:t>
      </w:r>
      <w:r>
        <w:rPr>
          <w:rFonts w:ascii="Times New Roman" w:hAnsi="Times New Roman" w:cs="Times New Roman" w:eastAsia="Times New Roman" w:hint="default"/>
          <w:spacing w:val="-2"/>
        </w:rPr>
        <w:t>ITSS</w:t>
      </w:r>
      <w:r>
        <w:rPr>
          <w:spacing w:val="-2"/>
        </w:rPr>
        <w:t>（信息技术服务标准）</w:t>
      </w:r>
      <w:r>
        <w:rPr>
          <w:spacing w:val="-61"/>
        </w:rPr>
        <w:t> </w:t>
      </w:r>
      <w:r>
        <w:rPr/>
        <w:t>工作组副组长单位。公司已研发了</w:t>
      </w:r>
      <w:r>
        <w:rPr>
          <w:rFonts w:ascii="Times New Roman" w:hAnsi="Times New Roman" w:cs="Times New Roman" w:eastAsia="Times New Roman" w:hint="default"/>
        </w:rPr>
        <w:t>100</w:t>
      </w:r>
      <w:r>
        <w:rPr/>
        <w:t>多款自主知识产权的行业软件产品，以全方位民生领域的服务产品和服务体系拓展业 务应用市场，基于丰富的客户和人群资源，为公司的持续发展和拓展奠定了坚实的基础。</w:t>
      </w:r>
    </w:p>
    <w:p>
      <w:pPr>
        <w:pStyle w:val="BodyText"/>
        <w:spacing w:line="300" w:lineRule="auto" w:before="31"/>
        <w:ind w:left="513" w:right="0" w:firstLine="13"/>
        <w:jc w:val="left"/>
      </w:pPr>
      <w:r>
        <w:rPr>
          <w:rFonts w:ascii="Times New Roman" w:hAnsi="Times New Roman" w:cs="Times New Roman" w:eastAsia="Times New Roman" w:hint="default"/>
        </w:rPr>
        <w:t>3</w:t>
      </w:r>
      <w:r>
        <w:rPr/>
        <w:t>、所处行业情况： </w:t>
      </w:r>
      <w:r>
        <w:rPr>
          <w:spacing w:val="-2"/>
        </w:rPr>
        <w:t>报告期内，国家持续加大在民生领域的政策支持和资金投入，政策与制度的完善不断拓展企业的市场空间。在社会保障</w:t>
      </w:r>
    </w:p>
    <w:p>
      <w:pPr>
        <w:pStyle w:val="BodyText"/>
        <w:spacing w:line="316" w:lineRule="auto" w:before="31"/>
        <w:ind w:right="0"/>
        <w:jc w:val="left"/>
      </w:pPr>
      <w:r>
        <w:rPr>
          <w:spacing w:val="-2"/>
        </w:rPr>
        <w:t>行业，国家高度重视人力资源和社会保障信息化建设，社会保险覆盖范围进一步扩大，国家启动了公务员保险制度，新型农</w:t>
      </w:r>
      <w:r>
        <w:rPr>
          <w:spacing w:val="-66"/>
        </w:rPr>
        <w:t> </w:t>
      </w:r>
      <w:r>
        <w:rPr>
          <w:spacing w:val="-66"/>
        </w:rPr>
      </w:r>
      <w:r>
        <w:rPr/>
        <w:t>村社会养老保险和城镇居民社会养老保险实现制度全覆盖，</w:t>
      </w:r>
      <w:r>
        <w:rPr>
          <w:spacing w:val="-18"/>
        </w:rPr>
        <w:t> </w:t>
      </w:r>
      <w:r>
        <w:rPr/>
        <w:t>社保保障水平逐年提高、功能逐渐完善。</w:t>
      </w:r>
    </w:p>
    <w:p>
      <w:pPr>
        <w:pStyle w:val="BodyText"/>
        <w:spacing w:line="319" w:lineRule="auto" w:before="19"/>
        <w:ind w:right="1133" w:firstLine="360"/>
        <w:jc w:val="both"/>
      </w:pPr>
      <w:r>
        <w:rPr>
          <w:spacing w:val="-2"/>
        </w:rPr>
        <w:t>随着社会保障的网络覆盖和服务范围将向城镇医疗卫生、民政、银行、医院、药店、企业、乡镇卫生院、村卫生室等关</w:t>
      </w:r>
      <w:r>
        <w:rPr/>
        <w:t> </w:t>
      </w:r>
      <w:r>
        <w:rPr>
          <w:spacing w:val="-2"/>
        </w:rPr>
        <w:t>联部门和业务衍生机构不断拓展，为其提供网上业务服务、实时支付结算、社区医疗服务、个人健康服务、信息查询等多样</w:t>
      </w:r>
      <w:r>
        <w:rPr>
          <w:spacing w:val="-66"/>
        </w:rPr>
        <w:t> </w:t>
      </w:r>
      <w:r>
        <w:rPr>
          <w:spacing w:val="-66"/>
        </w:rPr>
      </w:r>
      <w:r>
        <w:rPr/>
        <w:t>化的民生信息化服务，支持各级各类业务协同办理，将不断延展行业信息化投资广度，提升信息化服务水平。</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Heading3"/>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7"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报告期内，确认联营公司投资收益，较期初减少长期股权投资</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主要是投资性房地产转为自用房产减少</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主要是公开发行股票募集资金增加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主要是公司经营规模扩大</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主要是待抵扣增值税进项税增加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主要是研发项目支出增加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332" w:hRule="exact"/>
        </w:trPr>
        <w:tc>
          <w:tcPr>
            <w:tcW w:w="3052" w:type="dxa"/>
            <w:tcBorders>
              <w:top w:val="nil" w:sz="6" w:space="0" w:color="auto"/>
              <w:left w:val="nil" w:sz="6" w:space="0" w:color="auto"/>
              <w:bottom w:val="single" w:sz="4" w:space="0" w:color="000000"/>
              <w:right w:val="nil" w:sz="6" w:space="0" w:color="auto"/>
            </w:tcBorders>
          </w:tcPr>
          <w:p>
            <w:pPr/>
          </w:p>
        </w:tc>
        <w:tc>
          <w:tcPr>
            <w:tcW w:w="6517" w:type="dxa"/>
            <w:tcBorders>
              <w:top w:val="nil" w:sz="6" w:space="0" w:color="auto"/>
              <w:left w:val="nil" w:sz="6" w:space="0" w:color="auto"/>
              <w:bottom w:val="single" w:sz="4" w:space="0" w:color="000000"/>
              <w:right w:val="nil" w:sz="6" w:space="0" w:color="auto"/>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主要是资产减值准备增加及适用税率提高</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r>
        <w:rPr/>
        <w:pict>
          <v:group style="position:absolute;margin-left:55.200001pt;margin-top:-49.526318pt;width:485pt;height:.1pt;mso-position-horizontal-relative:page;mso-position-vertical-relative:paragraph;z-index:-860608"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before="0"/>
        <w:ind w:left="694" w:right="0"/>
        <w:jc w:val="left"/>
      </w:pPr>
      <w:r>
        <w:rPr>
          <w:rFonts w:ascii="Times New Roman" w:hAnsi="Times New Roman" w:cs="Times New Roman" w:eastAsia="Times New Roman" w:hint="default"/>
        </w:rPr>
        <w:t>1</w:t>
      </w:r>
      <w:r>
        <w:rPr/>
        <w:t>、行业领先的创新能力 </w:t>
      </w:r>
      <w:r>
        <w:rPr>
          <w:spacing w:val="-2"/>
        </w:rPr>
        <w:t>公司经过多年在人力资源和社会保障信息化领域的发展和积累，拥有省级企业技术中心，注重前瞻性的行业研究和业</w:t>
      </w:r>
    </w:p>
    <w:p>
      <w:pPr>
        <w:pStyle w:val="BodyText"/>
        <w:spacing w:line="240" w:lineRule="auto" w:before="31"/>
        <w:ind w:left="154" w:right="0"/>
        <w:jc w:val="left"/>
      </w:pPr>
      <w:r>
        <w:rPr/>
        <w:t>务理念创新，并以此为基础，在行业保持持续的业务应用创新能力。</w:t>
      </w:r>
    </w:p>
    <w:p>
      <w:pPr>
        <w:pStyle w:val="BodyText"/>
        <w:spacing w:line="300" w:lineRule="auto" w:before="76"/>
        <w:ind w:left="694" w:right="1032"/>
        <w:jc w:val="left"/>
      </w:pPr>
      <w:r>
        <w:rPr>
          <w:rFonts w:ascii="Times New Roman" w:hAnsi="Times New Roman" w:cs="Times New Roman" w:eastAsia="Times New Roman" w:hint="default"/>
        </w:rPr>
        <w:t>2</w:t>
      </w:r>
      <w:r>
        <w:rPr/>
        <w:t>、多年积累的核心技术优势 公司持续坚持自主创新，通过多年的技术攻关，拥有国内领先的技术和研究成果，奠定了行业领先的核心技术优势。</w:t>
      </w:r>
    </w:p>
    <w:p>
      <w:pPr>
        <w:pStyle w:val="BodyText"/>
        <w:spacing w:line="300" w:lineRule="auto" w:before="31"/>
        <w:ind w:right="0"/>
        <w:jc w:val="left"/>
      </w:pPr>
      <w:r>
        <w:rPr>
          <w:spacing w:val="-3"/>
        </w:rPr>
        <w:t>公司在</w:t>
      </w:r>
      <w:r>
        <w:rPr>
          <w:rFonts w:ascii="Times New Roman" w:hAnsi="Times New Roman" w:cs="Times New Roman" w:eastAsia="Times New Roman" w:hint="default"/>
          <w:spacing w:val="-3"/>
        </w:rPr>
        <w:t>“</w:t>
      </w:r>
      <w:r>
        <w:rPr>
          <w:spacing w:val="-3"/>
        </w:rPr>
        <w:t>十五</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十一五</w:t>
      </w:r>
      <w:r>
        <w:rPr>
          <w:rFonts w:ascii="Times New Roman" w:hAnsi="Times New Roman" w:cs="Times New Roman" w:eastAsia="Times New Roman" w:hint="default"/>
          <w:spacing w:val="-3"/>
        </w:rPr>
        <w:t>”</w:t>
      </w:r>
      <w:r>
        <w:rPr>
          <w:spacing w:val="-3"/>
        </w:rPr>
        <w:t>期间，共计承担了国家科技部、国家经贸委、国家工信部、中物院等各级重点科技基金项目</w:t>
      </w:r>
      <w:r>
        <w:rPr>
          <w:rFonts w:ascii="Times New Roman" w:hAnsi="Times New Roman" w:cs="Times New Roman" w:eastAsia="Times New Roman" w:hint="default"/>
          <w:spacing w:val="-3"/>
        </w:rPr>
        <w:t>20</w:t>
      </w:r>
      <w:r>
        <w:rPr>
          <w:spacing w:val="-3"/>
        </w:rPr>
        <w:t>余项。</w:t>
      </w:r>
      <w:r>
        <w:rPr>
          <w:spacing w:val="-53"/>
        </w:rPr>
        <w:t> </w:t>
      </w:r>
      <w:r>
        <w:rPr/>
        <w:t>公司参与了国家人力资源和社会保障信息化建设</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专项规划，为全国</w:t>
      </w:r>
      <w:r>
        <w:rPr>
          <w:rFonts w:ascii="Times New Roman" w:hAnsi="Times New Roman" w:cs="Times New Roman" w:eastAsia="Times New Roman" w:hint="default"/>
        </w:rPr>
        <w:t>6</w:t>
      </w:r>
      <w:r>
        <w:rPr/>
        <w:t>个省级人社部门、</w:t>
      </w:r>
      <w:r>
        <w:rPr>
          <w:rFonts w:ascii="Times New Roman" w:hAnsi="Times New Roman" w:cs="Times New Roman" w:eastAsia="Times New Roman" w:hint="default"/>
        </w:rPr>
        <w:t>37</w:t>
      </w:r>
      <w:r>
        <w:rPr/>
        <w:t>个地市级人社部门编制了 信息化建设</w:t>
      </w:r>
      <w:r>
        <w:rPr>
          <w:rFonts w:ascii="Times New Roman" w:hAnsi="Times New Roman" w:cs="Times New Roman" w:eastAsia="Times New Roman" w:hint="default"/>
        </w:rPr>
        <w:t>“</w:t>
      </w:r>
      <w:r>
        <w:rPr/>
        <w:t>十二五</w:t>
      </w:r>
      <w:r>
        <w:rPr>
          <w:rFonts w:ascii="Times New Roman" w:hAnsi="Times New Roman" w:cs="Times New Roman" w:eastAsia="Times New Roman" w:hint="default"/>
        </w:rPr>
        <w:t>”</w:t>
      </w:r>
      <w:r>
        <w:rPr/>
        <w:t>专项规划和重大信息化工程规划。</w:t>
      </w:r>
    </w:p>
    <w:p>
      <w:pPr>
        <w:pStyle w:val="BodyText"/>
        <w:spacing w:line="300" w:lineRule="auto" w:before="13"/>
        <w:ind w:left="694" w:right="0"/>
        <w:jc w:val="left"/>
      </w:pPr>
      <w:r>
        <w:rPr>
          <w:rFonts w:ascii="Times New Roman" w:hAnsi="Times New Roman" w:cs="Times New Roman" w:eastAsia="Times New Roman" w:hint="default"/>
        </w:rPr>
        <w:t>3</w:t>
      </w:r>
      <w:r>
        <w:rPr/>
        <w:t>、产品全覆盖，处于领先水平 </w:t>
      </w:r>
      <w:r>
        <w:rPr>
          <w:spacing w:val="-2"/>
        </w:rPr>
        <w:t>公司长期致力于以社会保险、劳动就业和人力资源为核心的民生领域的信息化咨询规划、需求分析、系统设计、软件</w:t>
      </w:r>
    </w:p>
    <w:p>
      <w:pPr>
        <w:pStyle w:val="BodyText"/>
        <w:spacing w:line="300" w:lineRule="auto" w:before="31"/>
        <w:ind w:left="694" w:right="0" w:hanging="541"/>
        <w:jc w:val="left"/>
      </w:pPr>
      <w:r>
        <w:rPr/>
        <w:t>开发、信息服务、系统集成和运维服务，具有丰富的行业经验，产品实现了</w:t>
      </w:r>
      <w:r>
        <w:rPr>
          <w:rFonts w:ascii="Times New Roman" w:hAnsi="Times New Roman" w:cs="Times New Roman" w:eastAsia="Times New Roman" w:hint="default"/>
        </w:rPr>
        <w:t>“</w:t>
      </w:r>
      <w:r>
        <w:rPr/>
        <w:t>组织、对象、业务、功能、过程</w:t>
      </w:r>
      <w:r>
        <w:rPr>
          <w:rFonts w:ascii="Times New Roman" w:hAnsi="Times New Roman" w:cs="Times New Roman" w:eastAsia="Times New Roman" w:hint="default"/>
        </w:rPr>
        <w:t>”</w:t>
      </w:r>
      <w:r>
        <w:rPr/>
        <w:t>的全覆盖。 </w:t>
      </w:r>
      <w:r>
        <w:rPr>
          <w:rFonts w:ascii="Times New Roman" w:hAnsi="Times New Roman" w:cs="Times New Roman" w:eastAsia="Times New Roman" w:hint="default"/>
        </w:rPr>
        <w:t>4</w:t>
      </w:r>
      <w:r>
        <w:rPr/>
        <w:t>、项目经验多，区域覆盖广，市场优势明显 </w:t>
      </w:r>
      <w:r>
        <w:rPr>
          <w:spacing w:val="-4"/>
        </w:rPr>
        <w:t>公司已成功实施数百个定制软件项目，项目经验丰富。公司产品广泛应用于人力资源和社会保障部，以及北京、天津、</w:t>
      </w:r>
    </w:p>
    <w:p>
      <w:pPr>
        <w:pStyle w:val="BodyText"/>
        <w:spacing w:line="300" w:lineRule="auto" w:before="31"/>
        <w:ind w:right="0"/>
        <w:jc w:val="left"/>
      </w:pPr>
      <w:r>
        <w:rPr>
          <w:spacing w:val="-2"/>
        </w:rPr>
        <w:t>重庆、四川、云南、贵州、山西、新疆、吉林、海南、广东、广西、陕西、湖北、西藏等</w:t>
      </w:r>
      <w:r>
        <w:rPr>
          <w:rFonts w:ascii="Times New Roman" w:hAnsi="Times New Roman" w:cs="Times New Roman" w:eastAsia="Times New Roman" w:hint="default"/>
          <w:spacing w:val="-2"/>
        </w:rPr>
        <w:t>10</w:t>
      </w:r>
      <w:r>
        <w:rPr>
          <w:spacing w:val="-2"/>
        </w:rPr>
        <w:t>余个省、自治区、直辖市，服务</w:t>
      </w:r>
      <w:r>
        <w:rPr>
          <w:spacing w:val="-63"/>
        </w:rPr>
        <w:t> </w:t>
      </w:r>
      <w:r>
        <w:rPr>
          <w:spacing w:val="-63"/>
        </w:rPr>
      </w:r>
      <w:r>
        <w:rPr/>
        <w:t>人群约为</w:t>
      </w:r>
      <w:r>
        <w:rPr>
          <w:rFonts w:ascii="Times New Roman" w:hAnsi="Times New Roman" w:cs="Times New Roman" w:eastAsia="Times New Roman" w:hint="default"/>
        </w:rPr>
        <w:t>4</w:t>
      </w:r>
      <w:r>
        <w:rPr/>
        <w:t>亿，区域覆盖广，市场优势明显。</w:t>
      </w:r>
    </w:p>
    <w:p>
      <w:pPr>
        <w:pStyle w:val="BodyText"/>
        <w:spacing w:line="300" w:lineRule="auto" w:before="13"/>
        <w:ind w:left="694" w:right="1118"/>
        <w:jc w:val="left"/>
      </w:pPr>
      <w:r>
        <w:rPr>
          <w:rFonts w:ascii="Times New Roman" w:hAnsi="Times New Roman" w:cs="Times New Roman" w:eastAsia="Times New Roman" w:hint="default"/>
        </w:rPr>
        <w:t>5</w:t>
      </w:r>
      <w:r>
        <w:rPr/>
        <w:t>、人才优势 </w:t>
      </w:r>
      <w:r>
        <w:rPr>
          <w:spacing w:val="-2"/>
        </w:rPr>
        <w:t>多年以来，公司积极吸引和培养优秀人才。已形成以行业专家、系统分析员、资深工程师为骨干的核心研发团队。公</w:t>
      </w:r>
    </w:p>
    <w:p>
      <w:pPr>
        <w:pStyle w:val="BodyText"/>
        <w:spacing w:line="316" w:lineRule="auto" w:before="31"/>
        <w:ind w:left="154" w:right="0"/>
        <w:jc w:val="left"/>
      </w:pPr>
      <w:r>
        <w:rPr>
          <w:spacing w:val="-2"/>
        </w:rPr>
        <w:t>司与多家高校建立校企合作实训基地、软件工程校外实践教育基地和联合实验室，积极吸引各层次人才，持续提高技术人员</w:t>
      </w:r>
      <w:r>
        <w:rPr>
          <w:spacing w:val="-66"/>
        </w:rPr>
        <w:t> </w:t>
      </w:r>
      <w:r>
        <w:rPr>
          <w:spacing w:val="-66"/>
        </w:rPr>
      </w:r>
      <w:r>
        <w:rPr/>
        <w:t>的技术创新及研发水平，为公司的持续创新提供技术支持和人才保障。</w:t>
      </w:r>
    </w:p>
    <w:p>
      <w:pPr>
        <w:pStyle w:val="BodyText"/>
        <w:spacing w:line="300" w:lineRule="auto" w:before="19"/>
        <w:ind w:left="588" w:right="0" w:firstLine="106"/>
        <w:jc w:val="left"/>
      </w:pPr>
      <w:r>
        <w:rPr>
          <w:rFonts w:ascii="Times New Roman" w:hAnsi="Times New Roman" w:cs="Times New Roman" w:eastAsia="Times New Roman" w:hint="default"/>
        </w:rPr>
        <w:t>6</w:t>
      </w:r>
      <w:r>
        <w:rPr/>
        <w:t>、多层次、专业化、本地化的服务优势 公司对服务一贯予以高度重视，建立了多层次的服务保障体系，提供了三级联动的服务保障；并通过服务产品化、服</w:t>
      </w:r>
    </w:p>
    <w:p>
      <w:pPr>
        <w:pStyle w:val="BodyText"/>
        <w:spacing w:line="316" w:lineRule="auto" w:before="31"/>
        <w:ind w:right="0"/>
        <w:jc w:val="left"/>
      </w:pPr>
      <w:r>
        <w:rPr>
          <w:spacing w:val="-2"/>
        </w:rPr>
        <w:t>务标准化、创新服务模式，将服务打造成为公司未来发展的核心竞争力，依托四维一体的客户服务网络体系和三级联动的服</w:t>
      </w:r>
      <w:r>
        <w:rPr>
          <w:spacing w:val="-66"/>
        </w:rPr>
        <w:t> </w:t>
      </w:r>
      <w:r>
        <w:rPr>
          <w:spacing w:val="-66"/>
        </w:rPr>
      </w:r>
      <w:r>
        <w:rPr/>
        <w:t>务保障体系，长期服务于各地的社保信息化系统和社保衍生机构，客户满意度持续提升。</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3126" w:right="0"/>
        <w:jc w:val="left"/>
        <w:rPr>
          <w:b w:val="0"/>
          <w:bCs w:val="0"/>
        </w:rPr>
      </w:pPr>
      <w:bookmarkStart w:name="_TOC_250006" w:id="23"/>
      <w:bookmarkStart w:name="第四节 管理层讨论与分析" w:id="24"/>
      <w:r>
        <w:rPr>
          <w:b w:val="0"/>
          <w:bCs w:val="0"/>
        </w:rPr>
      </w:r>
      <w:r>
        <w:rPr/>
        <w:t>第四节</w:t>
      </w:r>
      <w:r>
        <w:rPr>
          <w:spacing w:val="-9"/>
        </w:rPr>
        <w:t> </w:t>
      </w:r>
      <w:r>
        <w:rPr/>
        <w:t>管理层讨论与分析</w:t>
      </w:r>
      <w:bookmarkEnd w:id="2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325"/>
        <w:jc w:val="left"/>
      </w:pPr>
      <w:r>
        <w:rPr/>
        <w:t>报告期内，公司继续重点关注以人力资源和社会保障为核心的民生领域，积极开展相关行业市场拓展工作，持续加大对 </w:t>
      </w:r>
      <w:r>
        <w:rPr>
          <w:spacing w:val="-4"/>
        </w:rPr>
        <w:t>业务创新、技术和产品研发等的投入，完善公司内部管理和内部控制，同时，持续加大项目管理、项目实施和售后服务工作，</w:t>
      </w:r>
      <w:r>
        <w:rPr>
          <w:spacing w:val="-44"/>
        </w:rPr>
        <w:t> </w:t>
      </w:r>
      <w:r>
        <w:rPr>
          <w:spacing w:val="-44"/>
        </w:rPr>
      </w:r>
      <w:r>
        <w:rPr/>
        <w:t>实现了业绩的稳定增长。</w:t>
      </w:r>
    </w:p>
    <w:p>
      <w:pPr>
        <w:pStyle w:val="BodyText"/>
        <w:spacing w:line="300" w:lineRule="auto" w:before="19"/>
        <w:ind w:right="1132" w:firstLine="290"/>
        <w:jc w:val="both"/>
      </w:pPr>
      <w:r>
        <w:rPr>
          <w:rFonts w:ascii="Times New Roman" w:hAnsi="Times New Roman" w:cs="Times New Roman" w:eastAsia="Times New Roman" w:hint="default"/>
        </w:rPr>
        <w:t>2015</w:t>
      </w:r>
      <w:r>
        <w:rPr/>
        <w:t>年实现营业收入</w:t>
      </w:r>
      <w:r>
        <w:rPr>
          <w:rFonts w:ascii="Times New Roman" w:hAnsi="Times New Roman" w:cs="Times New Roman" w:eastAsia="Times New Roman" w:hint="default"/>
        </w:rPr>
        <w:t>44,981.79</w:t>
      </w:r>
      <w:r>
        <w:rPr/>
        <w:t>万元，同比增长</w:t>
      </w:r>
      <w:r>
        <w:rPr>
          <w:rFonts w:ascii="Times New Roman" w:hAnsi="Times New Roman" w:cs="Times New Roman" w:eastAsia="Times New Roman" w:hint="default"/>
        </w:rPr>
        <w:t>23%</w:t>
      </w:r>
      <w:r>
        <w:rPr/>
        <w:t>，主要是系统集成、运维服务收入增长；实现利润总额</w:t>
      </w:r>
      <w:r>
        <w:rPr>
          <w:rFonts w:ascii="Times New Roman" w:hAnsi="Times New Roman" w:cs="Times New Roman" w:eastAsia="Times New Roman" w:hint="default"/>
        </w:rPr>
        <w:t>7,556.8</w:t>
      </w:r>
      <w:r>
        <w:rPr/>
        <w:t>万元， 同比增长</w:t>
      </w:r>
      <w:r>
        <w:rPr>
          <w:rFonts w:ascii="Times New Roman" w:hAnsi="Times New Roman" w:cs="Times New Roman" w:eastAsia="Times New Roman" w:hint="default"/>
        </w:rPr>
        <w:t>11.28%</w:t>
      </w:r>
      <w:r>
        <w:rPr/>
        <w:t>；实现净利润</w:t>
      </w:r>
      <w:r>
        <w:rPr>
          <w:rFonts w:ascii="Times New Roman" w:hAnsi="Times New Roman" w:cs="Times New Roman" w:eastAsia="Times New Roman" w:hint="default"/>
        </w:rPr>
        <w:t>6,317.58</w:t>
      </w:r>
      <w:r>
        <w:rPr/>
        <w:t>万元，同比增长</w:t>
      </w:r>
      <w:r>
        <w:rPr>
          <w:rFonts w:ascii="Times New Roman" w:hAnsi="Times New Roman" w:cs="Times New Roman" w:eastAsia="Times New Roman" w:hint="default"/>
        </w:rPr>
        <w:t>6.94%</w:t>
      </w:r>
      <w:r>
        <w:rPr/>
        <w:t>；实现归属于母公司的净利润</w:t>
      </w:r>
      <w:r>
        <w:rPr>
          <w:rFonts w:ascii="Times New Roman" w:hAnsi="Times New Roman" w:cs="Times New Roman" w:eastAsia="Times New Roman" w:hint="default"/>
        </w:rPr>
        <w:t>5,722.27</w:t>
      </w:r>
      <w:r>
        <w:rPr/>
        <w:t>万元，同比增长</w:t>
      </w:r>
      <w:r>
        <w:rPr>
          <w:rFonts w:ascii="Times New Roman" w:hAnsi="Times New Roman" w:cs="Times New Roman" w:eastAsia="Times New Roman" w:hint="default"/>
        </w:rPr>
        <w:t>2.61%</w:t>
      </w:r>
      <w:r>
        <w:rPr/>
        <w:t>。</w:t>
      </w:r>
      <w:r>
        <w:rPr>
          <w:spacing w:val="-50"/>
        </w:rPr>
        <w:t> </w:t>
      </w:r>
      <w:r>
        <w:rPr/>
        <w:t>公司主营业务保持稳定增长。</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3" w:right="665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5"/>
        <w:spacing w:line="240" w:lineRule="auto" w:before="28"/>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449,817,897.70</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1"/>
              <w:jc w:val="right"/>
              <w:rPr>
                <w:rFonts w:ascii="Times New Roman" w:hAnsi="Times New Roman" w:cs="Times New Roman" w:eastAsia="Times New Roman" w:hint="default"/>
                <w:sz w:val="18"/>
                <w:szCs w:val="18"/>
              </w:rPr>
            </w:pPr>
            <w:r>
              <w:rPr>
                <w:rFonts w:ascii="Times New Roman"/>
                <w:spacing w:val="-1"/>
                <w:sz w:val="18"/>
              </w:rPr>
              <w:t>365,710,363.14</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447,727,934.02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99.54%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362,940,168.62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99.24%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2,089,963.68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2,770,194.52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0.76%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-24.56%</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142,044,603.79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122,701,797.00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33.55%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150,965,358.55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119,501,252.28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32.68%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148,022,176.92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112,981,527.70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30.89%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31.01%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其他类型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6,695,794.76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7,755,591.64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2.12%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-13.66%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2,089,963.68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0.46%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2,770,194.52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0.76%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-24.56%</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240,056,582.64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53.37%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180,060,665.36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40.03%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48,704,524.67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45,776,517.41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z w:val="18"/>
              </w:rPr>
              <w:t>12.52%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78,423,454.28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54,194,111.71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16,235,755.22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20,229,646.29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35,750,850.79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36,656,442.29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8,119,899.80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7,308,141.44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20,436,866.62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18,714,644.12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2,089,963.68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2,770,194.52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-24.56%</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447,727,934.02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255,312,986.37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148,022,176.92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127,146,668.81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142,044,603.79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63,161,057.60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150,965,358.55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59,315,092.65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240,056,582.64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150,414,265.49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48,704,524.67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24,645,759.65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78,423,454.28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31,346,937.85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16,235,755.22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7,081,963.71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35,750,850.79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24,738,763.34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8,119,899.80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4,690,926.98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20,436,866.62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12,394,369.35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w:t>
            </w:r>
          </w:p>
        </w:tc>
      </w:tr>
    </w:tbl>
    <w:p>
      <w:pPr>
        <w:pStyle w:val="BodyText"/>
        <w:spacing w:line="240" w:lineRule="auto" w:before="51"/>
        <w:ind w:left="154"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ind w:right="-19"/>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113,823,379.00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44.49%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92,848,175.10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20"/>
                <w:szCs w:val="20"/>
              </w:rPr>
            </w:pPr>
            <w:r>
              <w:rPr>
                <w:rFonts w:ascii="Times New Roman"/>
                <w:sz w:val="20"/>
              </w:rPr>
              <w:t>-2.54%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73,886,415.60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28.88%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51,949,598.42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20" w:right="0"/>
              <w:jc w:val="left"/>
              <w:rPr>
                <w:rFonts w:ascii="Times New Roman" w:hAnsi="Times New Roman" w:cs="Times New Roman" w:eastAsia="Times New Roman" w:hint="default"/>
                <w:sz w:val="20"/>
                <w:szCs w:val="20"/>
              </w:rPr>
            </w:pPr>
            <w:r>
              <w:rPr>
                <w:rFonts w:ascii="Times New Roman"/>
                <w:sz w:val="20"/>
              </w:rPr>
              <w:t>2.57%</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67,603,191.77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0"/>
                <w:szCs w:val="20"/>
              </w:rPr>
            </w:pPr>
            <w:r>
              <w:rPr>
                <w:rFonts w:ascii="Times New Roman"/>
                <w:sz w:val="20"/>
              </w:rPr>
              <w:t>26.43%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51,960,412.12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23" w:right="0"/>
              <w:jc w:val="left"/>
              <w:rPr>
                <w:rFonts w:ascii="Times New Roman" w:hAnsi="Times New Roman" w:cs="Times New Roman" w:eastAsia="Times New Roman" w:hint="default"/>
                <w:sz w:val="20"/>
                <w:szCs w:val="20"/>
              </w:rPr>
            </w:pPr>
            <w:r>
              <w:rPr>
                <w:rFonts w:ascii="Times New Roman"/>
                <w:sz w:val="20"/>
              </w:rPr>
              <w:t>0.11%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509,915.96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654,178.61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386" w:right="0"/>
              <w:jc w:val="left"/>
              <w:rPr>
                <w:rFonts w:ascii="Times New Roman" w:hAnsi="Times New Roman" w:cs="Times New Roman" w:eastAsia="Times New Roman" w:hint="default"/>
                <w:sz w:val="20"/>
                <w:szCs w:val="20"/>
              </w:rPr>
            </w:pPr>
            <w:r>
              <w:rPr>
                <w:rFonts w:ascii="Times New Roman"/>
                <w:sz w:val="20"/>
              </w:rPr>
              <w:t>-0.13%</w:t>
            </w:r>
          </w:p>
        </w:tc>
      </w:tr>
    </w:tbl>
    <w:p>
      <w:pPr>
        <w:pStyle w:val="BodyText"/>
        <w:spacing w:line="240" w:lineRule="auto" w:before="51"/>
        <w:ind w:left="154" w:right="0"/>
        <w:jc w:val="left"/>
      </w:pPr>
      <w:r>
        <w:rPr/>
        <w:t>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Heading6"/>
        <w:spacing w:line="256" w:lineRule="auto" w:before="75"/>
        <w:ind w:left="154" w:right="1092"/>
        <w:jc w:val="left"/>
      </w:pPr>
      <w:r>
        <w:rPr/>
        <w:t>与</w:t>
      </w:r>
      <w:r>
        <w:rPr>
          <w:rFonts w:ascii="Times New Roman" w:hAnsi="Times New Roman" w:cs="Times New Roman" w:eastAsia="Times New Roman" w:hint="default"/>
        </w:rPr>
        <w:t>2014</w:t>
      </w:r>
      <w:r>
        <w:rPr/>
        <w:t>年度相比，</w:t>
      </w:r>
      <w:r>
        <w:rPr>
          <w:rFonts w:ascii="Times New Roman" w:hAnsi="Times New Roman" w:cs="Times New Roman" w:eastAsia="Times New Roman" w:hint="default"/>
        </w:rPr>
        <w:t>2015</w:t>
      </w:r>
      <w:r>
        <w:rPr/>
        <w:t>年度新增合并单位</w:t>
      </w:r>
      <w:r>
        <w:rPr>
          <w:rFonts w:ascii="Times New Roman" w:hAnsi="Times New Roman" w:cs="Times New Roman" w:eastAsia="Times New Roman" w:hint="default"/>
        </w:rPr>
        <w:t>1</w:t>
      </w:r>
      <w:r>
        <w:rPr/>
        <w:t>家。</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月通过新设方式设立四川久远国基科技有限公司， 持股比例</w:t>
      </w:r>
      <w:r>
        <w:rPr>
          <w:rFonts w:ascii="Times New Roman" w:hAnsi="Times New Roman" w:cs="Times New Roman" w:eastAsia="Times New Roman" w:hint="default"/>
        </w:rPr>
        <w:t>100%</w:t>
      </w:r>
      <w:r>
        <w:rPr/>
        <w:t>，表决权比例</w:t>
      </w:r>
      <w:r>
        <w:rPr>
          <w:rFonts w:ascii="Times New Roman" w:hAnsi="Times New Roman" w:cs="Times New Roman" w:eastAsia="Times New Roman" w:hint="default"/>
        </w:rPr>
        <w:t>100%</w:t>
      </w:r>
      <w:r>
        <w:rPr/>
        <w:t>。</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123,831,490.05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27.53%</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46,690,994.03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28,150,757.62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18,718,174.59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15,200,684.93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15,070,878.88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3"/>
        <w:gridCol w:w="3301"/>
        <w:gridCol w:w="2322"/>
        <w:gridCol w:w="3143"/>
      </w:tblGrid>
      <w:tr>
        <w:trPr>
          <w:trHeight w:val="402" w:hRule="exact"/>
        </w:trPr>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3" w:right="0"/>
              <w:jc w:val="left"/>
              <w:rPr>
                <w:rFonts w:ascii="Times New Roman" w:hAnsi="Times New Roman" w:cs="Times New Roman" w:eastAsia="Times New Roman" w:hint="default"/>
                <w:sz w:val="18"/>
                <w:szCs w:val="18"/>
              </w:rPr>
            </w:pPr>
            <w:r>
              <w:rPr>
                <w:rFonts w:ascii="Times New Roman"/>
                <w:sz w:val="18"/>
              </w:rPr>
              <w:t>123,831,490.05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27.53%</w:t>
            </w:r>
          </w:p>
        </w:tc>
      </w:tr>
    </w:tbl>
    <w:p>
      <w:pPr>
        <w:pStyle w:val="BodyText"/>
        <w:spacing w:line="240" w:lineRule="auto" w:before="51"/>
        <w:ind w:left="154" w:right="0"/>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38,037,976.84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29.55%</w:t>
            </w:r>
          </w:p>
        </w:tc>
      </w:tr>
    </w:tbl>
    <w:p>
      <w:pPr>
        <w:pStyle w:val="BodyText"/>
        <w:spacing w:line="240" w:lineRule="auto" w:before="51"/>
        <w:ind w:left="154"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10,085,470.08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9,259,829.07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7,082,318.77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6,837,606.80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4,772,752.12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38,037,976.84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29.55%</w:t>
            </w:r>
          </w:p>
        </w:tc>
      </w:tr>
    </w:tbl>
    <w:p>
      <w:pPr>
        <w:pStyle w:val="BodyText"/>
        <w:spacing w:line="240" w:lineRule="auto" w:before="51"/>
        <w:ind w:left="154" w:right="0"/>
        <w:jc w:val="left"/>
      </w:pPr>
      <w:r>
        <w:rPr/>
        <w:t>主要供应商其他情况说明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41,185,588.42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36,099,216.67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72,642,209.59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61,336,015.67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-1,717,641.02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-482,502.80</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主要是本期银行存款利息收入增加</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6"/>
        <w:spacing w:line="273" w:lineRule="auto" w:before="77"/>
        <w:ind w:left="153" w:right="1025" w:firstLine="252"/>
        <w:jc w:val="left"/>
      </w:pPr>
      <w:r>
        <w:rPr>
          <w:spacing w:val="-4"/>
        </w:rPr>
        <w:t>为顺应行业发展，满足市场需求，公司于本年度启动了一批研发项目，在人力资源和社会保障、公积金、</w:t>
      </w:r>
      <w:r>
        <w:rPr/>
        <w:t> 医疗卫生、民政、食药监、技术平台等多条产品线进行了产品研发，同时持续完善产品研发管理体系。</w:t>
      </w:r>
    </w:p>
    <w:p>
      <w:pPr>
        <w:pStyle w:val="Heading6"/>
        <w:spacing w:line="273" w:lineRule="auto"/>
        <w:ind w:left="153" w:right="0" w:firstLine="300"/>
        <w:jc w:val="left"/>
      </w:pPr>
      <w:r>
        <w:rPr/>
        <w:t>通过研发项目的进行，将进一步完善公司产品线，并有助于形成更加高效的产品研发管理体系。目前 </w:t>
      </w:r>
      <w:r>
        <w:rPr>
          <w:spacing w:val="-1"/>
        </w:rPr>
        <w:t>各项目进展情况良好。本年度所进行的研发项目，将对公司打造智慧民生生态链、实现更大的市场区域覆</w:t>
      </w:r>
      <w:r>
        <w:rPr>
          <w:spacing w:val="-83"/>
        </w:rPr>
        <w:t> </w:t>
      </w:r>
      <w:r>
        <w:rPr>
          <w:spacing w:val="-83"/>
        </w:rPr>
      </w:r>
      <w:r>
        <w:rPr/>
        <w:t>盖、促进多板块快速健康发展起到积极作用。</w:t>
      </w:r>
    </w:p>
    <w:p>
      <w:pPr>
        <w:spacing w:line="240" w:lineRule="auto" w:before="7"/>
        <w:rPr>
          <w:rFonts w:ascii="宋体" w:hAnsi="宋体" w:cs="宋体" w:eastAsia="宋体" w:hint="default"/>
          <w:sz w:val="29"/>
          <w:szCs w:val="29"/>
        </w:rPr>
      </w:pPr>
    </w:p>
    <w:p>
      <w:pPr>
        <w:pStyle w:val="BodyText"/>
        <w:spacing w:line="240" w:lineRule="auto" w:before="0"/>
        <w:ind w:left="154" w:right="0"/>
        <w:jc w:val="left"/>
      </w:pPr>
      <w:r>
        <w:rPr/>
        <w:t>公司研发投入情况</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31,610,518.41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24,650,251.63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10,608,272.23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7,164,133.05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48.07%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w:t>
            </w:r>
          </w:p>
        </w:tc>
      </w:tr>
    </w:tbl>
    <w:p>
      <w:pPr>
        <w:pStyle w:val="BodyText"/>
        <w:spacing w:line="240" w:lineRule="auto" w:before="51"/>
        <w:ind w:left="154" w:right="0"/>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540,869,674.50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467,478,072.22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445,959,514.61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378,517,928.79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94,910,159.89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88,960,143.43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73,786.41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3,909.19%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12,168,835.69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12,520,211.47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-12,095,049.28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-12,518,371.04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1,231.33%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75,780,621.61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55,878,217.77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123,919,378.39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-40,878,217.77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206,734,489.00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35,563,554.62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481.31%</w:t>
            </w:r>
          </w:p>
        </w:tc>
      </w:tr>
    </w:tbl>
    <w:p>
      <w:pPr>
        <w:pStyle w:val="BodyText"/>
        <w:spacing w:line="240" w:lineRule="auto" w:before="51"/>
        <w:ind w:left="154" w:right="0"/>
        <w:jc w:val="left"/>
      </w:pPr>
      <w:r>
        <w:rPr/>
        <w:t>相关数据同比发生重大变动的主要影响因素说明</w:t>
      </w:r>
    </w:p>
    <w:p>
      <w:pPr>
        <w:pStyle w:val="BodyText"/>
        <w:spacing w:line="319" w:lineRule="auto" w:before="117"/>
        <w:ind w:left="445" w:right="1118" w:hanging="2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spacing w:val="-1"/>
        </w:rPr>
        <w:t>1</w:t>
      </w:r>
      <w:r>
        <w:rPr>
          <w:spacing w:val="-1"/>
        </w:rPr>
        <w:t>、经营活动产生的现金流量净额增长</w:t>
      </w:r>
      <w:r>
        <w:rPr>
          <w:rFonts w:ascii="Times New Roman" w:hAnsi="Times New Roman" w:cs="Times New Roman" w:eastAsia="Times New Roman" w:hint="default"/>
          <w:spacing w:val="-1"/>
        </w:rPr>
        <w:t>6.69%</w:t>
      </w:r>
      <w:r>
        <w:rPr>
          <w:spacing w:val="-1"/>
        </w:rPr>
        <w:t>，主要是经营活动现金流入增长大于经营活动现金流出，其中，收到销售商</w:t>
      </w:r>
      <w:r>
        <w:rPr/>
        <w:t> 品提供劳务现金和政府补助均比上年增长；</w:t>
      </w:r>
    </w:p>
    <w:p>
      <w:pPr>
        <w:pStyle w:val="BodyText"/>
        <w:spacing w:line="240" w:lineRule="auto" w:before="17"/>
        <w:ind w:left="445" w:right="0"/>
        <w:jc w:val="left"/>
      </w:pPr>
      <w:r>
        <w:rPr>
          <w:rFonts w:ascii="Times New Roman" w:hAnsi="Times New Roman" w:cs="Times New Roman" w:eastAsia="Times New Roman" w:hint="default"/>
        </w:rPr>
        <w:t>2</w:t>
      </w:r>
      <w:r>
        <w:rPr/>
        <w:t>、投资活动产生的现金流量净额同比下降</w:t>
      </w:r>
      <w:r>
        <w:rPr>
          <w:rFonts w:ascii="Times New Roman" w:hAnsi="Times New Roman" w:cs="Times New Roman" w:eastAsia="Times New Roman" w:hint="default"/>
        </w:rPr>
        <w:t>3.38%</w:t>
      </w:r>
      <w:r>
        <w:rPr/>
        <w:t>，增减变动较小。</w:t>
      </w:r>
    </w:p>
    <w:p>
      <w:pPr>
        <w:pStyle w:val="BodyText"/>
        <w:spacing w:line="240" w:lineRule="auto" w:before="63"/>
        <w:ind w:left="445" w:right="0"/>
        <w:jc w:val="left"/>
      </w:pPr>
      <w:r>
        <w:rPr>
          <w:rFonts w:ascii="Times New Roman" w:hAnsi="Times New Roman" w:cs="Times New Roman" w:eastAsia="Times New Roman" w:hint="default"/>
        </w:rPr>
        <w:t>3</w:t>
      </w:r>
      <w:r>
        <w:rPr/>
        <w:t>、筹资活动产生的现金流量净额同比增加</w:t>
      </w:r>
      <w:r>
        <w:rPr>
          <w:rFonts w:ascii="Times New Roman" w:hAnsi="Times New Roman" w:cs="Times New Roman" w:eastAsia="Times New Roman" w:hint="default"/>
        </w:rPr>
        <w:t>1.65</w:t>
      </w:r>
      <w:r>
        <w:rPr/>
        <w:t>亿元，主要是公司公开发行股票募集资金到位增加</w:t>
      </w:r>
      <w:r>
        <w:rPr>
          <w:rFonts w:ascii="Times New Roman" w:hAnsi="Times New Roman" w:cs="Times New Roman" w:eastAsia="Times New Roman" w:hint="default"/>
        </w:rPr>
        <w:t>1.997</w:t>
      </w:r>
      <w:r>
        <w:rPr/>
        <w:t>亿元。</w:t>
      </w:r>
    </w:p>
    <w:p>
      <w:pPr>
        <w:pStyle w:val="BodyText"/>
        <w:spacing w:line="240" w:lineRule="auto" w:before="63"/>
        <w:ind w:left="445" w:right="0"/>
        <w:jc w:val="left"/>
      </w:pPr>
      <w:r>
        <w:rPr>
          <w:rFonts w:ascii="Times New Roman" w:hAnsi="Times New Roman" w:cs="Times New Roman" w:eastAsia="Times New Roman" w:hint="default"/>
        </w:rPr>
        <w:t>4</w:t>
      </w:r>
      <w:r>
        <w:rPr/>
        <w:t>、现金及现金等价物净同比增加</w:t>
      </w:r>
      <w:r>
        <w:rPr>
          <w:rFonts w:ascii="Times New Roman" w:hAnsi="Times New Roman" w:cs="Times New Roman" w:eastAsia="Times New Roman" w:hint="default"/>
        </w:rPr>
        <w:t>481.31%</w:t>
      </w:r>
      <w:r>
        <w:rPr/>
        <w:t>，主要是公司公开发行股票募集资金增加。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9"/>
          <w:szCs w:val="19"/>
        </w:rPr>
      </w:pPr>
    </w:p>
    <w:p>
      <w:pPr>
        <w:pStyle w:val="BodyText"/>
        <w:spacing w:line="240" w:lineRule="auto" w:before="0"/>
        <w:ind w:left="154" w:right="0"/>
        <w:jc w:val="left"/>
      </w:pPr>
      <w:r>
        <w:rPr/>
        <w:t>报告期内公司经营活动产生的现金净流量与本年度净利润存在重大差异的原因说明</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3"/>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2"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1" w:right="0"/>
              <w:jc w:val="left"/>
              <w:rPr>
                <w:rFonts w:ascii="Times New Roman" w:hAnsi="Times New Roman" w:cs="Times New Roman" w:eastAsia="Times New Roman" w:hint="default"/>
                <w:sz w:val="18"/>
                <w:szCs w:val="18"/>
              </w:rPr>
            </w:pPr>
            <w:r>
              <w:rPr>
                <w:rFonts w:ascii="Times New Roman"/>
                <w:sz w:val="18"/>
              </w:rPr>
              <w:t>-2,072,502.82</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-2.74%</w:t>
            </w:r>
          </w:p>
        </w:tc>
        <w:tc>
          <w:tcPr>
            <w:tcW w:w="2254" w:type="dxa"/>
            <w:vMerge w:val="restart"/>
            <w:tcBorders>
              <w:top w:val="single" w:sz="4" w:space="0" w:color="000000"/>
              <w:left w:val="single" w:sz="4" w:space="0" w:color="000000"/>
              <w:right w:val="single" w:sz="4" w:space="0" w:color="000000"/>
            </w:tcBorders>
          </w:tcPr>
          <w:p>
            <w:pPr>
              <w:pStyle w:val="TableParagraph"/>
              <w:spacing w:line="300" w:lineRule="auto" w:before="51"/>
              <w:ind w:left="23" w:right="58"/>
              <w:jc w:val="left"/>
              <w:rPr>
                <w:rFonts w:ascii="宋体" w:hAnsi="宋体" w:cs="宋体" w:eastAsia="宋体" w:hint="default"/>
                <w:sz w:val="18"/>
                <w:szCs w:val="18"/>
              </w:rPr>
            </w:pPr>
            <w:r>
              <w:rPr>
                <w:rFonts w:ascii="宋体" w:hAnsi="宋体" w:cs="宋体" w:eastAsia="宋体" w:hint="default"/>
                <w:sz w:val="18"/>
                <w:szCs w:val="18"/>
              </w:rPr>
              <w:t>本期确认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家联营公司的投 资收益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4,839,990.66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6.40%</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应收款项计提坏账准备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3,636,584.25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政府补助和固定资产处置</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29,535.40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0.04%</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3"/>
        <w:spacing w:line="240" w:lineRule="auto" w:before="26"/>
        <w:ind w:left="154"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7"/>
        <w:gridCol w:w="1175"/>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468,364,511.7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49.60%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262,339,407.56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38.04%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11.56%</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主要是公开发行股票募集资金增加</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65,515,025.95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51,204,193.15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-0.49%</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75"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252,950,882.4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26.79%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226,752,852.80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32.88%</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-6.09%</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5"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75"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12,945,623.28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16,459,342.13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5,773,658.11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7,846,160.93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45,137,157.83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41,421,348.25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-1.23%</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110,937.95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5" w:type="dxa"/>
            <w:tcBorders>
              <w:top w:val="single" w:sz="4" w:space="0" w:color="000000"/>
              <w:left w:val="single" w:sz="13" w:space="0" w:color="D2D2D2"/>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ind w:left="0" w:right="1158"/>
        <w:jc w:val="right"/>
      </w:pPr>
      <w:r>
        <w:rPr/>
        <w:pict>
          <v:shape style="position:absolute;margin-left:56.459999pt;margin-top:-268.468292pt;width:479pt;height:335.0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0"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962"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85"/>
                          <w:jc w:val="center"/>
                          <w:rPr>
                            <w:rFonts w:ascii="宋体" w:hAnsi="宋体" w:cs="宋体" w:eastAsia="宋体" w:hint="default"/>
                            <w:sz w:val="18"/>
                            <w:szCs w:val="18"/>
                          </w:rPr>
                        </w:pPr>
                        <w:r>
                          <w:rPr>
                            <w:rFonts w:ascii="宋体" w:hAnsi="宋体" w:cs="宋体" w:eastAsia="宋体" w:hint="default"/>
                            <w:sz w:val="18"/>
                            <w:szCs w:val="18"/>
                          </w:rPr>
                          <w:t>发行上市</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22,920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2,950.01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2,950.01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19,969.99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公司尚未 使用的其 他募集资 金均存放 于募集资 金专户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22,920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2,950.01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2,950.01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19,969.99</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2586"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经中国证券监督管理委员会《关于核准四川久远银海软件股份有限公司首次公开发行股票的批复》</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[2015]1374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核准，由主承销商广发证券股份有限公司采用网下向投资者询价配售与网上按市值申购定价发行相结合的方式发行人 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股，发行价格为每股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11.46</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元。截至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日止，公司实际已向社会公开发行 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股，募集资金总额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229,200,000.00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元，扣除承销费和保荐费</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29,500,000.00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元后的募集 资金为人民币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199,700,000.00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元，已由广发证券股份有限公司于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日存入公司开立的人民币募集资金账户</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扣除其他发行费用人民币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10,649,972.30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元后，计募集资金净额为人民币</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189,050,027.70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元。上述资金到位情况业经立信会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计师事务所（特殊普通合伙）验证，并由其出具信会师报字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115808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号验资报告。截止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日，扣除</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专户手续费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元后募集资金余额为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199,699,900.00 </w:t>
                        </w:r>
                        <w:r>
                          <w:rPr>
                            <w:rFonts w:ascii="宋体" w:hAnsi="宋体" w:cs="宋体" w:eastAsia="宋体" w:hint="default"/>
                            <w:sz w:val="18"/>
                            <w:szCs w:val="18"/>
                          </w:rPr>
                          <w:t>元。</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城乡一体化人力资源 和社会保障软件产品 升级与产业化项目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6,249.9</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医疗融合应用软件产 品项目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3,232.2</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95.97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运维服务中心建设项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3,220.4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3,220.4</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131.75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民生领域软件研发平 台升级项目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2,208</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18,910.5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536.71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18,910.5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18,910.5</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536.71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6" w:right="25"/>
              <w:jc w:val="left"/>
              <w:rPr>
                <w:rFonts w:ascii="宋体" w:hAnsi="宋体" w:cs="宋体" w:eastAsia="宋体" w:hint="default"/>
                <w:sz w:val="18"/>
                <w:szCs w:val="18"/>
              </w:rPr>
            </w:pPr>
            <w:r>
              <w:rPr>
                <w:rFonts w:ascii="宋体" w:hAnsi="宋体" w:cs="宋体" w:eastAsia="宋体" w:hint="default"/>
                <w:sz w:val="18"/>
                <w:szCs w:val="18"/>
              </w:rPr>
              <w:t>由于募集资金延迟到位，募投项目未达到计划进度，但项目中的部分功能已达到可使用状态。运维 服务中心建设项目因此未达到预计收益。</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251" w:hRule="exact"/>
        </w:trPr>
        <w:tc>
          <w:tcPr>
            <w:tcW w:w="1770"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77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vMerge/>
            <w:tcBorders>
              <w:left w:val="single" w:sz="4" w:space="0" w:color="000000"/>
              <w:right w:val="single" w:sz="4" w:space="0" w:color="000000"/>
            </w:tcBorders>
            <w:shd w:val="clear" w:color="auto" w:fill="D2D2D2"/>
          </w:tcPr>
          <w:p>
            <w:pPr/>
          </w:p>
        </w:tc>
        <w:tc>
          <w:tcPr>
            <w:tcW w:w="7798" w:type="dxa"/>
            <w:gridSpan w:val="10"/>
            <w:tcBorders>
              <w:top w:val="single" w:sz="4" w:space="0" w:color="000000"/>
              <w:left w:val="single" w:sz="9" w:space="0" w:color="D2D2D2"/>
              <w:bottom w:val="single" w:sz="4" w:space="0" w:color="000000"/>
              <w:right w:val="single" w:sz="4" w:space="0" w:color="000000"/>
            </w:tcBorders>
          </w:tcPr>
          <w:p>
            <w:pPr/>
          </w:p>
        </w:tc>
      </w:tr>
      <w:tr>
        <w:trPr>
          <w:trHeight w:val="151" w:hRule="exact"/>
        </w:trPr>
        <w:tc>
          <w:tcPr>
            <w:tcW w:w="1770" w:type="dxa"/>
            <w:vMerge/>
            <w:tcBorders>
              <w:left w:val="single" w:sz="4" w:space="0" w:color="000000"/>
              <w:bottom w:val="nil" w:sz="6" w:space="0" w:color="auto"/>
              <w:right w:val="single" w:sz="4" w:space="0" w:color="000000"/>
            </w:tcBorders>
            <w:shd w:val="clear" w:color="auto" w:fill="D2D2D2"/>
          </w:tcPr>
          <w:p>
            <w:pPr/>
          </w:p>
        </w:tc>
        <w:tc>
          <w:tcPr>
            <w:tcW w:w="7798" w:type="dxa"/>
            <w:gridSpan w:val="10"/>
            <w:vMerge w:val="restart"/>
            <w:tcBorders>
              <w:top w:val="single" w:sz="4" w:space="0" w:color="000000"/>
              <w:left w:val="single" w:sz="9" w:space="0" w:color="D2D2D2"/>
              <w:right w:val="single" w:sz="4" w:space="0" w:color="000000"/>
            </w:tcBorders>
          </w:tcPr>
          <w:p>
            <w:pPr/>
          </w:p>
        </w:tc>
      </w:tr>
      <w:tr>
        <w:trPr>
          <w:trHeight w:val="251" w:hRule="exact"/>
        </w:trPr>
        <w:tc>
          <w:tcPr>
            <w:tcW w:w="1770"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8" w:type="dxa"/>
            <w:gridSpan w:val="10"/>
            <w:vMerge/>
            <w:tcBorders>
              <w:left w:val="single" w:sz="9" w:space="0" w:color="D2D2D2"/>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募集资金投资项目实</w:t>
            </w:r>
          </w:p>
        </w:tc>
        <w:tc>
          <w:tcPr>
            <w:tcW w:w="7798" w:type="dxa"/>
            <w:gridSpan w:val="10"/>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施方式调整情况</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4"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tabs>
                <w:tab w:pos="5965" w:val="left" w:leader="none"/>
              </w:tabs>
              <w:spacing w:line="307" w:lineRule="auto" w:before="51"/>
              <w:ind w:left="22" w:right="19" w:firstLine="360"/>
              <w:jc w:val="left"/>
              <w:rPr>
                <w:rFonts w:ascii="宋体" w:hAnsi="宋体" w:cs="宋体" w:eastAsia="宋体" w:hint="default"/>
                <w:sz w:val="18"/>
                <w:szCs w:val="18"/>
              </w:rPr>
            </w:pPr>
            <w:r>
              <w:rPr>
                <w:rFonts w:ascii="宋体" w:hAnsi="宋体" w:cs="宋体" w:eastAsia="宋体" w:hint="default"/>
                <w:sz w:val="18"/>
                <w:szCs w:val="18"/>
              </w:rPr>
              <w:t>根据立信会计师事务所（特殊普通合伙）出具的《关于四川久远银海软件股份有限公司以自筹 </w:t>
            </w:r>
            <w:r>
              <w:rPr>
                <w:rFonts w:ascii="宋体" w:hAnsi="宋体" w:cs="宋体" w:eastAsia="宋体" w:hint="default"/>
                <w:spacing w:val="-4"/>
                <w:sz w:val="18"/>
                <w:szCs w:val="18"/>
              </w:rPr>
              <w:t>资金预先投入募投项目的鉴证报告》（信会师报字</w:t>
            </w:r>
            <w:r>
              <w:rPr>
                <w:rFonts w:ascii="Times New Roman" w:hAnsi="Times New Roman" w:cs="Times New Roman" w:eastAsia="Times New Roman" w:hint="default"/>
                <w:spacing w:val="-4"/>
                <w:sz w:val="18"/>
                <w:szCs w:val="18"/>
              </w:rPr>
              <w:t>[2016]</w:t>
            </w:r>
            <w:r>
              <w:rPr>
                <w:rFonts w:ascii="宋体" w:hAnsi="宋体" w:cs="宋体" w:eastAsia="宋体" w:hint="default"/>
                <w:spacing w:val="-4"/>
                <w:sz w:val="18"/>
                <w:szCs w:val="18"/>
              </w:rPr>
              <w:t>第</w:t>
            </w:r>
            <w:r>
              <w:rPr>
                <w:rFonts w:ascii="宋体" w:hAnsi="宋体" w:cs="宋体" w:eastAsia="宋体" w:hint="default"/>
                <w:sz w:val="18"/>
                <w:szCs w:val="18"/>
              </w:rPr>
              <w:t> </w:t>
            </w:r>
            <w:r>
              <w:rPr>
                <w:rFonts w:ascii="Times New Roman" w:hAnsi="Times New Roman" w:cs="Times New Roman" w:eastAsia="Times New Roman" w:hint="default"/>
                <w:spacing w:val="-3"/>
                <w:sz w:val="18"/>
                <w:szCs w:val="18"/>
              </w:rPr>
              <w:t>111443</w:t>
            </w:r>
            <w:r>
              <w:rPr>
                <w:rFonts w:ascii="Times New Roman" w:hAnsi="Times New Roman" w:cs="Times New Roman" w:eastAsia="Times New Roman" w:hint="default"/>
                <w:sz w:val="18"/>
                <w:szCs w:val="18"/>
              </w:rPr>
              <w:t> </w:t>
            </w:r>
            <w:r>
              <w:rPr>
                <w:rFonts w:ascii="宋体" w:hAnsi="宋体" w:cs="宋体" w:eastAsia="宋体" w:hint="default"/>
                <w:sz w:val="18"/>
                <w:szCs w:val="18"/>
              </w:rPr>
              <w:t>号</w:t>
            </w:r>
            <w:r>
              <w:rPr>
                <w:rFonts w:ascii="宋体" w:hAnsi="宋体" w:cs="宋体" w:eastAsia="宋体" w:hint="default"/>
                <w:spacing w:val="-26"/>
                <w:sz w:val="18"/>
                <w:szCs w:val="18"/>
              </w:rPr>
              <w:t> </w:t>
            </w:r>
            <w:r>
              <w:rPr>
                <w:rFonts w:ascii="宋体" w:hAnsi="宋体" w:cs="宋体" w:eastAsia="宋体" w:hint="default"/>
                <w:spacing w:val="-45"/>
                <w:sz w:val="18"/>
                <w:szCs w:val="18"/>
              </w:rPr>
              <w:t>）。</w:t>
              <w:tab/>
            </w:r>
            <w:r>
              <w:rPr>
                <w:rFonts w:ascii="宋体" w:hAnsi="宋体" w:cs="宋体" w:eastAsia="宋体" w:hint="default"/>
                <w:sz w:val="18"/>
                <w:szCs w:val="18"/>
              </w:rPr>
              <w:t>截至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日止，公司投入</w:t>
            </w:r>
            <w:r>
              <w:rPr>
                <w:rFonts w:ascii="Times New Roman" w:hAnsi="Times New Roman" w:cs="Times New Roman" w:eastAsia="Times New Roman" w:hint="default"/>
                <w:sz w:val="18"/>
                <w:szCs w:val="18"/>
              </w:rPr>
              <w:t>“</w:t>
            </w:r>
            <w:r>
              <w:rPr>
                <w:rFonts w:ascii="宋体" w:hAnsi="宋体" w:cs="宋体" w:eastAsia="宋体" w:hint="default"/>
                <w:sz w:val="18"/>
                <w:szCs w:val="18"/>
              </w:rPr>
              <w:t>城乡一体化人力资源和社会保障软件产品升级与产业化项目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的自筹资金为 </w:t>
            </w:r>
            <w:r>
              <w:rPr>
                <w:rFonts w:ascii="Times New Roman" w:hAnsi="Times New Roman" w:cs="Times New Roman" w:eastAsia="Times New Roman" w:hint="default"/>
                <w:sz w:val="18"/>
                <w:szCs w:val="18"/>
              </w:rPr>
              <w:t>1773.87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万元，投入</w:t>
            </w:r>
            <w:r>
              <w:rPr>
                <w:rFonts w:ascii="Times New Roman" w:hAnsi="Times New Roman" w:cs="Times New Roman" w:eastAsia="Times New Roman" w:hint="default"/>
                <w:sz w:val="18"/>
                <w:szCs w:val="18"/>
              </w:rPr>
              <w:t>“</w:t>
            </w:r>
            <w:r>
              <w:rPr>
                <w:rFonts w:ascii="宋体" w:hAnsi="宋体" w:cs="宋体" w:eastAsia="宋体" w:hint="default"/>
                <w:sz w:val="18"/>
                <w:szCs w:val="18"/>
              </w:rPr>
              <w:t>医疗融合应用软件产品项目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的自筹资金为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372.18</w:t>
            </w:r>
            <w:r>
              <w:rPr>
                <w:rFonts w:ascii="Times New Roman" w:hAnsi="Times New Roman" w:cs="Times New Roman" w:eastAsia="Times New Roman" w:hint="default"/>
                <w:spacing w:val="35"/>
                <w:sz w:val="18"/>
                <w:szCs w:val="18"/>
              </w:rPr>
              <w:t> </w:t>
            </w:r>
            <w:r>
              <w:rPr>
                <w:rFonts w:ascii="宋体" w:hAnsi="宋体" w:cs="宋体" w:eastAsia="宋体" w:hint="default"/>
                <w:spacing w:val="-3"/>
                <w:sz w:val="18"/>
                <w:szCs w:val="18"/>
              </w:rPr>
              <w:t>万元，投入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运维服务中心建</w:t>
            </w:r>
          </w:p>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设项目</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的自筹资金为</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12.42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投入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sz w:val="18"/>
                <w:szCs w:val="18"/>
              </w:rPr>
              <w:t>民</w:t>
            </w:r>
            <w:r>
              <w:rPr>
                <w:rFonts w:ascii="宋体" w:hAnsi="宋体" w:cs="宋体" w:eastAsia="宋体" w:hint="default"/>
                <w:sz w:val="18"/>
                <w:szCs w:val="18"/>
              </w:rPr>
              <w:t>生领域软件研发平台升级项目</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的自筹资金为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1392.69  </w:t>
            </w:r>
            <w:r>
              <w:rPr>
                <w:rFonts w:ascii="宋体" w:hAnsi="宋体" w:cs="宋体" w:eastAsia="宋体" w:hint="default"/>
                <w:sz w:val="18"/>
                <w:szCs w:val="18"/>
              </w:rPr>
              <w:t>万</w:t>
            </w:r>
          </w:p>
          <w:p>
            <w:pPr>
              <w:pStyle w:val="TableParagraph"/>
              <w:spacing w:line="302" w:lineRule="auto" w:before="63"/>
              <w:ind w:left="22" w:right="69"/>
              <w:jc w:val="left"/>
              <w:rPr>
                <w:rFonts w:ascii="宋体" w:hAnsi="宋体" w:cs="宋体" w:eastAsia="宋体" w:hint="default"/>
                <w:sz w:val="18"/>
                <w:szCs w:val="18"/>
              </w:rPr>
            </w:pPr>
            <w:r>
              <w:rPr>
                <w:rFonts w:ascii="宋体" w:hAnsi="宋体" w:cs="宋体" w:eastAsia="宋体" w:hint="default"/>
                <w:sz w:val="18"/>
                <w:szCs w:val="18"/>
              </w:rPr>
              <w:t>元。上述预先投入的自筹资金共计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3651.16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万元，已通过公司董事会决议，同意用募集资金置换。 截至本报告出具日，置换事项尚未完成。</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公司尚未使用的募集资金均存放于募集资金专户管理。</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3"/>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公司报告期内无应当披露的重要控股参股公司信息。</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444" w:right="0" w:hanging="291"/>
        <w:jc w:val="left"/>
      </w:pPr>
      <w:r>
        <w:rPr/>
        <w:t>（一）公司所处行业的发展趋势 </w:t>
      </w:r>
      <w:r>
        <w:rPr>
          <w:spacing w:val="-1"/>
        </w:rPr>
        <w:t>伴随信息通信技术的迅速发展和应用的不断深化，软件与网络深度耦合，软件与硬件、应用和服务紧密融合，软件和信</w:t>
      </w:r>
    </w:p>
    <w:p>
      <w:pPr>
        <w:pStyle w:val="BodyText"/>
        <w:spacing w:line="309" w:lineRule="auto" w:before="19"/>
        <w:ind w:right="1129"/>
        <w:jc w:val="both"/>
      </w:pPr>
      <w:r>
        <w:rPr>
          <w:spacing w:val="-2"/>
        </w:rPr>
        <w:t>息技术服务业加快向网络化、服务化、体系化和融合化方向演进。基于云计算、物联网、移动互联网、下一代互联网等的新</w:t>
      </w:r>
      <w:r>
        <w:rPr>
          <w:spacing w:val="-68"/>
        </w:rPr>
        <w:t> </w:t>
      </w:r>
      <w:r>
        <w:rPr>
          <w:spacing w:val="-68"/>
        </w:rPr>
      </w:r>
      <w:r>
        <w:rPr>
          <w:spacing w:val="-2"/>
        </w:rPr>
        <w:t>兴服务将推动服务模式、商业模式不断创新。信息技术应用与业务融合日趋紧密，</w:t>
      </w:r>
      <w:r>
        <w:rPr>
          <w:rFonts w:ascii="Times New Roman" w:hAnsi="Times New Roman" w:cs="Times New Roman" w:eastAsia="Times New Roman" w:hint="default"/>
          <w:spacing w:val="-2"/>
        </w:rPr>
        <w:t>IT</w:t>
      </w:r>
      <w:r>
        <w:rPr>
          <w:spacing w:val="-2"/>
        </w:rPr>
        <w:t>软件行业正成为社会、经济各领域重要</w:t>
      </w:r>
      <w:r>
        <w:rPr>
          <w:spacing w:val="-52"/>
        </w:rPr>
        <w:t> </w:t>
      </w:r>
      <w:r>
        <w:rPr>
          <w:spacing w:val="-52"/>
        </w:rPr>
      </w:r>
      <w:r>
        <w:rPr/>
        <w:t>的支撑工具。</w:t>
      </w:r>
    </w:p>
    <w:p>
      <w:pPr>
        <w:pStyle w:val="BodyText"/>
        <w:spacing w:line="316" w:lineRule="auto" w:before="24"/>
        <w:ind w:right="0" w:firstLine="290"/>
        <w:jc w:val="left"/>
      </w:pPr>
      <w:r>
        <w:rPr>
          <w:spacing w:val="-1"/>
        </w:rPr>
        <w:t>随着经济社会和信息技术的不断发展，政府部门和社会公众均对提高人力资源和社会保障行政能力和服务水平提出了新</w:t>
      </w:r>
      <w:r>
        <w:rPr/>
        <w:t> 的要求，人力资源和社会保障等民生领域的信息化进入了快速发展阶段。</w:t>
      </w:r>
    </w:p>
    <w:p>
      <w:pPr>
        <w:pStyle w:val="BodyText"/>
        <w:spacing w:line="300" w:lineRule="auto" w:before="19"/>
        <w:ind w:left="371" w:right="0" w:hanging="72"/>
        <w:jc w:val="left"/>
      </w:pPr>
      <w:r>
        <w:rPr>
          <w:rFonts w:ascii="Times New Roman" w:hAnsi="Times New Roman" w:cs="Times New Roman" w:eastAsia="Times New Roman" w:hint="default"/>
        </w:rPr>
        <w:t>1</w:t>
      </w:r>
      <w:r>
        <w:rPr/>
        <w:t>、城乡统筹为人社信息化工作赋予了新的内容 </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时期，人力资源社会保障部工作更加注重城乡统筹发展，机关事业单位养老保险将由试点转向全面实施，社会</w:t>
      </w:r>
    </w:p>
    <w:p>
      <w:pPr>
        <w:pStyle w:val="BodyText"/>
        <w:spacing w:line="316" w:lineRule="auto" w:before="13"/>
        <w:ind w:right="1131"/>
        <w:jc w:val="both"/>
      </w:pPr>
      <w:r>
        <w:rPr>
          <w:spacing w:val="-2"/>
        </w:rPr>
        <w:t>保险将实现全民覆盖，不但需要在制度、政策和管理服务上实现对城乡各类群体的全面工作覆盖，同时要统筹安排，实现城</w:t>
      </w:r>
      <w:r>
        <w:rPr>
          <w:spacing w:val="-66"/>
        </w:rPr>
        <w:t> </w:t>
      </w:r>
      <w:r>
        <w:rPr>
          <w:spacing w:val="-66"/>
        </w:rPr>
      </w:r>
      <w:r>
        <w:rPr/>
        <w:t>乡制度之间的有效衔接和融合。</w:t>
      </w:r>
    </w:p>
    <w:p>
      <w:pPr>
        <w:pStyle w:val="BodyText"/>
        <w:spacing w:line="300" w:lineRule="auto" w:before="19"/>
        <w:ind w:left="371" w:right="0" w:hanging="72"/>
        <w:jc w:val="left"/>
      </w:pPr>
      <w:r>
        <w:rPr>
          <w:rFonts w:ascii="Times New Roman" w:hAnsi="Times New Roman" w:cs="Times New Roman" w:eastAsia="Times New Roman" w:hint="default"/>
        </w:rPr>
        <w:t>2</w:t>
      </w:r>
      <w:r>
        <w:rPr/>
        <w:t>、跨地区业务协作对信息化建设提出新的需求 </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时期，人力资源流动规模会随之加大，人力资源社会保障工作需要更好地适应流动性要求，提高社会保险统筹</w:t>
      </w:r>
    </w:p>
    <w:p>
      <w:pPr>
        <w:pStyle w:val="BodyText"/>
        <w:spacing w:line="316" w:lineRule="auto" w:before="13"/>
        <w:ind w:right="1131"/>
        <w:jc w:val="both"/>
      </w:pPr>
      <w:r>
        <w:rPr>
          <w:spacing w:val="-2"/>
        </w:rPr>
        <w:t>层次，做好流动人员跨地区就业和人才服务、社会保障关系转移接续服务、异地就医结算服务等工作，努力消除影响人力资</w:t>
      </w:r>
      <w:r>
        <w:rPr>
          <w:spacing w:val="-66"/>
        </w:rPr>
        <w:t> </w:t>
      </w:r>
      <w:r>
        <w:rPr>
          <w:spacing w:val="-66"/>
        </w:rPr>
      </w:r>
      <w:r>
        <w:rPr/>
        <w:t>源合理流动和优化配置的制度、政策和公共服务障碍。</w:t>
      </w:r>
    </w:p>
    <w:p>
      <w:pPr>
        <w:pStyle w:val="BodyText"/>
        <w:spacing w:line="300" w:lineRule="auto" w:before="19"/>
        <w:ind w:left="444" w:right="1122" w:hanging="146"/>
        <w:jc w:val="left"/>
      </w:pPr>
      <w:r>
        <w:rPr>
          <w:rFonts w:ascii="Times New Roman" w:hAnsi="Times New Roman" w:cs="Times New Roman" w:eastAsia="Times New Roman" w:hint="default"/>
        </w:rPr>
        <w:t>3</w:t>
      </w:r>
      <w:r>
        <w:rPr/>
        <w:t>、精确管理对人社信息化工作提出了更高要求 党的十八届三中全会将</w:t>
      </w:r>
      <w:r>
        <w:rPr>
          <w:rFonts w:ascii="Times New Roman" w:hAnsi="Times New Roman" w:cs="Times New Roman" w:eastAsia="Times New Roman" w:hint="default"/>
        </w:rPr>
        <w:t>“</w:t>
      </w:r>
      <w:r>
        <w:rPr/>
        <w:t>推进国家治理体系和治理能力现代化</w:t>
      </w:r>
      <w:r>
        <w:rPr>
          <w:rFonts w:ascii="Times New Roman" w:hAnsi="Times New Roman" w:cs="Times New Roman" w:eastAsia="Times New Roman" w:hint="default"/>
        </w:rPr>
        <w:t>”</w:t>
      </w:r>
      <w:r>
        <w:rPr/>
        <w:t>作为了全面深化改革的总目标，对人力资源和社会保障业</w:t>
      </w:r>
    </w:p>
    <w:p>
      <w:pPr>
        <w:pStyle w:val="BodyText"/>
        <w:spacing w:line="316" w:lineRule="auto" w:before="13"/>
        <w:ind w:right="1133"/>
        <w:jc w:val="both"/>
      </w:pPr>
      <w:r>
        <w:rPr>
          <w:spacing w:val="-2"/>
        </w:rPr>
        <w:t>务工作提出了实现精确管理的明确要求。精确管理，需要从政策、管理、服务，都要分解到每一类人，细化到每一个人，通</w:t>
      </w:r>
      <w:r>
        <w:rPr>
          <w:spacing w:val="-71"/>
        </w:rPr>
        <w:t> </w:t>
      </w:r>
      <w:r>
        <w:rPr>
          <w:spacing w:val="-71"/>
        </w:rPr>
      </w:r>
      <w:r>
        <w:rPr/>
        <w:t>过规范化、标准化、网络化、定量化等手段进行管理。</w:t>
      </w:r>
    </w:p>
    <w:p>
      <w:pPr>
        <w:pStyle w:val="BodyText"/>
        <w:spacing w:line="300" w:lineRule="auto" w:before="19"/>
        <w:ind w:left="444" w:right="1102" w:hanging="146"/>
        <w:jc w:val="left"/>
      </w:pPr>
      <w:r>
        <w:rPr>
          <w:rFonts w:ascii="Times New Roman" w:hAnsi="Times New Roman" w:cs="Times New Roman" w:eastAsia="Times New Roman" w:hint="default"/>
        </w:rPr>
        <w:t>4</w:t>
      </w:r>
      <w:r>
        <w:rPr/>
        <w:t>、社会对人社公共服务的要求日益提高 随着社会的发展，参保人对政府公共服务可及性和均等化的要求更高，并呈现出需求多层次、多样化、个性化的趋势，</w:t>
      </w:r>
    </w:p>
    <w:p>
      <w:pPr>
        <w:pStyle w:val="BodyText"/>
        <w:spacing w:line="240" w:lineRule="auto" w:before="31"/>
        <w:ind w:left="154" w:right="0"/>
        <w:jc w:val="both"/>
      </w:pPr>
      <w:r>
        <w:rPr/>
        <w:t>便民、利民、惠民将成为信息化建设的出发点和归宿。</w:t>
      </w:r>
    </w:p>
    <w:p>
      <w:pPr>
        <w:pStyle w:val="BodyText"/>
        <w:spacing w:line="300" w:lineRule="auto" w:before="76"/>
        <w:ind w:left="516" w:right="0" w:hanging="218"/>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将促进人社信息化创新发展 </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行动指导意见为人力资源和社会保障事业发展主动适应新常态、迎接新挑战、开创新局面指明了道路和方向。</w:t>
      </w:r>
    </w:p>
    <w:p>
      <w:pPr>
        <w:pStyle w:val="BodyText"/>
        <w:spacing w:line="300" w:lineRule="auto" w:before="13"/>
        <w:ind w:right="1128"/>
        <w:jc w:val="both"/>
      </w:pPr>
      <w:r>
        <w:rPr/>
        <w:t>以物联网、大数据、移动互联、电子商务为代表的现代信息技术越来越广泛的应用到人社六大业务领域</w:t>
      </w:r>
      <w:r>
        <w:rPr>
          <w:rFonts w:ascii="Times New Roman" w:hAnsi="Times New Roman" w:cs="Times New Roman" w:eastAsia="Times New Roman" w:hint="default"/>
        </w:rPr>
        <w:t>,</w:t>
      </w:r>
      <w:r>
        <w:rPr/>
        <w:t>并在一定程度上加</w:t>
      </w:r>
      <w:r>
        <w:rPr>
          <w:spacing w:val="-42"/>
        </w:rPr>
        <w:t> </w:t>
      </w:r>
      <w:r>
        <w:rPr>
          <w:spacing w:val="-42"/>
        </w:rPr>
      </w:r>
      <w:r>
        <w:rPr/>
        <w:t>速了政府职能转变进程、加快了人社治理现代化的步伐。通过大数据沉淀，应用大数据进行分析预测、研判决策</w:t>
      </w:r>
      <w:r>
        <w:rPr>
          <w:rFonts w:ascii="Times New Roman" w:hAnsi="Times New Roman" w:cs="Times New Roman" w:eastAsia="Times New Roman" w:hint="default"/>
        </w:rPr>
        <w:t>,</w:t>
      </w:r>
      <w:r>
        <w:rPr/>
        <w:t>可实现智</w:t>
      </w:r>
      <w:r>
        <w:rPr>
          <w:spacing w:val="-39"/>
        </w:rPr>
        <w:t> </w:t>
      </w:r>
      <w:r>
        <w:rPr/>
        <w:t>慧人社</w:t>
      </w:r>
      <w:r>
        <w:rPr>
          <w:rFonts w:ascii="Times New Roman" w:hAnsi="Times New Roman" w:cs="Times New Roman" w:eastAsia="Times New Roman" w:hint="default"/>
        </w:rPr>
        <w:t>,</w:t>
      </w:r>
      <w:r>
        <w:rPr/>
        <w:t>降低行政成本</w:t>
      </w:r>
      <w:r>
        <w:rPr>
          <w:rFonts w:ascii="Times New Roman" w:hAnsi="Times New Roman" w:cs="Times New Roman" w:eastAsia="Times New Roman" w:hint="default"/>
        </w:rPr>
        <w:t>,</w:t>
      </w:r>
      <w:r>
        <w:rPr/>
        <w:t>提高行政效能；借助互联网技术推动多渠道人社公共服务体系建设</w:t>
      </w:r>
      <w:r>
        <w:rPr>
          <w:rFonts w:ascii="Times New Roman" w:hAnsi="Times New Roman" w:cs="Times New Roman" w:eastAsia="Times New Roman" w:hint="default"/>
        </w:rPr>
        <w:t>,</w:t>
      </w:r>
      <w:r>
        <w:rPr/>
        <w:t>实现指尖上的人社公共服务</w:t>
      </w:r>
      <w:r>
        <w:rPr>
          <w:rFonts w:ascii="Times New Roman" w:hAnsi="Times New Roman" w:cs="Times New Roman" w:eastAsia="Times New Roman" w:hint="default"/>
        </w:rPr>
        <w:t>, </w:t>
      </w:r>
      <w:r>
        <w:rPr/>
        <w:t>满足</w:t>
      </w:r>
      <w:r>
        <w:rPr>
          <w:spacing w:val="-86"/>
        </w:rPr>
        <w:t> </w:t>
      </w:r>
      <w:r>
        <w:rPr>
          <w:spacing w:val="-2"/>
        </w:rPr>
        <w:t>人民群众对公共服务高效可及性、充分</w:t>
      </w:r>
      <w:r>
        <w:rPr>
          <w:rFonts w:ascii="Times New Roman" w:hAnsi="Times New Roman" w:cs="Times New Roman" w:eastAsia="Times New Roman" w:hint="default"/>
          <w:spacing w:val="-2"/>
        </w:rPr>
        <w:t>“</w:t>
      </w:r>
      <w:r>
        <w:rPr>
          <w:spacing w:val="-2"/>
        </w:rPr>
        <w:t>获得感</w:t>
      </w:r>
      <w:r>
        <w:rPr>
          <w:rFonts w:ascii="Times New Roman" w:hAnsi="Times New Roman" w:cs="Times New Roman" w:eastAsia="Times New Roman" w:hint="default"/>
          <w:spacing w:val="-2"/>
        </w:rPr>
        <w:t>”</w:t>
      </w:r>
      <w:r>
        <w:rPr>
          <w:spacing w:val="-2"/>
        </w:rPr>
        <w:t>的期望与要求。依托大数据和云计算，不仅催生了大数据采集应用、信息平</w:t>
      </w:r>
      <w:r>
        <w:rPr>
          <w:spacing w:val="-44"/>
        </w:rPr>
        <w:t> </w:t>
      </w:r>
      <w:r>
        <w:rPr>
          <w:spacing w:val="-44"/>
        </w:rPr>
      </w:r>
      <w:r>
        <w:rPr/>
        <w:t>台建设等技术服务需求</w:t>
      </w:r>
      <w:r>
        <w:rPr>
          <w:rFonts w:ascii="Times New Roman" w:hAnsi="Times New Roman" w:cs="Times New Roman" w:eastAsia="Times New Roman" w:hint="default"/>
        </w:rPr>
        <w:t>,</w:t>
      </w:r>
      <w:r>
        <w:rPr/>
        <w:t>同时也为人社局部领域购买公共服务打开了更大的市场空间，推动公共服务供给模式转变，逐步引</w:t>
      </w:r>
      <w:r>
        <w:rPr>
          <w:spacing w:val="-46"/>
        </w:rPr>
        <w:t> </w:t>
      </w:r>
      <w:r>
        <w:rPr>
          <w:spacing w:val="-46"/>
        </w:rPr>
      </w:r>
      <w:r>
        <w:rPr/>
        <w:t>导政府主导、社会参与的人社公共服务创新发展。</w:t>
      </w:r>
    </w:p>
    <w:p>
      <w:pPr>
        <w:pStyle w:val="BodyText"/>
        <w:spacing w:line="240" w:lineRule="auto" w:before="31"/>
        <w:ind w:right="0"/>
        <w:jc w:val="both"/>
      </w:pPr>
      <w:r>
        <w:rPr/>
        <w:t>（二）经营目标</w:t>
      </w:r>
    </w:p>
    <w:p>
      <w:pPr>
        <w:pStyle w:val="BodyText"/>
        <w:spacing w:line="309" w:lineRule="auto" w:before="76"/>
        <w:ind w:right="1035" w:firstLine="145"/>
        <w:jc w:val="left"/>
      </w:pPr>
      <w:r>
        <w:rPr>
          <w:rFonts w:ascii="Times New Roman" w:hAnsi="Times New Roman" w:cs="Times New Roman" w:eastAsia="Times New Roman" w:hint="default"/>
          <w:spacing w:val="-1"/>
        </w:rPr>
        <w:t>1</w:t>
      </w:r>
      <w:r>
        <w:rPr>
          <w:spacing w:val="-1"/>
        </w:rPr>
        <w:t>、借助资本市场的力量，促进公司快速健康发展。公司于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月在深圳证券交易所挂牌上市，公司将依托资本市场，</w:t>
      </w:r>
      <w:r>
        <w:rPr/>
        <w:t> </w:t>
      </w:r>
      <w:r>
        <w:rPr>
          <w:spacing w:val="-2"/>
        </w:rPr>
        <w:t>不断夯实传统业务，积极创新行业模式，确保销售持续增长，促进公司治理结构更灵活、营收多样化，实现业绩稳定并显著</w:t>
      </w:r>
      <w:r>
        <w:rPr>
          <w:spacing w:val="-66"/>
        </w:rPr>
        <w:t> </w:t>
      </w:r>
      <w:r>
        <w:rPr>
          <w:spacing w:val="-66"/>
        </w:rPr>
      </w:r>
      <w:r>
        <w:rPr/>
        <w:t>上升。</w:t>
      </w:r>
    </w:p>
    <w:p>
      <w:pPr>
        <w:pStyle w:val="BodyText"/>
        <w:spacing w:line="300" w:lineRule="auto" w:before="24"/>
        <w:ind w:left="444" w:right="0" w:hanging="146"/>
        <w:jc w:val="left"/>
      </w:pPr>
      <w:r>
        <w:rPr>
          <w:rFonts w:ascii="Times New Roman" w:hAnsi="Times New Roman" w:cs="Times New Roman" w:eastAsia="Times New Roman" w:hint="default"/>
        </w:rPr>
        <w:t>2</w:t>
      </w:r>
      <w:r>
        <w:rPr/>
        <w:t>、积极拓展民生、军工相关行业业务 </w:t>
      </w:r>
      <w:r>
        <w:rPr>
          <w:spacing w:val="-1"/>
        </w:rPr>
        <w:t>在民生领域，继续加强在人力资源和社会保障的产品研发和业务创新，同时积极拓展与民生领域相关的公积金、医疗卫</w:t>
      </w:r>
    </w:p>
    <w:p>
      <w:pPr>
        <w:pStyle w:val="BodyText"/>
        <w:spacing w:line="316" w:lineRule="auto" w:before="31"/>
        <w:ind w:left="154" w:right="1133"/>
        <w:jc w:val="both"/>
      </w:pPr>
      <w:r>
        <w:rPr>
          <w:spacing w:val="-2"/>
        </w:rPr>
        <w:t>生、民政、食药监等行业，以互联网的思维，开放合作、互联共赢，实现传统业务和创新模式的融合互补与相互促进，围绕</w:t>
      </w:r>
      <w:r>
        <w:rPr>
          <w:spacing w:val="-72"/>
        </w:rPr>
        <w:t> </w:t>
      </w:r>
      <w:r>
        <w:rPr>
          <w:spacing w:val="-72"/>
        </w:rPr>
      </w:r>
      <w:r>
        <w:rPr/>
        <w:t>人社互联，拓展政务信息化机会和增值服务，打造银海智慧民生生态链。</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0" w:firstLine="290"/>
        <w:jc w:val="left"/>
      </w:pPr>
      <w:r>
        <w:rPr>
          <w:spacing w:val="-1"/>
        </w:rPr>
        <w:t>在军工领域，围绕智能制造，打造软件产品和集成技术，努力成为国内先进的智能军工软件产品和集成服务提供商。围</w:t>
      </w:r>
      <w:r>
        <w:rPr/>
        <w:t> 绕军民融合，打造军民两用技术产品和产业，努力成为国内领先的军民深度融合创新先行先试示范基地。</w:t>
      </w:r>
    </w:p>
    <w:p>
      <w:pPr>
        <w:pStyle w:val="BodyText"/>
        <w:spacing w:line="300" w:lineRule="auto" w:before="19"/>
        <w:ind w:left="444" w:right="0" w:hanging="146"/>
        <w:jc w:val="left"/>
      </w:pPr>
      <w:r>
        <w:rPr>
          <w:rFonts w:ascii="Times New Roman" w:hAnsi="Times New Roman" w:cs="Times New Roman" w:eastAsia="Times New Roman" w:hint="default"/>
        </w:rPr>
        <w:t>3</w:t>
      </w:r>
      <w:r>
        <w:rPr/>
        <w:t>、升级国家级技术中心 </w:t>
      </w:r>
      <w:r>
        <w:rPr>
          <w:spacing w:val="-1"/>
        </w:rPr>
        <w:t>为进一步提升公司技术和研发能力，增强公司核心竞争力，公司将在省级技术中心的基础上，力争升级为国家级技术中</w:t>
      </w:r>
    </w:p>
    <w:p>
      <w:pPr>
        <w:pStyle w:val="BodyText"/>
        <w:spacing w:line="316" w:lineRule="auto" w:before="32"/>
        <w:ind w:left="154" w:right="0"/>
        <w:jc w:val="left"/>
      </w:pPr>
      <w:r>
        <w:rPr>
          <w:spacing w:val="-2"/>
        </w:rPr>
        <w:t>心，并利用国家级技术中心的优势，在现有研发团队的基础上，引进一批高水平研发和技术人才，进一步提升和保持公司领</w:t>
      </w:r>
      <w:r>
        <w:rPr>
          <w:spacing w:val="-66"/>
        </w:rPr>
        <w:t> </w:t>
      </w:r>
      <w:r>
        <w:rPr>
          <w:spacing w:val="-66"/>
        </w:rPr>
      </w:r>
      <w:r>
        <w:rPr/>
        <w:t>先的创新和研发能力。</w:t>
      </w:r>
    </w:p>
    <w:p>
      <w:pPr>
        <w:pStyle w:val="BodyText"/>
        <w:spacing w:line="300" w:lineRule="auto" w:before="19"/>
        <w:ind w:left="444" w:right="0" w:hanging="146"/>
        <w:jc w:val="left"/>
      </w:pPr>
      <w:r>
        <w:rPr>
          <w:rFonts w:ascii="Times New Roman" w:hAnsi="Times New Roman" w:cs="Times New Roman" w:eastAsia="Times New Roman" w:hint="default"/>
        </w:rPr>
        <w:t>4</w:t>
      </w:r>
      <w:r>
        <w:rPr/>
        <w:t>、完善公司治理结构，持续提升公司管理能力 </w:t>
      </w:r>
      <w:r>
        <w:rPr>
          <w:spacing w:val="-1"/>
        </w:rPr>
        <w:t>延续并优化目前版块式扁平化的公司基本治理结构，建立更加完善、更具可操作性的内控体系，建立精细化易执行的标</w:t>
      </w:r>
    </w:p>
    <w:p>
      <w:pPr>
        <w:pStyle w:val="BodyText"/>
        <w:spacing w:line="240" w:lineRule="auto" w:before="31"/>
        <w:ind w:right="0"/>
        <w:jc w:val="left"/>
      </w:pPr>
      <w:r>
        <w:rPr/>
        <w:t>准流程，进一步强化风险管控和风险预警。继续优化公司人才结构和人才激励机制。</w:t>
      </w:r>
    </w:p>
    <w:p>
      <w:pPr>
        <w:pStyle w:val="BodyText"/>
        <w:spacing w:line="240" w:lineRule="auto" w:before="76"/>
        <w:ind w:right="0"/>
        <w:jc w:val="left"/>
      </w:pPr>
      <w:r>
        <w:rPr/>
        <w:t>（三）可能面临的风险</w:t>
      </w:r>
    </w:p>
    <w:p>
      <w:pPr>
        <w:pStyle w:val="BodyText"/>
        <w:spacing w:line="240" w:lineRule="auto" w:before="76"/>
        <w:ind w:left="371" w:right="0"/>
        <w:jc w:val="left"/>
      </w:pPr>
      <w:r>
        <w:rPr>
          <w:rFonts w:ascii="Times New Roman" w:hAnsi="Times New Roman" w:cs="Times New Roman" w:eastAsia="Times New Roman" w:hint="default"/>
        </w:rPr>
        <w:t>1</w:t>
      </w:r>
      <w:r>
        <w:rPr/>
        <w:t>、市场风险</w:t>
      </w:r>
    </w:p>
    <w:p>
      <w:pPr>
        <w:pStyle w:val="BodyText"/>
        <w:spacing w:line="300" w:lineRule="auto" w:before="63"/>
        <w:ind w:left="444" w:right="0" w:hanging="146"/>
        <w:jc w:val="left"/>
      </w:pPr>
      <w:r>
        <w:rPr/>
        <w:t>（</w:t>
      </w:r>
      <w:r>
        <w:rPr>
          <w:rFonts w:ascii="Times New Roman" w:hAnsi="Times New Roman" w:cs="Times New Roman" w:eastAsia="Times New Roman" w:hint="default"/>
        </w:rPr>
        <w:t>1</w:t>
      </w:r>
      <w:r>
        <w:rPr/>
        <w:t>）、市场竞争加剧的风险 </w:t>
      </w:r>
      <w:r>
        <w:rPr>
          <w:spacing w:val="-1"/>
        </w:rPr>
        <w:t>随着国家对民生信息化领域的重视和投入逐年增加，市场规模不断扩大，市场环境的逐步成熟，国内外越来越多的企业</w:t>
      </w:r>
    </w:p>
    <w:p>
      <w:pPr>
        <w:pStyle w:val="BodyText"/>
        <w:spacing w:line="316" w:lineRule="auto" w:before="31"/>
        <w:ind w:right="0"/>
        <w:jc w:val="left"/>
      </w:pPr>
      <w:r>
        <w:rPr>
          <w:spacing w:val="-2"/>
        </w:rPr>
        <w:t>开始涉足该领域，市场竞争程度不断加剧。新竞争者的进入，将会对民生信息化领域的良性竞争造成一定的负面影响。公司</w:t>
      </w:r>
      <w:r>
        <w:rPr>
          <w:spacing w:val="-66"/>
        </w:rPr>
        <w:t> </w:t>
      </w:r>
      <w:r>
        <w:rPr>
          <w:spacing w:val="-66"/>
        </w:rPr>
      </w:r>
      <w:r>
        <w:rPr/>
        <w:t>面临市场竞争加剧所带来的风险。</w:t>
      </w:r>
    </w:p>
    <w:p>
      <w:pPr>
        <w:pStyle w:val="BodyText"/>
        <w:spacing w:line="300" w:lineRule="auto" w:before="19"/>
        <w:ind w:left="444" w:right="0" w:hanging="146"/>
        <w:jc w:val="left"/>
      </w:pPr>
      <w:r>
        <w:rPr/>
        <w:t>（</w:t>
      </w:r>
      <w:r>
        <w:rPr>
          <w:rFonts w:ascii="Times New Roman" w:hAnsi="Times New Roman" w:cs="Times New Roman" w:eastAsia="Times New Roman" w:hint="default"/>
        </w:rPr>
        <w:t>2</w:t>
      </w:r>
      <w:r>
        <w:rPr/>
        <w:t>）、新的细分市场的开拓风险 </w:t>
      </w:r>
      <w:r>
        <w:rPr>
          <w:spacing w:val="-1"/>
        </w:rPr>
        <w:t>公司将继续以人力资源和社会保障领域的信息化为业务重心，持续纵深发展，并通过特色化和差异化的服务将现有的竞</w:t>
      </w:r>
    </w:p>
    <w:p>
      <w:pPr>
        <w:pStyle w:val="BodyText"/>
        <w:spacing w:line="316" w:lineRule="auto" w:before="31"/>
        <w:ind w:right="0"/>
        <w:jc w:val="left"/>
      </w:pPr>
      <w:r>
        <w:rPr>
          <w:spacing w:val="-4"/>
        </w:rPr>
        <w:t>争优势复制到医疗卫生、民政、住房公积金等其他民生领域，从而实现业务均衡全面发展。虽然上述目标领域的信息化业务，</w:t>
      </w:r>
      <w:r>
        <w:rPr>
          <w:spacing w:val="-44"/>
        </w:rPr>
        <w:t> </w:t>
      </w:r>
      <w:r>
        <w:rPr>
          <w:spacing w:val="-44"/>
        </w:rPr>
      </w:r>
      <w:r>
        <w:rPr>
          <w:spacing w:val="-2"/>
        </w:rPr>
        <w:t>公司在报告期内均有所涉足，但是，公司在上述领域的竞争优势、行业地位和经营经验仍显不足。未来，能否成功开拓上述</w:t>
      </w:r>
      <w:r>
        <w:rPr>
          <w:spacing w:val="-66"/>
        </w:rPr>
        <w:t> </w:t>
      </w:r>
      <w:r>
        <w:rPr>
          <w:spacing w:val="-66"/>
        </w:rPr>
      </w:r>
      <w:r>
        <w:rPr/>
        <w:t>目标领域对公司的综合能力提出了更高要求和挑战，公司将面临市场开拓的风险。</w:t>
      </w:r>
    </w:p>
    <w:p>
      <w:pPr>
        <w:pStyle w:val="BodyText"/>
        <w:spacing w:line="240" w:lineRule="auto" w:before="19"/>
        <w:ind w:left="371" w:right="0"/>
        <w:jc w:val="left"/>
      </w:pPr>
      <w:r>
        <w:rPr>
          <w:rFonts w:ascii="Times New Roman" w:hAnsi="Times New Roman" w:cs="Times New Roman" w:eastAsia="Times New Roman" w:hint="default"/>
        </w:rPr>
        <w:t>2</w:t>
      </w:r>
      <w:r>
        <w:rPr/>
        <w:t>、技术风险</w:t>
      </w:r>
    </w:p>
    <w:p>
      <w:pPr>
        <w:pStyle w:val="BodyText"/>
        <w:spacing w:line="300" w:lineRule="auto" w:before="63"/>
        <w:ind w:left="516" w:right="0" w:hanging="218"/>
        <w:jc w:val="left"/>
      </w:pPr>
      <w:r>
        <w:rPr/>
        <w:t>（</w:t>
      </w:r>
      <w:r>
        <w:rPr>
          <w:rFonts w:ascii="Times New Roman" w:hAnsi="Times New Roman" w:cs="Times New Roman" w:eastAsia="Times New Roman" w:hint="default"/>
        </w:rPr>
        <w:t>1</w:t>
      </w:r>
      <w:r>
        <w:rPr/>
        <w:t>）、技术研发不能紧跟政策变化的风险 </w:t>
      </w:r>
      <w:r>
        <w:rPr>
          <w:spacing w:val="-2"/>
        </w:rPr>
        <w:t>公司主营业务与政府部门颁布的涉及民生领域的政策密切相关。公司的产品和服务需要紧随政策的变化而及时更新和调</w:t>
      </w:r>
    </w:p>
    <w:p>
      <w:pPr>
        <w:pStyle w:val="BodyText"/>
        <w:spacing w:line="316" w:lineRule="auto" w:before="31"/>
        <w:ind w:left="154" w:right="1131"/>
        <w:jc w:val="both"/>
      </w:pPr>
      <w:r>
        <w:rPr>
          <w:spacing w:val="-2"/>
        </w:rPr>
        <w:t>整，甚至需要做大量的前瞻性政策和技术研究工作。随着国家对民生信息化领域的重视，一系列涉及民生信息化领域的政策</w:t>
      </w:r>
      <w:r>
        <w:rPr>
          <w:spacing w:val="-66"/>
        </w:rPr>
        <w:t> </w:t>
      </w:r>
      <w:r>
        <w:rPr>
          <w:spacing w:val="-66"/>
        </w:rPr>
      </w:r>
      <w:r>
        <w:rPr>
          <w:spacing w:val="-2"/>
        </w:rPr>
        <w:t>将会密集出台，新政策对公司现有产品和服务的功能、类型等方面都提出了更高的要求，对公司的技术研发能力提出了更高</w:t>
      </w:r>
      <w:r>
        <w:rPr>
          <w:spacing w:val="-66"/>
        </w:rPr>
        <w:t> </w:t>
      </w:r>
      <w:r>
        <w:rPr>
          <w:spacing w:val="-66"/>
        </w:rPr>
      </w:r>
      <w:r>
        <w:rPr>
          <w:spacing w:val="-2"/>
        </w:rPr>
        <w:t>的挑战。未来，如果公司不能继续保持在行业内的技术研发优势，提供的产品和服务不能及时满足政策变化的要求，公司现</w:t>
      </w:r>
      <w:r>
        <w:rPr>
          <w:spacing w:val="-66"/>
        </w:rPr>
        <w:t> </w:t>
      </w:r>
      <w:r>
        <w:rPr>
          <w:spacing w:val="-66"/>
        </w:rPr>
      </w:r>
      <w:r>
        <w:rPr/>
        <w:t>有的竞争优势将会被削弱，现有的市场地位将受到挑战。</w:t>
      </w:r>
    </w:p>
    <w:p>
      <w:pPr>
        <w:pStyle w:val="BodyText"/>
        <w:spacing w:line="300" w:lineRule="auto" w:before="19"/>
        <w:ind w:left="444" w:right="0" w:hanging="146"/>
        <w:jc w:val="left"/>
      </w:pPr>
      <w:r>
        <w:rPr/>
        <w:t>（</w:t>
      </w:r>
      <w:r>
        <w:rPr>
          <w:rFonts w:ascii="Times New Roman" w:hAnsi="Times New Roman" w:cs="Times New Roman" w:eastAsia="Times New Roman" w:hint="default"/>
        </w:rPr>
        <w:t>2</w:t>
      </w:r>
      <w:r>
        <w:rPr/>
        <w:t>）、技术失密的风险 </w:t>
      </w:r>
      <w:r>
        <w:rPr>
          <w:spacing w:val="-1"/>
        </w:rPr>
        <w:t>公司自成立以来持续进行技术创新，拥有一系列处于国内领先水平的核心技术和产品，并积累了丰富的行业经验，公司</w:t>
      </w:r>
    </w:p>
    <w:p>
      <w:pPr>
        <w:pStyle w:val="BodyText"/>
        <w:spacing w:line="316" w:lineRule="auto" w:before="31"/>
        <w:ind w:right="1131"/>
        <w:jc w:val="both"/>
      </w:pPr>
      <w:r>
        <w:rPr>
          <w:spacing w:val="-2"/>
        </w:rPr>
        <w:t>的研发、生产和服务能力处于行业领先水平。公司生产经营和技术创新依赖于多年积累起来的核心技术，而这些核心技术由</w:t>
      </w:r>
      <w:r>
        <w:rPr>
          <w:spacing w:val="-66"/>
        </w:rPr>
        <w:t> </w:t>
      </w:r>
      <w:r>
        <w:rPr>
          <w:spacing w:val="-66"/>
        </w:rPr>
      </w:r>
      <w:r>
        <w:rPr>
          <w:spacing w:val="-2"/>
        </w:rPr>
        <w:t>相关的核心技术人员和关键管理人员所掌握。核心技术人员和关键管理人员的流失或者出现不慎技术信息失密，可能会给公</w:t>
      </w:r>
      <w:r>
        <w:rPr>
          <w:spacing w:val="-64"/>
        </w:rPr>
        <w:t> </w:t>
      </w:r>
      <w:r>
        <w:rPr>
          <w:spacing w:val="-64"/>
        </w:rPr>
      </w:r>
      <w:r>
        <w:rPr/>
        <w:t>司技术研发、生产经营带来不利影响，因此，公司存在技术失密的风险。</w:t>
      </w:r>
    </w:p>
    <w:p>
      <w:pPr>
        <w:pStyle w:val="BodyText"/>
        <w:spacing w:line="300" w:lineRule="auto" w:before="19"/>
        <w:ind w:left="444" w:right="0" w:hanging="74"/>
        <w:jc w:val="left"/>
      </w:pPr>
      <w:r>
        <w:rPr>
          <w:rFonts w:ascii="Times New Roman" w:hAnsi="Times New Roman" w:cs="Times New Roman" w:eastAsia="Times New Roman" w:hint="default"/>
        </w:rPr>
        <w:t>3</w:t>
      </w:r>
      <w:r>
        <w:rPr/>
        <w:t>、经营成本上涨的风险 </w:t>
      </w:r>
      <w:r>
        <w:rPr>
          <w:spacing w:val="-1"/>
        </w:rPr>
        <w:t>近年来，随着经济社会的全面发展以及通货膨胀带来的生活成本上升，公司的用工成本呈现逐年增加的趋势。随着未来</w:t>
      </w:r>
    </w:p>
    <w:p>
      <w:pPr>
        <w:pStyle w:val="BodyText"/>
        <w:spacing w:line="240" w:lineRule="auto" w:before="31"/>
        <w:ind w:right="0"/>
        <w:jc w:val="left"/>
      </w:pPr>
      <w:r>
        <w:rPr/>
        <w:t>全社会平均工资水平持续上升</w:t>
      </w:r>
      <w:r>
        <w:rPr>
          <w:rFonts w:ascii="Times New Roman" w:hAnsi="Times New Roman" w:cs="Times New Roman" w:eastAsia="Times New Roman" w:hint="default"/>
        </w:rPr>
        <w:t>,</w:t>
      </w:r>
      <w:r>
        <w:rPr/>
        <w:t>行业人力资源成本的上涨</w:t>
      </w:r>
      <w:r>
        <w:rPr>
          <w:rFonts w:ascii="Times New Roman" w:hAnsi="Times New Roman" w:cs="Times New Roman" w:eastAsia="Times New Roman" w:hint="default"/>
        </w:rPr>
        <w:t>,</w:t>
      </w:r>
      <w:r>
        <w:rPr/>
        <w:t>公司员工薪酬水平面临上涨压力</w:t>
      </w:r>
      <w:r>
        <w:rPr>
          <w:rFonts w:ascii="Times New Roman" w:hAnsi="Times New Roman" w:cs="Times New Roman" w:eastAsia="Times New Roman" w:hint="default"/>
        </w:rPr>
        <w:t>,</w:t>
      </w:r>
      <w:r>
        <w:rPr/>
        <w:t>从而给公司带来较大的经营压力。</w:t>
      </w:r>
    </w:p>
    <w:p>
      <w:pPr>
        <w:pStyle w:val="BodyText"/>
        <w:spacing w:line="300" w:lineRule="auto" w:before="63"/>
        <w:ind w:left="516" w:right="0" w:hanging="146"/>
        <w:jc w:val="left"/>
      </w:pPr>
      <w:r>
        <w:rPr>
          <w:rFonts w:ascii="Times New Roman" w:hAnsi="Times New Roman" w:cs="Times New Roman" w:eastAsia="Times New Roman" w:hint="default"/>
        </w:rPr>
        <w:t>4</w:t>
      </w:r>
      <w:r>
        <w:rPr/>
        <w:t>、运维服务收费标准下降的风险 </w:t>
      </w:r>
      <w:r>
        <w:rPr>
          <w:spacing w:val="-2"/>
        </w:rPr>
        <w:t>运维服务业务的服务对象主要为药店、医疗机构、企业、社区服务机构及各级政府相关部门。未来，受到运维服务市场</w:t>
      </w:r>
    </w:p>
    <w:p>
      <w:pPr>
        <w:pStyle w:val="BodyText"/>
        <w:spacing w:line="316" w:lineRule="auto" w:before="31"/>
        <w:ind w:right="0"/>
        <w:jc w:val="left"/>
      </w:pPr>
      <w:r>
        <w:rPr>
          <w:spacing w:val="-2"/>
        </w:rPr>
        <w:t>规模扩大、市场成熟度提高、市场竞争程度加剧等因素的影响，运维服务收费标准将可能呈现下降的趋势，公司将面临运维</w:t>
      </w:r>
      <w:r>
        <w:rPr>
          <w:spacing w:val="-66"/>
        </w:rPr>
        <w:t> </w:t>
      </w:r>
      <w:r>
        <w:rPr>
          <w:spacing w:val="-66"/>
        </w:rPr>
      </w:r>
      <w:r>
        <w:rPr/>
        <w:t>服务收费标准下降的风险。</w:t>
      </w:r>
    </w:p>
    <w:p>
      <w:pPr>
        <w:pStyle w:val="BodyText"/>
        <w:spacing w:line="300" w:lineRule="auto" w:before="19"/>
        <w:ind w:left="516" w:right="0" w:hanging="146"/>
        <w:jc w:val="left"/>
      </w:pPr>
      <w:r>
        <w:rPr>
          <w:rFonts w:ascii="Times New Roman" w:hAnsi="Times New Roman" w:cs="Times New Roman" w:eastAsia="Times New Roman" w:hint="default"/>
        </w:rPr>
        <w:t>5</w:t>
      </w:r>
      <w:r>
        <w:rPr/>
        <w:t>、行业政策变化的风险 </w:t>
      </w:r>
      <w:r>
        <w:rPr>
          <w:spacing w:val="-2"/>
        </w:rPr>
        <w:t>民生信息化领域的市场规模与政府部门的重视程度和投资力度密切相关。近年来，国家各级政府部门相继出台了一系列</w:t>
      </w:r>
    </w:p>
    <w:p>
      <w:pPr>
        <w:pStyle w:val="BodyText"/>
        <w:spacing w:line="316" w:lineRule="auto" w:before="31"/>
        <w:ind w:right="1033"/>
        <w:jc w:val="left"/>
      </w:pPr>
      <w:r>
        <w:rPr/>
        <w:t>扶持和发展民生信息化领域的政策措施，政府投资逐步增加，从而带动了政府部门、经办机构、社会服务机构、参保单位、 </w:t>
      </w:r>
      <w:r>
        <w:rPr>
          <w:spacing w:val="-2"/>
        </w:rPr>
        <w:t>社会公众等对民生信息化产品和服务的需求，以人力资源和社会保障为核心的民生信息化领域取得了快速发展。但是，不排</w:t>
      </w:r>
      <w:r>
        <w:rPr>
          <w:spacing w:val="-66"/>
        </w:rPr>
        <w:t> </w:t>
      </w:r>
      <w:r>
        <w:rPr>
          <w:spacing w:val="-66"/>
        </w:rPr>
      </w:r>
      <w:r>
        <w:rPr/>
        <w:t>除国家未来减少民生信息化领域的投资力度或者政策环境发生重大不利变化的可能，从而对公司的生产经营带来不利影响。</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left="444" w:right="1028" w:hanging="74"/>
        <w:jc w:val="left"/>
      </w:pPr>
      <w:r>
        <w:rPr>
          <w:rFonts w:ascii="Times New Roman" w:hAnsi="Times New Roman" w:cs="Times New Roman" w:eastAsia="Times New Roman" w:hint="default"/>
        </w:rPr>
        <w:t>6</w:t>
      </w:r>
      <w:r>
        <w:rPr/>
        <w:t>、快速发展带来的管理风险 </w:t>
      </w:r>
      <w:r>
        <w:rPr>
          <w:spacing w:val="-2"/>
        </w:rPr>
        <w:t>公司自成立以来，保持了较快的发展速度。公司资产规模的扩大和人员的增加使得公司的组织架构、管理体系趋于复杂。</w:t>
      </w:r>
    </w:p>
    <w:p>
      <w:pPr>
        <w:pStyle w:val="BodyText"/>
        <w:spacing w:line="319" w:lineRule="auto" w:before="31"/>
        <w:ind w:right="1130"/>
        <w:jc w:val="both"/>
      </w:pPr>
      <w:r>
        <w:rPr>
          <w:spacing w:val="-2"/>
        </w:rPr>
        <w:t>随着募集资金的到位和募投项目的实施，以及设立新的全资或控股子公司，公司的资产规模还将进一步扩大，对公司管理层</w:t>
      </w:r>
      <w:r>
        <w:rPr>
          <w:spacing w:val="-66"/>
        </w:rPr>
        <w:t> </w:t>
      </w:r>
      <w:r>
        <w:rPr>
          <w:spacing w:val="-66"/>
        </w:rPr>
      </w:r>
      <w:r>
        <w:rPr>
          <w:spacing w:val="-2"/>
        </w:rPr>
        <w:t>的管理能力和管理水平提出了更高要求。如果公司管理层的管理能力和管理水平以及管理人员配置不能及时满足资产、业务</w:t>
      </w:r>
      <w:r>
        <w:rPr>
          <w:spacing w:val="-63"/>
        </w:rPr>
        <w:t> </w:t>
      </w:r>
      <w:r>
        <w:rPr>
          <w:spacing w:val="-63"/>
        </w:rPr>
      </w:r>
      <w:r>
        <w:rPr/>
        <w:t>规模迅速扩张的要求，公司的生产经营和业绩提升将会受到一定影响。</w:t>
      </w:r>
    </w:p>
    <w:p>
      <w:pPr>
        <w:pStyle w:val="BodyText"/>
        <w:spacing w:line="300" w:lineRule="auto" w:before="17"/>
        <w:ind w:left="444" w:right="1112" w:hanging="74"/>
        <w:jc w:val="left"/>
      </w:pPr>
      <w:r>
        <w:rPr>
          <w:rFonts w:ascii="Times New Roman" w:hAnsi="Times New Roman" w:cs="Times New Roman" w:eastAsia="Times New Roman" w:hint="default"/>
        </w:rPr>
        <w:t>7</w:t>
      </w:r>
      <w:r>
        <w:rPr/>
        <w:t>、人力资源风险 作为专业从事</w:t>
      </w:r>
      <w:r>
        <w:rPr>
          <w:rFonts w:ascii="Times New Roman" w:hAnsi="Times New Roman" w:cs="Times New Roman" w:eastAsia="Times New Roman" w:hint="default"/>
        </w:rPr>
        <w:t>IT</w:t>
      </w:r>
      <w:r>
        <w:rPr/>
        <w:t>软件及服务的高新技术企业，公司的研发和创新都不可避免地依赖于核心技术人员。多年以来，公司秉</w:t>
      </w:r>
    </w:p>
    <w:p>
      <w:pPr>
        <w:pStyle w:val="BodyText"/>
        <w:spacing w:line="314" w:lineRule="auto" w:before="13"/>
        <w:ind w:left="154" w:right="1130"/>
        <w:jc w:val="both"/>
      </w:pPr>
      <w:r>
        <w:rPr>
          <w:spacing w:val="-2"/>
        </w:rPr>
        <w:t>承和倡导中物院</w:t>
      </w:r>
      <w:r>
        <w:rPr>
          <w:rFonts w:ascii="Times New Roman" w:hAnsi="Times New Roman" w:cs="Times New Roman" w:eastAsia="Times New Roman" w:hint="default"/>
          <w:spacing w:val="-2"/>
        </w:rPr>
        <w:t>“</w:t>
      </w:r>
      <w:r>
        <w:rPr>
          <w:spacing w:val="-2"/>
        </w:rPr>
        <w:t>铸国防基石、做民族脊梁</w:t>
      </w:r>
      <w:r>
        <w:rPr>
          <w:rFonts w:ascii="Times New Roman" w:hAnsi="Times New Roman" w:cs="Times New Roman" w:eastAsia="Times New Roman" w:hint="default"/>
          <w:spacing w:val="-2"/>
        </w:rPr>
        <w:t>”</w:t>
      </w:r>
      <w:r>
        <w:rPr>
          <w:spacing w:val="-2"/>
        </w:rPr>
        <w:t>的核心价值观，提供有竞争力的薪酬和福利，建立科学的绩效管理和人才培训机</w:t>
      </w:r>
      <w:r>
        <w:rPr>
          <w:spacing w:val="-44"/>
        </w:rPr>
        <w:t> </w:t>
      </w:r>
      <w:r>
        <w:rPr>
          <w:spacing w:val="-44"/>
        </w:rPr>
      </w:r>
      <w:r>
        <w:rPr>
          <w:spacing w:val="-2"/>
        </w:rPr>
        <w:t>制，培养和锻炼了一支具有丰富行业经验和高度专业化的人才队伍。但随着行业内市场竞争程度逐步加剧，对于高素质人才</w:t>
      </w:r>
      <w:r>
        <w:rPr>
          <w:spacing w:val="-66"/>
        </w:rPr>
        <w:t> </w:t>
      </w:r>
      <w:r>
        <w:rPr>
          <w:spacing w:val="-66"/>
        </w:rPr>
      </w:r>
      <w:r>
        <w:rPr>
          <w:spacing w:val="-2"/>
        </w:rPr>
        <w:t>的争夺将会更加激烈，公司面临因竞争而流失人才的风险。同时，随着公司业务的发展，公司对于专业人才的需求将进一步</w:t>
      </w:r>
      <w:r>
        <w:rPr>
          <w:spacing w:val="-66"/>
        </w:rPr>
        <w:t> </w:t>
      </w:r>
      <w:r>
        <w:rPr>
          <w:spacing w:val="-66"/>
        </w:rPr>
      </w:r>
      <w:r>
        <w:rPr>
          <w:spacing w:val="-2"/>
        </w:rPr>
        <w:t>增加，如果公司不能保持现有人才队伍的稳定，并及时招聘和培养一批足够且合格的专业人才，将会对公司未来业务的发展</w:t>
      </w:r>
      <w:r>
        <w:rPr>
          <w:spacing w:val="-66"/>
        </w:rPr>
        <w:t> </w:t>
      </w:r>
      <w:r>
        <w:rPr>
          <w:spacing w:val="-66"/>
        </w:rPr>
      </w:r>
      <w:r>
        <w:rPr/>
        <w:t>造成不利影响。</w:t>
      </w:r>
    </w:p>
    <w:p>
      <w:pPr>
        <w:spacing w:line="240" w:lineRule="auto" w:before="12"/>
        <w:rPr>
          <w:rFonts w:ascii="宋体" w:hAnsi="宋体" w:cs="宋体" w:eastAsia="宋体" w:hint="default"/>
          <w:sz w:val="20"/>
          <w:szCs w:val="20"/>
        </w:rPr>
      </w:pPr>
    </w:p>
    <w:p>
      <w:pPr>
        <w:pStyle w:val="Heading3"/>
        <w:spacing w:line="240" w:lineRule="auto"/>
        <w:ind w:left="154" w:right="0"/>
        <w:jc w:val="both"/>
        <w:rPr>
          <w:b w:val="0"/>
          <w:bCs w:val="0"/>
        </w:rPr>
      </w:pPr>
      <w:bookmarkStart w:name="十、接待调研、沟通、采访等活动" w:id="59"/>
      <w:bookmarkEnd w:id="59"/>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7"/>
        <w:jc w:val="center"/>
        <w:rPr>
          <w:b w:val="0"/>
          <w:bCs w:val="0"/>
        </w:rPr>
      </w:pPr>
      <w:bookmarkStart w:name="_TOC_250005"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316" w:lineRule="auto" w:before="0"/>
        <w:ind w:right="0" w:firstLine="480"/>
        <w:jc w:val="left"/>
      </w:pPr>
      <w:r>
        <w:rPr>
          <w:spacing w:val="-1"/>
        </w:rPr>
        <w:t>公司在股利分配方面实行同股同权、同股同利的原则，按股东持有的股份比例进行年度股利分配。具体分配比例由公</w:t>
      </w:r>
      <w:r>
        <w:rPr/>
        <w:t> 司董事会视公司经营发展情况提出方案，经股东大会审议通过后执行。公司可以采取现金或者股票方式分配股利。</w:t>
      </w:r>
    </w:p>
    <w:p>
      <w:pPr>
        <w:pStyle w:val="BodyText"/>
        <w:spacing w:line="240" w:lineRule="auto" w:before="139"/>
        <w:ind w:left="633" w:right="0"/>
        <w:jc w:val="left"/>
      </w:pPr>
      <w:r>
        <w:rPr/>
        <w:t>根据有关法律法规和《公司章程》的规定，公司交纳所得税后的利润，按下列顺序分配：</w:t>
      </w:r>
    </w:p>
    <w:p>
      <w:pPr>
        <w:spacing w:line="240" w:lineRule="auto" w:before="0"/>
        <w:rPr>
          <w:rFonts w:ascii="宋体" w:hAnsi="宋体" w:cs="宋体" w:eastAsia="宋体" w:hint="default"/>
          <w:sz w:val="15"/>
          <w:szCs w:val="15"/>
        </w:rPr>
      </w:pPr>
    </w:p>
    <w:p>
      <w:pPr>
        <w:pStyle w:val="BodyText"/>
        <w:spacing w:line="240" w:lineRule="auto" w:before="0"/>
        <w:ind w:left="633" w:right="0"/>
        <w:jc w:val="left"/>
      </w:pPr>
      <w:r>
        <w:rPr>
          <w:rFonts w:ascii="Times New Roman" w:hAnsi="Times New Roman" w:cs="Times New Roman" w:eastAsia="Times New Roman" w:hint="default"/>
        </w:rPr>
        <w:t>1</w:t>
      </w:r>
      <w:r>
        <w:rPr/>
        <w:t>、弥补以前年度发生的亏损；</w:t>
      </w:r>
    </w:p>
    <w:p>
      <w:pPr>
        <w:spacing w:line="240" w:lineRule="auto" w:before="13"/>
        <w:rPr>
          <w:rFonts w:ascii="宋体" w:hAnsi="宋体" w:cs="宋体" w:eastAsia="宋体" w:hint="default"/>
          <w:sz w:val="13"/>
          <w:szCs w:val="13"/>
        </w:rPr>
      </w:pPr>
    </w:p>
    <w:p>
      <w:pPr>
        <w:pStyle w:val="BodyText"/>
        <w:spacing w:line="240" w:lineRule="auto" w:before="0"/>
        <w:ind w:left="634" w:right="0"/>
        <w:jc w:val="left"/>
      </w:pPr>
      <w:r>
        <w:rPr>
          <w:rFonts w:ascii="Times New Roman" w:hAnsi="Times New Roman" w:cs="Times New Roman" w:eastAsia="Times New Roman" w:hint="default"/>
        </w:rPr>
        <w:t>2</w:t>
      </w:r>
      <w:r>
        <w:rPr/>
        <w:t>、提取法定公积金</w:t>
      </w:r>
      <w:r>
        <w:rPr>
          <w:rFonts w:ascii="Times New Roman" w:hAnsi="Times New Roman" w:cs="Times New Roman" w:eastAsia="Times New Roman" w:hint="default"/>
        </w:rPr>
        <w:t>10%</w:t>
      </w:r>
      <w:r>
        <w:rPr/>
        <w:t>；</w:t>
      </w:r>
    </w:p>
    <w:p>
      <w:pPr>
        <w:spacing w:line="240" w:lineRule="auto" w:before="13"/>
        <w:rPr>
          <w:rFonts w:ascii="宋体" w:hAnsi="宋体" w:cs="宋体" w:eastAsia="宋体" w:hint="default"/>
          <w:sz w:val="13"/>
          <w:szCs w:val="13"/>
        </w:rPr>
      </w:pPr>
    </w:p>
    <w:p>
      <w:pPr>
        <w:pStyle w:val="BodyText"/>
        <w:spacing w:line="240" w:lineRule="auto" w:before="0"/>
        <w:ind w:left="634" w:right="0"/>
        <w:jc w:val="left"/>
      </w:pPr>
      <w:r>
        <w:rPr>
          <w:rFonts w:ascii="Times New Roman" w:hAnsi="Times New Roman" w:cs="Times New Roman" w:eastAsia="Times New Roman" w:hint="default"/>
        </w:rPr>
        <w:t>3</w:t>
      </w:r>
      <w:r>
        <w:rPr/>
        <w:t>、提取任意公积金；</w:t>
      </w:r>
    </w:p>
    <w:p>
      <w:pPr>
        <w:pStyle w:val="BodyText"/>
        <w:spacing w:line="430" w:lineRule="atLeast" w:before="2"/>
        <w:ind w:left="634" w:right="1122"/>
        <w:jc w:val="left"/>
      </w:pPr>
      <w:r>
        <w:rPr>
          <w:rFonts w:ascii="Times New Roman" w:hAnsi="Times New Roman" w:cs="Times New Roman" w:eastAsia="Times New Roman" w:hint="default"/>
        </w:rPr>
        <w:t>4</w:t>
      </w:r>
      <w:r>
        <w:rPr/>
        <w:t>、支付股东股利。 公司法定公积金累计额达到公司注册资本的</w:t>
      </w:r>
      <w:r>
        <w:rPr>
          <w:rFonts w:ascii="Times New Roman" w:hAnsi="Times New Roman" w:cs="Times New Roman" w:eastAsia="Times New Roman" w:hint="default"/>
        </w:rPr>
        <w:t>50%</w:t>
      </w:r>
      <w:r>
        <w:rPr/>
        <w:t>以上时，可以不再提取。公司的法定公积金不足以弥补以前年度亏损</w:t>
      </w:r>
    </w:p>
    <w:p>
      <w:pPr>
        <w:pStyle w:val="BodyText"/>
        <w:spacing w:line="316" w:lineRule="auto" w:before="63"/>
        <w:ind w:left="154" w:right="0"/>
        <w:jc w:val="left"/>
      </w:pPr>
      <w:r>
        <w:rPr>
          <w:spacing w:val="-2"/>
        </w:rPr>
        <w:t>的，在提取法定公积金之前，应当先用当年利润弥补亏损。公司从税后利润中提取法定公积金后，经股东大会决议，还可以</w:t>
      </w:r>
      <w:r>
        <w:rPr>
          <w:spacing w:val="-65"/>
        </w:rPr>
        <w:t> </w:t>
      </w:r>
      <w:r>
        <w:rPr>
          <w:spacing w:val="-65"/>
        </w:rPr>
      </w:r>
      <w:r>
        <w:rPr/>
        <w:t>从税后利润中提取任意公积金。</w:t>
      </w:r>
    </w:p>
    <w:p>
      <w:pPr>
        <w:pStyle w:val="BodyText"/>
        <w:spacing w:line="319" w:lineRule="auto" w:before="139"/>
        <w:ind w:left="154" w:right="0" w:firstLine="480"/>
        <w:jc w:val="left"/>
      </w:pPr>
      <w:r>
        <w:rPr>
          <w:spacing w:val="-1"/>
        </w:rPr>
        <w:t>公司的公积金用于弥补公司的亏损、扩大公司生产经营或者转为增加公司资本。但是，资本公积金将不用于弥补公司</w:t>
      </w:r>
      <w:r>
        <w:rPr/>
        <w:t> 的亏损。法定公积金转为资本时，所留存的该项公积金将不少于转增前公司注册资本的</w:t>
      </w:r>
      <w:r>
        <w:rPr>
          <w:rFonts w:ascii="Times New Roman" w:hAnsi="Times New Roman" w:cs="Times New Roman" w:eastAsia="Times New Roman" w:hint="default"/>
        </w:rPr>
        <w:t>25%</w:t>
      </w:r>
      <w:r>
        <w:rPr/>
        <w:t>。</w:t>
      </w:r>
    </w:p>
    <w:p>
      <w:pPr>
        <w:pStyle w:val="BodyText"/>
        <w:spacing w:line="240" w:lineRule="auto" w:before="117"/>
        <w:ind w:left="633" w:right="0"/>
        <w:jc w:val="left"/>
      </w:pPr>
      <w:r>
        <w:rPr>
          <w:spacing w:val="-3"/>
        </w:rPr>
        <w:t>公司股东大会对利润分配方案作出决议后，公司董事会须在股东大会召开后两个月内完成股利（或股份）的派发事项。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left="876" w:right="3775" w:hanging="363"/>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年度利润分配预案及资本公积金转增股本方案情况 以公司总股本</w:t>
      </w:r>
      <w:r>
        <w:rPr>
          <w:rFonts w:ascii="Times New Roman" w:hAnsi="Times New Roman" w:cs="Times New Roman" w:eastAsia="Times New Roman" w:hint="default"/>
        </w:rPr>
        <w:t>8000</w:t>
      </w:r>
      <w:r>
        <w:rPr/>
        <w:t>万为基数，向全体股东每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5.00</w:t>
      </w:r>
      <w:r>
        <w:rPr/>
        <w:t>元（含税）。</w:t>
      </w:r>
    </w:p>
    <w:p>
      <w:pPr>
        <w:pStyle w:val="BodyText"/>
        <w:spacing w:line="300" w:lineRule="auto" w:before="13"/>
        <w:ind w:left="876" w:right="3685" w:hanging="36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2014</w:t>
      </w:r>
      <w:r>
        <w:rPr/>
        <w:t>年度利润分配预案及资本公积金转增股本方案情况 以公司总股本</w:t>
      </w:r>
      <w:r>
        <w:rPr>
          <w:rFonts w:ascii="Times New Roman" w:hAnsi="Times New Roman" w:cs="Times New Roman" w:eastAsia="Times New Roman" w:hint="default"/>
        </w:rPr>
        <w:t>6000</w:t>
      </w:r>
      <w:r>
        <w:rPr/>
        <w:t>万为基数，向全体股东每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10.00</w:t>
      </w:r>
      <w:r>
        <w:rPr/>
        <w:t>元（含税）。</w:t>
      </w:r>
    </w:p>
    <w:p>
      <w:pPr>
        <w:pStyle w:val="BodyText"/>
        <w:spacing w:line="300" w:lineRule="auto" w:before="11"/>
        <w:ind w:left="876" w:right="3775" w:hanging="36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2013</w:t>
      </w:r>
      <w:r>
        <w:rPr/>
        <w:t>年度利润分配方案及资本公积金转增股本方案情况 以公司总股本</w:t>
      </w:r>
      <w:r>
        <w:rPr>
          <w:rFonts w:ascii="Times New Roman" w:hAnsi="Times New Roman" w:cs="Times New Roman" w:eastAsia="Times New Roman" w:hint="default"/>
        </w:rPr>
        <w:t>6000</w:t>
      </w:r>
      <w:r>
        <w:rPr/>
        <w:t>万为基数，向全体股东每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6.66</w:t>
      </w:r>
      <w:r>
        <w:rPr/>
        <w:t>元（含税）。</w:t>
      </w:r>
    </w:p>
    <w:p>
      <w:pPr>
        <w:spacing w:after="0" w:line="30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0"/>
        <w:ind w:right="0"/>
        <w:jc w:val="left"/>
      </w:pPr>
      <w:r>
        <w:rPr/>
        <w:t>公司近三年（包括本报告期）普通股现金分红情况表</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57,222,712.49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55,768,580.55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54,095,834.53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二、本报告期利润分配及资本公积金转增股本预案" w:id="64"/>
      <w:bookmarkEnd w:id="64"/>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0" w:right="1140"/>
        <w:jc w:val="right"/>
      </w:pPr>
      <w:r>
        <w:rPr/>
        <w:pict>
          <v:shape style="position:absolute;margin-left:56.459999pt;margin-top:-201.928268pt;width:479.2pt;height:299.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4"/>
                    <w:gridCol w:w="5784"/>
                  </w:tblGrid>
                  <w:tr>
                    <w:trPr>
                      <w:trHeight w:val="403"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105,000,283.58</w:t>
                        </w:r>
                      </w:p>
                    </w:tc>
                  </w:tr>
                  <w:tr>
                    <w:trPr>
                      <w:trHeight w:val="402" w:hRule="exact"/>
                    </w:trPr>
                    <w:tc>
                      <w:tcPr>
                        <w:tcW w:w="3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13" w:firstLine="360"/>
                          <w:jc w:val="left"/>
                          <w:rPr>
                            <w:rFonts w:ascii="宋体" w:hAnsi="宋体" w:cs="宋体" w:eastAsia="宋体" w:hint="default"/>
                            <w:sz w:val="18"/>
                            <w:szCs w:val="18"/>
                          </w:rPr>
                        </w:pPr>
                        <w:r>
                          <w:rPr>
                            <w:rFonts w:ascii="宋体" w:hAnsi="宋体" w:cs="宋体" w:eastAsia="宋体" w:hint="default"/>
                            <w:spacing w:val="-4"/>
                            <w:sz w:val="18"/>
                            <w:szCs w:val="18"/>
                          </w:rPr>
                          <w:t>经立信会计师事务所（特殊普通合伙）审计，</w:t>
                        </w:r>
                        <w:r>
                          <w:rPr>
                            <w:rFonts w:ascii="Times New Roman" w:hAnsi="Times New Roman" w:cs="Times New Roman" w:eastAsia="Times New Roman" w:hint="default"/>
                            <w:spacing w:val="-4"/>
                            <w:sz w:val="18"/>
                            <w:szCs w:val="18"/>
                          </w:rPr>
                          <w:t>2015 </w:t>
                        </w:r>
                        <w:r>
                          <w:rPr>
                            <w:rFonts w:ascii="宋体" w:hAnsi="宋体" w:cs="宋体" w:eastAsia="宋体" w:hint="default"/>
                            <w:sz w:val="18"/>
                            <w:szCs w:val="18"/>
                          </w:rPr>
                          <w:t>年度实现归属于上市公司股东的净利润 </w:t>
                        </w:r>
                        <w:r>
                          <w:rPr>
                            <w:rFonts w:ascii="Times New Roman" w:hAnsi="Times New Roman" w:cs="Times New Roman" w:eastAsia="Times New Roman" w:hint="default"/>
                            <w:sz w:val="18"/>
                            <w:szCs w:val="18"/>
                          </w:rPr>
                          <w:t>57,222,712.49</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元，其中</w:t>
                        </w:r>
                        <w:r>
                          <w:rPr>
                            <w:rFonts w:ascii="宋体" w:hAnsi="宋体" w:cs="宋体" w:eastAsia="宋体" w:hint="default"/>
                            <w:sz w:val="18"/>
                            <w:szCs w:val="18"/>
                          </w:rPr>
                          <w:t> 母公司实现净利润 </w:t>
                        </w:r>
                        <w:r>
                          <w:rPr>
                            <w:rFonts w:ascii="Times New Roman" w:hAnsi="Times New Roman" w:cs="Times New Roman" w:eastAsia="Times New Roman" w:hint="default"/>
                            <w:sz w:val="18"/>
                            <w:szCs w:val="18"/>
                          </w:rPr>
                          <w:t>49,158,571.94    </w:t>
                        </w:r>
                        <w:r>
                          <w:rPr>
                            <w:rFonts w:ascii="宋体" w:hAnsi="宋体" w:cs="宋体" w:eastAsia="宋体" w:hint="default"/>
                            <w:sz w:val="18"/>
                            <w:szCs w:val="18"/>
                          </w:rPr>
                          <w:t>元，按公司章程规定提取 </w:t>
                        </w:r>
                        <w:r>
                          <w:rPr>
                            <w:rFonts w:ascii="Times New Roman" w:hAnsi="Times New Roman" w:cs="Times New Roman" w:eastAsia="Times New Roman" w:hint="default"/>
                            <w:sz w:val="18"/>
                            <w:szCs w:val="18"/>
                          </w:rPr>
                          <w:t>10%</w:t>
                        </w:r>
                        <w:r>
                          <w:rPr>
                            <w:rFonts w:ascii="宋体" w:hAnsi="宋体" w:cs="宋体" w:eastAsia="宋体" w:hint="default"/>
                            <w:sz w:val="18"/>
                            <w:szCs w:val="18"/>
                          </w:rPr>
                          <w:t>法定盈余公积 </w:t>
                        </w:r>
                        <w:r>
                          <w:rPr>
                            <w:rFonts w:ascii="Times New Roman" w:hAnsi="Times New Roman" w:cs="Times New Roman" w:eastAsia="Times New Roman" w:hint="default"/>
                            <w:sz w:val="18"/>
                            <w:szCs w:val="18"/>
                          </w:rPr>
                          <w:t>4,915,857.19 </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元，加：年初未分配利润</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120,757,568.83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元，减：对全体股东进行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6000000.00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元，公司期末实际可供股东分配的利润</w:t>
                        </w:r>
                      </w:p>
                      <w:p>
                        <w:pPr>
                          <w:pStyle w:val="TableParagraph"/>
                          <w:tabs>
                            <w:tab w:pos="1823" w:val="left" w:leader="none"/>
                          </w:tabs>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105,000,283.58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tab/>
                          <w:t>经本次董事会审议通过的利润分配预案为：以公司总股本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80,000,000.00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股为基数，向全体股东每</w:t>
                        </w:r>
                      </w:p>
                      <w:p>
                        <w:pPr>
                          <w:pStyle w:val="TableParagraph"/>
                          <w:tabs>
                            <w:tab w:pos="2947" w:val="left" w:leader="none"/>
                          </w:tabs>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1"/>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z w:val="18"/>
                            <w:szCs w:val="18"/>
                          </w:rPr>
                          <w:t>。</w:t>
                          <w:tab/>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年度利润分配预案符合公司《公司章程》中利润分配政策的有关规定，本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次分红金额未超过报告期末</w:t>
                        </w:r>
                        <w:r>
                          <w:rPr>
                            <w:rFonts w:ascii="Times New Roman" w:hAnsi="Times New Roman" w:cs="Times New Roman" w:eastAsia="Times New Roman" w:hint="default"/>
                            <w:sz w:val="18"/>
                            <w:szCs w:val="18"/>
                          </w:rPr>
                          <w:t>“</w:t>
                        </w:r>
                        <w:r>
                          <w:rPr>
                            <w:rFonts w:ascii="宋体" w:hAnsi="宋体" w:cs="宋体" w:eastAsia="宋体" w:hint="default"/>
                            <w:sz w:val="18"/>
                            <w:szCs w:val="18"/>
                          </w:rPr>
                          <w:t>未分配利润</w:t>
                        </w:r>
                        <w:r>
                          <w:rPr>
                            <w:rFonts w:ascii="Times New Roman" w:hAnsi="Times New Roman" w:cs="Times New Roman" w:eastAsia="Times New Roman" w:hint="default"/>
                            <w:sz w:val="18"/>
                            <w:szCs w:val="18"/>
                          </w:rPr>
                          <w:t>”</w:t>
                        </w:r>
                        <w:r>
                          <w:rPr>
                            <w:rFonts w:ascii="宋体" w:hAnsi="宋体" w:cs="宋体" w:eastAsia="宋体" w:hint="default"/>
                            <w:sz w:val="18"/>
                            <w:szCs w:val="18"/>
                          </w:rPr>
                          <w:t>的余额，该预案尚需提交公司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年年度股东大会审议批准。</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spacing w:line="240" w:lineRule="auto" w:before="26"/>
        <w:ind w:left="154" w:right="0"/>
        <w:jc w:val="left"/>
        <w:rPr>
          <w:b w:val="0"/>
          <w:bCs w:val="0"/>
        </w:rPr>
      </w:pPr>
      <w:bookmarkStart w:name="三、承诺事项履行情况" w:id="65"/>
      <w:bookmarkEnd w:id="65"/>
      <w:r>
        <w:rPr>
          <w:b w:val="0"/>
          <w:bCs w:val="0"/>
        </w:rPr>
      </w: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59" w:lineRule="auto"/>
        <w:ind w:right="0"/>
        <w:jc w:val="left"/>
        <w:rPr>
          <w:b w:val="0"/>
          <w:bCs w:val="0"/>
        </w:rPr>
      </w:pPr>
      <w:bookmarkStart w:name="1、公司、股东、实际控制人、收购人、董事、监事、高级管理人员或其他关联方在报告期" w:id="66"/>
      <w:bookmarkEnd w:id="66"/>
      <w:r>
        <w:rPr>
          <w:b w:val="0"/>
          <w:bCs w:val="0"/>
        </w:rPr>
      </w: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footerReference w:type="default" r:id="rId14"/>
          <w:pgSz w:w="11910" w:h="16840"/>
          <w:pgMar w:footer="979" w:header="747" w:top="1060" w:bottom="1160" w:left="980" w:right="0"/>
          <w:pgNumType w:start="24"/>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8"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7"/>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tcBorders>
              <w:top w:val="single" w:sz="4" w:space="0" w:color="000000"/>
              <w:left w:val="single" w:sz="13" w:space="0" w:color="D2D2D2"/>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5802"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9" w:lineRule="auto"/>
              <w:ind w:left="17" w:right="21"/>
              <w:jc w:val="left"/>
              <w:rPr>
                <w:rFonts w:ascii="宋体" w:hAnsi="宋体" w:cs="宋体" w:eastAsia="宋体" w:hint="default"/>
                <w:sz w:val="18"/>
                <w:szCs w:val="18"/>
              </w:rPr>
            </w:pPr>
            <w:r>
              <w:rPr>
                <w:rFonts w:ascii="宋体" w:hAnsi="宋体" w:cs="宋体" w:eastAsia="宋体" w:hint="default"/>
                <w:sz w:val="18"/>
                <w:szCs w:val="18"/>
              </w:rPr>
              <w:t>久远集团、锐 锋集团</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3"/>
              <w:ind w:left="22" w:right="191"/>
              <w:jc w:val="both"/>
              <w:rPr>
                <w:rFonts w:ascii="宋体" w:hAnsi="宋体" w:cs="宋体" w:eastAsia="宋体" w:hint="default"/>
                <w:sz w:val="18"/>
                <w:szCs w:val="18"/>
              </w:rPr>
            </w:pPr>
            <w:r>
              <w:rPr>
                <w:rFonts w:ascii="宋体" w:hAnsi="宋体" w:cs="宋体" w:eastAsia="宋体" w:hint="default"/>
                <w:sz w:val="18"/>
                <w:szCs w:val="18"/>
              </w:rPr>
              <w:t>股份锁定及 减持价格承 诺</w:t>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自发行人上 市之日起三 十六个月内， 不转让或者 委托他人管 理其直接或 间接持有的 发行人股份， 也不由发行 人回购其持 有的股份。所 持股票在锁 定期满后两 年内减持的， 其减持价格 不低于发行 价；公司上市 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 公司股票连</w:t>
            </w:r>
          </w:p>
          <w:p>
            <w:pPr>
              <w:pStyle w:val="TableParagraph"/>
              <w:spacing w:line="312"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均低于发行 </w:t>
            </w:r>
            <w:r>
              <w:rPr>
                <w:rFonts w:ascii="宋体" w:hAnsi="宋体" w:cs="宋体" w:eastAsia="宋体" w:hint="default"/>
                <w:spacing w:val="-2"/>
                <w:sz w:val="18"/>
                <w:szCs w:val="18"/>
              </w:rPr>
              <w:t>价，或者上市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 收盘价低于 </w:t>
            </w:r>
            <w:r>
              <w:rPr>
                <w:rFonts w:ascii="宋体" w:hAnsi="宋体" w:cs="宋体" w:eastAsia="宋体" w:hint="default"/>
                <w:spacing w:val="-2"/>
                <w:sz w:val="18"/>
                <w:szCs w:val="18"/>
              </w:rPr>
              <w:t>发行价，持有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公司股票的 锁定期限自 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92"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256" w:hRule="exact"/>
        </w:trPr>
        <w:tc>
          <w:tcPr>
            <w:tcW w:w="2836" w:type="dxa"/>
            <w:vMerge w:val="restart"/>
            <w:tcBorders>
              <w:top w:val="nil" w:sz="6" w:space="0" w:color="auto"/>
              <w:left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254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公司董事、监 事、高级管理 人员李慧霞、 单卫民、程树 忠、王卒、詹 开明、田志 勇、连春华、 杨成文、翟峻</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股份锁定及 减持价格承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自发行人上 市之日起三 十六个月内， 不转让或者 委托他人管 理其直接或 间接持有的 发行人股份，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73"/>
              <w:jc w:val="righ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915"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梓、张光红</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也不由发行 人回购其持 有的股份。所 持股票在锁 定期满后两 年内减持的， 其减持价格 不低于发行 价；公司上市 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个月内如 公司股票连</w:t>
            </w:r>
          </w:p>
          <w:p>
            <w:pPr>
              <w:pStyle w:val="TableParagraph"/>
              <w:spacing w:line="312"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 日的收盘价 均低于发行 </w:t>
            </w:r>
            <w:r>
              <w:rPr>
                <w:rFonts w:ascii="宋体" w:hAnsi="宋体" w:cs="宋体" w:eastAsia="宋体" w:hint="default"/>
                <w:spacing w:val="-2"/>
                <w:sz w:val="18"/>
                <w:szCs w:val="18"/>
              </w:rPr>
              <w:t>价，或者上市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个月期末 收盘价低于 </w:t>
            </w:r>
            <w:r>
              <w:rPr>
                <w:rFonts w:ascii="宋体" w:hAnsi="宋体" w:cs="宋体" w:eastAsia="宋体" w:hint="default"/>
                <w:spacing w:val="-2"/>
                <w:sz w:val="18"/>
                <w:szCs w:val="18"/>
              </w:rPr>
              <w:t>发行价，持有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公司股票的 锁定期限自 动延长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6"/>
              <w:ind w:left="23" w:right="10"/>
              <w:jc w:val="left"/>
              <w:rPr>
                <w:rFonts w:ascii="宋体" w:hAnsi="宋体" w:cs="宋体" w:eastAsia="宋体" w:hint="default"/>
                <w:sz w:val="18"/>
                <w:szCs w:val="18"/>
              </w:rPr>
            </w:pPr>
            <w:r>
              <w:rPr>
                <w:rFonts w:ascii="宋体" w:hAnsi="宋体" w:cs="宋体" w:eastAsia="宋体" w:hint="default"/>
                <w:sz w:val="18"/>
                <w:szCs w:val="18"/>
              </w:rPr>
              <w:t>童晓峰、张 巍、杜斌、唐 世杰、施铮、 徐仑峰等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名公司核心 骨干、核心技 术人员和王 伯韬、刘碧军</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股份锁定及 减持价格承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自发行人上 市之日起三 十六个月内， 不转让或者 委托他人管 理其直接或 间接持有的 发行人股份， 也不由发行 人回购其持 有的股份。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7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pacing w:val="-2"/>
                <w:sz w:val="18"/>
                <w:szCs w:val="18"/>
              </w:rPr>
              <w:t>广发信德、陈</w:t>
            </w:r>
            <w:r>
              <w:rPr>
                <w:rFonts w:ascii="宋体" w:hAnsi="宋体" w:cs="宋体" w:eastAsia="宋体" w:hint="default"/>
                <w:sz w:val="18"/>
                <w:szCs w:val="18"/>
              </w:rPr>
              <w:t> 奕民</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91"/>
              <w:jc w:val="both"/>
              <w:rPr>
                <w:rFonts w:ascii="宋体" w:hAnsi="宋体" w:cs="宋体" w:eastAsia="宋体" w:hint="default"/>
                <w:sz w:val="18"/>
                <w:szCs w:val="18"/>
              </w:rPr>
            </w:pPr>
            <w:r>
              <w:rPr>
                <w:rFonts w:ascii="宋体" w:hAnsi="宋体" w:cs="宋体" w:eastAsia="宋体" w:hint="default"/>
                <w:sz w:val="18"/>
                <w:szCs w:val="18"/>
              </w:rPr>
              <w:t>股份锁定及 减持价格承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自发行人上 市之日起十 </w:t>
            </w:r>
            <w:r>
              <w:rPr>
                <w:rFonts w:ascii="宋体" w:hAnsi="宋体" w:cs="宋体" w:eastAsia="宋体" w:hint="default"/>
                <w:spacing w:val="-2"/>
                <w:sz w:val="18"/>
                <w:szCs w:val="18"/>
              </w:rPr>
              <w:t>八个月内，不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转让或者委 托他人管理 其直接或间 接持有的发 </w:t>
            </w:r>
            <w:r>
              <w:rPr>
                <w:rFonts w:ascii="宋体" w:hAnsi="宋体" w:cs="宋体" w:eastAsia="宋体" w:hint="default"/>
                <w:spacing w:val="-2"/>
                <w:sz w:val="18"/>
                <w:szCs w:val="18"/>
              </w:rPr>
              <w:t>行人股份，也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不由发行人 回购其持有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的股份。</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6" w:lineRule="auto"/>
              <w:ind w:left="23" w:right="190"/>
              <w:jc w:val="left"/>
              <w:rPr>
                <w:rFonts w:ascii="宋体" w:hAnsi="宋体" w:cs="宋体" w:eastAsia="宋体" w:hint="default"/>
                <w:sz w:val="18"/>
                <w:szCs w:val="18"/>
              </w:rPr>
            </w:pPr>
            <w:r>
              <w:rPr>
                <w:rFonts w:ascii="宋体" w:hAnsi="宋体" w:cs="宋体" w:eastAsia="宋体" w:hint="default"/>
                <w:sz w:val="18"/>
                <w:szCs w:val="18"/>
              </w:rPr>
              <w:t>李长明、陈 晖、邹孝健</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股份锁定及 减持价格承 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自发行人上 市之日起十 </w:t>
            </w:r>
            <w:r>
              <w:rPr>
                <w:rFonts w:ascii="宋体" w:hAnsi="宋体" w:cs="宋体" w:eastAsia="宋体" w:hint="default"/>
                <w:spacing w:val="-2"/>
                <w:sz w:val="18"/>
                <w:szCs w:val="18"/>
              </w:rPr>
              <w:t>二个月内，不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转让或者委 托他人管理 其直接或间 接持有的发 </w:t>
            </w:r>
            <w:r>
              <w:rPr>
                <w:rFonts w:ascii="宋体" w:hAnsi="宋体" w:cs="宋体" w:eastAsia="宋体" w:hint="default"/>
                <w:spacing w:val="-2"/>
                <w:sz w:val="18"/>
                <w:szCs w:val="18"/>
              </w:rPr>
              <w:t>行人股份，也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不由发行人 回购其持有 的股份。</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10035"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3" w:right="21"/>
              <w:jc w:val="left"/>
              <w:rPr>
                <w:rFonts w:ascii="宋体" w:hAnsi="宋体" w:cs="宋体" w:eastAsia="宋体" w:hint="default"/>
                <w:sz w:val="18"/>
                <w:szCs w:val="18"/>
              </w:rPr>
            </w:pPr>
            <w:r>
              <w:rPr>
                <w:rFonts w:ascii="宋体" w:hAnsi="宋体" w:cs="宋体" w:eastAsia="宋体" w:hint="default"/>
                <w:spacing w:val="-2"/>
                <w:sz w:val="18"/>
                <w:szCs w:val="18"/>
              </w:rPr>
              <w:t>久远集团、锐</w:t>
            </w:r>
            <w:r>
              <w:rPr>
                <w:rFonts w:ascii="宋体" w:hAnsi="宋体" w:cs="宋体" w:eastAsia="宋体" w:hint="default"/>
                <w:sz w:val="18"/>
                <w:szCs w:val="18"/>
              </w:rPr>
              <w:t> 锋集团</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在本公司作 为中物院所 控制的企业 期间，本公司 将严格遵守 有关法律、法 规、规范性文 件的规定及 中国证监会 的有关规定， 不在中国境 内或境外，直 接或间接从 事与久远银 海及其控制 的企业相同 或相似并构 成竞争关系 的业务，亦不 会直接或间 接拥有与久 远银海及其 控制的企业 从事相同或 相似并构成 竞争关系的 企业、组织、 经济实体的 控制权。本公 司承诺将促 使本公司控 制的企业按</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153.019989pt;width:62pt;height:287.6pt;mso-position-horizontal-relative:page;mso-position-vertical-relative:page;z-index:-86051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5"/>
                      <w:szCs w:val="15"/>
                    </w:rPr>
                  </w:pPr>
                </w:p>
                <w:p>
                  <w:pPr>
                    <w:pStyle w:val="BodyText"/>
                    <w:spacing w:line="240" w:lineRule="auto" w:before="0"/>
                    <w:ind w:left="0" w:right="0"/>
                    <w:jc w:val="left"/>
                  </w:pPr>
                  <w:r>
                    <w:rPr/>
                    <w:t>、</w:t>
                  </w:r>
                </w:p>
              </w:txbxContent>
            </v:textbox>
            <w10:wrap type="none"/>
          </v:shape>
        </w:pict>
      </w:r>
      <w:r>
        <w:rPr/>
        <w:pict>
          <v:shape style="position:absolute;margin-left:361.480011pt;margin-top:475.839996pt;width:62pt;height:287.6pt;mso-position-horizontal-relative:page;mso-position-vertical-relative:page;z-index:-8604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1"/>
                      <w:szCs w:val="21"/>
                    </w:rPr>
                  </w:pPr>
                </w:p>
                <w:p>
                  <w:pPr>
                    <w:pStyle w:val="BodyText"/>
                    <w:spacing w:line="240" w:lineRule="auto" w:before="0"/>
                    <w:ind w:left="0" w:right="0"/>
                    <w:jc w:val="left"/>
                  </w:pPr>
                  <w:r>
                    <w:rPr/>
                    <w:t>、</w:t>
                  </w:r>
                </w:p>
              </w:txbxContent>
            </v:textbox>
            <w10:wrap type="none"/>
          </v:shape>
        </w:pict>
      </w:r>
      <w:r>
        <w:rPr/>
        <w:pict>
          <v:group style="position:absolute;margin-left:367.660004pt;margin-top:153.019989pt;width:55.85pt;height:287.6pt;mso-position-horizontal-relative:page;mso-position-vertical-relative:page;z-index:-860464" coordorigin="7353,3060" coordsize="1117,5752">
            <v:shape style="position:absolute;left:7353;top:3060;width:1117;height:5752" coordorigin="7353,3060" coordsize="1117,5752" path="m7353,8812l8470,8812,8470,3060,7353,3060,7353,8812xe" filled="true" fillcolor="#ffffff" stroked="false">
              <v:path arrowok="t"/>
              <v:fill type="solid"/>
            </v:shape>
            <w10:wrap type="none"/>
          </v:group>
        </w:pict>
      </w:r>
      <w:r>
        <w:rPr/>
        <w:pict>
          <v:group style="position:absolute;margin-left:367.660004pt;margin-top:475.839996pt;width:55.85pt;height:287.6pt;mso-position-horizontal-relative:page;mso-position-vertical-relative:page;z-index:-860440" coordorigin="7353,9517" coordsize="1117,5752">
            <v:shape style="position:absolute;left:7353;top:9517;width:1117;height:5752" coordorigin="7353,9517" coordsize="1117,5752" path="m7353,15269l8470,15269,8470,9517,7353,9517,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照与本公司</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同样的标准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遵守以上保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3"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证及承诺事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r>
        <w:trPr>
          <w:trHeight w:val="357" w:hRule="exact"/>
        </w:trPr>
        <w:tc>
          <w:tcPr>
            <w:tcW w:w="2836" w:type="dxa"/>
            <w:vMerge/>
            <w:tcBorders>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本院作为四</w:t>
            </w:r>
          </w:p>
        </w:tc>
        <w:tc>
          <w:tcPr>
            <w:tcW w:w="1126" w:type="dxa"/>
            <w:tcBorders>
              <w:top w:val="single" w:sz="4" w:space="0" w:color="000000"/>
              <w:left w:val="single" w:sz="4" w:space="0" w:color="000000"/>
              <w:bottom w:val="nil" w:sz="6" w:space="0" w:color="auto"/>
              <w:right w:val="single" w:sz="4" w:space="0" w:color="000000"/>
            </w:tcBorders>
          </w:tcPr>
          <w:p>
            <w:pPr/>
          </w:p>
        </w:tc>
        <w:tc>
          <w:tcPr>
            <w:tcW w:w="1121" w:type="dxa"/>
            <w:tcBorders>
              <w:top w:val="single" w:sz="4" w:space="0" w:color="000000"/>
              <w:left w:val="single" w:sz="4" w:space="0" w:color="000000"/>
              <w:bottom w:val="nil" w:sz="6" w:space="0" w:color="auto"/>
              <w:right w:val="single" w:sz="4" w:space="0" w:color="000000"/>
            </w:tcBorders>
          </w:tcPr>
          <w:p>
            <w:pPr/>
          </w:p>
        </w:tc>
        <w:tc>
          <w:tcPr>
            <w:tcW w:w="110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川久远银海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软件股份有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限公司（以下</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简称</w:t>
            </w:r>
            <w:r>
              <w:rPr>
                <w:rFonts w:ascii="Times New Roman" w:hAnsi="Times New Roman" w:cs="Times New Roman" w:eastAsia="Times New Roman" w:hint="default"/>
                <w:sz w:val="18"/>
                <w:szCs w:val="18"/>
              </w:rPr>
              <w:t>“</w:t>
            </w:r>
            <w:r>
              <w:rPr>
                <w:rFonts w:ascii="宋体" w:hAnsi="宋体" w:cs="宋体" w:eastAsia="宋体" w:hint="default"/>
                <w:sz w:val="18"/>
                <w:szCs w:val="18"/>
              </w:rPr>
              <w:t>股份公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的实际控</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制人，为有效</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支持股份公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司发展，维护</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股份公司及</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其他股东的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合法权益，就</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承担的与避</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免同业竞争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有关的义务</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郑重承诺：</w:t>
            </w:r>
            <w:r>
              <w:rPr>
                <w:rFonts w:ascii="Times New Roman" w:hAnsi="Times New Roman" w:cs="Times New Roman" w:eastAsia="Times New Roman" w:hint="default"/>
                <w:sz w:val="18"/>
                <w:szCs w:val="18"/>
              </w:rPr>
              <w:t>1</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本院及本院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中物院</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0"/>
              <w:jc w:val="left"/>
              <w:rPr>
                <w:rFonts w:ascii="宋体" w:hAnsi="宋体" w:cs="宋体" w:eastAsia="宋体" w:hint="default"/>
                <w:sz w:val="18"/>
                <w:szCs w:val="18"/>
              </w:rPr>
            </w:pPr>
            <w:r>
              <w:rPr>
                <w:rFonts w:ascii="宋体" w:hAnsi="宋体" w:cs="宋体" w:eastAsia="宋体" w:hint="default"/>
                <w:sz w:val="18"/>
                <w:szCs w:val="18"/>
              </w:rPr>
              <w:t>关于同业竞 争、关联交 </w:t>
            </w:r>
            <w:r>
              <w:rPr>
                <w:rFonts w:ascii="宋体" w:hAnsi="宋体" w:cs="宋体" w:eastAsia="宋体" w:hint="default"/>
                <w:spacing w:val="-2"/>
                <w:sz w:val="18"/>
                <w:szCs w:val="18"/>
              </w:rPr>
              <w:t>易、资金占用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方面的承诺</w:t>
            </w: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2"/>
              <w:jc w:val="both"/>
              <w:rPr>
                <w:rFonts w:ascii="宋体" w:hAnsi="宋体" w:cs="宋体" w:eastAsia="宋体" w:hint="default"/>
                <w:sz w:val="18"/>
                <w:szCs w:val="18"/>
              </w:rPr>
            </w:pPr>
            <w:r>
              <w:rPr>
                <w:rFonts w:ascii="宋体" w:hAnsi="宋体" w:cs="宋体" w:eastAsia="宋体" w:hint="default"/>
                <w:sz w:val="18"/>
                <w:szCs w:val="18"/>
              </w:rPr>
              <w:t>下属单位和 企业保证现 时不存在与 股份公司相 同或同类的</w:t>
            </w: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经营业务。</w:t>
            </w:r>
            <w:r>
              <w:rPr>
                <w:rFonts w:ascii="Times New Roman" w:hAnsi="Times New Roman" w:cs="Times New Roman" w:eastAsia="Times New Roman" w:hint="default"/>
                <w:sz w:val="18"/>
                <w:szCs w:val="18"/>
              </w:rPr>
              <w:t>2</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本院及本院</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下属单位和</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企业将不在</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任何地方以</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任何方式自</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营与股份公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司相同或相</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似的经营业</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务，不自营任</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何对股份公</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司经营及拟</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经营业务构</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成直接竞争</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的类同项目</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或功能上具</w:t>
            </w:r>
          </w:p>
        </w:tc>
        <w:tc>
          <w:tcPr>
            <w:tcW w:w="1126" w:type="dxa"/>
            <w:tcBorders>
              <w:top w:val="nil" w:sz="6" w:space="0" w:color="auto"/>
              <w:left w:val="single" w:sz="4" w:space="0" w:color="000000"/>
              <w:bottom w:val="nil" w:sz="6" w:space="0" w:color="auto"/>
              <w:right w:val="single" w:sz="4" w:space="0" w:color="000000"/>
            </w:tcBorders>
          </w:tcPr>
          <w:p>
            <w:pPr/>
          </w:p>
        </w:tc>
        <w:tc>
          <w:tcPr>
            <w:tcW w:w="1121" w:type="dxa"/>
            <w:tcBorders>
              <w:top w:val="nil" w:sz="6" w:space="0" w:color="auto"/>
              <w:left w:val="single" w:sz="4" w:space="0" w:color="000000"/>
              <w:bottom w:val="nil" w:sz="6" w:space="0" w:color="auto"/>
              <w:right w:val="single" w:sz="4" w:space="0" w:color="000000"/>
            </w:tcBorders>
          </w:tcPr>
          <w:p>
            <w:pPr/>
          </w:p>
        </w:tc>
        <w:tc>
          <w:tcPr>
            <w:tcW w:w="1108"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有替代作用</w:t>
            </w:r>
          </w:p>
        </w:tc>
        <w:tc>
          <w:tcPr>
            <w:tcW w:w="1126" w:type="dxa"/>
            <w:tcBorders>
              <w:top w:val="nil" w:sz="6" w:space="0" w:color="auto"/>
              <w:left w:val="single" w:sz="4" w:space="0" w:color="000000"/>
              <w:bottom w:val="single" w:sz="4" w:space="0" w:color="000000"/>
              <w:right w:val="single" w:sz="4" w:space="0" w:color="000000"/>
            </w:tcBorders>
          </w:tcPr>
          <w:p>
            <w:pPr/>
          </w:p>
        </w:tc>
        <w:tc>
          <w:tcPr>
            <w:tcW w:w="1121" w:type="dxa"/>
            <w:tcBorders>
              <w:top w:val="nil" w:sz="6" w:space="0" w:color="auto"/>
              <w:left w:val="single" w:sz="4" w:space="0" w:color="000000"/>
              <w:bottom w:val="single" w:sz="4" w:space="0" w:color="000000"/>
              <w:right w:val="single" w:sz="4" w:space="0" w:color="000000"/>
            </w:tcBorders>
          </w:tcPr>
          <w:p>
            <w:pPr/>
          </w:p>
        </w:tc>
        <w:tc>
          <w:tcPr>
            <w:tcW w:w="110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107"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2"/>
                <w:sz w:val="18"/>
                <w:szCs w:val="18"/>
              </w:rPr>
              <w:t>的项目，也不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会以任何方 式投资与股 份公司经营 业务构成或 可能构成竞 </w:t>
            </w:r>
            <w:r>
              <w:rPr>
                <w:rFonts w:ascii="宋体" w:hAnsi="宋体" w:cs="宋体" w:eastAsia="宋体" w:hint="default"/>
                <w:spacing w:val="-2"/>
                <w:sz w:val="18"/>
                <w:szCs w:val="18"/>
              </w:rPr>
              <w:t>争的业务，从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而确保避免 对股份公司 的生产经营 构成任何直 接或间接的 业务竞争。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5"/>
        <w:ind w:left="154" w:right="0"/>
        <w:jc w:val="left"/>
        <w:rPr>
          <w:b w:val="0"/>
          <w:bCs w:val="0"/>
        </w:rPr>
      </w:pPr>
      <w:bookmarkStart w:name="2、公司资产或项目存在盈利预测，且报告期仍处在盈利预测期间，公司就资产或项目达到" w:id="67"/>
      <w:bookmarkEnd w:id="6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四、控股股东及其关联方对上市公司的非经营性占用资金情况" w:id="68"/>
      <w:bookmarkEnd w:id="68"/>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before="0"/>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六、与上年度财务报告相比，会计政策、会计估计和核算方法发生变化的情况说明" w:id="70"/>
      <w:bookmarkEnd w:id="70"/>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57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公司报告期无会计政策、会计估计和核算方法发生变化的情况。</w:t>
      </w:r>
    </w:p>
    <w:p>
      <w:pPr>
        <w:spacing w:line="240" w:lineRule="auto" w:before="4"/>
        <w:rPr>
          <w:rFonts w:ascii="宋体" w:hAnsi="宋体" w:cs="宋体" w:eastAsia="宋体" w:hint="default"/>
          <w:sz w:val="19"/>
          <w:szCs w:val="19"/>
        </w:rPr>
      </w:pPr>
    </w:p>
    <w:p>
      <w:pPr>
        <w:pStyle w:val="Heading3"/>
        <w:spacing w:line="240" w:lineRule="auto"/>
        <w:ind w:left="154" w:right="0"/>
        <w:jc w:val="left"/>
        <w:rPr>
          <w:b w:val="0"/>
          <w:bCs w:val="0"/>
        </w:rPr>
      </w:pPr>
      <w:bookmarkStart w:name="七、报告期内发生重大会计差错更正需追溯重述的情况说明" w:id="71"/>
      <w:bookmarkEnd w:id="71"/>
      <w:r>
        <w:rPr>
          <w:b w:val="0"/>
          <w:bCs w:val="0"/>
        </w:rPr>
      </w: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八、与上年度财务报告相比，合并报表范围发生变化的情况说明" w:id="72"/>
      <w:bookmarkEnd w:id="72"/>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6"/>
        <w:spacing w:line="256" w:lineRule="auto" w:before="75"/>
        <w:ind w:left="153" w:right="0" w:firstLine="168"/>
        <w:jc w:val="left"/>
      </w:pPr>
      <w:r>
        <w:rPr>
          <w:spacing w:val="-2"/>
        </w:rPr>
        <w:t>与</w:t>
      </w:r>
      <w:r>
        <w:rPr>
          <w:rFonts w:ascii="Times New Roman" w:hAnsi="Times New Roman" w:cs="Times New Roman" w:eastAsia="Times New Roman" w:hint="default"/>
          <w:spacing w:val="-2"/>
        </w:rPr>
        <w:t>2014</w:t>
      </w:r>
      <w:r>
        <w:rPr>
          <w:spacing w:val="-2"/>
        </w:rPr>
        <w:t>年度相比，</w:t>
      </w:r>
      <w:r>
        <w:rPr>
          <w:rFonts w:ascii="Times New Roman" w:hAnsi="Times New Roman" w:cs="Times New Roman" w:eastAsia="Times New Roman" w:hint="default"/>
          <w:spacing w:val="-2"/>
        </w:rPr>
        <w:t>2015</w:t>
      </w:r>
      <w:r>
        <w:rPr>
          <w:spacing w:val="-2"/>
        </w:rPr>
        <w:t>年度新增合并单位</w:t>
      </w:r>
      <w:r>
        <w:rPr>
          <w:rFonts w:ascii="Times New Roman" w:hAnsi="Times New Roman" w:cs="Times New Roman" w:eastAsia="Times New Roman" w:hint="default"/>
          <w:spacing w:val="-2"/>
        </w:rPr>
        <w:t>1</w:t>
      </w:r>
      <w:r>
        <w:rPr>
          <w:spacing w:val="-2"/>
        </w:rPr>
        <w:t>家。</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7</w:t>
      </w:r>
      <w:r>
        <w:rPr>
          <w:spacing w:val="-2"/>
        </w:rPr>
        <w:t>月通过新设方式设立四川久远国基科技有限公司，</w:t>
      </w:r>
      <w:r>
        <w:rPr/>
        <w:t> 持股比例</w:t>
      </w:r>
      <w:r>
        <w:rPr>
          <w:rFonts w:ascii="Times New Roman" w:hAnsi="Times New Roman" w:cs="Times New Roman" w:eastAsia="Times New Roman" w:hint="default"/>
        </w:rPr>
        <w:t>100%</w:t>
      </w:r>
      <w:r>
        <w:rPr/>
        <w:t>，表决权比例</w:t>
      </w:r>
      <w:r>
        <w:rPr>
          <w:rFonts w:ascii="Times New Roman" w:hAnsi="Times New Roman" w:cs="Times New Roman" w:eastAsia="Times New Roman" w:hint="default"/>
        </w:rPr>
        <w:t>100%</w:t>
      </w:r>
      <w:r>
        <w:rPr/>
        <w:t>。</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bookmarkStart w:name="九、聘任、解聘会计师事务所情况" w:id="73"/>
      <w:bookmarkEnd w:id="73"/>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r>
      <w:tr>
        <w:trPr>
          <w:trHeight w:val="71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7</w:t>
            </w:r>
          </w:p>
        </w:tc>
      </w:tr>
      <w:tr>
        <w:trPr>
          <w:trHeight w:val="71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钱骁玲、杨志平</w:t>
            </w:r>
          </w:p>
        </w:tc>
      </w:tr>
    </w:tbl>
    <w:p>
      <w:pPr>
        <w:pStyle w:val="BodyText"/>
        <w:spacing w:line="240" w:lineRule="auto" w:before="51"/>
        <w:ind w:left="154" w:right="0"/>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3"/>
        <w:spacing w:line="240" w:lineRule="auto"/>
        <w:ind w:right="0"/>
        <w:jc w:val="left"/>
        <w:rPr>
          <w:b w:val="0"/>
          <w:bCs w:val="0"/>
        </w:rPr>
      </w:pPr>
      <w:bookmarkStart w:name="十、年度报告披露后面临暂停上市和终止上市情况" w:id="74"/>
      <w:bookmarkEnd w:id="74"/>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十一、破产重整相关事项" w:id="75"/>
      <w:bookmarkEnd w:id="75"/>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十二、重大诉讼、仲裁事项" w:id="76"/>
      <w:bookmarkEnd w:id="76"/>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三、处罚及整改情况" w:id="77"/>
      <w:bookmarkEnd w:id="77"/>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四、公司及其控股股东、实际控制人的诚信状况" w:id="78"/>
      <w:bookmarkEnd w:id="78"/>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3"/>
        <w:spacing w:line="240" w:lineRule="auto"/>
        <w:ind w:right="0"/>
        <w:jc w:val="left"/>
        <w:rPr>
          <w:b w:val="0"/>
          <w:bCs w:val="0"/>
        </w:rPr>
      </w:pPr>
      <w:bookmarkStart w:name="十五、公司股权激励计划、员工持股计划或其他员工激励措施的实施情况" w:id="79"/>
      <w:bookmarkEnd w:id="79"/>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44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六、重大关联交易" w:id="80"/>
      <w:bookmarkEnd w:id="80"/>
      <w:r>
        <w:rPr>
          <w:b w:val="0"/>
          <w:bCs w:val="0"/>
        </w:rPr>
      </w: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与日常经营相关的关联交易" w:id="81"/>
      <w:bookmarkEnd w:id="8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2、资产或股权收购、出售发生的关联交易" w:id="82"/>
      <w:bookmarkEnd w:id="82"/>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5"/>
        <w:spacing w:line="240" w:lineRule="auto"/>
        <w:ind w:left="154" w:right="0"/>
        <w:jc w:val="left"/>
        <w:rPr>
          <w:b w:val="0"/>
          <w:bCs w:val="0"/>
        </w:rPr>
      </w:pPr>
      <w:bookmarkStart w:name="3、共同对外投资的关联交易" w:id="83"/>
      <w:bookmarkEnd w:id="8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4、关联债权债务往来" w:id="84"/>
      <w:bookmarkEnd w:id="8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是否存在非经营性关联债权债务往来</w:t>
      </w:r>
    </w:p>
    <w:p>
      <w:pPr>
        <w:pStyle w:val="BodyText"/>
        <w:spacing w:line="338" w:lineRule="auto" w:before="43"/>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5、其他重大关联交易" w:id="85"/>
      <w:bookmarkEnd w:id="85"/>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十七、重大合同及其履行情况" w:id="86"/>
      <w:bookmarkEnd w:id="86"/>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托管、承包、租赁事项情况" w:id="87"/>
      <w:bookmarkEnd w:id="8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托管情况" w:id="88"/>
      <w:bookmarkEnd w:id="8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承包情况" w:id="89"/>
      <w:bookmarkEnd w:id="8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租赁情况" w:id="90"/>
      <w:bookmarkEnd w:id="9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48" w:lineRule="auto" w:before="0"/>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 租赁情况说明</w:t>
      </w:r>
    </w:p>
    <w:p>
      <w:pPr>
        <w:pStyle w:val="BodyText"/>
        <w:spacing w:line="300" w:lineRule="auto" w:before="0"/>
        <w:ind w:right="1168" w:firstLine="360"/>
        <w:jc w:val="left"/>
      </w:pPr>
      <w:r>
        <w:rPr/>
        <w:t>公司与四川星慧建设有限公司签署写字间租赁合同，租赁时间：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日，租赁面积：</w:t>
      </w:r>
      <w:r>
        <w:rPr>
          <w:rFonts w:ascii="Times New Roman" w:hAnsi="Times New Roman" w:cs="Times New Roman" w:eastAsia="Times New Roman" w:hint="default"/>
        </w:rPr>
        <w:t>472.08</w:t>
      </w:r>
      <w:r>
        <w:rPr/>
        <w:t>平 米。</w:t>
      </w:r>
    </w:p>
    <w:p>
      <w:pPr>
        <w:pStyle w:val="BodyText"/>
        <w:spacing w:line="300" w:lineRule="auto" w:before="31"/>
        <w:ind w:right="1118" w:firstLine="360"/>
        <w:jc w:val="left"/>
      </w:pPr>
      <w:r>
        <w:rPr>
          <w:spacing w:val="-1"/>
        </w:rPr>
        <w:t>公司与广发证券股份有限公司签署写字间租赁合同，租赁时间：</w:t>
      </w:r>
      <w:r>
        <w:rPr>
          <w:rFonts w:ascii="Times New Roman" w:hAnsi="Times New Roman" w:cs="Times New Roman" w:eastAsia="Times New Roman" w:hint="default"/>
          <w:spacing w:val="-1"/>
        </w:rPr>
        <w:t>201</w:t>
      </w:r>
      <w:r>
        <w:rPr>
          <w:rFonts w:ascii="宋体" w:hAnsi="宋体" w:cs="宋体" w:eastAsia="宋体" w:hint="default"/>
          <w:spacing w:val="-1"/>
        </w:rPr>
        <w:t>4</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201</w:t>
      </w:r>
      <w:r>
        <w:rPr>
          <w:rFonts w:ascii="宋体" w:hAnsi="宋体" w:cs="宋体" w:eastAsia="宋体" w:hint="default"/>
          <w:spacing w:val="-1"/>
        </w:rPr>
        <w:t>7</w:t>
      </w:r>
      <w:r>
        <w:rPr>
          <w:spacing w:val="-1"/>
        </w:rPr>
        <w:t>年</w:t>
      </w:r>
      <w:r>
        <w:rPr>
          <w:rFonts w:ascii="宋体" w:hAnsi="宋体" w:cs="宋体" w:eastAsia="宋体" w:hint="default"/>
          <w:spacing w:val="-1"/>
        </w:rPr>
        <w:t>5</w:t>
      </w:r>
      <w:r>
        <w:rPr>
          <w:spacing w:val="-1"/>
        </w:rPr>
        <w:t>月</w:t>
      </w:r>
      <w:r>
        <w:rPr>
          <w:rFonts w:ascii="Times New Roman" w:hAnsi="Times New Roman" w:cs="Times New Roman" w:eastAsia="Times New Roman" w:hint="default"/>
          <w:spacing w:val="-1"/>
        </w:rPr>
        <w:t>3</w:t>
      </w:r>
      <w:r>
        <w:rPr>
          <w:rFonts w:ascii="宋体" w:hAnsi="宋体" w:cs="宋体" w:eastAsia="宋体" w:hint="default"/>
          <w:spacing w:val="-1"/>
        </w:rPr>
        <w:t>0</w:t>
      </w:r>
      <w:r>
        <w:rPr>
          <w:spacing w:val="-1"/>
        </w:rPr>
        <w:t>日，租赁面积：</w:t>
      </w:r>
      <w:r>
        <w:rPr>
          <w:rFonts w:ascii="Times New Roman" w:hAnsi="Times New Roman" w:cs="Times New Roman" w:eastAsia="Times New Roman" w:hint="default"/>
          <w:spacing w:val="-1"/>
        </w:rPr>
        <w:t>387.7</w:t>
      </w:r>
      <w:r>
        <w:rPr>
          <w:spacing w:val="-1"/>
        </w:rPr>
        <w:t>平方</w:t>
      </w:r>
      <w:r>
        <w:rPr/>
        <w:t> 米。</w:t>
      </w:r>
    </w:p>
    <w:p>
      <w:pPr>
        <w:pStyle w:val="BodyText"/>
        <w:spacing w:line="300" w:lineRule="auto" w:before="31"/>
        <w:ind w:left="154" w:right="1118" w:firstLine="360"/>
        <w:jc w:val="left"/>
      </w:pPr>
      <w:r>
        <w:rPr>
          <w:spacing w:val="-2"/>
        </w:rPr>
        <w:t>公司与成都欧菲物业服务有限公司签署车位出租租赁合同，租赁时间：</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日，租赁车位：</w:t>
      </w:r>
      <w:r>
        <w:rPr>
          <w:rFonts w:ascii="Times New Roman" w:hAnsi="Times New Roman" w:cs="Times New Roman" w:eastAsia="Times New Roman" w:hint="default"/>
          <w:spacing w:val="-2"/>
        </w:rPr>
        <w:t>10</w:t>
      </w:r>
      <w:r>
        <w:rPr>
          <w:rFonts w:ascii="Times New Roman" w:hAnsi="Times New Roman" w:cs="Times New Roman" w:eastAsia="Times New Roman" w:hint="default"/>
        </w:rPr>
        <w:t> </w:t>
      </w:r>
      <w:r>
        <w:rPr/>
        <w:t>个。</w:t>
      </w:r>
    </w:p>
    <w:p>
      <w:pPr>
        <w:pStyle w:val="BodyText"/>
        <w:spacing w:line="240" w:lineRule="auto" w:before="72"/>
        <w:ind w:left="154"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重大担保" w:id="91"/>
      <w:bookmarkEnd w:id="91"/>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3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公司报告期不存在委托贷款。</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十八、其他重大事项的说明" w:id="96"/>
      <w:bookmarkEnd w:id="96"/>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公司报告期不存在需要说明的其他重大事项。</w:t>
      </w:r>
    </w:p>
    <w:p>
      <w:pPr>
        <w:spacing w:line="240" w:lineRule="auto" w:before="3"/>
        <w:rPr>
          <w:rFonts w:ascii="宋体" w:hAnsi="宋体" w:cs="宋体" w:eastAsia="宋体" w:hint="default"/>
          <w:sz w:val="19"/>
          <w:szCs w:val="19"/>
        </w:rPr>
      </w:pPr>
    </w:p>
    <w:p>
      <w:pPr>
        <w:pStyle w:val="Heading3"/>
        <w:spacing w:line="240" w:lineRule="auto"/>
        <w:ind w:right="0"/>
        <w:jc w:val="left"/>
        <w:rPr>
          <w:b w:val="0"/>
          <w:bCs w:val="0"/>
        </w:rPr>
      </w:pPr>
      <w:bookmarkStart w:name="十九、公司子公司重大事项" w:id="97"/>
      <w:bookmarkEnd w:id="97"/>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二十、社会责任情况" w:id="98"/>
      <w:bookmarkEnd w:id="98"/>
      <w:r>
        <w:rPr>
          <w:b w:val="0"/>
          <w:bCs w:val="0"/>
        </w:rPr>
      </w:r>
      <w:r>
        <w:rPr/>
        <w:t>二十、社会责任情况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二十一、公司债券相关情况" w:id="99"/>
      <w:bookmarkEnd w:id="99"/>
      <w:r>
        <w:rPr>
          <w:b w:val="0"/>
          <w:bCs w:val="0"/>
        </w:rPr>
      </w:r>
      <w:r>
        <w:rPr/>
        <w:t>二十一、公司债券相关情况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4" w:id="100"/>
      <w:bookmarkStart w:name="第六节 股份变动及股东情况" w:id="101"/>
      <w:r>
        <w:rPr>
          <w:b w:val="0"/>
          <w:bCs w:val="0"/>
        </w:rPr>
      </w:r>
      <w:r>
        <w:rPr/>
        <w:t>第六节</w:t>
      </w:r>
      <w:r>
        <w:rPr>
          <w:spacing w:val="-10"/>
        </w:rPr>
        <w:t> </w:t>
      </w:r>
      <w:r>
        <w:rPr/>
        <w:t>股份变动及股东情况</w:t>
      </w:r>
      <w:bookmarkEnd w:id="10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64.92%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48.69%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35.08%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21,050,00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26.31%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股份变动的原因</w:t>
      </w:r>
    </w:p>
    <w:p>
      <w:pPr>
        <w:pStyle w:val="BodyText"/>
        <w:spacing w:line="34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发行新股。 股份变动的批准情况</w:t>
      </w:r>
    </w:p>
    <w:p>
      <w:pPr>
        <w:pStyle w:val="BodyText"/>
        <w:spacing w:line="240" w:lineRule="auto" w:before="3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30" w:firstLine="360"/>
        <w:jc w:val="both"/>
      </w:pPr>
      <w:r>
        <w:rPr>
          <w:spacing w:val="-2"/>
        </w:rPr>
        <w:t>经中国证券监督管理委员会《关于核准四川久远银海软件股份有限公司首次公开发行股票的批复》</w:t>
      </w:r>
      <w:r>
        <w:rPr>
          <w:spacing w:val="-35"/>
        </w:rPr>
        <w:t> </w:t>
      </w:r>
      <w:r>
        <w:rPr/>
        <w:t>证监许可</w:t>
      </w:r>
      <w:r>
        <w:rPr>
          <w:rFonts w:ascii="Times New Roman" w:hAnsi="Times New Roman" w:cs="Times New Roman" w:eastAsia="Times New Roman" w:hint="default"/>
        </w:rPr>
        <w:t>[2015]1374 </w:t>
      </w:r>
      <w:r>
        <w:rPr>
          <w:spacing w:val="-2"/>
        </w:rPr>
        <w:t>号）核准，公司首次公开发行的</w:t>
      </w:r>
      <w:r>
        <w:rPr>
          <w:rFonts w:ascii="Times New Roman" w:hAnsi="Times New Roman" w:cs="Times New Roman" w:eastAsia="Times New Roman" w:hint="default"/>
          <w:spacing w:val="-2"/>
        </w:rPr>
        <w:t>2,000</w:t>
      </w:r>
      <w:r>
        <w:rPr>
          <w:spacing w:val="-2"/>
        </w:rPr>
        <w:t>万股人民币普通股（</w:t>
      </w:r>
      <w:r>
        <w:rPr>
          <w:rFonts w:ascii="Times New Roman" w:hAnsi="Times New Roman" w:cs="Times New Roman" w:eastAsia="Times New Roman" w:hint="default"/>
          <w:spacing w:val="-2"/>
        </w:rPr>
        <w:t>A</w:t>
      </w:r>
      <w:r>
        <w:rPr>
          <w:spacing w:val="-2"/>
        </w:rPr>
        <w:t>股）股票于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日在深圳证券交易所上市交易，发行后</w:t>
      </w:r>
      <w:r>
        <w:rPr>
          <w:spacing w:val="-50"/>
        </w:rPr>
        <w:t> </w:t>
      </w:r>
      <w:r>
        <w:rPr>
          <w:spacing w:val="-50"/>
        </w:rPr>
      </w:r>
      <w:r>
        <w:rPr/>
        <w:t>公司总股本增加至</w:t>
      </w:r>
      <w:r>
        <w:rPr>
          <w:rFonts w:ascii="Times New Roman" w:hAnsi="Times New Roman" w:cs="Times New Roman" w:eastAsia="Times New Roman" w:hint="default"/>
        </w:rPr>
        <w:t>8,000</w:t>
      </w:r>
      <w:r>
        <w:rPr/>
        <w:t>万股。</w:t>
      </w:r>
    </w:p>
    <w:p>
      <w:pPr>
        <w:pStyle w:val="BodyText"/>
        <w:spacing w:line="360" w:lineRule="auto" w:before="13"/>
        <w:ind w:right="9133"/>
        <w:jc w:val="left"/>
      </w:pPr>
      <w:r>
        <w:rPr/>
        <w:t>股份变动的过户情况 股份变动的过户情况</w:t>
      </w:r>
    </w:p>
    <w:p>
      <w:pPr>
        <w:pStyle w:val="BodyText"/>
        <w:spacing w:line="338" w:lineRule="auto" w:before="27"/>
        <w:ind w:left="513" w:right="643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由中国证券登记结算有限责任公司办理股份过户。</w:t>
      </w:r>
    </w:p>
    <w:p>
      <w:pPr>
        <w:pStyle w:val="BodyText"/>
        <w:spacing w:line="360" w:lineRule="auto" w:before="2"/>
        <w:ind w:left="154" w:right="1131" w:firstLine="360"/>
        <w:jc w:val="both"/>
      </w:pPr>
      <w:r>
        <w:rPr>
          <w:spacing w:val="-2"/>
        </w:rPr>
        <w:t>股份变动对最近一年和最近一期基本每股收益和稀释每股收益、归属于公司普通股股东的每股净资产等财务指标的影响</w:t>
      </w:r>
      <w:r>
        <w:rPr/>
        <w:t> 股份变动对最近一年和最近一期基本每股收益和稀释每股收益、归属于公司普通股股东的每股净资产等财务指标的影响</w:t>
      </w:r>
    </w:p>
    <w:p>
      <w:pPr>
        <w:spacing w:after="0" w:line="36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154" w:right="1118" w:firstLine="360"/>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月，公司首次公开发行</w:t>
      </w:r>
      <w:r>
        <w:rPr>
          <w:rFonts w:ascii="Times New Roman" w:hAnsi="Times New Roman" w:cs="Times New Roman" w:eastAsia="Times New Roman" w:hint="default"/>
          <w:spacing w:val="-2"/>
        </w:rPr>
        <w:t>2000</w:t>
      </w:r>
      <w:r>
        <w:rPr>
          <w:spacing w:val="-2"/>
        </w:rPr>
        <w:t>万股新股，使报告期基本每股收益和稀释每股收益被摊薄，报告期基本每股收益和</w:t>
      </w:r>
      <w:r>
        <w:rPr/>
        <w:t> 稀释。</w:t>
      </w:r>
    </w:p>
    <w:p>
      <w:pPr>
        <w:spacing w:line="240" w:lineRule="auto" w:before="0"/>
        <w:rPr>
          <w:rFonts w:ascii="宋体" w:hAnsi="宋体" w:cs="宋体" w:eastAsia="宋体" w:hint="default"/>
          <w:sz w:val="18"/>
          <w:szCs w:val="18"/>
        </w:rPr>
      </w:pPr>
    </w:p>
    <w:p>
      <w:pPr>
        <w:pStyle w:val="BodyText"/>
        <w:spacing w:line="240" w:lineRule="auto" w:before="149"/>
        <w:ind w:left="154" w:right="0"/>
        <w:jc w:val="left"/>
      </w:pPr>
      <w:r>
        <w:rPr/>
        <w:t>公司认为必要或证券监管机构要求披露的其他内容</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1"/>
                <w:sz w:val="18"/>
                <w:szCs w:val="18"/>
              </w:rPr>
              <w:t>人民币普通股（万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11.46</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20,000,000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1" w:right="0"/>
              <w:jc w:val="left"/>
              <w:rPr>
                <w:rFonts w:ascii="Times New Roman" w:hAnsi="Times New Roman" w:cs="Times New Roman" w:eastAsia="Times New Roman" w:hint="default"/>
                <w:sz w:val="18"/>
                <w:szCs w:val="18"/>
              </w:rPr>
            </w:pPr>
            <w:r>
              <w:rPr>
                <w:rFonts w:ascii="Times New Roman"/>
                <w:sz w:val="18"/>
              </w:rPr>
              <w:t>20,000,000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357" w:lineRule="auto" w:before="51"/>
        <w:ind w:left="371" w:right="1167" w:hanging="218"/>
        <w:jc w:val="left"/>
        <w:rPr>
          <w:rFonts w:ascii="Times New Roman" w:hAnsi="Times New Roman" w:cs="Times New Roman" w:eastAsia="Times New Roman" w:hint="default"/>
        </w:rPr>
      </w:pPr>
      <w:r>
        <w:rPr/>
        <w:t>报告期内证券发行（不含优先股）情况的说明 经中国证券监督管理委员会《关于核准四川久远银海软件股份有限公司首次公开发行股票的批复》</w:t>
      </w:r>
      <w:r>
        <w:rPr>
          <w:spacing w:val="-22"/>
        </w:rPr>
        <w:t> </w:t>
      </w:r>
      <w:r>
        <w:rPr/>
        <w:t>证监许可</w:t>
      </w:r>
      <w:r>
        <w:rPr>
          <w:rFonts w:ascii="Times New Roman" w:hAnsi="Times New Roman" w:cs="Times New Roman" w:eastAsia="Times New Roman" w:hint="default"/>
        </w:rPr>
        <w:t>[2015]1374</w:t>
      </w:r>
    </w:p>
    <w:p>
      <w:pPr>
        <w:pStyle w:val="BodyText"/>
        <w:spacing w:line="214" w:lineRule="exact" w:before="0"/>
        <w:ind w:right="0"/>
        <w:jc w:val="left"/>
      </w:pPr>
      <w:r>
        <w:rPr/>
        <w:t>号）文核准，公司公开发行不超过</w:t>
      </w:r>
      <w:r>
        <w:rPr>
          <w:rFonts w:ascii="Times New Roman" w:hAnsi="Times New Roman" w:cs="Times New Roman" w:eastAsia="Times New Roman" w:hint="default"/>
        </w:rPr>
        <w:t>2,000</w:t>
      </w:r>
      <w:r>
        <w:rPr/>
        <w:t>万股。发行采用网下向投资者询价配售（以下简称</w:t>
      </w:r>
      <w:r>
        <w:rPr>
          <w:rFonts w:ascii="Times New Roman" w:hAnsi="Times New Roman" w:cs="Times New Roman" w:eastAsia="Times New Roman" w:hint="default"/>
        </w:rPr>
        <w:t>“</w:t>
      </w:r>
      <w:r>
        <w:rPr/>
        <w:t>网下发行</w:t>
      </w:r>
      <w:r>
        <w:rPr>
          <w:rFonts w:ascii="Times New Roman" w:hAnsi="Times New Roman" w:cs="Times New Roman" w:eastAsia="Times New Roman" w:hint="default"/>
        </w:rPr>
        <w:t>”</w:t>
      </w:r>
      <w:r>
        <w:rPr/>
        <w:t>）与网上向持有深圳</w:t>
      </w:r>
    </w:p>
    <w:p>
      <w:pPr>
        <w:pStyle w:val="BodyText"/>
        <w:spacing w:line="300" w:lineRule="auto" w:before="63"/>
        <w:ind w:right="0"/>
        <w:jc w:val="left"/>
      </w:pPr>
      <w:r>
        <w:rPr/>
        <w:t>市场非限售</w:t>
      </w:r>
      <w:r>
        <w:rPr>
          <w:rFonts w:ascii="Times New Roman" w:hAnsi="Times New Roman" w:cs="Times New Roman" w:eastAsia="Times New Roman" w:hint="default"/>
        </w:rPr>
        <w:t>A</w:t>
      </w:r>
      <w:r>
        <w:rPr/>
        <w:t>股股份市值的社会公众投资者定价发行（以下简称</w:t>
      </w:r>
      <w:r>
        <w:rPr>
          <w:rFonts w:ascii="Times New Roman" w:hAnsi="Times New Roman" w:cs="Times New Roman" w:eastAsia="Times New Roman" w:hint="default"/>
        </w:rPr>
        <w:t>“</w:t>
      </w:r>
      <w:r>
        <w:rPr/>
        <w:t>网上发行</w:t>
      </w:r>
      <w:r>
        <w:rPr>
          <w:rFonts w:ascii="Times New Roman" w:hAnsi="Times New Roman" w:cs="Times New Roman" w:eastAsia="Times New Roman" w:hint="default"/>
        </w:rPr>
        <w:t>”</w:t>
      </w:r>
      <w:r>
        <w:rPr/>
        <w:t>）相结合的方式，其中网下发行</w:t>
      </w:r>
      <w:r>
        <w:rPr>
          <w:rFonts w:ascii="Times New Roman" w:hAnsi="Times New Roman" w:cs="Times New Roman" w:eastAsia="Times New Roman" w:hint="default"/>
        </w:rPr>
        <w:t>200</w:t>
      </w:r>
      <w:r>
        <w:rPr/>
        <w:t>万股，网上 </w:t>
      </w:r>
      <w:r>
        <w:rPr>
          <w:spacing w:val="-1"/>
        </w:rPr>
        <w:t>发行</w:t>
      </w:r>
      <w:r>
        <w:rPr>
          <w:rFonts w:ascii="Times New Roman" w:hAnsi="Times New Roman" w:cs="Times New Roman" w:eastAsia="Times New Roman" w:hint="default"/>
          <w:spacing w:val="-1"/>
        </w:rPr>
        <w:t>1,800</w:t>
      </w:r>
      <w:r>
        <w:rPr>
          <w:spacing w:val="-1"/>
        </w:rPr>
        <w:t>万股，发行价格为</w:t>
      </w:r>
      <w:r>
        <w:rPr>
          <w:rFonts w:ascii="Times New Roman" w:hAnsi="Times New Roman" w:cs="Times New Roman" w:eastAsia="Times New Roman" w:hint="default"/>
          <w:spacing w:val="-1"/>
        </w:rPr>
        <w:t>11.46</w:t>
      </w:r>
      <w:r>
        <w:rPr>
          <w:spacing w:val="-1"/>
        </w:rPr>
        <w:t>元</w:t>
      </w:r>
      <w:r>
        <w:rPr>
          <w:rFonts w:ascii="Times New Roman" w:hAnsi="Times New Roman" w:cs="Times New Roman" w:eastAsia="Times New Roman" w:hint="default"/>
          <w:spacing w:val="-1"/>
        </w:rPr>
        <w:t>/</w:t>
      </w:r>
      <w:r>
        <w:rPr>
          <w:spacing w:val="-1"/>
        </w:rPr>
        <w:t>股。截至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日，公司实际已向社会公众公开发行人民币普通股（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2,000</w:t>
      </w:r>
      <w:r>
        <w:rPr>
          <w:rFonts w:ascii="Times New Roman" w:hAnsi="Times New Roman" w:cs="Times New Roman" w:eastAsia="Times New Roman" w:hint="default"/>
          <w:spacing w:val="-23"/>
        </w:rPr>
        <w:t> </w:t>
      </w:r>
      <w:r>
        <w:rPr/>
        <w:t>万股，募集资金总额</w:t>
      </w:r>
      <w:r>
        <w:rPr>
          <w:rFonts w:ascii="Times New Roman" w:hAnsi="Times New Roman" w:cs="Times New Roman" w:eastAsia="Times New Roman" w:hint="default"/>
        </w:rPr>
        <w:t>22,920</w:t>
      </w:r>
      <w:r>
        <w:rPr/>
        <w:t>万元，扣除发行费用后，募集资金净额为</w:t>
      </w:r>
      <w:r>
        <w:rPr>
          <w:rFonts w:ascii="Times New Roman" w:hAnsi="Times New Roman" w:cs="Times New Roman" w:eastAsia="Times New Roman" w:hint="default"/>
        </w:rPr>
        <w:t>18,905.00277</w:t>
      </w:r>
      <w:r>
        <w:rPr/>
        <w:t>万元。</w:t>
      </w:r>
    </w:p>
    <w:p>
      <w:pPr>
        <w:spacing w:line="240" w:lineRule="auto" w:before="1"/>
        <w:rPr>
          <w:rFonts w:ascii="宋体" w:hAnsi="宋体" w:cs="宋体" w:eastAsia="宋体" w:hint="default"/>
          <w:sz w:val="22"/>
          <w:szCs w:val="22"/>
        </w:rPr>
      </w:pPr>
    </w:p>
    <w:p>
      <w:pPr>
        <w:pStyle w:val="Heading5"/>
        <w:spacing w:line="240" w:lineRule="auto"/>
        <w:ind w:left="154"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513" w:right="15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报告期内，公司股份总数和股东结构均发生变化。股份总数及股东结构的变动情况见本节</w:t>
      </w:r>
      <w:r>
        <w:rPr>
          <w:rFonts w:ascii="Times New Roman" w:hAnsi="Times New Roman" w:cs="Times New Roman" w:eastAsia="Times New Roman" w:hint="default"/>
        </w:rPr>
        <w:t>“</w:t>
      </w:r>
      <w:r>
        <w:rPr/>
        <w:t>一、股份变动情况</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5"/>
          <w:szCs w:val="25"/>
        </w:rPr>
      </w:pPr>
    </w:p>
    <w:p>
      <w:pPr>
        <w:pStyle w:val="Heading5"/>
        <w:spacing w:line="240" w:lineRule="auto"/>
        <w:ind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3"/>
        <w:spacing w:line="240" w:lineRule="auto" w:before="26"/>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478"/>
        <w:gridCol w:w="695"/>
        <w:gridCol w:w="93"/>
        <w:gridCol w:w="786"/>
        <w:gridCol w:w="339"/>
        <w:gridCol w:w="449"/>
        <w:gridCol w:w="755"/>
        <w:gridCol w:w="872"/>
        <w:gridCol w:w="317"/>
        <w:gridCol w:w="1033"/>
        <w:gridCol w:w="140"/>
        <w:gridCol w:w="1207"/>
      </w:tblGrid>
      <w:tr>
        <w:trPr>
          <w:trHeight w:val="162"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61" w:right="0"/>
              <w:jc w:val="left"/>
              <w:rPr>
                <w:rFonts w:ascii="Times New Roman" w:hAnsi="Times New Roman" w:cs="Times New Roman" w:eastAsia="Times New Roman" w:hint="default"/>
                <w:sz w:val="18"/>
                <w:szCs w:val="18"/>
              </w:rPr>
            </w:pPr>
            <w:r>
              <w:rPr>
                <w:rFonts w:ascii="Times New Roman"/>
                <w:sz w:val="18"/>
              </w:rPr>
              <w:t>34,639</w:t>
            </w:r>
          </w:p>
        </w:tc>
        <w:tc>
          <w:tcPr>
            <w:tcW w:w="1174"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72" w:right="0"/>
              <w:jc w:val="left"/>
              <w:rPr>
                <w:rFonts w:ascii="Times New Roman" w:hAnsi="Times New Roman" w:cs="Times New Roman" w:eastAsia="Times New Roman" w:hint="default"/>
                <w:sz w:val="18"/>
                <w:szCs w:val="18"/>
              </w:rPr>
            </w:pPr>
            <w:r>
              <w:rPr>
                <w:rFonts w:ascii="Times New Roman"/>
                <w:sz w:val="18"/>
              </w:rPr>
              <w:t>14,337</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703"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9"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vMerge/>
            <w:tcBorders>
              <w:left w:val="single" w:sz="13" w:space="0" w:color="D2D2D2"/>
              <w:right w:val="single" w:sz="4" w:space="0" w:color="000000"/>
            </w:tcBorders>
          </w:tcPr>
          <w:p>
            <w:pPr/>
          </w:p>
        </w:tc>
      </w:tr>
      <w:tr>
        <w:trPr>
          <w:trHeight w:val="167"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9"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vMerge/>
            <w:tcBorders>
              <w:left w:val="single" w:sz="13" w:space="0" w:color="D2D2D2"/>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2"/>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85"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88"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48" w:type="dxa"/>
            <w:gridSpan w:val="2"/>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四川久远投资控 股集团有限公司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28.35%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22,677,60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22,677,60</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8" w:space="0" w:color="D2D2D2"/>
              <w:left w:val="single" w:sz="4" w:space="0" w:color="000000"/>
              <w:bottom w:val="single" w:sz="4" w:space="0" w:color="000000"/>
              <w:right w:val="single" w:sz="4" w:space="0" w:color="000000"/>
            </w:tcBorders>
          </w:tcPr>
          <w:p>
            <w:pPr/>
          </w:p>
        </w:tc>
        <w:tc>
          <w:tcPr>
            <w:tcW w:w="1348" w:type="dxa"/>
            <w:gridSpan w:val="2"/>
            <w:tcBorders>
              <w:top w:val="single" w:sz="48" w:space="0" w:color="D2D2D2"/>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四川科学城锐锋 集团有限责任公 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12.97%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10,372,40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10,372,40</w:t>
            </w:r>
          </w:p>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sz w:val="18"/>
              </w:rPr>
              <w:t>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74"/>
              <w:jc w:val="left"/>
              <w:rPr>
                <w:rFonts w:ascii="宋体" w:hAnsi="宋体" w:cs="宋体" w:eastAsia="宋体" w:hint="default"/>
                <w:sz w:val="18"/>
                <w:szCs w:val="18"/>
              </w:rPr>
            </w:pPr>
            <w:r>
              <w:rPr>
                <w:rFonts w:ascii="宋体" w:hAnsi="宋体" w:cs="宋体" w:eastAsia="宋体" w:hint="default"/>
                <w:sz w:val="18"/>
                <w:szCs w:val="18"/>
              </w:rPr>
              <w:t>广发信德投资管 理有限公司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4.88%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3,900,000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李长明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3.59%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2,875,000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2,875,000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陈奕民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2.63%</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2,100,000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2,100,000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全国社会保障基 金理事会转持二 户</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2.50%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2.25%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1,800,000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1.81%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1,450,000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张光红</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1.25%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1,000,000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童晓峰</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950,000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詹开明</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950,000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950,000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田志勇</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950,000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单卫民</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0"/>
              <w:jc w:val="left"/>
              <w:rPr>
                <w:rFonts w:ascii="Times New Roman" w:hAnsi="Times New Roman" w:cs="Times New Roman" w:eastAsia="Times New Roman" w:hint="default"/>
                <w:sz w:val="18"/>
                <w:szCs w:val="18"/>
              </w:rPr>
            </w:pPr>
            <w:r>
              <w:rPr>
                <w:rFonts w:ascii="Times New Roman"/>
                <w:sz w:val="18"/>
              </w:rPr>
              <w:t>1.19%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950,000</w:t>
            </w:r>
          </w:p>
        </w:tc>
        <w:tc>
          <w:tcPr>
            <w:tcW w:w="788"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950,000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7"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62" w:hRule="exact"/>
        </w:trPr>
        <w:tc>
          <w:tcPr>
            <w:tcW w:w="288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w:t>
            </w:r>
          </w:p>
        </w:tc>
        <w:tc>
          <w:tcPr>
            <w:tcW w:w="6687" w:type="dxa"/>
            <w:gridSpan w:val="11"/>
            <w:tcBorders>
              <w:top w:val="single" w:sz="4" w:space="0" w:color="000000"/>
              <w:left w:val="single" w:sz="10" w:space="0" w:color="D2D2D2"/>
              <w:bottom w:val="single" w:sz="4" w:space="0" w:color="000000"/>
              <w:right w:val="single" w:sz="4" w:space="0" w:color="000000"/>
            </w:tcBorders>
          </w:tcPr>
          <w:p>
            <w:pPr>
              <w:pStyle w:val="TableParagraph"/>
              <w:spacing w:line="240" w:lineRule="auto" w:before="52"/>
              <w:ind w:left="15" w:right="-6"/>
              <w:jc w:val="left"/>
              <w:rPr>
                <w:rFonts w:ascii="宋体" w:hAnsi="宋体" w:cs="宋体" w:eastAsia="宋体" w:hint="default"/>
                <w:sz w:val="18"/>
                <w:szCs w:val="18"/>
              </w:rPr>
            </w:pPr>
            <w:r>
              <w:rPr>
                <w:rFonts w:ascii="宋体" w:hAnsi="宋体" w:cs="宋体" w:eastAsia="宋体" w:hint="default"/>
                <w:sz w:val="18"/>
                <w:szCs w:val="18"/>
              </w:rPr>
              <w:t>上述股东中，久远集团、锐锋集团系中物院全资控股的公司，为公司的实际控制人。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76"/>
        <w:gridCol w:w="3996"/>
        <w:gridCol w:w="1349"/>
        <w:gridCol w:w="1348"/>
      </w:tblGrid>
      <w:tr>
        <w:trPr>
          <w:trHeight w:val="362"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明</w:t>
            </w:r>
          </w:p>
        </w:tc>
        <w:tc>
          <w:tcPr>
            <w:tcW w:w="669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left="21" w:right="0"/>
              <w:jc w:val="left"/>
              <w:rPr>
                <w:rFonts w:ascii="宋体" w:hAnsi="宋体" w:cs="宋体" w:eastAsia="宋体" w:hint="default"/>
                <w:sz w:val="18"/>
                <w:szCs w:val="18"/>
              </w:rPr>
            </w:pPr>
            <w:r>
              <w:rPr>
                <w:rFonts w:ascii="宋体" w:hAnsi="宋体" w:cs="宋体" w:eastAsia="宋体" w:hint="default"/>
                <w:sz w:val="18"/>
                <w:szCs w:val="18"/>
              </w:rPr>
              <w:t>除上述关联关系外，公司股东之间不存在其他关联关系</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5"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2876" w:type="dxa"/>
            <w:vMerge/>
            <w:tcBorders>
              <w:left w:val="single" w:sz="4" w:space="0" w:color="000000"/>
              <w:bottom w:val="nil" w:sz="6" w:space="0" w:color="auto"/>
              <w:right w:val="single" w:sz="4" w:space="0" w:color="000000"/>
            </w:tcBorders>
            <w:shd w:val="clear" w:color="auto" w:fill="D2D2D2"/>
          </w:tcPr>
          <w:p>
            <w:pPr/>
          </w:p>
        </w:tc>
        <w:tc>
          <w:tcPr>
            <w:tcW w:w="3996"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赖宗阳</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9,000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9,000</w:t>
            </w: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中国石油天然气集团公司企业年金 计划－中国工商银行股份有限公司</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8,528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8,528</w:t>
            </w: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中国工商银行股份有限公司企业年 金计划－中国建设银行</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8,528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8,528</w:t>
            </w:r>
          </w:p>
        </w:tc>
      </w:tr>
      <w:tr>
        <w:trPr>
          <w:trHeight w:val="1026"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both"/>
              <w:rPr>
                <w:rFonts w:ascii="宋体" w:hAnsi="宋体" w:cs="宋体" w:eastAsia="宋体" w:hint="default"/>
                <w:sz w:val="18"/>
                <w:szCs w:val="18"/>
              </w:rPr>
            </w:pPr>
            <w:r>
              <w:rPr>
                <w:rFonts w:ascii="宋体" w:hAnsi="宋体" w:cs="宋体" w:eastAsia="宋体" w:hint="default"/>
                <w:sz w:val="18"/>
                <w:szCs w:val="18"/>
              </w:rPr>
              <w:t>中国建设银行股份有限公司企业年 金计划－中国工商银行股份有限公 司</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8,528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8,528</w:t>
            </w: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pacing w:val="-4"/>
                <w:sz w:val="18"/>
                <w:szCs w:val="18"/>
              </w:rPr>
              <w:t>中国远洋运输（集团）总公司企业年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金计划－中国银行股份有限公司</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8,528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8,528</w:t>
            </w: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中国银行股份有限公司企业年金计 划－中国农业银行</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8,528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8,528</w:t>
            </w: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中国农业银行股份有限公司企业年 金计划－中国银行股份有限公司</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4,764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4,764</w:t>
            </w: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招商银行股份有限公司－华安新活 力灵活配置混合型证券投资基金</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4,448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z w:val="21"/>
              </w:rPr>
              <w:t>4,448</w:t>
            </w:r>
          </w:p>
        </w:tc>
      </w:tr>
      <w:tr>
        <w:trPr>
          <w:trHeight w:val="1026"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pacing w:val="-4"/>
                <w:sz w:val="18"/>
                <w:szCs w:val="18"/>
              </w:rPr>
              <w:t>任萍、郝迪曦、中船重工财务有限责</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任公司等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457 </w:t>
            </w:r>
            <w:r>
              <w:rPr>
                <w:rFonts w:ascii="宋体" w:hAnsi="宋体" w:cs="宋体" w:eastAsia="宋体" w:hint="default"/>
                <w:sz w:val="18"/>
                <w:szCs w:val="18"/>
              </w:rPr>
              <w:t>名中小股东并列为第</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九大股大，各持有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w:t>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3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4,264</w:t>
            </w:r>
          </w:p>
        </w:tc>
      </w:tr>
      <w:tr>
        <w:trPr>
          <w:trHeight w:val="1338" w:hRule="exact"/>
        </w:trPr>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8" w:right="21"/>
              <w:jc w:val="left"/>
              <w:rPr>
                <w:rFonts w:ascii="宋体" w:hAnsi="宋体" w:cs="宋体" w:eastAsia="宋体" w:hint="default"/>
                <w:sz w:val="18"/>
                <w:szCs w:val="18"/>
              </w:rPr>
            </w:pPr>
            <w:r>
              <w:rPr>
                <w:rFonts w:ascii="宋体" w:hAnsi="宋体" w:cs="宋体" w:eastAsia="宋体" w:hint="default"/>
                <w:spacing w:val="-1"/>
                <w:sz w:val="18"/>
                <w:szCs w:val="18"/>
              </w:rPr>
              <w:t>本公司未知上述股东之间是否存在关联关系以及是否属于《上市公司股东持股变动信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息披露管理办法》中规定的一致行动人。</w:t>
            </w:r>
          </w:p>
        </w:tc>
      </w:tr>
      <w:tr>
        <w:trPr>
          <w:trHeight w:val="714" w:hRule="exact"/>
        </w:trPr>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3"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0"/>
        <w:jc w:val="left"/>
      </w:pPr>
      <w:r>
        <w:rPr/>
        <w:t>注</w:t>
      </w:r>
      <w:r>
        <w:rPr>
          <w:spacing w:val="-46"/>
        </w:rPr>
        <w:t> </w:t>
      </w:r>
      <w:r>
        <w:rPr>
          <w:rFonts w:ascii="Times New Roman" w:hAnsi="Times New Roman" w:cs="Times New Roman" w:eastAsia="Times New Roman" w:hint="default"/>
        </w:rPr>
        <w:t>1</w:t>
      </w:r>
      <w:r>
        <w:rPr/>
        <w:t>：公司于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日在深交所上市，故当日前十名无限售条件股东较多。任萍、郝迪曦、中船重工财务有限责</w:t>
      </w:r>
    </w:p>
    <w:p>
      <w:pPr>
        <w:pStyle w:val="BodyText"/>
        <w:spacing w:line="240" w:lineRule="auto" w:before="63"/>
        <w:ind w:left="154" w:right="0"/>
        <w:jc w:val="left"/>
      </w:pPr>
      <w:r>
        <w:rPr/>
        <w:t>任公司等</w:t>
      </w:r>
      <w:r>
        <w:rPr>
          <w:spacing w:val="-46"/>
        </w:rPr>
        <w:t> </w:t>
      </w:r>
      <w:r>
        <w:rPr>
          <w:rFonts w:ascii="Times New Roman" w:hAnsi="Times New Roman" w:cs="Times New Roman" w:eastAsia="Times New Roman" w:hint="default"/>
        </w:rPr>
        <w:t>457 </w:t>
      </w:r>
      <w:r>
        <w:rPr/>
        <w:t>名中小股东并列为第九大股大，各持有</w:t>
      </w:r>
      <w:r>
        <w:rPr>
          <w:spacing w:val="-46"/>
        </w:rPr>
        <w:t> </w:t>
      </w:r>
      <w:r>
        <w:rPr>
          <w:rFonts w:ascii="Times New Roman" w:hAnsi="Times New Roman" w:cs="Times New Roman" w:eastAsia="Times New Roman" w:hint="default"/>
        </w:rPr>
        <w:t>4264</w:t>
      </w:r>
      <w:r>
        <w:rPr>
          <w:rFonts w:ascii="Times New Roman" w:hAnsi="Times New Roman" w:cs="Times New Roman" w:eastAsia="Times New Roman" w:hint="default"/>
          <w:spacing w:val="-1"/>
        </w:rPr>
        <w:t> </w:t>
      </w:r>
      <w:r>
        <w:rPr/>
        <w:t>股，持股比例分别为</w:t>
      </w:r>
      <w:r>
        <w:rPr>
          <w:spacing w:val="-46"/>
        </w:rPr>
        <w:t> </w:t>
      </w:r>
      <w:r>
        <w:rPr>
          <w:rFonts w:ascii="Times New Roman" w:hAnsi="Times New Roman" w:cs="Times New Roman" w:eastAsia="Times New Roman" w:hint="default"/>
        </w:rPr>
        <w:t>0.02%</w:t>
      </w:r>
      <w:r>
        <w:rPr/>
        <w:t>。</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413"/>
        <w:jc w:val="left"/>
      </w:pPr>
      <w:r>
        <w:rPr/>
        <w:t>控股股东性质：中央国有控股 控股股东类型：法人</w:t>
      </w:r>
    </w:p>
    <w:p>
      <w:pPr>
        <w:spacing w:after="0" w:line="36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before="0"/>
        <w:ind w:left="0" w:right="1139"/>
        <w:jc w:val="right"/>
      </w:pPr>
      <w:r>
        <w:rPr/>
        <w:pict>
          <v:shape style="position:absolute;margin-left:56.459999pt;margin-top:-69.968277pt;width:479.2pt;height:170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1650"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2"/>
                          <w:jc w:val="left"/>
                          <w:rPr>
                            <w:rFonts w:ascii="宋体" w:hAnsi="宋体" w:cs="宋体" w:eastAsia="宋体" w:hint="default"/>
                            <w:sz w:val="18"/>
                            <w:szCs w:val="18"/>
                          </w:rPr>
                        </w:pPr>
                        <w:r>
                          <w:rPr>
                            <w:rFonts w:ascii="宋体" w:hAnsi="宋体" w:cs="宋体" w:eastAsia="宋体" w:hint="default"/>
                            <w:sz w:val="18"/>
                            <w:szCs w:val="18"/>
                          </w:rPr>
                          <w:t>四川久远投资控股集团 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高文</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70895982-3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8"/>
                          <w:jc w:val="both"/>
                          <w:rPr>
                            <w:rFonts w:ascii="宋体" w:hAnsi="宋体" w:cs="宋体" w:eastAsia="宋体" w:hint="default"/>
                            <w:sz w:val="18"/>
                            <w:szCs w:val="18"/>
                          </w:rPr>
                        </w:pPr>
                        <w:r>
                          <w:rPr>
                            <w:rFonts w:ascii="宋体" w:hAnsi="宋体" w:cs="宋体" w:eastAsia="宋体" w:hint="default"/>
                            <w:sz w:val="18"/>
                            <w:szCs w:val="18"/>
                          </w:rPr>
                          <w:t>经营公司法人资本和所 投资企业的法人资本； </w:t>
                        </w:r>
                        <w:r>
                          <w:rPr>
                            <w:rFonts w:ascii="宋体" w:hAnsi="宋体" w:cs="宋体" w:eastAsia="宋体" w:hint="default"/>
                            <w:spacing w:val="-4"/>
                            <w:sz w:val="18"/>
                            <w:szCs w:val="18"/>
                          </w:rPr>
                          <w:t>股权投资；房地产投资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经济担保、咨询和经批 准的其他业务</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久远集团持有利尔化学股份有限公司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5,518.62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万股股份，占利尔化学股份有限公司总股本的</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27.26%</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154" w:right="0"/>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3、公司实际控制人情况" w:id="112"/>
      <w:bookmarkEnd w:id="112"/>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873"/>
        <w:jc w:val="left"/>
      </w:pPr>
      <w:r>
        <w:rPr/>
        <w:t>实际控制人性质：中央国资管理机构 实际控制人类型：法人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ind w:left="0" w:right="1139"/>
        <w:jc w:val="right"/>
      </w:pPr>
      <w:r>
        <w:rPr/>
        <w:pict>
          <v:shape style="position:absolute;margin-left:56.459999pt;margin-top:-52.168297pt;width:479.2pt;height:279.2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8"/>
                    <w:gridCol w:w="1832"/>
                    <w:gridCol w:w="1891"/>
                    <w:gridCol w:w="1936"/>
                    <w:gridCol w:w="1912"/>
                  </w:tblGrid>
                  <w:tr>
                    <w:trPr>
                      <w:trHeight w:val="714"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63"/>
                          <w:jc w:val="right"/>
                          <w:rPr>
                            <w:rFonts w:ascii="宋体" w:hAnsi="宋体" w:cs="宋体" w:eastAsia="宋体" w:hint="default"/>
                            <w:sz w:val="18"/>
                            <w:szCs w:val="18"/>
                          </w:rPr>
                        </w:pPr>
                        <w:r>
                          <w:rPr>
                            <w:rFonts w:ascii="宋体" w:hAnsi="宋体" w:cs="宋体" w:eastAsia="宋体" w:hint="default"/>
                            <w:sz w:val="18"/>
                            <w:szCs w:val="18"/>
                          </w:rPr>
                          <w:t>实际控制人名称</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819"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9"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3834" w:hRule="exact"/>
                    </w:trPr>
                    <w:tc>
                      <w:tcPr>
                        <w:tcW w:w="1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345"/>
                          <w:jc w:val="right"/>
                          <w:rPr>
                            <w:rFonts w:ascii="宋体" w:hAnsi="宋体" w:cs="宋体" w:eastAsia="宋体" w:hint="default"/>
                            <w:sz w:val="18"/>
                            <w:szCs w:val="18"/>
                          </w:rPr>
                        </w:pPr>
                        <w:r>
                          <w:rPr>
                            <w:rFonts w:ascii="宋体" w:hAnsi="宋体" w:cs="宋体" w:eastAsia="宋体" w:hint="default"/>
                            <w:sz w:val="18"/>
                            <w:szCs w:val="18"/>
                          </w:rPr>
                          <w:t>中国工程物理研究院</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宋体" w:hAnsi="宋体" w:cs="宋体" w:eastAsia="宋体" w:hint="default"/>
                            <w:sz w:val="18"/>
                            <w:szCs w:val="18"/>
                          </w:rPr>
                          <w:t>刘仓理</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2" w:right="0"/>
                          <w:jc w:val="left"/>
                          <w:rPr>
                            <w:rFonts w:ascii="Times New Roman" w:hAnsi="Times New Roman" w:cs="Times New Roman" w:eastAsia="Times New Roman" w:hint="default"/>
                            <w:sz w:val="18"/>
                            <w:szCs w:val="18"/>
                          </w:rPr>
                        </w:pPr>
                        <w:r>
                          <w:rPr>
                            <w:rFonts w:ascii="Times New Roman"/>
                            <w:sz w:val="18"/>
                          </w:rPr>
                          <w:t>00001831-5</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以发展国防尖端科学技 </w:t>
                        </w:r>
                        <w:r>
                          <w:rPr>
                            <w:rFonts w:ascii="宋体" w:hAnsi="宋体" w:cs="宋体" w:eastAsia="宋体" w:hint="default"/>
                            <w:spacing w:val="-4"/>
                            <w:sz w:val="18"/>
                            <w:szCs w:val="18"/>
                          </w:rPr>
                          <w:t>术为主的集理论、实验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设计、生产为一体的综 合性研究院科研生产基 地，主要从事冲击波与 爆轰物理、核物理、等 离子体与激光技术、工 程与材料科学、电子学 与光电子学、化学与化 工、计算机与计算数学 等学科领域的研究及应 用。</w:t>
                        </w:r>
                      </w:p>
                    </w:tc>
                  </w:tr>
                  <w:tr>
                    <w:trPr>
                      <w:trHeight w:val="1026"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实际控制人报告期内控 制的其他境内外上市公 司的股权情况</w:t>
                        </w:r>
                      </w:p>
                    </w:tc>
                    <w:tc>
                      <w:tcPr>
                        <w:tcW w:w="757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中物院合计持有利尔化学股份有限公司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7,369.11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万股股份，占利尔化学股份有限公司总股本的</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36.40%</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240" w:lineRule="auto"/>
        <w:ind w:left="154" w:right="0"/>
        <w:jc w:val="left"/>
      </w:pPr>
      <w:r>
        <w:rPr/>
        <w:t>实际控制人报告期内变更</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2"/>
          <w:szCs w:val="12"/>
        </w:rPr>
      </w:pPr>
    </w:p>
    <w:p>
      <w:pPr>
        <w:spacing w:line="4263" w:lineRule="exact"/>
        <w:ind w:left="154"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3841750" cy="2707004"/>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5" cstate="print"/>
                    <a:stretch>
                      <a:fillRect/>
                    </a:stretch>
                  </pic:blipFill>
                  <pic:spPr>
                    <a:xfrm>
                      <a:off x="0" y="0"/>
                      <a:ext cx="3841750" cy="2707004"/>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8"/>
        <w:rPr>
          <w:rFonts w:ascii="宋体" w:hAnsi="宋体" w:cs="宋体" w:eastAsia="宋体" w:hint="default"/>
          <w:sz w:val="16"/>
          <w:szCs w:val="16"/>
        </w:rPr>
      </w:pPr>
    </w:p>
    <w:p>
      <w:pPr>
        <w:pStyle w:val="BodyText"/>
        <w:spacing w:line="240" w:lineRule="auto"/>
        <w:ind w:right="0"/>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9" w:firstLine="180"/>
        <w:jc w:val="both"/>
      </w:pPr>
      <w:r>
        <w:rPr/>
        <w:t>（</w:t>
      </w:r>
      <w:r>
        <w:rPr>
          <w:rFonts w:ascii="Times New Roman" w:hAnsi="Times New Roman" w:cs="Times New Roman" w:eastAsia="Times New Roman" w:hint="default"/>
        </w:rPr>
        <w:t>1</w:t>
      </w:r>
      <w:r>
        <w:rPr/>
        <w:t>）久远集团、锐锋集团承诺：自发行人上市之日起三十六个月内，不转让或者委托他人管理其直接或间接持有的发行 人股份，也不由发行人回购其持有的股份。所持股票在锁定期满后两年内减持的，其减持价格不低于发行价；公司上市后</w:t>
      </w:r>
      <w:r>
        <w:rPr>
          <w:rFonts w:ascii="Times New Roman" w:hAnsi="Times New Roman" w:cs="Times New Roman" w:eastAsia="Times New Roman" w:hint="default"/>
        </w:rPr>
        <w:t>6 </w:t>
      </w:r>
      <w:r>
        <w:rPr/>
        <w:t>个月内如公司股票连续</w:t>
      </w:r>
      <w:r>
        <w:rPr>
          <w:rFonts w:ascii="Times New Roman" w:hAnsi="Times New Roman" w:cs="Times New Roman" w:eastAsia="Times New Roman" w:hint="default"/>
        </w:rPr>
        <w:t>20</w:t>
      </w:r>
      <w:r>
        <w:rPr/>
        <w:t>个交易日的收盘价均低于发行价，或者上市后</w:t>
      </w:r>
      <w:r>
        <w:rPr>
          <w:rFonts w:ascii="Times New Roman" w:hAnsi="Times New Roman" w:cs="Times New Roman" w:eastAsia="Times New Roman" w:hint="default"/>
        </w:rPr>
        <w:t>6</w:t>
      </w:r>
      <w:r>
        <w:rPr/>
        <w:t>个月期末收盘价低于发行价，持有公司股票的锁定 期限自动延长</w:t>
      </w:r>
      <w:r>
        <w:rPr>
          <w:rFonts w:ascii="Times New Roman" w:hAnsi="Times New Roman" w:cs="Times New Roman" w:eastAsia="Times New Roman" w:hint="default"/>
        </w:rPr>
        <w:t>6</w:t>
      </w:r>
      <w:r>
        <w:rPr/>
        <w:t>个月。</w:t>
      </w:r>
    </w:p>
    <w:p>
      <w:pPr>
        <w:pStyle w:val="BodyText"/>
        <w:spacing w:line="309" w:lineRule="auto" w:before="13"/>
        <w:ind w:right="1131" w:firstLine="180"/>
        <w:jc w:val="both"/>
      </w:pPr>
      <w:r>
        <w:rPr/>
        <w:t>（</w:t>
      </w:r>
      <w:r>
        <w:rPr>
          <w:rFonts w:ascii="Times New Roman" w:hAnsi="Times New Roman" w:cs="Times New Roman" w:eastAsia="Times New Roman" w:hint="default"/>
        </w:rPr>
        <w:t>2</w:t>
      </w:r>
      <w:r>
        <w:rPr/>
        <w:t>）公司董事、监事、高级管理人员李慧霞、单卫民、程树忠、王卒、詹开明、田志勇、连春华、杨成文、翟峻梓、张 </w:t>
      </w:r>
      <w:r>
        <w:rPr>
          <w:spacing w:val="-2"/>
        </w:rPr>
        <w:t>光红承诺：自发行人上市之日起三十六个月内，不转让或者委托他人管理其直接或间接持有的发行人股份，也不由发行人回</w:t>
      </w:r>
      <w:r>
        <w:rPr>
          <w:spacing w:val="-66"/>
        </w:rPr>
        <w:t> </w:t>
      </w:r>
      <w:r>
        <w:rPr>
          <w:spacing w:val="-66"/>
        </w:rPr>
      </w:r>
      <w:r>
        <w:rPr>
          <w:spacing w:val="-1"/>
        </w:rPr>
        <w:t>购其持有的股份。在其任职期间每年转让的股份不得超过其所持有发行人股份总数的</w:t>
      </w:r>
      <w:r>
        <w:rPr>
          <w:rFonts w:ascii="Times New Roman" w:hAnsi="Times New Roman" w:cs="Times New Roman" w:eastAsia="Times New Roman" w:hint="default"/>
          <w:spacing w:val="-1"/>
        </w:rPr>
        <w:t>25%</w:t>
      </w:r>
      <w:r>
        <w:rPr>
          <w:spacing w:val="-1"/>
        </w:rPr>
        <w:t>；离职后半年内，不得转让其所持</w:t>
      </w:r>
      <w:r>
        <w:rPr>
          <w:spacing w:val="-88"/>
        </w:rPr>
        <w:t> </w:t>
      </w:r>
      <w:r>
        <w:rPr>
          <w:spacing w:val="-88"/>
        </w:rPr>
      </w:r>
      <w:r>
        <w:rPr>
          <w:spacing w:val="-2"/>
        </w:rPr>
        <w:t>有的发行人股份；离职六个月后的十二个月内通过证券交易所挂牌交易出售发行人股票数量占其所持有发行人股票总数（包</w:t>
      </w:r>
      <w:r>
        <w:rPr>
          <w:spacing w:val="-64"/>
        </w:rPr>
        <w:t> </w:t>
      </w:r>
      <w:r>
        <w:rPr>
          <w:spacing w:val="-64"/>
        </w:rPr>
      </w:r>
      <w:r>
        <w:rPr/>
        <w:t>括有限售条件和无限售条件的股份）的比例不超过</w:t>
      </w:r>
      <w:r>
        <w:rPr>
          <w:rFonts w:ascii="Times New Roman" w:hAnsi="Times New Roman" w:cs="Times New Roman" w:eastAsia="Times New Roman" w:hint="default"/>
        </w:rPr>
        <w:t>50%</w:t>
      </w:r>
      <w:r>
        <w:rPr/>
        <w:t>。</w:t>
      </w:r>
    </w:p>
    <w:p>
      <w:pPr>
        <w:pStyle w:val="BodyText"/>
        <w:spacing w:line="300" w:lineRule="auto" w:before="5"/>
        <w:ind w:right="1131" w:firstLine="360"/>
        <w:jc w:val="both"/>
      </w:pPr>
      <w:r>
        <w:rPr/>
        <w:t>所持股票在锁定期满后两年内减持的，其减持价格不低于发行价；公司上市后</w:t>
      </w:r>
      <w:r>
        <w:rPr>
          <w:rFonts w:ascii="Times New Roman" w:hAnsi="Times New Roman" w:cs="Times New Roman" w:eastAsia="Times New Roman" w:hint="default"/>
        </w:rPr>
        <w:t>6</w:t>
      </w:r>
      <w:r>
        <w:rPr/>
        <w:t>个月内如公司股票连续</w:t>
      </w:r>
      <w:r>
        <w:rPr>
          <w:rFonts w:ascii="Times New Roman" w:hAnsi="Times New Roman" w:cs="Times New Roman" w:eastAsia="Times New Roman" w:hint="default"/>
        </w:rPr>
        <w:t>20</w:t>
      </w:r>
      <w:r>
        <w:rPr/>
        <w:t>个交易日的收 </w:t>
      </w:r>
      <w:r>
        <w:rPr>
          <w:spacing w:val="-2"/>
        </w:rPr>
        <w:t>盘价均低于发行价，或者上市后</w:t>
      </w:r>
      <w:r>
        <w:rPr>
          <w:rFonts w:ascii="Times New Roman" w:hAnsi="Times New Roman" w:cs="Times New Roman" w:eastAsia="Times New Roman" w:hint="default"/>
          <w:spacing w:val="-2"/>
        </w:rPr>
        <w:t>6</w:t>
      </w:r>
      <w:r>
        <w:rPr>
          <w:spacing w:val="-2"/>
        </w:rPr>
        <w:t>个月期末收盘价低于发行价，持有公司股票的锁定期限自动延长</w:t>
      </w:r>
      <w:r>
        <w:rPr>
          <w:rFonts w:ascii="Times New Roman" w:hAnsi="Times New Roman" w:cs="Times New Roman" w:eastAsia="Times New Roman" w:hint="default"/>
          <w:spacing w:val="-2"/>
        </w:rPr>
        <w:t>6</w:t>
      </w:r>
      <w:r>
        <w:rPr>
          <w:spacing w:val="-2"/>
        </w:rPr>
        <w:t>个月，上述减持价格和股</w:t>
      </w:r>
      <w:r>
        <w:rPr>
          <w:spacing w:val="-64"/>
        </w:rPr>
        <w:t> </w:t>
      </w:r>
      <w:r>
        <w:rPr>
          <w:spacing w:val="-64"/>
        </w:rPr>
      </w:r>
      <w:r>
        <w:rPr/>
        <w:t>份锁定承诺不因本人职务变更、离职而终止。</w:t>
      </w:r>
    </w:p>
    <w:p>
      <w:pPr>
        <w:pStyle w:val="BodyText"/>
        <w:spacing w:line="300" w:lineRule="auto" w:before="31"/>
        <w:ind w:right="1050" w:firstLine="145"/>
        <w:jc w:val="both"/>
      </w:pPr>
      <w:r>
        <w:rPr/>
        <w:t>（</w:t>
      </w:r>
      <w:r>
        <w:rPr>
          <w:rFonts w:ascii="Times New Roman" w:hAnsi="Times New Roman" w:cs="Times New Roman" w:eastAsia="Times New Roman" w:hint="default"/>
        </w:rPr>
        <w:t>3</w:t>
      </w:r>
      <w:r>
        <w:rPr/>
        <w:t>）童晓峰、张巍、杜斌、唐世杰、施铮、徐仑峰等</w:t>
      </w:r>
      <w:r>
        <w:rPr>
          <w:rFonts w:ascii="Times New Roman" w:hAnsi="Times New Roman" w:cs="Times New Roman" w:eastAsia="Times New Roman" w:hint="default"/>
        </w:rPr>
        <w:t>50</w:t>
      </w:r>
      <w:r>
        <w:rPr/>
        <w:t>名公司核心骨干、核心技术人员和王伯韬、刘碧军承诺：自发行 人上市之日起三十六个月内，不转让或者委托他人管理其直接或间接持有的发行人股份，也不由发行人回购其持有的股份。</w:t>
      </w:r>
    </w:p>
    <w:p>
      <w:pPr>
        <w:pStyle w:val="BodyText"/>
        <w:spacing w:line="300" w:lineRule="auto" w:before="31"/>
        <w:ind w:right="1176" w:firstLine="145"/>
        <w:jc w:val="both"/>
      </w:pPr>
      <w:r>
        <w:rPr/>
        <w:t>（</w:t>
      </w:r>
      <w:r>
        <w:rPr>
          <w:rFonts w:ascii="Times New Roman" w:hAnsi="Times New Roman" w:cs="Times New Roman" w:eastAsia="Times New Roman" w:hint="default"/>
        </w:rPr>
        <w:t>4</w:t>
      </w:r>
      <w:r>
        <w:rPr/>
        <w:t>）广发信德、陈奕民承诺：自发行人上市之日起十八个月内，不转让或者委托他人管理其直接或间接持有的发行人股 份，也不由发行人回购其持有的股份。</w:t>
      </w:r>
    </w:p>
    <w:p>
      <w:pPr>
        <w:pStyle w:val="BodyText"/>
        <w:spacing w:line="300" w:lineRule="auto" w:before="31"/>
        <w:ind w:right="1176" w:firstLine="145"/>
        <w:jc w:val="both"/>
      </w:pPr>
      <w:r>
        <w:rPr/>
        <w:t>（</w:t>
      </w:r>
      <w:r>
        <w:rPr>
          <w:rFonts w:ascii="Times New Roman" w:hAnsi="Times New Roman" w:cs="Times New Roman" w:eastAsia="Times New Roman" w:hint="default"/>
        </w:rPr>
        <w:t>5</w:t>
      </w:r>
      <w:r>
        <w:rPr/>
        <w:t>）李长明、陈晖、邹孝健承诺：自发行人上市之日起十二个月内，不转让或者委托他人管理其直接或间接持有的发行 人股份，也不由发行人回购其持有的股份。</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_TOC_250003" w:id="115"/>
      <w:bookmarkStart w:name="第七节 优先股相关情况" w:id="116"/>
      <w:r>
        <w:rPr>
          <w:b w:val="0"/>
          <w:bCs w:val="0"/>
        </w:rPr>
      </w:r>
      <w:r>
        <w:rPr/>
        <w:t>第七节</w:t>
      </w:r>
      <w:r>
        <w:rPr>
          <w:spacing w:val="-8"/>
        </w:rPr>
        <w:t> </w:t>
      </w:r>
      <w:r>
        <w:rPr/>
        <w:t>优先股相关情况</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40" w:lineRule="auto"/>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2" w:id="117"/>
      <w:bookmarkStart w:name="第八节 董事、监事、高级管理人员和员工情况" w:id="118"/>
      <w:r>
        <w:rPr>
          <w:b w:val="0"/>
          <w:bCs w:val="0"/>
        </w:rPr>
      </w:r>
      <w:r>
        <w:rPr/>
        <w:t>第八节</w:t>
      </w:r>
      <w:r>
        <w:rPr>
          <w:spacing w:val="-16"/>
        </w:rPr>
        <w:t> </w:t>
      </w:r>
      <w:r>
        <w:rPr/>
        <w:t>董事、监事、高级管理人员和员工情况</w:t>
      </w:r>
      <w:bookmarkEnd w:id="117"/>
      <w:r>
        <w:rPr>
          <w:b w:val="0"/>
          <w:bCs w:val="0"/>
        </w:rPr>
      </w:r>
    </w:p>
    <w:p>
      <w:pPr>
        <w:spacing w:line="240" w:lineRule="auto" w:before="12"/>
        <w:rPr>
          <w:rFonts w:ascii="宋体" w:hAnsi="宋体" w:cs="宋体" w:eastAsia="宋体" w:hint="default"/>
          <w:b/>
          <w:bCs/>
          <w:sz w:val="38"/>
          <w:szCs w:val="38"/>
        </w:rPr>
      </w:pPr>
    </w:p>
    <w:p>
      <w:pPr>
        <w:pStyle w:val="Heading3"/>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路海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沈浩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周明天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张腾文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赵锡铭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程树忠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唐定勇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魏平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游新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樊飞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连春华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单卫民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田志勇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翟峻梓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詹开明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张光红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董事会秘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950,000</w:t>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9,450,000</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line="240" w:lineRule="auto" w:before="2"/>
        <w:rPr>
          <w:rFonts w:ascii="宋体" w:hAnsi="宋体" w:cs="宋体" w:eastAsia="宋体" w:hint="default"/>
          <w:b/>
          <w:bCs/>
          <w:sz w:val="18"/>
          <w:szCs w:val="18"/>
        </w:rPr>
      </w:pPr>
    </w:p>
    <w:p>
      <w:pPr>
        <w:pStyle w:val="Heading3"/>
        <w:spacing w:line="240" w:lineRule="auto" w:before="26"/>
        <w:ind w:left="154" w:right="0"/>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公司现任董事、监事、高级管理人员专业背景、主要工作经历以及目前在公司的主要职责</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left="513" w:right="0" w:firstLine="146"/>
        <w:jc w:val="left"/>
      </w:pPr>
      <w:r>
        <w:rPr>
          <w:rFonts w:ascii="Times New Roman" w:hAnsi="Times New Roman" w:cs="Times New Roman" w:eastAsia="Times New Roman" w:hint="default"/>
        </w:rPr>
        <w:t>(</w:t>
      </w:r>
      <w:r>
        <w:rPr/>
        <w:t>一）董事会成员简介</w:t>
      </w:r>
      <w:r>
        <w:rPr>
          <w:w w:val="99"/>
        </w:rPr>
        <w:t> </w:t>
      </w:r>
      <w:r>
        <w:rPr>
          <w:spacing w:val="-2"/>
        </w:rPr>
        <w:t>李慧霞，女，出生于</w:t>
      </w:r>
      <w:r>
        <w:rPr>
          <w:rFonts w:ascii="Times New Roman" w:hAnsi="Times New Roman" w:cs="Times New Roman" w:eastAsia="Times New Roman" w:hint="default"/>
          <w:spacing w:val="-2"/>
        </w:rPr>
        <w:t>1959</w:t>
      </w:r>
      <w:r>
        <w:rPr>
          <w:spacing w:val="-2"/>
        </w:rPr>
        <w:t>年，中国国籍，无永久境外居留权，硕士学历，高级工程师。曾就职于中物院计算机应用研究</w:t>
      </w:r>
    </w:p>
    <w:p>
      <w:pPr>
        <w:pStyle w:val="BodyText"/>
        <w:spacing w:line="300" w:lineRule="auto" w:before="13"/>
        <w:ind w:right="1123"/>
        <w:jc w:val="left"/>
      </w:pPr>
      <w:r>
        <w:rPr/>
        <w:t>所；</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月任四川银海事业部经理；</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月任四川银海总经理；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月至今，任公司 董事长及法定代表人，成都市第十五届人大代表，享受国务院政府特殊津贴。</w:t>
      </w:r>
    </w:p>
    <w:p>
      <w:pPr>
        <w:pStyle w:val="BodyText"/>
        <w:spacing w:line="300" w:lineRule="auto" w:before="32"/>
        <w:ind w:right="1130" w:firstLine="360"/>
        <w:jc w:val="both"/>
      </w:pPr>
      <w:r>
        <w:rPr>
          <w:spacing w:val="-2"/>
        </w:rPr>
        <w:t>王卒，男，出生于</w:t>
      </w:r>
      <w:r>
        <w:rPr>
          <w:rFonts w:ascii="Times New Roman" w:hAnsi="Times New Roman" w:cs="Times New Roman" w:eastAsia="Times New Roman" w:hint="default"/>
          <w:spacing w:val="-2"/>
        </w:rPr>
        <w:t>1967</w:t>
      </w:r>
      <w:r>
        <w:rPr>
          <w:spacing w:val="-2"/>
        </w:rPr>
        <w:t>年，中国国籍，无永久境外居留权，本科学历，高级工程师，高级项目经理资质。曾就职于四川</w:t>
      </w:r>
      <w:r>
        <w:rPr/>
        <w:t> 内江齿轮厂，</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月在内江市社会保险局工作，任副科长；</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月担任四川银海副总经 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月，任公司副总经理；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月任公司总经理；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月至今任公司董事、副 </w:t>
      </w:r>
      <w:r>
        <w:rPr>
          <w:spacing w:val="-2"/>
        </w:rPr>
        <w:t>董事长。王卒先生曾于</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9</w:t>
      </w:r>
      <w:r>
        <w:rPr>
          <w:spacing w:val="-2"/>
        </w:rPr>
        <w:t>月被湖南大学软件学院聘为硕士研究生导师；</w:t>
      </w:r>
      <w:r>
        <w:rPr>
          <w:rFonts w:ascii="Times New Roman" w:hAnsi="Times New Roman" w:cs="Times New Roman" w:eastAsia="Times New Roman" w:hint="default"/>
          <w:spacing w:val="-2"/>
        </w:rPr>
        <w:t>2004</w:t>
      </w:r>
      <w:r>
        <w:rPr>
          <w:spacing w:val="-2"/>
        </w:rPr>
        <w:t>年获中物院军民两用技术开发</w:t>
      </w:r>
      <w:r>
        <w:rPr>
          <w:spacing w:val="-50"/>
        </w:rPr>
        <w:t> </w:t>
      </w:r>
      <w:r>
        <w:rPr/>
        <w:t>优秀项目二等奖。</w:t>
      </w:r>
    </w:p>
    <w:p>
      <w:pPr>
        <w:pStyle w:val="BodyText"/>
        <w:spacing w:line="300" w:lineRule="auto" w:before="31"/>
        <w:ind w:right="1132" w:firstLine="360"/>
        <w:jc w:val="both"/>
      </w:pPr>
      <w:r>
        <w:rPr>
          <w:spacing w:val="-2"/>
        </w:rPr>
        <w:t>靳建立，男，出生于</w:t>
      </w:r>
      <w:r>
        <w:rPr>
          <w:rFonts w:ascii="Times New Roman" w:hAnsi="Times New Roman" w:cs="Times New Roman" w:eastAsia="Times New Roman" w:hint="default"/>
          <w:spacing w:val="-2"/>
        </w:rPr>
        <w:t>1976</w:t>
      </w:r>
      <w:r>
        <w:rPr>
          <w:spacing w:val="-2"/>
        </w:rPr>
        <w:t>年，中国国籍，无永久境外居留权，硕士学历，高级经济师。</w:t>
      </w:r>
      <w:r>
        <w:rPr>
          <w:rFonts w:ascii="Times New Roman" w:hAnsi="Times New Roman" w:cs="Times New Roman" w:eastAsia="Times New Roman" w:hint="default"/>
          <w:spacing w:val="-2"/>
        </w:rPr>
        <w:t>1999</w:t>
      </w:r>
      <w:r>
        <w:rPr>
          <w:spacing w:val="-2"/>
        </w:rPr>
        <w:t>年至</w:t>
      </w:r>
      <w:r>
        <w:rPr>
          <w:rFonts w:ascii="Times New Roman" w:hAnsi="Times New Roman" w:cs="Times New Roman" w:eastAsia="Times New Roman" w:hint="default"/>
          <w:spacing w:val="-2"/>
        </w:rPr>
        <w:t>2001</w:t>
      </w:r>
      <w:r>
        <w:rPr>
          <w:spacing w:val="-2"/>
        </w:rPr>
        <w:t>年在四川海天集团</w:t>
      </w:r>
      <w:r>
        <w:rPr/>
        <w:t> 工作；</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2009</w:t>
      </w:r>
      <w:r>
        <w:rPr/>
        <w:t>年在久远集团任项目经理；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月先后任中物院军转民部干事、处长；</w:t>
      </w:r>
      <w:r>
        <w:rPr>
          <w:rFonts w:ascii="Times New Roman" w:hAnsi="Times New Roman" w:cs="Times New Roman" w:eastAsia="Times New Roman" w:hint="default"/>
        </w:rPr>
        <w:t>2014</w:t>
      </w:r>
      <w:r>
        <w:rPr/>
        <w:t>年至今任 久远集团董事会秘书、战略部部长。</w:t>
      </w:r>
    </w:p>
    <w:p>
      <w:pPr>
        <w:pStyle w:val="BodyText"/>
        <w:spacing w:line="300" w:lineRule="auto" w:before="31"/>
        <w:ind w:right="1130" w:firstLine="360"/>
        <w:jc w:val="both"/>
      </w:pPr>
      <w:r>
        <w:rPr>
          <w:spacing w:val="-2"/>
        </w:rPr>
        <w:t>路海，男，出生于</w:t>
      </w:r>
      <w:r>
        <w:rPr>
          <w:rFonts w:ascii="Times New Roman" w:hAnsi="Times New Roman" w:cs="Times New Roman" w:eastAsia="Times New Roman" w:hint="default"/>
          <w:spacing w:val="-2"/>
        </w:rPr>
        <w:t>1970</w:t>
      </w:r>
      <w:r>
        <w:rPr>
          <w:spacing w:val="-2"/>
        </w:rPr>
        <w:t>年，中国国籍，无永久境外居留权，本科学历，高级工程师。</w:t>
      </w:r>
      <w:r>
        <w:rPr>
          <w:rFonts w:ascii="Times New Roman" w:hAnsi="Times New Roman" w:cs="Times New Roman" w:eastAsia="Times New Roman" w:hint="default"/>
          <w:spacing w:val="-2"/>
        </w:rPr>
        <w:t>1992</w:t>
      </w:r>
      <w:r>
        <w:rPr>
          <w:spacing w:val="-2"/>
        </w:rPr>
        <w:t>年毕业于电子科技大学计算机</w:t>
      </w:r>
      <w:r>
        <w:rPr/>
        <w:t> </w:t>
      </w:r>
      <w:r>
        <w:rPr>
          <w:spacing w:val="-2"/>
        </w:rPr>
        <w:t>软件专业。毕业后就职于中物院计算机应用研究所，先后从事网络软件开发、自动控制系统开发和实施、开发管理、</w:t>
      </w:r>
      <w:r>
        <w:rPr>
          <w:rFonts w:ascii="Times New Roman" w:hAnsi="Times New Roman" w:cs="Times New Roman" w:eastAsia="Times New Roman" w:hint="default"/>
          <w:spacing w:val="-2"/>
        </w:rPr>
        <w:t>IT</w:t>
      </w:r>
      <w:r>
        <w:rPr>
          <w:spacing w:val="-2"/>
        </w:rPr>
        <w:t>服务</w:t>
      </w:r>
      <w:r>
        <w:rPr>
          <w:spacing w:val="-54"/>
        </w:rPr>
        <w:t> </w:t>
      </w:r>
      <w:r>
        <w:rPr>
          <w:spacing w:val="-2"/>
        </w:rPr>
        <w:t>管理、</w:t>
      </w:r>
      <w:r>
        <w:rPr>
          <w:rFonts w:ascii="Times New Roman" w:hAnsi="Times New Roman" w:cs="Times New Roman" w:eastAsia="Times New Roman" w:hint="default"/>
          <w:spacing w:val="-2"/>
        </w:rPr>
        <w:t>IT</w:t>
      </w:r>
      <w:r>
        <w:rPr>
          <w:spacing w:val="-2"/>
        </w:rPr>
        <w:t>项目管理等工作。历任中物院计算机应用研究所助理工程师、工程师、高级工程师、网络系统中心主任、副总工程</w:t>
      </w:r>
      <w:r>
        <w:rPr>
          <w:spacing w:val="-57"/>
        </w:rPr>
        <w:t> </w:t>
      </w:r>
      <w:r>
        <w:rPr>
          <w:spacing w:val="-57"/>
        </w:rPr>
      </w:r>
      <w:r>
        <w:rPr/>
        <w:t>师。</w:t>
      </w:r>
    </w:p>
    <w:p>
      <w:pPr>
        <w:pStyle w:val="BodyText"/>
        <w:spacing w:line="300" w:lineRule="auto" w:before="31"/>
        <w:ind w:right="1131" w:firstLine="360"/>
        <w:jc w:val="both"/>
      </w:pPr>
      <w:r>
        <w:rPr>
          <w:spacing w:val="-2"/>
        </w:rPr>
        <w:t>沈浩，男，出生于</w:t>
      </w:r>
      <w:r>
        <w:rPr>
          <w:rFonts w:ascii="Times New Roman" w:hAnsi="Times New Roman" w:cs="Times New Roman" w:eastAsia="Times New Roman" w:hint="default"/>
          <w:spacing w:val="-2"/>
        </w:rPr>
        <w:t>1960</w:t>
      </w:r>
      <w:r>
        <w:rPr>
          <w:spacing w:val="-2"/>
        </w:rPr>
        <w:t>年，中国国籍，无永久境外居留权，本科学历，研究员。</w:t>
      </w:r>
      <w:r>
        <w:rPr>
          <w:rFonts w:ascii="Times New Roman" w:hAnsi="Times New Roman" w:cs="Times New Roman" w:eastAsia="Times New Roman" w:hint="default"/>
          <w:spacing w:val="-2"/>
        </w:rPr>
        <w:t>1983</w:t>
      </w:r>
      <w:r>
        <w:rPr>
          <w:spacing w:val="-2"/>
        </w:rPr>
        <w:t>年至</w:t>
      </w:r>
      <w:r>
        <w:rPr>
          <w:rFonts w:ascii="Times New Roman" w:hAnsi="Times New Roman" w:cs="Times New Roman" w:eastAsia="Times New Roman" w:hint="default"/>
          <w:spacing w:val="-2"/>
        </w:rPr>
        <w:t>2010</w:t>
      </w:r>
      <w:r>
        <w:rPr>
          <w:spacing w:val="-2"/>
        </w:rPr>
        <w:t>年在中物院计算机应用研</w:t>
      </w:r>
      <w:r>
        <w:rPr/>
        <w:t> </w:t>
      </w:r>
      <w:r>
        <w:rPr>
          <w:spacing w:val="-2"/>
        </w:rPr>
        <w:t>究所工作，先后担任该所副主任、主任、副总工程师及副所长；</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月担任中物院计算机应用研究所所长兼</w:t>
      </w:r>
      <w:r>
        <w:rPr>
          <w:spacing w:val="-55"/>
        </w:rPr>
        <w:t> </w:t>
      </w:r>
      <w:r>
        <w:rPr/>
        <w:t>锐锋集团董事长，</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月至今担任中物院计算机应用研究所总工程师兼锐锋集团董事长。</w:t>
      </w:r>
    </w:p>
    <w:p>
      <w:pPr>
        <w:pStyle w:val="BodyText"/>
        <w:spacing w:line="300" w:lineRule="auto" w:before="13"/>
        <w:ind w:right="1132" w:firstLine="360"/>
        <w:jc w:val="both"/>
      </w:pPr>
      <w:r>
        <w:rPr>
          <w:spacing w:val="-2"/>
        </w:rPr>
        <w:t>周建，男，出生于</w:t>
      </w:r>
      <w:r>
        <w:rPr>
          <w:rFonts w:ascii="Times New Roman" w:hAnsi="Times New Roman" w:cs="Times New Roman" w:eastAsia="Times New Roman" w:hint="default"/>
          <w:spacing w:val="-2"/>
        </w:rPr>
        <w:t>1963</w:t>
      </w:r>
      <w:r>
        <w:rPr>
          <w:spacing w:val="-2"/>
        </w:rPr>
        <w:t>年，中国国籍，无永久境外居留权，本科学历，高级工程师，</w:t>
      </w:r>
      <w:r>
        <w:rPr>
          <w:rFonts w:ascii="Times New Roman" w:hAnsi="Times New Roman" w:cs="Times New Roman" w:eastAsia="Times New Roman" w:hint="default"/>
          <w:spacing w:val="-2"/>
        </w:rPr>
        <w:t>1983</w:t>
      </w:r>
      <w:r>
        <w:rPr>
          <w:spacing w:val="-2"/>
        </w:rPr>
        <w:t>年至</w:t>
      </w:r>
      <w:r>
        <w:rPr>
          <w:rFonts w:ascii="Times New Roman" w:hAnsi="Times New Roman" w:cs="Times New Roman" w:eastAsia="Times New Roman" w:hint="default"/>
          <w:spacing w:val="-2"/>
        </w:rPr>
        <w:t>1991</w:t>
      </w:r>
      <w:r>
        <w:rPr>
          <w:spacing w:val="-2"/>
        </w:rPr>
        <w:t>年在中物院某所任工</w:t>
      </w:r>
      <w:r>
        <w:rPr/>
        <w:t> 程师；</w:t>
      </w:r>
      <w:r>
        <w:rPr>
          <w:rFonts w:ascii="Times New Roman" w:hAnsi="Times New Roman" w:cs="Times New Roman" w:eastAsia="Times New Roman" w:hint="default"/>
        </w:rPr>
        <w:t>1991</w:t>
      </w:r>
      <w:r>
        <w:rPr/>
        <w:t>年至</w:t>
      </w:r>
      <w:r>
        <w:rPr>
          <w:rFonts w:ascii="Times New Roman" w:hAnsi="Times New Roman" w:cs="Times New Roman" w:eastAsia="Times New Roman" w:hint="default"/>
        </w:rPr>
        <w:t>2004</w:t>
      </w:r>
      <w:r>
        <w:rPr/>
        <w:t>年在中物院某部、中国久远物贸公司任总经理助理兼分公司经理；</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7</w:t>
      </w:r>
      <w:r>
        <w:rPr/>
        <w:t>月任久远集团部门经理。</w:t>
      </w:r>
    </w:p>
    <w:p>
      <w:pPr>
        <w:pStyle w:val="BodyText"/>
        <w:spacing w:line="300" w:lineRule="auto" w:before="13"/>
        <w:ind w:right="0" w:firstLine="360"/>
        <w:jc w:val="left"/>
      </w:pPr>
      <w:r>
        <w:rPr>
          <w:spacing w:val="-2"/>
        </w:rPr>
        <w:t>周明天，男，出生于</w:t>
      </w:r>
      <w:r>
        <w:rPr>
          <w:rFonts w:ascii="Times New Roman" w:hAnsi="Times New Roman" w:cs="Times New Roman" w:eastAsia="Times New Roman" w:hint="default"/>
          <w:spacing w:val="-2"/>
        </w:rPr>
        <w:t>1939</w:t>
      </w:r>
      <w:r>
        <w:rPr>
          <w:spacing w:val="-2"/>
        </w:rPr>
        <w:t>年，中国国籍，无永久境外居留权，教授、博士生导师；</w:t>
      </w:r>
      <w:r>
        <w:rPr>
          <w:rFonts w:ascii="Times New Roman" w:hAnsi="Times New Roman" w:cs="Times New Roman" w:eastAsia="Times New Roman" w:hint="default"/>
          <w:spacing w:val="-2"/>
        </w:rPr>
        <w:t>1991</w:t>
      </w:r>
      <w:r>
        <w:rPr>
          <w:spacing w:val="-2"/>
        </w:rPr>
        <w:t>年被授予电子工业部有突出贡献</w:t>
      </w:r>
      <w:r>
        <w:rPr/>
        <w:t> 中青年专家，</w:t>
      </w:r>
      <w:r>
        <w:rPr>
          <w:rFonts w:ascii="Times New Roman" w:hAnsi="Times New Roman" w:cs="Times New Roman" w:eastAsia="Times New Roman" w:hint="default"/>
        </w:rPr>
        <w:t>1992</w:t>
      </w:r>
      <w:r>
        <w:rPr/>
        <w:t>年起享受国家特殊津贴待遇。现为中国电子学会会士、</w:t>
      </w:r>
      <w:r>
        <w:rPr>
          <w:rFonts w:ascii="Times New Roman" w:hAnsi="Times New Roman" w:cs="Times New Roman" w:eastAsia="Times New Roman" w:hint="default"/>
        </w:rPr>
        <w:t>IEEE</w:t>
      </w:r>
      <w:r>
        <w:rPr/>
        <w:t>（电气与电子工程师协会）高级会员、中国 计算机学会高级会员、《电子学报》编委。已取得独立董事资格证书，现任四川创意信息技术股份有限公司独立董事。</w:t>
      </w:r>
    </w:p>
    <w:p>
      <w:pPr>
        <w:pStyle w:val="BodyText"/>
        <w:spacing w:line="304" w:lineRule="auto" w:before="31"/>
        <w:ind w:right="1130" w:firstLine="360"/>
        <w:jc w:val="both"/>
      </w:pPr>
      <w:r>
        <w:rPr>
          <w:spacing w:val="-2"/>
        </w:rPr>
        <w:t>张腾文，女，出生于</w:t>
      </w:r>
      <w:r>
        <w:rPr>
          <w:rFonts w:ascii="Times New Roman" w:hAnsi="Times New Roman" w:cs="Times New Roman" w:eastAsia="Times New Roman" w:hint="default"/>
          <w:spacing w:val="-2"/>
        </w:rPr>
        <w:t>1970</w:t>
      </w:r>
      <w:r>
        <w:rPr>
          <w:spacing w:val="-2"/>
        </w:rPr>
        <w:t>年，中国国籍，无永久境外居留权，管理学（财务管理）博士、研究生导师、副教授、高级经</w:t>
      </w:r>
      <w:r>
        <w:rPr/>
        <w:t> </w:t>
      </w:r>
      <w:r>
        <w:rPr>
          <w:spacing w:val="-2"/>
        </w:rPr>
        <w:t>济师。</w:t>
      </w:r>
      <w:r>
        <w:rPr>
          <w:rFonts w:ascii="Times New Roman" w:hAnsi="Times New Roman" w:cs="Times New Roman" w:eastAsia="Times New Roman" w:hint="default"/>
          <w:spacing w:val="-2"/>
        </w:rPr>
        <w:t>1994</w:t>
      </w:r>
      <w:r>
        <w:rPr>
          <w:spacing w:val="-2"/>
        </w:rPr>
        <w:t>年到</w:t>
      </w:r>
      <w:r>
        <w:rPr>
          <w:rFonts w:ascii="Times New Roman" w:hAnsi="Times New Roman" w:cs="Times New Roman" w:eastAsia="Times New Roman" w:hint="default"/>
          <w:spacing w:val="-2"/>
        </w:rPr>
        <w:t>1996</w:t>
      </w:r>
      <w:r>
        <w:rPr>
          <w:spacing w:val="-2"/>
        </w:rPr>
        <w:t>年在攀钢经济发展研究中心工作，</w:t>
      </w:r>
      <w:r>
        <w:rPr>
          <w:rFonts w:ascii="Times New Roman" w:hAnsi="Times New Roman" w:cs="Times New Roman" w:eastAsia="Times New Roman" w:hint="default"/>
          <w:spacing w:val="-2"/>
        </w:rPr>
        <w:t>1996</w:t>
      </w:r>
      <w:r>
        <w:rPr>
          <w:spacing w:val="-2"/>
        </w:rPr>
        <w:t>年到</w:t>
      </w:r>
      <w:r>
        <w:rPr>
          <w:rFonts w:ascii="Times New Roman" w:hAnsi="Times New Roman" w:cs="Times New Roman" w:eastAsia="Times New Roman" w:hint="default"/>
          <w:spacing w:val="-2"/>
        </w:rPr>
        <w:t>1998</w:t>
      </w:r>
      <w:r>
        <w:rPr>
          <w:spacing w:val="-2"/>
        </w:rPr>
        <w:t>年在攀钢（集团）公司资本运营部工作，</w:t>
      </w:r>
      <w:r>
        <w:rPr>
          <w:rFonts w:ascii="Times New Roman" w:hAnsi="Times New Roman" w:cs="Times New Roman" w:eastAsia="Times New Roman" w:hint="default"/>
          <w:spacing w:val="-2"/>
        </w:rPr>
        <w:t>1998</w:t>
      </w:r>
      <w:r>
        <w:rPr>
          <w:spacing w:val="-2"/>
        </w:rPr>
        <w:t>年到</w:t>
      </w:r>
      <w:r>
        <w:rPr>
          <w:rFonts w:ascii="Times New Roman" w:hAnsi="Times New Roman" w:cs="Times New Roman" w:eastAsia="Times New Roman" w:hint="default"/>
          <w:spacing w:val="-2"/>
        </w:rPr>
        <w:t>2003</w:t>
      </w:r>
      <w:r>
        <w:rPr>
          <w:rFonts w:ascii="Times New Roman" w:hAnsi="Times New Roman" w:cs="Times New Roman" w:eastAsia="Times New Roman" w:hint="default"/>
          <w:spacing w:val="3"/>
        </w:rPr>
        <w:t> </w:t>
      </w:r>
      <w:r>
        <w:rPr>
          <w:spacing w:val="-2"/>
        </w:rPr>
        <w:t>年在攀枝花新钢钒股份有限公司工作，</w:t>
      </w:r>
      <w:r>
        <w:rPr>
          <w:rFonts w:ascii="Times New Roman" w:hAnsi="Times New Roman" w:cs="Times New Roman" w:eastAsia="Times New Roman" w:hint="default"/>
          <w:spacing w:val="-2"/>
        </w:rPr>
        <w:t>2003</w:t>
      </w:r>
      <w:r>
        <w:rPr>
          <w:spacing w:val="-2"/>
        </w:rPr>
        <w:t>年到</w:t>
      </w:r>
      <w:r>
        <w:rPr>
          <w:rFonts w:ascii="Times New Roman" w:hAnsi="Times New Roman" w:cs="Times New Roman" w:eastAsia="Times New Roman" w:hint="default"/>
          <w:spacing w:val="-2"/>
        </w:rPr>
        <w:t>2006</w:t>
      </w:r>
      <w:r>
        <w:rPr>
          <w:spacing w:val="-2"/>
        </w:rPr>
        <w:t>年在四川师范大学读硕士研究生，</w:t>
      </w:r>
      <w:r>
        <w:rPr>
          <w:rFonts w:ascii="Times New Roman" w:hAnsi="Times New Roman" w:cs="Times New Roman" w:eastAsia="Times New Roman" w:hint="default"/>
          <w:spacing w:val="-2"/>
        </w:rPr>
        <w:t>2006</w:t>
      </w:r>
      <w:r>
        <w:rPr>
          <w:spacing w:val="-2"/>
        </w:rPr>
        <w:t>年到</w:t>
      </w:r>
      <w:r>
        <w:rPr>
          <w:rFonts w:ascii="Times New Roman" w:hAnsi="Times New Roman" w:cs="Times New Roman" w:eastAsia="Times New Roman" w:hint="default"/>
          <w:spacing w:val="-2"/>
        </w:rPr>
        <w:t>2009</w:t>
      </w:r>
      <w:r>
        <w:rPr>
          <w:spacing w:val="-2"/>
        </w:rPr>
        <w:t>年在西南财经大学攻读</w:t>
      </w:r>
      <w:r>
        <w:rPr>
          <w:spacing w:val="-48"/>
        </w:rPr>
        <w:t> </w:t>
      </w:r>
      <w:r>
        <w:rPr>
          <w:spacing w:val="-2"/>
        </w:rPr>
        <w:t>博士学位，</w:t>
      </w:r>
      <w:r>
        <w:rPr>
          <w:rFonts w:ascii="Times New Roman" w:hAnsi="Times New Roman" w:cs="Times New Roman" w:eastAsia="Times New Roman" w:hint="default"/>
          <w:spacing w:val="-2"/>
        </w:rPr>
        <w:t>2009</w:t>
      </w:r>
      <w:r>
        <w:rPr>
          <w:spacing w:val="-2"/>
        </w:rPr>
        <w:t>年至今在西南财经大学证券与期货学院担任行业分析研究所所长并从事教学方面工作。已取得独立董事资格</w:t>
      </w:r>
      <w:r>
        <w:rPr>
          <w:spacing w:val="-60"/>
        </w:rPr>
        <w:t> </w:t>
      </w:r>
      <w:r>
        <w:rPr>
          <w:spacing w:val="-60"/>
        </w:rPr>
      </w:r>
      <w:r>
        <w:rPr>
          <w:spacing w:val="-2"/>
        </w:rPr>
        <w:t>证书，兼任成都晶源钛业有限公司财务总监、西藏金采科技股份有限公司独立董事、上市公司四川九洲电器股份有限公司独</w:t>
      </w:r>
      <w:r>
        <w:rPr>
          <w:spacing w:val="-66"/>
        </w:rPr>
        <w:t> </w:t>
      </w:r>
      <w:r>
        <w:rPr>
          <w:spacing w:val="-66"/>
        </w:rPr>
      </w:r>
      <w:r>
        <w:rPr/>
        <w:t>立董事、上市公司四川科伦药业股份有限公司董事。</w:t>
      </w:r>
    </w:p>
    <w:p>
      <w:pPr>
        <w:pStyle w:val="BodyText"/>
        <w:spacing w:line="300" w:lineRule="auto" w:before="28"/>
        <w:ind w:right="1130" w:firstLine="540"/>
        <w:jc w:val="both"/>
      </w:pPr>
      <w:r>
        <w:rPr>
          <w:spacing w:val="-2"/>
        </w:rPr>
        <w:t>赵锡铭，男，出生于</w:t>
      </w:r>
      <w:r>
        <w:rPr>
          <w:rFonts w:ascii="Times New Roman" w:hAnsi="Times New Roman" w:cs="Times New Roman" w:eastAsia="Times New Roman" w:hint="default"/>
          <w:spacing w:val="-2"/>
        </w:rPr>
        <w:t>1950</w:t>
      </w:r>
      <w:r>
        <w:rPr>
          <w:spacing w:val="-2"/>
        </w:rPr>
        <w:t>年，中国国籍，无永久境外居留权，本科学历。</w:t>
      </w:r>
      <w:r>
        <w:rPr>
          <w:rFonts w:ascii="Times New Roman" w:hAnsi="Times New Roman" w:cs="Times New Roman" w:eastAsia="Times New Roman" w:hint="default"/>
          <w:spacing w:val="-2"/>
        </w:rPr>
        <w:t>1984</w:t>
      </w:r>
      <w:r>
        <w:rPr>
          <w:spacing w:val="-2"/>
        </w:rPr>
        <w:t>年至</w:t>
      </w:r>
      <w:r>
        <w:rPr>
          <w:rFonts w:ascii="Times New Roman" w:hAnsi="Times New Roman" w:cs="Times New Roman" w:eastAsia="Times New Roman" w:hint="default"/>
          <w:spacing w:val="-2"/>
        </w:rPr>
        <w:t>1988</w:t>
      </w:r>
      <w:r>
        <w:rPr>
          <w:spacing w:val="-2"/>
        </w:rPr>
        <w:t>年在劳动人事部任处长；</w:t>
      </w:r>
      <w:r>
        <w:rPr>
          <w:rFonts w:ascii="Times New Roman" w:hAnsi="Times New Roman" w:cs="Times New Roman" w:eastAsia="Times New Roman" w:hint="default"/>
          <w:spacing w:val="-2"/>
        </w:rPr>
        <w:t>1988</w:t>
      </w:r>
      <w:r>
        <w:rPr>
          <w:rFonts w:ascii="Times New Roman" w:hAnsi="Times New Roman" w:cs="Times New Roman" w:eastAsia="Times New Roman" w:hint="default"/>
        </w:rPr>
        <w:t> </w:t>
      </w:r>
      <w:r>
        <w:rPr>
          <w:spacing w:val="-2"/>
        </w:rPr>
        <w:t>年至</w:t>
      </w:r>
      <w:r>
        <w:rPr>
          <w:rFonts w:ascii="Times New Roman" w:hAnsi="Times New Roman" w:cs="Times New Roman" w:eastAsia="Times New Roman" w:hint="default"/>
          <w:spacing w:val="-2"/>
        </w:rPr>
        <w:t>1994</w:t>
      </w:r>
      <w:r>
        <w:rPr>
          <w:spacing w:val="-2"/>
        </w:rPr>
        <w:t>年在劳动部综合计划司任处长；</w:t>
      </w:r>
      <w:r>
        <w:rPr>
          <w:rFonts w:ascii="Times New Roman" w:hAnsi="Times New Roman" w:cs="Times New Roman" w:eastAsia="Times New Roman" w:hint="default"/>
          <w:spacing w:val="-2"/>
        </w:rPr>
        <w:t>1994</w:t>
      </w:r>
      <w:r>
        <w:rPr>
          <w:spacing w:val="-2"/>
        </w:rPr>
        <w:t>年至</w:t>
      </w:r>
      <w:r>
        <w:rPr>
          <w:rFonts w:ascii="Times New Roman" w:hAnsi="Times New Roman" w:cs="Times New Roman" w:eastAsia="Times New Roman" w:hint="default"/>
          <w:spacing w:val="-2"/>
        </w:rPr>
        <w:t>2002</w:t>
      </w:r>
      <w:r>
        <w:rPr>
          <w:spacing w:val="-2"/>
        </w:rPr>
        <w:t>年在劳动保障部任副司长；</w:t>
      </w:r>
      <w:r>
        <w:rPr>
          <w:rFonts w:ascii="Times New Roman" w:hAnsi="Times New Roman" w:cs="Times New Roman" w:eastAsia="Times New Roman" w:hint="default"/>
          <w:spacing w:val="-2"/>
        </w:rPr>
        <w:t>2002</w:t>
      </w:r>
      <w:r>
        <w:rPr>
          <w:spacing w:val="-2"/>
        </w:rPr>
        <w:t>年至</w:t>
      </w:r>
      <w:r>
        <w:rPr>
          <w:rFonts w:ascii="Times New Roman" w:hAnsi="Times New Roman" w:cs="Times New Roman" w:eastAsia="Times New Roman" w:hint="default"/>
          <w:spacing w:val="-2"/>
        </w:rPr>
        <w:t>2011</w:t>
      </w:r>
      <w:r>
        <w:rPr>
          <w:spacing w:val="-2"/>
        </w:rPr>
        <w:t>年任劳动保障部信息中心主</w:t>
      </w:r>
      <w:r>
        <w:rPr>
          <w:spacing w:val="-44"/>
        </w:rPr>
        <w:t> </w:t>
      </w:r>
      <w:r>
        <w:rPr/>
        <w:t>任；</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日担任中国劳动学会副会长；现任中国劳动学会信息化专业委员会理事长。已取得独立董事资格 证书。</w:t>
      </w:r>
    </w:p>
    <w:p>
      <w:pPr>
        <w:pStyle w:val="BodyText"/>
        <w:spacing w:line="316" w:lineRule="auto" w:before="31"/>
        <w:ind w:left="694" w:right="1122" w:hanging="122"/>
        <w:jc w:val="left"/>
      </w:pPr>
      <w:r>
        <w:rPr/>
        <w:t>（二）监事会成员简介 程树忠，男，出生于</w:t>
      </w:r>
      <w:r>
        <w:rPr>
          <w:rFonts w:ascii="Times New Roman" w:hAnsi="Times New Roman" w:cs="Times New Roman" w:eastAsia="Times New Roman" w:hint="default"/>
        </w:rPr>
        <w:t>1965</w:t>
      </w:r>
      <w:r>
        <w:rPr/>
        <w:t>年，中国国籍，无永久境外居留权，</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11</w:t>
      </w:r>
      <w:r>
        <w:rPr/>
        <w:t>月入伍参军；</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4</w:t>
      </w:r>
      <w:r>
        <w:rPr/>
        <w:t>月退伍后在江津糖果厂</w:t>
      </w:r>
    </w:p>
    <w:p>
      <w:pPr>
        <w:pStyle w:val="BodyText"/>
        <w:spacing w:line="300" w:lineRule="auto" w:before="0"/>
        <w:ind w:left="694" w:right="1122" w:hanging="541"/>
        <w:jc w:val="left"/>
      </w:pPr>
      <w:r>
        <w:rPr/>
        <w:t>工作；</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3</w:t>
      </w:r>
      <w:r>
        <w:rPr/>
        <w:t>月进入四川银海工作；</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月至今任公司运营管理中心行政管理部经理。 魏平，女，出生于</w:t>
      </w:r>
      <w:r>
        <w:rPr>
          <w:rFonts w:ascii="Times New Roman" w:hAnsi="Times New Roman" w:cs="Times New Roman" w:eastAsia="Times New Roman" w:hint="default"/>
        </w:rPr>
        <w:t>1966</w:t>
      </w:r>
      <w:r>
        <w:rPr/>
        <w:t>年，中国国籍，无永久境外居留权，大专学历，会计师；</w:t>
      </w:r>
      <w:r>
        <w:rPr>
          <w:rFonts w:ascii="Times New Roman" w:hAnsi="Times New Roman" w:cs="Times New Roman" w:eastAsia="Times New Roman" w:hint="default"/>
        </w:rPr>
        <w:t>1986</w:t>
      </w:r>
      <w:r>
        <w:rPr/>
        <w:t>年</w:t>
      </w:r>
      <w:r>
        <w:rPr>
          <w:rFonts w:ascii="Times New Roman" w:hAnsi="Times New Roman" w:cs="Times New Roman" w:eastAsia="Times New Roman" w:hint="default"/>
        </w:rPr>
        <w:t>9</w:t>
      </w:r>
      <w:r>
        <w:rPr/>
        <w:t>月进入中物院工作，分别就</w:t>
      </w:r>
    </w:p>
    <w:p>
      <w:pPr>
        <w:pStyle w:val="BodyText"/>
        <w:spacing w:line="300" w:lineRule="auto" w:before="13"/>
        <w:ind w:right="1123"/>
        <w:jc w:val="left"/>
      </w:pPr>
      <w:r>
        <w:rPr/>
        <w:t>职于中物院某所和科学城办事处；</w:t>
      </w:r>
      <w:r>
        <w:rPr>
          <w:rFonts w:ascii="Times New Roman" w:hAnsi="Times New Roman" w:cs="Times New Roman" w:eastAsia="Times New Roman" w:hint="default"/>
        </w:rPr>
        <w:t>2002</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月在利尔化学股份有限公司担任财务部部长；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月任久远集团 部门经理。</w:t>
      </w:r>
    </w:p>
    <w:p>
      <w:pPr>
        <w:pStyle w:val="BodyText"/>
        <w:spacing w:line="300" w:lineRule="auto" w:before="32"/>
        <w:ind w:right="1132" w:firstLine="360"/>
        <w:jc w:val="both"/>
      </w:pPr>
      <w:r>
        <w:rPr>
          <w:spacing w:val="-2"/>
        </w:rPr>
        <w:t>唐定勇，男，出生于</w:t>
      </w:r>
      <w:r>
        <w:rPr>
          <w:rFonts w:ascii="Times New Roman" w:hAnsi="Times New Roman" w:cs="Times New Roman" w:eastAsia="Times New Roman" w:hint="default"/>
          <w:spacing w:val="-2"/>
        </w:rPr>
        <w:t>1972</w:t>
      </w:r>
      <w:r>
        <w:rPr>
          <w:spacing w:val="-2"/>
        </w:rPr>
        <w:t>年，中国国籍，无永久境外居留权，硕士学历，研究员；</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7</w:t>
      </w:r>
      <w:r>
        <w:rPr>
          <w:spacing w:val="-2"/>
        </w:rPr>
        <w:t>月在中物院四所</w:t>
      </w:r>
      <w:r>
        <w:rPr/>
        <w:t> 工作；</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月在中物院研究生部攻读研究生；</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月至今起进入中物院计算所工作，任所长助理、规划 处处长。</w:t>
      </w:r>
    </w:p>
    <w:p>
      <w:pPr>
        <w:pStyle w:val="BodyText"/>
        <w:spacing w:line="240" w:lineRule="auto" w:before="31"/>
        <w:ind w:left="514" w:right="0"/>
        <w:jc w:val="left"/>
      </w:pPr>
      <w:r>
        <w:rPr/>
        <w:t>游新，女，出生于</w:t>
      </w:r>
      <w:r>
        <w:rPr>
          <w:rFonts w:ascii="Times New Roman" w:hAnsi="Times New Roman" w:cs="Times New Roman" w:eastAsia="Times New Roman" w:hint="default"/>
        </w:rPr>
        <w:t>1969</w:t>
      </w:r>
      <w:r>
        <w:rPr/>
        <w:t>年，中国国籍，无永久境外居留权，中专学历，会计师；</w:t>
      </w:r>
      <w:r>
        <w:rPr>
          <w:rFonts w:ascii="Times New Roman" w:hAnsi="Times New Roman" w:cs="Times New Roman" w:eastAsia="Times New Roman" w:hint="default"/>
        </w:rPr>
        <w:t>1988</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月在成都市电焊机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1123"/>
        <w:jc w:val="left"/>
      </w:pPr>
      <w:r>
        <w:rPr/>
        <w:t>厂从事会计工作；</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月在日本京瓷公司成都分公司从事会计工作；</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6</w:t>
      </w:r>
      <w:r>
        <w:rPr/>
        <w:t>月进入四川银海，</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 进入本公司工作。</w:t>
      </w:r>
    </w:p>
    <w:p>
      <w:pPr>
        <w:pStyle w:val="BodyText"/>
        <w:spacing w:line="300" w:lineRule="auto" w:before="31"/>
        <w:ind w:right="0" w:firstLine="360"/>
        <w:jc w:val="left"/>
      </w:pPr>
      <w:r>
        <w:rPr>
          <w:spacing w:val="-2"/>
        </w:rPr>
        <w:t>樊飞，男，出生于</w:t>
      </w:r>
      <w:r>
        <w:rPr>
          <w:rFonts w:ascii="Times New Roman" w:hAnsi="Times New Roman" w:cs="Times New Roman" w:eastAsia="Times New Roman" w:hint="default"/>
          <w:spacing w:val="-2"/>
        </w:rPr>
        <w:t>1984</w:t>
      </w:r>
      <w:r>
        <w:rPr>
          <w:spacing w:val="-2"/>
        </w:rPr>
        <w:t>年，中国国籍，无永久境外居留权，硕士学历；</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8</w:t>
      </w:r>
      <w:r>
        <w:rPr>
          <w:spacing w:val="-2"/>
        </w:rPr>
        <w:t>月到</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月在广发证券任发展研究中</w:t>
      </w:r>
      <w:r>
        <w:rPr/>
        <w:t> 心电子行业研究员；</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月至今在广发信德投资四部任投资经理。</w:t>
      </w:r>
    </w:p>
    <w:p>
      <w:pPr>
        <w:pStyle w:val="BodyText"/>
        <w:spacing w:line="316" w:lineRule="auto" w:before="13"/>
        <w:ind w:left="572" w:right="1154"/>
        <w:jc w:val="left"/>
      </w:pPr>
      <w:r>
        <w:rPr/>
        <w:t>（三）高级管理人员简介 连春华，男，出生于</w:t>
      </w:r>
      <w:r>
        <w:rPr>
          <w:rFonts w:ascii="Times New Roman" w:hAnsi="Times New Roman" w:cs="Times New Roman" w:eastAsia="Times New Roman" w:hint="default"/>
        </w:rPr>
        <w:t>1974</w:t>
      </w:r>
      <w:r>
        <w:rPr/>
        <w:t>年，中国国籍，无永久境外居留权，硕士学历，高级工程师。曾任职于深圳百利鑫股份有限</w:t>
      </w:r>
    </w:p>
    <w:p>
      <w:pPr>
        <w:pStyle w:val="BodyText"/>
        <w:spacing w:line="300" w:lineRule="auto" w:before="0"/>
        <w:ind w:right="0"/>
        <w:jc w:val="left"/>
      </w:pPr>
      <w:r>
        <w:rPr>
          <w:spacing w:val="-2"/>
        </w:rPr>
        <w:t>公司、四川托普软件股份有限公司，主要从事软件开发、管理工作；</w:t>
      </w:r>
      <w:r>
        <w:rPr>
          <w:rFonts w:ascii="Times New Roman" w:hAnsi="Times New Roman" w:cs="Times New Roman" w:eastAsia="Times New Roman" w:hint="default"/>
          <w:spacing w:val="-2"/>
        </w:rPr>
        <w:t>2004</w:t>
      </w:r>
      <w:r>
        <w:rPr>
          <w:spacing w:val="-2"/>
        </w:rPr>
        <w:t>年至</w:t>
      </w:r>
      <w:r>
        <w:rPr>
          <w:rFonts w:ascii="Times New Roman" w:hAnsi="Times New Roman" w:cs="Times New Roman" w:eastAsia="Times New Roman" w:hint="default"/>
          <w:spacing w:val="-2"/>
        </w:rPr>
        <w:t>2008</w:t>
      </w:r>
      <w:r>
        <w:rPr>
          <w:spacing w:val="-2"/>
        </w:rPr>
        <w:t>年就职于四川银海，任事业部经理；</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月任公司副总经理，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月至今任公司总经理。</w:t>
      </w:r>
    </w:p>
    <w:p>
      <w:pPr>
        <w:pStyle w:val="BodyText"/>
        <w:spacing w:line="300" w:lineRule="auto" w:before="13"/>
        <w:ind w:left="154" w:right="1154" w:firstLine="418"/>
        <w:jc w:val="left"/>
      </w:pPr>
      <w:r>
        <w:rPr/>
        <w:t>单卫民，男，出生于</w:t>
      </w:r>
      <w:r>
        <w:rPr>
          <w:rFonts w:ascii="Times New Roman" w:hAnsi="Times New Roman" w:cs="Times New Roman" w:eastAsia="Times New Roman" w:hint="default"/>
        </w:rPr>
        <w:t>1966</w:t>
      </w:r>
      <w:r>
        <w:rPr/>
        <w:t>年，中国国籍，无永久境外居留权，本科学历，助理工程师。曾就职于中物院计算机应用研 究所；</w:t>
      </w:r>
      <w:r>
        <w:rPr>
          <w:rFonts w:ascii="Times New Roman" w:hAnsi="Times New Roman" w:cs="Times New Roman" w:eastAsia="Times New Roman" w:hint="default"/>
        </w:rPr>
        <w:t>1999</w:t>
      </w:r>
      <w:r>
        <w:rPr/>
        <w:t>年至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月任四川银海事业部经理；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月至今任公司副总经理。</w:t>
      </w:r>
    </w:p>
    <w:p>
      <w:pPr>
        <w:pStyle w:val="BodyText"/>
        <w:spacing w:line="307" w:lineRule="auto" w:before="13"/>
        <w:ind w:right="1131" w:firstLine="360"/>
        <w:jc w:val="both"/>
      </w:pPr>
      <w:r>
        <w:rPr/>
        <w:t>田志勇，男，出生于</w:t>
      </w:r>
      <w:r>
        <w:rPr>
          <w:rFonts w:ascii="Times New Roman" w:hAnsi="Times New Roman" w:cs="Times New Roman" w:eastAsia="Times New Roman" w:hint="default"/>
        </w:rPr>
        <w:t>1972</w:t>
      </w:r>
      <w:r>
        <w:rPr/>
        <w:t>年，中国国籍，无永久境外居留权，本科学历，</w:t>
      </w:r>
      <w:r>
        <w:rPr>
          <w:rFonts w:ascii="Times New Roman" w:hAnsi="Times New Roman" w:cs="Times New Roman" w:eastAsia="Times New Roman" w:hint="default"/>
        </w:rPr>
        <w:t>1994</w:t>
      </w:r>
      <w:r>
        <w:rPr/>
        <w:t>年至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月在中物院计算机应用研究 所工作；</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月就职于四川银海，任副总经理。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月至今在公司任副总经理。田志勇长期从事社保 </w:t>
      </w:r>
      <w:r>
        <w:rPr>
          <w:spacing w:val="-2"/>
        </w:rPr>
        <w:t>软件开发工作，已经完成包括成都劳动力市场项目、重庆劳动力市场项目、长春社保等十余个社保软件开发项目的开发和管</w:t>
      </w:r>
      <w:r>
        <w:rPr>
          <w:spacing w:val="-65"/>
        </w:rPr>
        <w:t> </w:t>
      </w:r>
      <w:r>
        <w:rPr>
          <w:spacing w:val="-65"/>
        </w:rPr>
      </w:r>
      <w:r>
        <w:rPr/>
        <w:t>理工作。</w:t>
      </w:r>
    </w:p>
    <w:p>
      <w:pPr>
        <w:pStyle w:val="BodyText"/>
        <w:spacing w:line="300" w:lineRule="auto" w:before="26"/>
        <w:ind w:left="154" w:right="1154" w:firstLine="418"/>
        <w:jc w:val="left"/>
      </w:pPr>
      <w:r>
        <w:rPr/>
        <w:t>翟峻梓，女，出生于</w:t>
      </w:r>
      <w:r>
        <w:rPr>
          <w:rFonts w:ascii="Times New Roman" w:hAnsi="Times New Roman" w:cs="Times New Roman" w:eastAsia="Times New Roman" w:hint="default"/>
        </w:rPr>
        <w:t>1970</w:t>
      </w:r>
      <w:r>
        <w:rPr/>
        <w:t>年，中国国籍，无永久境外居留权，大专学历。曾就职于四川电子信息股份有限公司；</w:t>
      </w:r>
      <w:r>
        <w:rPr>
          <w:rFonts w:ascii="Times New Roman" w:hAnsi="Times New Roman" w:cs="Times New Roman" w:eastAsia="Times New Roman" w:hint="default"/>
        </w:rPr>
        <w:t>1999 </w:t>
      </w:r>
      <w:r>
        <w:rPr/>
        <w:t>年至</w:t>
      </w:r>
      <w:r>
        <w:rPr>
          <w:rFonts w:ascii="Times New Roman" w:hAnsi="Times New Roman" w:cs="Times New Roman" w:eastAsia="Times New Roman" w:hint="default"/>
        </w:rPr>
        <w:t>2009</w:t>
      </w:r>
      <w:r>
        <w:rPr/>
        <w:t>年任四川银海事业部经理；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月至今任公司副总经理。</w:t>
      </w:r>
    </w:p>
    <w:p>
      <w:pPr>
        <w:pStyle w:val="BodyText"/>
        <w:spacing w:line="304" w:lineRule="auto" w:before="13"/>
        <w:ind w:right="1123" w:firstLine="360"/>
        <w:jc w:val="left"/>
      </w:pPr>
      <w:r>
        <w:rPr>
          <w:spacing w:val="-2"/>
        </w:rPr>
        <w:t>詹开明，男，出生于</w:t>
      </w:r>
      <w:r>
        <w:rPr>
          <w:rFonts w:ascii="Times New Roman" w:hAnsi="Times New Roman" w:cs="Times New Roman" w:eastAsia="Times New Roman" w:hint="default"/>
          <w:spacing w:val="-2"/>
        </w:rPr>
        <w:t>1972</w:t>
      </w:r>
      <w:r>
        <w:rPr>
          <w:spacing w:val="-2"/>
        </w:rPr>
        <w:t>年，中国国籍，无永久境外居留权，本科学历，高级工程师；曾就职于中物院计算机应用研究</w:t>
      </w:r>
      <w:r>
        <w:rPr/>
        <w:t> 所；</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w:t>
      </w:r>
      <w:r>
        <w:rPr/>
        <w:t>月进入四川银海工作，先后担任过主任工程师、系统分析员、开发主管、副总经理；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11</w:t>
      </w:r>
      <w:r>
        <w:rPr/>
        <w:t>月至今担任公司 副总经理。詹开明长期从事软件产品研发和技术工作，在研发管理、软件工程、</w:t>
      </w:r>
      <w:r>
        <w:rPr>
          <w:rFonts w:ascii="Times New Roman" w:hAnsi="Times New Roman" w:cs="Times New Roman" w:eastAsia="Times New Roman" w:hint="default"/>
        </w:rPr>
        <w:t>J2EE</w:t>
      </w:r>
      <w:r>
        <w:rPr/>
        <w:t>架构应用、数据库应用等领域有丰富 </w:t>
      </w:r>
      <w:r>
        <w:rPr>
          <w:spacing w:val="-2"/>
        </w:rPr>
        <w:t>的经验，负责公司多项软件产品研发工作和多个项目实施工作，并承担十余项科技部、工信部、四川省、成都市、中物院等</w:t>
      </w:r>
      <w:r>
        <w:rPr>
          <w:spacing w:val="-67"/>
        </w:rPr>
        <w:t> </w:t>
      </w:r>
      <w:r>
        <w:rPr>
          <w:spacing w:val="-67"/>
        </w:rPr>
      </w:r>
      <w:r>
        <w:rPr/>
        <w:t>各类基金课题研究工作，获部省级科技进步奖二等奖一项，三等奖三项。</w:t>
      </w:r>
    </w:p>
    <w:p>
      <w:pPr>
        <w:pStyle w:val="BodyText"/>
        <w:spacing w:line="307" w:lineRule="auto" w:before="28"/>
        <w:ind w:right="1033" w:firstLine="418"/>
        <w:jc w:val="left"/>
      </w:pPr>
      <w:r>
        <w:rPr/>
        <w:t>张光红，女，出生于</w:t>
      </w:r>
      <w:r>
        <w:rPr>
          <w:rFonts w:ascii="Times New Roman" w:hAnsi="Times New Roman" w:cs="Times New Roman" w:eastAsia="Times New Roman" w:hint="default"/>
        </w:rPr>
        <w:t>1961</w:t>
      </w:r>
      <w:r>
        <w:rPr/>
        <w:t>年，中国国籍，无永久境外居留权，硕士学历，高级会计师。曾就职于绵阳市纺织局、四川 中天华正会计师事务所；</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月至今，担任公司财务总监。张光红长期从事会计审计工作，具有丰富的工作经验和理论 基础，先后被选聘为四川省注册会计师协会专家委员会委员、四川省工商联经济委员会委员、四川省高级经济师职称评委、 四川省经营人才测评中心专家等社会职务。</w:t>
      </w:r>
    </w:p>
    <w:p>
      <w:pPr>
        <w:pStyle w:val="BodyText"/>
        <w:spacing w:line="300" w:lineRule="auto" w:before="26"/>
        <w:ind w:left="154" w:right="1041" w:firstLine="418"/>
        <w:jc w:val="left"/>
      </w:pPr>
      <w:r>
        <w:rPr/>
        <w:t>杨成文，男，出生于</w:t>
      </w:r>
      <w:r>
        <w:rPr>
          <w:rFonts w:ascii="Times New Roman" w:hAnsi="Times New Roman" w:cs="Times New Roman" w:eastAsia="Times New Roman" w:hint="default"/>
        </w:rPr>
        <w:t>1969</w:t>
      </w:r>
      <w:r>
        <w:rPr/>
        <w:t>年，中国国籍，无永久境外居留权，本科学历，注册会计师。曾就职于四川省五交化股份有 </w:t>
      </w:r>
      <w:r>
        <w:rPr>
          <w:spacing w:val="-3"/>
        </w:rPr>
        <w:t>限公司、蜀报社；</w:t>
      </w:r>
      <w:r>
        <w:rPr>
          <w:rFonts w:ascii="Times New Roman" w:hAnsi="Times New Roman" w:cs="Times New Roman" w:eastAsia="Times New Roman" w:hint="default"/>
          <w:spacing w:val="-3"/>
        </w:rPr>
        <w:t>2001</w:t>
      </w:r>
      <w:r>
        <w:rPr>
          <w:spacing w:val="-3"/>
        </w:rPr>
        <w:t>年进入四川银海任财务总监；</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11</w:t>
      </w:r>
      <w:r>
        <w:rPr>
          <w:spacing w:val="-3"/>
        </w:rPr>
        <w:t>月至今任公司董事会秘书；</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11</w:t>
      </w:r>
      <w:r>
        <w:rPr>
          <w:spacing w:val="-3"/>
        </w:rPr>
        <w:t>月至今兼任公司副总经理。</w:t>
      </w:r>
    </w:p>
    <w:p>
      <w:pPr>
        <w:spacing w:line="240" w:lineRule="auto" w:before="0"/>
        <w:rPr>
          <w:rFonts w:ascii="宋体" w:hAnsi="宋体" w:cs="宋体" w:eastAsia="宋体" w:hint="default"/>
          <w:sz w:val="18"/>
          <w:szCs w:val="18"/>
        </w:rPr>
      </w:pPr>
    </w:p>
    <w:p>
      <w:pPr>
        <w:pStyle w:val="BodyText"/>
        <w:spacing w:line="240" w:lineRule="auto" w:before="130"/>
        <w:ind w:left="154" w:right="0"/>
        <w:jc w:val="left"/>
      </w:pPr>
      <w:r>
        <w:rPr/>
        <w:t>在股东单位任职情况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6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部门经理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魏平</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四川久远投资控股集团有限公司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部门经理</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樊飞</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广发信德投资管理有限公司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TMT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投资部</w:t>
            </w:r>
            <w:r>
              <w:rPr>
                <w:rFonts w:ascii="宋体" w:hAnsi="宋体" w:cs="宋体" w:eastAsia="宋体" w:hint="default"/>
                <w:w w:val="99"/>
                <w:sz w:val="18"/>
                <w:szCs w:val="18"/>
              </w:rPr>
              <w:t> </w:t>
            </w:r>
            <w:r>
              <w:rPr>
                <w:rFonts w:ascii="宋体" w:hAnsi="宋体" w:cs="宋体" w:eastAsia="宋体" w:hint="default"/>
                <w:sz w:val="18"/>
                <w:szCs w:val="18"/>
              </w:rPr>
              <w:t>副总</w:t>
            </w:r>
          </w:p>
        </w:tc>
        <w:tc>
          <w:tcPr>
            <w:tcW w:w="1212"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left="154" w:right="0"/>
        <w:jc w:val="left"/>
      </w:pPr>
      <w:r>
        <w:rPr/>
        <w:t>在其他单位任职情况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91"/>
              <w:jc w:val="right"/>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1"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83"/>
              <w:jc w:val="right"/>
              <w:rPr>
                <w:rFonts w:ascii="宋体" w:hAnsi="宋体" w:cs="宋体" w:eastAsia="宋体" w:hint="default"/>
                <w:sz w:val="18"/>
                <w:szCs w:val="18"/>
              </w:rPr>
            </w:pPr>
            <w:r>
              <w:rPr>
                <w:rFonts w:ascii="宋体" w:hAnsi="宋体" w:cs="宋体" w:eastAsia="宋体" w:hint="default"/>
                <w:sz w:val="18"/>
                <w:szCs w:val="18"/>
              </w:rPr>
              <w:t>四川中物技术有限责任公司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四川神光石英科技有限公司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中物院安全评价中心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四川中物创业投资有限公司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四川中物技术有限责任公司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四川久纳新材料有限公司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四川久远化工技术有限公司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绵阳市商业银行</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四川久远化工技术有限公司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中物院计算机应用研究所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总工程师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路海</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中物院计算机应用研究所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副总工程师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唐定勇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中物院计算机应用研究所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所长助理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张腾文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成都晶源钛业有限公司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张腾文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西藏金采科技股份有限公司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张腾文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四川九洲电器股份有限公司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张腾文</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四川科伦药业股份有限公司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赵锡铭</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中国劳动学会信息化专业委员会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广州优蜜移动科技股份有限公司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深圳市云高信息科技有限公司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上海加平米信息科技有限公司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樊飞</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珠海盈米财富管理有限公司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left="513" w:right="0" w:hanging="360"/>
        <w:jc w:val="left"/>
      </w:pPr>
      <w:r>
        <w:rPr/>
        <w:t>董事、监事、高级管理人员报酬的决策程序、确定依据、实际支付情况 </w:t>
      </w:r>
      <w:r>
        <w:rPr>
          <w:spacing w:val="-4"/>
        </w:rPr>
        <w:t>决策程序：股东大会确定董事、监事的报酬和支付方法；高级管理人员的薪酬和支付方由董事会薪酬与考核委员会提议，</w:t>
      </w:r>
    </w:p>
    <w:p>
      <w:pPr>
        <w:pStyle w:val="BodyText"/>
        <w:spacing w:line="224" w:lineRule="exact" w:before="0"/>
        <w:ind w:right="0"/>
        <w:jc w:val="left"/>
      </w:pPr>
      <w:r>
        <w:rPr/>
        <w:t>由董事会确定。</w:t>
      </w:r>
    </w:p>
    <w:p>
      <w:pPr>
        <w:pStyle w:val="BodyText"/>
        <w:spacing w:line="316" w:lineRule="auto" w:before="76"/>
        <w:ind w:right="0" w:firstLine="360"/>
        <w:jc w:val="left"/>
      </w:pPr>
      <w:r>
        <w:rPr>
          <w:spacing w:val="-2"/>
        </w:rPr>
        <w:t>确定依据：年末根据公司年度经营目标完成情况以及高级管理人员的工作业绩，由董事会薪酬与考核委员会对高级管理</w:t>
      </w:r>
      <w:r>
        <w:rPr/>
        <w:t> 人员进行年度绩效考核，并监督薪酬制度执行情况。公司根据绩效考核结果兑现其绩效年薪，并进行奖惩。</w:t>
      </w:r>
    </w:p>
    <w:p>
      <w:pPr>
        <w:pStyle w:val="BodyText"/>
        <w:spacing w:line="316" w:lineRule="auto" w:before="19"/>
        <w:ind w:right="3913" w:firstLine="360"/>
        <w:jc w:val="left"/>
      </w:pPr>
      <w:r>
        <w:rPr/>
        <w:t>实际支付情况：报告期内，公司董事、监事、高管的薪酬根据薪酬计划按月发放。 公司报告期内董事、监事和高级管理人员报酬情况。</w:t>
      </w:r>
    </w:p>
    <w:p>
      <w:pPr>
        <w:spacing w:line="240" w:lineRule="auto" w:before="0"/>
        <w:rPr>
          <w:rFonts w:ascii="宋体" w:hAnsi="宋体" w:cs="宋体" w:eastAsia="宋体" w:hint="default"/>
          <w:sz w:val="25"/>
          <w:szCs w:val="25"/>
        </w:rPr>
      </w:pPr>
    </w:p>
    <w:p>
      <w:pPr>
        <w:pStyle w:val="BodyText"/>
        <w:spacing w:line="240" w:lineRule="auto"/>
        <w:ind w:left="154"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李慧霞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靳建立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路海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周明天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赵锡铭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张腾文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程树忠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魏平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唐定勇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游新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樊飞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连春华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单卫民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田志勇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翟峻梓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詹开明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张光红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杨成文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董事会秘书、副 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545.83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公司董事、监事、高级管理人员报告期内被授予的股权激励情况</w:t>
      </w:r>
    </w:p>
    <w:p>
      <w:pPr>
        <w:pStyle w:val="BodyText"/>
        <w:spacing w:line="240" w:lineRule="auto" w:before="117"/>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1,563</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1,563</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840"/>
              <w:jc w:val="right"/>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115</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1,563</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840"/>
              <w:jc w:val="righ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硕士、博士</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479</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中专及高职</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1,563</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both"/>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4"/>
          <w:szCs w:val="24"/>
        </w:rPr>
      </w:pPr>
    </w:p>
    <w:p>
      <w:pPr>
        <w:pStyle w:val="Heading6"/>
        <w:spacing w:line="273" w:lineRule="auto" w:before="0"/>
        <w:ind w:left="154" w:right="1023" w:firstLine="420"/>
        <w:jc w:val="left"/>
      </w:pPr>
      <w:r>
        <w:rPr>
          <w:spacing w:val="-6"/>
        </w:rPr>
        <w:t>公司严格按照《劳动法》及《劳动合同法》等法律规定，实行全员劳动合同制。并根据公司制订的《薪</w:t>
      </w:r>
      <w:r>
        <w:rPr/>
        <w:t> 酬管理办法》真实的反映薪酬情况，及时、准确支付员工劳动报酬。在效益增长的同时，进一步完善薪酬 核算管理流程，增加员工劳动报酬，充分调动员工的劳动积极性和创造性，开通有效的晋升通道，向员工 提供稳定而具有竞争力的薪酬。在建立平等竞争、能者上、庸者下的用人制度和相应的岗位职务工资系列 </w:t>
      </w:r>
      <w:r>
        <w:rPr>
          <w:spacing w:val="-3"/>
        </w:rPr>
        <w:t>等基础上，做到平公、公正、合理。同时，通过奖惩分明的考核机制，有效提升了员工执行力和责任意识，</w:t>
      </w:r>
      <w:r>
        <w:rPr>
          <w:spacing w:val="-94"/>
        </w:rPr>
        <w:t> </w:t>
      </w:r>
      <w:r>
        <w:rPr>
          <w:spacing w:val="-94"/>
        </w:rPr>
      </w:r>
      <w:r>
        <w:rPr/>
        <w:t>有利于留住和吸引优秀人才，为公司发展提供人力资源保障。</w:t>
      </w:r>
    </w:p>
    <w:p>
      <w:pPr>
        <w:pStyle w:val="Heading6"/>
        <w:spacing w:line="273" w:lineRule="auto"/>
        <w:ind w:left="153" w:right="1018" w:firstLine="420"/>
        <w:jc w:val="left"/>
      </w:pPr>
      <w:r>
        <w:rPr>
          <w:spacing w:val="-3"/>
        </w:rPr>
        <w:t>公司依据当地社会平均工资和企业经济效益决定工资分配水平，不断改革完善分配制度，建立重实绩、</w:t>
      </w:r>
      <w:r>
        <w:rPr/>
        <w:t> 重贡献的分配激励机制，并兼顾分配的公平性和合理性。</w:t>
      </w:r>
    </w:p>
    <w:p>
      <w:pPr>
        <w:spacing w:line="240" w:lineRule="auto" w:before="8"/>
        <w:rPr>
          <w:rFonts w:ascii="宋体" w:hAnsi="宋体" w:cs="宋体" w:eastAsia="宋体" w:hint="default"/>
          <w:sz w:val="24"/>
          <w:szCs w:val="24"/>
        </w:rPr>
      </w:pPr>
    </w:p>
    <w:p>
      <w:pPr>
        <w:pStyle w:val="Heading6"/>
        <w:spacing w:line="590" w:lineRule="atLeast" w:before="0"/>
        <w:ind w:left="490" w:right="1176" w:hanging="336"/>
        <w:jc w:val="left"/>
      </w:pPr>
      <w:bookmarkStart w:name="3、培训计划" w:id="126"/>
      <w:bookmarkEnd w:id="126"/>
      <w:r>
        <w:rPr/>
      </w:r>
      <w:r>
        <w:rPr>
          <w:rFonts w:ascii="Times New Roman" w:hAnsi="Times New Roman" w:cs="Times New Roman" w:eastAsia="Times New Roman" w:hint="default"/>
          <w:b/>
          <w:bCs/>
        </w:rPr>
        <w:t>3</w:t>
      </w:r>
      <w:r>
        <w:rPr>
          <w:rFonts w:ascii="宋体" w:hAnsi="宋体" w:cs="宋体" w:eastAsia="宋体" w:hint="default"/>
          <w:b/>
          <w:bCs/>
        </w:rPr>
        <w:t>、培训计划</w:t>
      </w:r>
      <w:r>
        <w:rPr>
          <w:rFonts w:ascii="宋体" w:hAnsi="宋体" w:cs="宋体" w:eastAsia="宋体" w:hint="default"/>
          <w:b/>
          <w:bCs/>
          <w:w w:val="99"/>
        </w:rPr>
        <w:t> </w:t>
      </w:r>
      <w:r>
        <w:rPr/>
        <w:t>公司非常重视人才培养，通过为员工提供职业生涯规划，鼓励在职员工加强内部职业素质提升，制定</w:t>
      </w:r>
    </w:p>
    <w:p>
      <w:pPr>
        <w:pStyle w:val="Heading6"/>
        <w:spacing w:line="273" w:lineRule="auto" w:before="37"/>
        <w:ind w:left="154" w:right="1110"/>
        <w:jc w:val="both"/>
      </w:pPr>
      <w:r>
        <w:rPr>
          <w:spacing w:val="-1"/>
        </w:rPr>
        <w:t>员工发展与深造计划，提升员工素质，实现员工与企业的共同成长。公司把员工培训列入每年的工作内容</w:t>
      </w:r>
      <w:r>
        <w:rPr>
          <w:spacing w:val="-83"/>
        </w:rPr>
        <w:t> </w:t>
      </w:r>
      <w:r>
        <w:rPr>
          <w:spacing w:val="-83"/>
        </w:rPr>
      </w:r>
      <w:r>
        <w:rPr>
          <w:spacing w:val="-1"/>
        </w:rPr>
        <w:t>之一，建立了制度性的培训体系，特别关注新入职员工岗前培训和在职员工提升培训。同时，根据企业特</w:t>
      </w:r>
      <w:r>
        <w:rPr>
          <w:spacing w:val="-86"/>
        </w:rPr>
        <w:t> </w:t>
      </w:r>
      <w:r>
        <w:rPr>
          <w:spacing w:val="-86"/>
        </w:rPr>
      </w:r>
      <w:r>
        <w:rPr/>
        <w:t>点，结合公司发展的需求在年初制定针对性强、专业性高的培训计划，主要涉及到技术开发、技术提升、 </w:t>
      </w:r>
      <w:r>
        <w:rPr>
          <w:spacing w:val="-1"/>
        </w:rPr>
        <w:t>专项业务、综合管理、员工职业素质等各类型的培训内容，从而切实加强和提高各类人员的专业水平，打</w:t>
      </w:r>
      <w:r>
        <w:rPr>
          <w:spacing w:val="-85"/>
        </w:rPr>
        <w:t> </w:t>
      </w:r>
      <w:r>
        <w:rPr>
          <w:spacing w:val="-85"/>
        </w:rPr>
      </w:r>
      <w:r>
        <w:rPr>
          <w:spacing w:val="-1"/>
        </w:rPr>
        <w:t>造适应企业发展需要的员工队伍，培养复合型人才、专业技能人才以及后备骨干队伍，为企业发展提供坚</w:t>
      </w:r>
      <w:r>
        <w:rPr>
          <w:spacing w:val="-83"/>
        </w:rPr>
        <w:t> </w:t>
      </w:r>
      <w:r>
        <w:rPr>
          <w:spacing w:val="-83"/>
        </w:rPr>
      </w:r>
      <w:r>
        <w:rPr/>
        <w:t>强保证，也实现了员工自身职业能力提升和公司可持续发展的共赢。</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7"/>
        <w:jc w:val="center"/>
        <w:rPr>
          <w:b w:val="0"/>
          <w:bCs w:val="0"/>
        </w:rPr>
      </w:pPr>
      <w:bookmarkStart w:name="_TOC_250001" w:id="128"/>
      <w:bookmarkStart w:name="第九节 公司治理" w:id="129"/>
      <w:r>
        <w:rPr>
          <w:b w:val="0"/>
          <w:bCs w:val="0"/>
        </w:rPr>
      </w:r>
      <w:r>
        <w:rPr/>
        <w:t>第九节</w:t>
      </w:r>
      <w:r>
        <w:rPr>
          <w:spacing w:val="-5"/>
        </w:rPr>
        <w:t> </w:t>
      </w:r>
      <w:r>
        <w:rPr/>
        <w:t>公司治理</w:t>
      </w:r>
      <w:bookmarkEnd w:id="12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0" w:firstLine="540"/>
        <w:jc w:val="left"/>
      </w:pPr>
      <w:r>
        <w:rPr>
          <w:spacing w:val="-2"/>
        </w:rPr>
        <w:t>本报告期，公司严格按照《公司法》、《证券法》、《深圳证券交易所股票上市规则》、《深圳证券交易所中小企业</w:t>
      </w:r>
      <w:r>
        <w:rPr/>
        <w:t> </w:t>
      </w:r>
      <w:r>
        <w:rPr>
          <w:spacing w:val="-4"/>
        </w:rPr>
        <w:t>板上市公司规范运作指引》和中国证监会及深圳交易所颁布的其他相关法律法规的要求，逐渐完善管理制度，依法规范运作，</w:t>
      </w:r>
      <w:r>
        <w:rPr>
          <w:spacing w:val="-44"/>
        </w:rPr>
        <w:t> </w:t>
      </w:r>
      <w:r>
        <w:rPr>
          <w:spacing w:val="-44"/>
        </w:rPr>
      </w:r>
      <w:r>
        <w:rPr/>
        <w:t>管理效率不断提高，保障了公司经营管理的有序进行。</w:t>
      </w:r>
    </w:p>
    <w:p>
      <w:pPr>
        <w:pStyle w:val="BodyText"/>
        <w:spacing w:line="240" w:lineRule="auto" w:before="19"/>
        <w:ind w:left="694" w:right="0"/>
        <w:jc w:val="left"/>
      </w:pPr>
      <w:r>
        <w:rPr/>
        <w:t>报告期内，公司共召开</w:t>
      </w:r>
      <w:r>
        <w:rPr>
          <w:rFonts w:ascii="Times New Roman" w:hAnsi="Times New Roman" w:cs="Times New Roman" w:eastAsia="Times New Roman" w:hint="default"/>
        </w:rPr>
        <w:t>1</w:t>
      </w:r>
      <w:r>
        <w:rPr/>
        <w:t>次年度股东大会，</w:t>
      </w:r>
      <w:r>
        <w:rPr>
          <w:rFonts w:ascii="Times New Roman" w:hAnsi="Times New Roman" w:cs="Times New Roman" w:eastAsia="Times New Roman" w:hint="default"/>
        </w:rPr>
        <w:t>1</w:t>
      </w:r>
      <w:r>
        <w:rPr/>
        <w:t>次临时股东大会，</w:t>
      </w:r>
      <w:r>
        <w:rPr>
          <w:rFonts w:ascii="Times New Roman" w:hAnsi="Times New Roman" w:cs="Times New Roman" w:eastAsia="Times New Roman" w:hint="default"/>
        </w:rPr>
        <w:t>5</w:t>
      </w:r>
      <w:r>
        <w:rPr/>
        <w:t>次董事会，</w:t>
      </w:r>
      <w:r>
        <w:rPr>
          <w:rFonts w:ascii="Times New Roman" w:hAnsi="Times New Roman" w:cs="Times New Roman" w:eastAsia="Times New Roman" w:hint="default"/>
        </w:rPr>
        <w:t>2</w:t>
      </w:r>
      <w:r>
        <w:rPr/>
        <w:t>次监事会，会议召开均符合《公司法》、</w:t>
      </w:r>
    </w:p>
    <w:p>
      <w:pPr>
        <w:pStyle w:val="BodyText"/>
        <w:spacing w:line="316" w:lineRule="auto" w:before="63"/>
        <w:ind w:right="1130"/>
        <w:jc w:val="both"/>
      </w:pPr>
      <w:r>
        <w:rPr>
          <w:spacing w:val="-2"/>
        </w:rPr>
        <w:t>《证券法》、《公司章程》等相关法律法规制度的规定。公司董事、监事、和高级管理人员均能认真、诚信、尽职地履行职</w:t>
      </w:r>
      <w:r>
        <w:rPr>
          <w:spacing w:val="-66"/>
        </w:rPr>
        <w:t> </w:t>
      </w:r>
      <w:r>
        <w:rPr>
          <w:spacing w:val="-66"/>
        </w:rPr>
      </w:r>
      <w:r>
        <w:rPr>
          <w:spacing w:val="-2"/>
        </w:rPr>
        <w:t>责，对董事会、监事会和股东大会负责。公司根据《信息披露事务管理制度》和《投资者关系管理制度》，认真履行信息披</w:t>
      </w:r>
      <w:r>
        <w:rPr>
          <w:spacing w:val="-67"/>
        </w:rPr>
        <w:t> </w:t>
      </w:r>
      <w:r>
        <w:rPr>
          <w:spacing w:val="-67"/>
        </w:rPr>
      </w:r>
      <w:r>
        <w:rPr/>
        <w:t>露义务，保证公司信息披露的真实、准确、完整、及时，并确保所有股东有平等的机会获得信息。</w:t>
      </w:r>
    </w:p>
    <w:p>
      <w:pPr>
        <w:pStyle w:val="BodyText"/>
        <w:spacing w:line="338" w:lineRule="auto" w:before="19"/>
        <w:ind w:right="0" w:firstLine="540"/>
        <w:jc w:val="left"/>
      </w:pPr>
      <w:r>
        <w:rPr>
          <w:spacing w:val="-2"/>
        </w:rPr>
        <w:t>公司的治理实际情况符合中国证监会关于上市公司治理的相关规范性文件要求。报告期内，公司不存在向大股东、实</w:t>
      </w:r>
      <w:r>
        <w:rPr/>
        <w:t> 际控制人提供非公开信息等公司治理非规范情况。 公司治理的实际状况与中国证监会发布的有关上市公司治理的规范性文件是否存在重大差异</w:t>
      </w:r>
    </w:p>
    <w:p>
      <w:pPr>
        <w:pStyle w:val="BodyText"/>
        <w:spacing w:line="338" w:lineRule="auto" w:before="43"/>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513" w:right="0"/>
        <w:jc w:val="left"/>
      </w:pPr>
      <w:r>
        <w:rPr/>
        <w:t>公司与控股股东在业务、人员、资产、机构、财务等方面完全分开，具有独立完整的业务及自主经营能力。</w:t>
      </w:r>
    </w:p>
    <w:p>
      <w:pPr>
        <w:pStyle w:val="BodyText"/>
        <w:spacing w:line="312" w:lineRule="auto" w:before="76"/>
        <w:ind w:left="154" w:right="0" w:firstLine="360"/>
        <w:jc w:val="left"/>
      </w:pPr>
      <w:r>
        <w:rPr>
          <w:rFonts w:ascii="Times New Roman" w:hAnsi="Times New Roman" w:cs="Times New Roman" w:eastAsia="Times New Roman" w:hint="default"/>
        </w:rPr>
        <w:t>1</w:t>
      </w:r>
      <w:r>
        <w:rPr/>
        <w:t>、业务独立 </w:t>
      </w:r>
      <w:r>
        <w:rPr>
          <w:spacing w:val="-2"/>
        </w:rPr>
        <w:t>公司拥有包括采购、生产、销售、研发、质量控制在内的完整的主营业务体系，维持了主营业务的完整、独立与连续，与控</w:t>
      </w:r>
      <w:r>
        <w:rPr>
          <w:spacing w:val="-72"/>
        </w:rPr>
        <w:t> </w:t>
      </w:r>
      <w:r>
        <w:rPr>
          <w:spacing w:val="-72"/>
        </w:rPr>
      </w:r>
      <w:r>
        <w:rPr>
          <w:spacing w:val="-2"/>
        </w:rPr>
        <w:t>股股东、实际控制人及其控制的其他企业之间不存在竞争关系或业务上的依赖情况，也确保了公司的独立规范运营，避免了</w:t>
      </w:r>
      <w:r>
        <w:rPr>
          <w:spacing w:val="-66"/>
        </w:rPr>
        <w:t> </w:t>
      </w:r>
      <w:r>
        <w:rPr>
          <w:spacing w:val="-66"/>
        </w:rPr>
      </w:r>
      <w:r>
        <w:rPr/>
        <w:t>同业竞争和关联交易。</w:t>
      </w:r>
    </w:p>
    <w:p>
      <w:pPr>
        <w:pStyle w:val="BodyText"/>
        <w:spacing w:line="300" w:lineRule="auto" w:before="22"/>
        <w:ind w:left="513" w:right="1033"/>
        <w:jc w:val="left"/>
      </w:pPr>
      <w:r>
        <w:rPr>
          <w:rFonts w:ascii="Times New Roman" w:hAnsi="Times New Roman" w:cs="Times New Roman" w:eastAsia="Times New Roman" w:hint="default"/>
        </w:rPr>
        <w:t>2</w:t>
      </w:r>
      <w:r>
        <w:rPr/>
        <w:t>、资产完整 </w:t>
      </w:r>
      <w:r>
        <w:rPr>
          <w:spacing w:val="-4"/>
        </w:rPr>
        <w:t>公司具有与生产经营有关的独立、完整的生产系统、辅助生产系统和配套设施，合法拥有与生产经营有关的土地使用权、</w:t>
      </w:r>
    </w:p>
    <w:p>
      <w:pPr>
        <w:pStyle w:val="BodyText"/>
        <w:spacing w:line="316" w:lineRule="auto" w:before="31"/>
        <w:ind w:left="514" w:right="1032" w:hanging="360"/>
        <w:jc w:val="left"/>
      </w:pPr>
      <w:r>
        <w:rPr/>
        <w:t>厂房、机器设备、商标及专利等资产的所有权或使用权，公司资产与股东资产严格分开，产权界定清晰，并完全独立运营。 </w:t>
      </w:r>
      <w:r>
        <w:rPr>
          <w:spacing w:val="-2"/>
        </w:rPr>
        <w:t>公司目前业务和生产经营必需资产的权属完全由公司独立享有，不存在与股东单位共用的情况，具备资产的独立性和完</w:t>
      </w:r>
    </w:p>
    <w:p>
      <w:pPr>
        <w:pStyle w:val="BodyText"/>
        <w:spacing w:line="240" w:lineRule="auto" w:before="19"/>
        <w:ind w:left="154" w:right="0"/>
        <w:jc w:val="left"/>
      </w:pPr>
      <w:r>
        <w:rPr/>
        <w:t>整性。</w:t>
      </w:r>
    </w:p>
    <w:p>
      <w:pPr>
        <w:pStyle w:val="BodyText"/>
        <w:spacing w:line="316" w:lineRule="auto" w:before="76"/>
        <w:ind w:left="154" w:right="0" w:firstLine="360"/>
        <w:jc w:val="left"/>
      </w:pPr>
      <w:r>
        <w:rPr>
          <w:spacing w:val="-2"/>
        </w:rPr>
        <w:t>报告期内，公司不存在以自身资产、权益或信誉为股东提供担保的情形，不存在资产、资金被控股股东、实际控制人占</w:t>
      </w:r>
      <w:r>
        <w:rPr/>
        <w:t> 用而损害公司利益的情况，公司对所有资产具有完全的控制权和支配权。</w:t>
      </w:r>
    </w:p>
    <w:p>
      <w:pPr>
        <w:pStyle w:val="BodyText"/>
        <w:spacing w:line="300" w:lineRule="auto" w:before="19"/>
        <w:ind w:left="513" w:right="1141"/>
        <w:jc w:val="left"/>
      </w:pPr>
      <w:r>
        <w:rPr>
          <w:rFonts w:ascii="Times New Roman" w:hAnsi="Times New Roman" w:cs="Times New Roman" w:eastAsia="Times New Roman" w:hint="default"/>
        </w:rPr>
        <w:t>3</w:t>
      </w:r>
      <w:r>
        <w:rPr/>
        <w:t>、人员独立 公司拥有完整、独立的劳动、人事及工资管理体系。公司的董事、监事及高级管理人员严格按照《公司法》、</w:t>
      </w:r>
      <w:r>
        <w:rPr>
          <w:spacing w:val="-18"/>
        </w:rPr>
        <w:t> </w:t>
      </w:r>
      <w:r>
        <w:rPr/>
        <w:t>公司章</w:t>
      </w:r>
    </w:p>
    <w:p>
      <w:pPr>
        <w:pStyle w:val="BodyText"/>
        <w:spacing w:line="316" w:lineRule="auto" w:before="31"/>
        <w:ind w:right="1033"/>
        <w:jc w:val="left"/>
      </w:pPr>
      <w:r>
        <w:rPr>
          <w:spacing w:val="-2"/>
        </w:rPr>
        <w:t>程》的相关规定选举或聘任，不存在超越公司董事会和股东大会作出人事任免决定的情况。公司的总经理、副总经理、财务</w:t>
      </w:r>
      <w:r>
        <w:rPr>
          <w:spacing w:val="-66"/>
        </w:rPr>
        <w:t> </w:t>
      </w:r>
      <w:r>
        <w:rPr>
          <w:spacing w:val="-66"/>
        </w:rPr>
      </w:r>
      <w:r>
        <w:rPr/>
        <w:t>负责人和董事会秘书等高级管理人员未在控股股东、实际控制人及其控制的其他企业中担任除董事、监事以外的其他职务， </w:t>
      </w:r>
      <w:r>
        <w:rPr>
          <w:spacing w:val="-2"/>
        </w:rPr>
        <w:t>未在控股股东、实际控制人及其控制的其他企业领薪；公司的财务人员未在控股股东、实际控制人及其控制的其他企业中兼</w:t>
      </w:r>
      <w:r>
        <w:rPr>
          <w:spacing w:val="-66"/>
        </w:rPr>
        <w:t> </w:t>
      </w:r>
      <w:r>
        <w:rPr>
          <w:spacing w:val="-66"/>
        </w:rPr>
      </w:r>
      <w:r>
        <w:rPr/>
        <w:t>职。</w:t>
      </w:r>
    </w:p>
    <w:p>
      <w:pPr>
        <w:pStyle w:val="BodyText"/>
        <w:spacing w:line="316" w:lineRule="auto" w:before="19"/>
        <w:ind w:left="154" w:right="0" w:firstLine="360"/>
        <w:jc w:val="left"/>
      </w:pPr>
      <w:r>
        <w:rPr>
          <w:spacing w:val="-2"/>
        </w:rPr>
        <w:t>公司的劳动、人事及工资管理与股东单位完全分离，公司所有员工均在股份公司领薪；公司制订了严格的员工聘用、考</w:t>
      </w:r>
      <w:r>
        <w:rPr/>
        <w:t> 评、晋升等完整的劳动用工制度，并与员工依法签订了《劳动合同》，公司的人员与控股股东、实际控制人完全独立。</w:t>
      </w:r>
    </w:p>
    <w:p>
      <w:pPr>
        <w:pStyle w:val="BodyText"/>
        <w:spacing w:line="300" w:lineRule="auto" w:before="19"/>
        <w:ind w:left="513" w:right="1118"/>
        <w:jc w:val="left"/>
      </w:pPr>
      <w:r>
        <w:rPr>
          <w:rFonts w:ascii="Times New Roman" w:hAnsi="Times New Roman" w:cs="Times New Roman" w:eastAsia="Times New Roman" w:hint="default"/>
        </w:rPr>
        <w:t>4</w:t>
      </w:r>
      <w:r>
        <w:rPr/>
        <w:t>、机构独立 </w:t>
      </w:r>
      <w:r>
        <w:rPr>
          <w:spacing w:val="-2"/>
        </w:rPr>
        <w:t>公司根据经营发展的需要，建立了符合公司实际情况的独立、完整的组织结构，各职能部门根据《公司章程》和相关规</w:t>
      </w:r>
    </w:p>
    <w:p>
      <w:pPr>
        <w:pStyle w:val="BodyText"/>
        <w:spacing w:line="240" w:lineRule="auto" w:before="31"/>
        <w:ind w:right="0"/>
        <w:jc w:val="left"/>
      </w:pPr>
      <w:r>
        <w:rPr/>
        <w:t>章制度独立行使职权，运作正常有序。公司根据《公司法》、《公司章程》的要求建立了完善的法人治理结构和内部经营管</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18"/>
        <w:jc w:val="left"/>
      </w:pPr>
      <w:r>
        <w:rPr>
          <w:spacing w:val="-2"/>
        </w:rPr>
        <w:t>理机构，独立行使经营管理职权；股东大会、董事会、监事会严格按照《公司章程》规范运作，并建立了《独立董事工作制</w:t>
      </w:r>
      <w:r>
        <w:rPr>
          <w:spacing w:val="-67"/>
        </w:rPr>
        <w:t> </w:t>
      </w:r>
      <w:r>
        <w:rPr>
          <w:spacing w:val="-67"/>
        </w:rPr>
      </w:r>
      <w:r>
        <w:rPr/>
        <w:t>度》。</w:t>
      </w:r>
    </w:p>
    <w:p>
      <w:pPr>
        <w:pStyle w:val="BodyText"/>
        <w:spacing w:line="316" w:lineRule="auto" w:before="19"/>
        <w:ind w:right="0" w:firstLine="360"/>
        <w:jc w:val="left"/>
      </w:pPr>
      <w:r>
        <w:rPr>
          <w:spacing w:val="-2"/>
        </w:rPr>
        <w:t>公司在生产经营、办公场所和管理制度等各方面均完全独立，不存在与控股股东、实际控制人及其控制的其他企业机构</w:t>
      </w:r>
      <w:r>
        <w:rPr/>
        <w:t> 混同、混合经营或合署办公的情况。</w:t>
      </w:r>
    </w:p>
    <w:p>
      <w:pPr>
        <w:pStyle w:val="BodyText"/>
        <w:spacing w:line="300" w:lineRule="auto" w:before="19"/>
        <w:ind w:left="513" w:right="1118"/>
        <w:jc w:val="left"/>
      </w:pPr>
      <w:r>
        <w:rPr>
          <w:rFonts w:ascii="Times New Roman" w:hAnsi="Times New Roman" w:cs="Times New Roman" w:eastAsia="Times New Roman" w:hint="default"/>
        </w:rPr>
        <w:t>5</w:t>
      </w:r>
      <w:r>
        <w:rPr/>
        <w:t>、财务独立 </w:t>
      </w:r>
      <w:r>
        <w:rPr>
          <w:spacing w:val="-2"/>
        </w:rPr>
        <w:t>公司严格按照《企业会计准则》建立了独立的财务会计核算体系，制定了相关的财务管理制度和审计等制度，设立了独</w:t>
      </w:r>
    </w:p>
    <w:p>
      <w:pPr>
        <w:pStyle w:val="BodyText"/>
        <w:spacing w:line="316" w:lineRule="auto" w:before="31"/>
        <w:ind w:right="1131"/>
        <w:jc w:val="both"/>
      </w:pPr>
      <w:r>
        <w:rPr>
          <w:spacing w:val="-2"/>
        </w:rPr>
        <w:t>立的财务部门和审计部门，配备了专门的财务人员和专职审计人员。公司拥有独立的银行账户，不存在与股东单位及其他关</w:t>
      </w:r>
      <w:r>
        <w:rPr>
          <w:spacing w:val="-66"/>
        </w:rPr>
        <w:t> </w:t>
      </w:r>
      <w:r>
        <w:rPr>
          <w:spacing w:val="-66"/>
        </w:rPr>
      </w:r>
      <w:r>
        <w:rPr>
          <w:spacing w:val="-2"/>
        </w:rPr>
        <w:t>联方共用银行账户的现象；公司独立进行纳税申报并履行纳税义务；公司能够依据《公司章程》和相关财务制度独立做出财</w:t>
      </w:r>
      <w:r>
        <w:rPr>
          <w:spacing w:val="-66"/>
        </w:rPr>
        <w:t> </w:t>
      </w:r>
      <w:r>
        <w:rPr>
          <w:spacing w:val="-66"/>
        </w:rPr>
      </w:r>
      <w:r>
        <w:rPr>
          <w:spacing w:val="-2"/>
        </w:rPr>
        <w:t>务决策，不存在股东或其他关联方干预公司资金使用的情况。公司已建立了独立的薪资管理制度，并在有关社会保障、工薪</w:t>
      </w:r>
      <w:r>
        <w:rPr>
          <w:spacing w:val="-66"/>
        </w:rPr>
        <w:t> </w:t>
      </w:r>
      <w:r>
        <w:rPr>
          <w:spacing w:val="-66"/>
        </w:rPr>
      </w:r>
      <w:r>
        <w:rPr/>
        <w:t>报酬等方面独立管理。公司独立对外签订合同，不受股东及其他关联方的影响。</w:t>
      </w:r>
    </w:p>
    <w:p>
      <w:pPr>
        <w:spacing w:line="240" w:lineRule="auto" w:before="10"/>
        <w:rPr>
          <w:rFonts w:ascii="宋体" w:hAnsi="宋体" w:cs="宋体" w:eastAsia="宋体" w:hint="default"/>
          <w:sz w:val="20"/>
          <w:szCs w:val="20"/>
        </w:rPr>
      </w:pPr>
    </w:p>
    <w:p>
      <w:pPr>
        <w:pStyle w:val="Heading3"/>
        <w:spacing w:line="240" w:lineRule="auto"/>
        <w:ind w:right="0"/>
        <w:jc w:val="both"/>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both"/>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33"/>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3"/>
        <w:spacing w:line="240" w:lineRule="auto"/>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周明天</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赵锡铭</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张腾文</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0"/>
        <w:jc w:val="left"/>
      </w:pPr>
      <w:r>
        <w:rPr/>
        <w:t>连续两次未亲自出席董事会的说明</w:t>
      </w:r>
    </w:p>
    <w:p>
      <w:pPr>
        <w:spacing w:after="0" w:line="240" w:lineRule="auto"/>
        <w:jc w:val="left"/>
        <w:sectPr>
          <w:footerReference w:type="default" r:id="rId16"/>
          <w:pgSz w:w="11910" w:h="16840"/>
          <w:pgMar w:footer="979" w:header="747" w:top="1060" w:bottom="1160" w:left="980" w:right="0"/>
          <w:pgNumType w:start="5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独立董事对公司有关事项是否提出异议</w:t>
      </w:r>
    </w:p>
    <w:p>
      <w:pPr>
        <w:pStyle w:val="BodyText"/>
        <w:spacing w:line="340"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5"/>
        <w:spacing w:line="240" w:lineRule="auto"/>
        <w:ind w:right="0"/>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独立董事对公司有关建议是否被采纳</w:t>
      </w:r>
    </w:p>
    <w:p>
      <w:pPr>
        <w:pStyle w:val="BodyText"/>
        <w:spacing w:line="338" w:lineRule="auto" w:before="116"/>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62"/>
        <w:ind w:right="1033" w:firstLine="300"/>
        <w:jc w:val="left"/>
      </w:pPr>
      <w:r>
        <w:rPr/>
        <w:t>报告期内，公司独立董事根据《公司法》、《关于在上市公司建立独立董事的指导意见》、《关于加强社会公股股东权 益保护的若干规定》、深圳证券交易所《中小企业板上市公司规范运作指引》、公司《章程》和公司《独立董事工作制度》 </w:t>
      </w:r>
      <w:r>
        <w:rPr>
          <w:spacing w:val="-2"/>
        </w:rPr>
        <w:t>等有关法律、法规及规范性文件的规定和要求，诚信、勤勉、尽责、忠实地履行职责，积极参与公司治理和决策活动，对公</w:t>
      </w:r>
      <w:r>
        <w:rPr>
          <w:spacing w:val="-72"/>
        </w:rPr>
        <w:t> </w:t>
      </w:r>
      <w:r>
        <w:rPr>
          <w:spacing w:val="-72"/>
        </w:rPr>
      </w:r>
      <w:r>
        <w:rPr>
          <w:spacing w:val="-2"/>
        </w:rPr>
        <w:t>司的制度完善和经营发展决策等方面提出了许多宝贵的专业性意见，并对董事、高管履职情况、关联交易等提出了富有针对</w:t>
      </w:r>
      <w:r>
        <w:rPr>
          <w:spacing w:val="-66"/>
        </w:rPr>
        <w:t> </w:t>
      </w:r>
      <w:r>
        <w:rPr>
          <w:spacing w:val="-66"/>
        </w:rPr>
      </w:r>
      <w:r>
        <w:rPr>
          <w:spacing w:val="-2"/>
        </w:rPr>
        <w:t>性的建议和意见。独立董事还通过邮件、电话、会议等途径与公司其他董事、管理层及相关工作人员交流与沟通，重点关注</w:t>
      </w:r>
      <w:r>
        <w:rPr>
          <w:spacing w:val="-66"/>
        </w:rPr>
        <w:t> </w:t>
      </w:r>
      <w:r>
        <w:rPr>
          <w:spacing w:val="-66"/>
        </w:rPr>
      </w:r>
      <w:r>
        <w:rPr>
          <w:spacing w:val="-2"/>
        </w:rPr>
        <w:t>了公司运行状态、财务管理和内部控制、所处行业动态、有关公司的舆情报道、子公司运营等重大事项，积极有效地履行了</w:t>
      </w:r>
      <w:r>
        <w:rPr>
          <w:spacing w:val="-66"/>
        </w:rPr>
        <w:t> </w:t>
      </w:r>
      <w:r>
        <w:rPr>
          <w:spacing w:val="-66"/>
        </w:rPr>
      </w:r>
      <w:r>
        <w:rPr>
          <w:spacing w:val="-2"/>
        </w:rPr>
        <w:t>独立董事的职责，对促进董事会科学决策、公司稳健经营起到了积极的作用，也为公司未来发展、规范化运作和风险防范作</w:t>
      </w:r>
      <w:r>
        <w:rPr>
          <w:spacing w:val="-66"/>
        </w:rPr>
        <w:t> </w:t>
      </w:r>
      <w:r>
        <w:rPr>
          <w:spacing w:val="-66"/>
        </w:rPr>
      </w:r>
      <w:r>
        <w:rPr/>
        <w:t>出了贡献。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Heading3"/>
        <w:spacing w:line="240" w:lineRule="auto"/>
        <w:ind w:right="0"/>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0" w:firstLine="300"/>
        <w:jc w:val="both"/>
      </w:pPr>
      <w:r>
        <w:rPr>
          <w:spacing w:val="-4"/>
        </w:rPr>
        <w:t>公司董事会下设的战略委员会、薪酬与考核委员会、提名委员会与审计委员会四个专门委员会均职责明确，严格按照《董</w:t>
      </w:r>
      <w:r>
        <w:rPr/>
        <w:t> 事会战略委员会工作细则》、《董事会审计委员会工作细则》、</w:t>
      </w:r>
      <w:r>
        <w:rPr>
          <w:spacing w:val="-42"/>
        </w:rPr>
        <w:t> </w:t>
      </w:r>
      <w:r>
        <w:rPr/>
        <w:t>《董事会提名委员会工作细则》、</w:t>
      </w:r>
      <w:r>
        <w:rPr>
          <w:spacing w:val="-41"/>
        </w:rPr>
        <w:t> </w:t>
      </w:r>
      <w:r>
        <w:rPr/>
        <w:t>《董事会薪酬与考核委</w:t>
      </w:r>
      <w:r>
        <w:rPr/>
        <w:t> </w:t>
      </w:r>
      <w:r>
        <w:rPr>
          <w:spacing w:val="-2"/>
        </w:rPr>
        <w:t>员会工作细则》的规定规范运作，委员认真履行职责，充分行使各自权利，对各委员会专业性事项进行认真研究，以增强公</w:t>
      </w:r>
      <w:r>
        <w:rPr>
          <w:spacing w:val="-66"/>
        </w:rPr>
        <w:t> </w:t>
      </w:r>
      <w:r>
        <w:rPr>
          <w:spacing w:val="-66"/>
        </w:rPr>
      </w:r>
      <w:r>
        <w:rPr>
          <w:spacing w:val="-2"/>
        </w:rPr>
        <w:t>司核心竞争力中心提出意见及建议，为董事会科学决策提供参考，同时也为公司经营业务的长远发展和治理结构的完善奠定</w:t>
      </w:r>
      <w:r>
        <w:rPr>
          <w:spacing w:val="-64"/>
        </w:rPr>
        <w:t> </w:t>
      </w:r>
      <w:r>
        <w:rPr>
          <w:spacing w:val="-64"/>
        </w:rPr>
      </w:r>
      <w:r>
        <w:rPr/>
        <w:t>了坚实的基础。</w:t>
      </w:r>
    </w:p>
    <w:p>
      <w:pPr>
        <w:spacing w:line="240" w:lineRule="auto" w:before="10"/>
        <w:rPr>
          <w:rFonts w:ascii="宋体" w:hAnsi="宋体" w:cs="宋体" w:eastAsia="宋体" w:hint="default"/>
          <w:sz w:val="20"/>
          <w:szCs w:val="20"/>
        </w:rPr>
      </w:pPr>
    </w:p>
    <w:p>
      <w:pPr>
        <w:pStyle w:val="Heading3"/>
        <w:spacing w:line="240" w:lineRule="auto"/>
        <w:ind w:left="154" w:right="0"/>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监事会在报告期内的监督活动中发现公司是否存在风险</w:t>
      </w:r>
    </w:p>
    <w:p>
      <w:pPr>
        <w:pStyle w:val="BodyText"/>
        <w:spacing w:line="338"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6"/>
        <w:rPr>
          <w:rFonts w:ascii="宋体" w:hAnsi="宋体" w:cs="宋体" w:eastAsia="宋体" w:hint="default"/>
          <w:sz w:val="19"/>
          <w:szCs w:val="19"/>
        </w:rPr>
      </w:pPr>
    </w:p>
    <w:p>
      <w:pPr>
        <w:pStyle w:val="Heading3"/>
        <w:spacing w:line="240" w:lineRule="auto"/>
        <w:ind w:right="0"/>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before="0"/>
        <w:ind w:right="0" w:firstLine="300"/>
        <w:jc w:val="left"/>
      </w:pPr>
      <w:r>
        <w:rPr>
          <w:spacing w:val="-3"/>
        </w:rPr>
        <w:t>公司建立了公正、合理、有效的高级管理人员绩效考核评价体系。董事会薪酬与考核委员会严格按照公司《董事、监事、</w:t>
      </w:r>
      <w:r>
        <w:rPr/>
        <w:t> </w:t>
      </w:r>
      <w:r>
        <w:rPr>
          <w:spacing w:val="-2"/>
        </w:rPr>
        <w:t>高级管理人员薪酬管理办法》执行，通过每年组织对高级管理人员的工作能力、履职情况、责任目标完成情况等进行年终考</w:t>
      </w:r>
      <w:r>
        <w:rPr>
          <w:spacing w:val="-66"/>
        </w:rPr>
        <w:t> </w:t>
      </w:r>
      <w:r>
        <w:rPr>
          <w:spacing w:val="-66"/>
        </w:rPr>
      </w:r>
      <w:r>
        <w:rPr>
          <w:spacing w:val="-2"/>
        </w:rPr>
        <w:t>评，并制定薪酬方案报董事会审批，充分调动了经理层的工作积极性。报告期内，公司不断优化薪酬激励及约束机制，完善</w:t>
      </w:r>
      <w:r>
        <w:rPr>
          <w:spacing w:val="-66"/>
        </w:rPr>
        <w:t> </w:t>
      </w:r>
      <w:r>
        <w:rPr>
          <w:spacing w:val="-66"/>
        </w:rPr>
      </w:r>
      <w:r>
        <w:rPr>
          <w:spacing w:val="-2"/>
        </w:rPr>
        <w:t>对公司高级管理人员的考评标准和办法，有效提高了高级管理人员的履行意识和企业经营管理水平，为公司经营业绩的稳定</w:t>
      </w:r>
      <w:r>
        <w:rPr>
          <w:spacing w:val="-64"/>
        </w:rPr>
        <w:t> </w:t>
      </w:r>
      <w:r>
        <w:rPr>
          <w:spacing w:val="-64"/>
        </w:rPr>
      </w:r>
      <w:r>
        <w:rPr/>
        <w:t>提升打下了坚实的基础。</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3"/>
        <w:spacing w:line="240" w:lineRule="auto" w:before="26"/>
        <w:ind w:right="0"/>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5"/>
          <w:szCs w:val="15"/>
        </w:rPr>
      </w:pPr>
    </w:p>
    <w:p>
      <w:pPr>
        <w:pStyle w:val="BodyText"/>
        <w:spacing w:line="240" w:lineRule="auto" w:before="0"/>
        <w:ind w:left="0" w:right="1139"/>
        <w:jc w:val="right"/>
      </w:pPr>
      <w:r>
        <w:rPr/>
        <w:pict>
          <v:shape style="position:absolute;margin-left:56.459999pt;margin-top:-451.26828pt;width:479.2pt;height:560.450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9"/>
                    <w:gridCol w:w="3329"/>
                    <w:gridCol w:w="305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6" w:right="0"/>
                          <w:jc w:val="left"/>
                          <w:rPr>
                            <w:rFonts w:ascii="Times New Roman" w:hAnsi="Times New Roman" w:cs="Times New Roman" w:eastAsia="Times New Roman" w:hint="default"/>
                            <w:sz w:val="18"/>
                            <w:szCs w:val="18"/>
                          </w:rPr>
                        </w:pPr>
                        <w:hyperlink r:id="rId17">
                          <w:r>
                            <w:rPr>
                              <w:rFonts w:ascii="Times New Roman"/>
                              <w:sz w:val="18"/>
                            </w:rPr>
                            <w:t>http://disclosure.szse.cn/finalpage/2015-12-16/1201837019.PDF</w:t>
                          </w:r>
                        </w:hyperlink>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886"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2" w:lineRule="auto"/>
                          <w:ind w:left="22" w:right="20"/>
                          <w:jc w:val="both"/>
                          <w:rPr>
                            <w:rFonts w:ascii="宋体" w:hAnsi="宋体" w:cs="宋体" w:eastAsia="宋体" w:hint="default"/>
                            <w:sz w:val="18"/>
                            <w:szCs w:val="18"/>
                          </w:rPr>
                        </w:pPr>
                        <w:r>
                          <w:rPr>
                            <w:rFonts w:ascii="宋体" w:hAnsi="宋体" w:cs="宋体" w:eastAsia="宋体" w:hint="default"/>
                            <w:sz w:val="18"/>
                            <w:szCs w:val="18"/>
                          </w:rPr>
                          <w:t>公司根据缺陷可能导致的财务报告错报的 重要程度，将缺陷划分确定为重大缺陷、 </w:t>
                        </w:r>
                        <w:r>
                          <w:rPr>
                            <w:rFonts w:ascii="宋体" w:hAnsi="宋体" w:cs="宋体" w:eastAsia="宋体" w:hint="default"/>
                            <w:spacing w:val="-4"/>
                            <w:sz w:val="18"/>
                            <w:szCs w:val="18"/>
                          </w:rPr>
                          <w:t>重要缺陷和一般缺陷：</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、重大缺陷：是指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一个或多个控制缺陷的组合，可能导致企 </w:t>
                        </w:r>
                        <w:r>
                          <w:rPr>
                            <w:rFonts w:ascii="宋体" w:hAnsi="宋体" w:cs="宋体" w:eastAsia="宋体" w:hint="default"/>
                            <w:spacing w:val="-4"/>
                            <w:sz w:val="18"/>
                            <w:szCs w:val="18"/>
                          </w:rPr>
                          <w:t>业严重偏离控制目标。</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、重要缺陷：指一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个或多个控制缺陷的组合，其严重程度和 经济后果低于重大缺陷，但是仍有可能导 </w:t>
                        </w:r>
                        <w:r>
                          <w:rPr>
                            <w:rFonts w:ascii="宋体" w:hAnsi="宋体" w:cs="宋体" w:eastAsia="宋体" w:hint="default"/>
                            <w:spacing w:val="-4"/>
                            <w:sz w:val="18"/>
                            <w:szCs w:val="18"/>
                          </w:rPr>
                          <w:t>致企业偏离控制目标。</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、一般缺陷：除重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大缺陷、重要缺陷之外的其他控制缺陷。</w:t>
                        </w:r>
                      </w:p>
                    </w:tc>
                    <w:tc>
                      <w:tcPr>
                        <w:tcW w:w="3051" w:type="dxa"/>
                        <w:vMerge w:val="restart"/>
                        <w:tcBorders>
                          <w:top w:val="single" w:sz="4" w:space="0" w:color="000000"/>
                          <w:left w:val="single" w:sz="4" w:space="0" w:color="000000"/>
                          <w:right w:val="single" w:sz="4" w:space="0" w:color="000000"/>
                        </w:tcBorders>
                      </w:tcPr>
                      <w:p>
                        <w:pPr>
                          <w:pStyle w:val="TableParagraph"/>
                          <w:spacing w:line="309" w:lineRule="auto" w:before="52"/>
                          <w:ind w:left="22" w:right="21"/>
                          <w:jc w:val="left"/>
                          <w:rPr>
                            <w:rFonts w:ascii="宋体" w:hAnsi="宋体" w:cs="宋体" w:eastAsia="宋体" w:hint="default"/>
                            <w:sz w:val="18"/>
                            <w:szCs w:val="18"/>
                          </w:rPr>
                        </w:pPr>
                        <w:r>
                          <w:rPr>
                            <w:rFonts w:ascii="宋体" w:hAnsi="宋体" w:cs="宋体" w:eastAsia="宋体" w:hint="default"/>
                            <w:spacing w:val="-4"/>
                            <w:sz w:val="18"/>
                            <w:szCs w:val="18"/>
                          </w:rPr>
                          <w:t>以本年度的合并报表数据为基准，根据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该内部缺陷可能导致财务报表错报（包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括漏报）的重要程度，将缺陷划分确定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重大缺陷、重要缺陷和一般缺陷。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 重大缺陷：</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董事、监事和高级 管理人员舞弊；</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对已经公告的 财务报告出现的重大差错进行错报更 正；</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当期财务报告存在重大错 报，而 内部控制在运行过程中未能发 现该错报；</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审计委员会以及内 部审计部对财务报告内部控制监督无 </w:t>
                        </w:r>
                        <w:r>
                          <w:rPr>
                            <w:rFonts w:ascii="宋体" w:hAnsi="宋体" w:cs="宋体" w:eastAsia="宋体" w:hint="default"/>
                            <w:spacing w:val="-6"/>
                            <w:sz w:val="18"/>
                            <w:szCs w:val="18"/>
                          </w:rPr>
                          <w:t>效。（</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公司主要会计政策、会计估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计变 更或会计差错更正事项未按规定 披露的；</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主要税种及税率、税 收优惠及其依据未按规定披露的；</w:t>
                        </w:r>
                      </w:p>
                      <w:p>
                        <w:pPr>
                          <w:pStyle w:val="TableParagraph"/>
                          <w:spacing w:line="302" w:lineRule="auto" w:before="24"/>
                          <w:ind w:left="22" w:right="2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公司合并财务报表范围信息披露</w:t>
                        </w:r>
                        <w:r>
                          <w:rPr>
                            <w:rFonts w:ascii="宋体" w:hAnsi="宋体" w:cs="宋体" w:eastAsia="宋体" w:hint="default"/>
                            <w:spacing w:val="-74"/>
                            <w:sz w:val="18"/>
                            <w:szCs w:val="18"/>
                          </w:rPr>
                          <w:t> </w:t>
                        </w:r>
                        <w:r>
                          <w:rPr>
                            <w:rFonts w:ascii="宋体" w:hAnsi="宋体" w:cs="宋体" w:eastAsia="宋体" w:hint="default"/>
                            <w:sz w:val="18"/>
                            <w:szCs w:val="18"/>
                          </w:rPr>
                          <w:t>不完整的；</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合并财务报表项目 注释不充分完整的；</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母公司财 务报表主要项目注释遗漏的；</w:t>
                        </w:r>
                        <w:r>
                          <w:rPr>
                            <w:rFonts w:ascii="宋体" w:hAnsi="宋体" w:cs="宋体" w:eastAsia="宋体" w:hint="default"/>
                            <w:spacing w:val="-2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关联方及关联交易未按规定披露的；</w:t>
                        </w:r>
                        <w:r>
                          <w:rPr>
                            <w:rFonts w:ascii="Times New Roman" w:hAnsi="Times New Roman" w:cs="Times New Roman" w:eastAsia="Times New Roman" w:hint="default"/>
                            <w:spacing w:val="-4"/>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pacing w:val="-6"/>
                            <w:sz w:val="18"/>
                            <w:szCs w:val="18"/>
                          </w:rPr>
                          <w:t>重要缺陷：（</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未依照公认会计准则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选择和应用会计政策；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未建立 反舞弊程序和控制措施；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对于 非常规或特殊交易的账务处有实施且 </w:t>
                        </w:r>
                        <w:r>
                          <w:rPr>
                            <w:rFonts w:ascii="宋体" w:hAnsi="宋体" w:cs="宋体" w:eastAsia="宋体" w:hint="default"/>
                            <w:spacing w:val="-5"/>
                            <w:sz w:val="18"/>
                            <w:szCs w:val="18"/>
                          </w:rPr>
                          <w:t>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对于期</w:t>
                        </w:r>
                        <w:r>
                          <w:rPr>
                            <w:rFonts w:ascii="宋体" w:hAnsi="宋体" w:cs="宋体" w:eastAsia="宋体" w:hint="default"/>
                            <w:sz w:val="18"/>
                            <w:szCs w:val="18"/>
                          </w:rPr>
                          <w:t> 末财务报告过程的控制存在一项或多</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388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8.660004pt;margin-top:476.859985pt;width:176.25pt;height:241.85pt;mso-position-horizontal-relative:page;mso-position-vertical-relative:page;z-index:-860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2"/>
                    <w:ind w:left="0" w:right="0"/>
                    <w:jc w:val="left"/>
                  </w:pPr>
                  <w:r>
                    <w:rPr/>
                    <w:t>资产、</w:t>
                  </w:r>
                </w:p>
              </w:txbxContent>
            </v:textbox>
            <w10:wrap type="none"/>
          </v:shape>
        </w:pict>
      </w:r>
      <w:r>
        <w:rPr/>
        <w:pict>
          <v:group style="position:absolute;margin-left:383.980011pt;margin-top:428.019989pt;width:154.3pt;height:31.2pt;mso-position-horizontal-relative:page;mso-position-vertical-relative:page;z-index:-860272" coordorigin="7680,8560" coordsize="3086,624">
            <v:group style="position:absolute;left:7680;top:8560;width:2996;height:312" coordorigin="7680,8560" coordsize="2996,312">
              <v:shape style="position:absolute;left:7680;top:8560;width:2996;height:312" coordorigin="7680,8560" coordsize="2996,312" path="m7680,8872l10675,8872,10675,8560,7680,8560,7680,8872xe" filled="true" fillcolor="#ffffff" stroked="false">
                <v:path arrowok="t"/>
                <v:fill type="solid"/>
              </v:shape>
            </v:group>
            <v:group style="position:absolute;left:7680;top:8872;width:2996;height:312" coordorigin="7680,8872" coordsize="2996,312">
              <v:shape style="position:absolute;left:7680;top:8872;width:2996;height:312" coordorigin="7680,8872" coordsize="2996,312" path="m7680,9184l10675,9184,10675,8872,7680,8872,7680,9184xe" filled="true" fillcolor="#ffffff" stroked="false">
                <v:path arrowok="t"/>
                <v:fill type="solid"/>
              </v:shape>
              <v:shape style="position:absolute;left:10585;top:862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24"/>
        <w:gridCol w:w="3051"/>
      </w:tblGrid>
      <w:tr>
        <w:trPr>
          <w:trHeight w:val="129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4" w:space="0" w:color="000000"/>
            </w:tcBorders>
          </w:tcPr>
          <w:p>
            <w:pP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项缺陷且不能合理保证编制的财务报 表达到真实、准确的目标。</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 </w:t>
            </w:r>
            <w:r>
              <w:rPr>
                <w:rFonts w:ascii="宋体" w:hAnsi="宋体" w:cs="宋体" w:eastAsia="宋体" w:hint="default"/>
                <w:spacing w:val="-4"/>
                <w:sz w:val="18"/>
                <w:szCs w:val="18"/>
              </w:rPr>
              <w:t>陷：除上述重大缺陷、重要缺陷之外的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其他控制缺陷</w:t>
            </w:r>
          </w:p>
        </w:tc>
      </w:tr>
      <w:tr>
        <w:trPr>
          <w:trHeight w:val="1163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302" w:lineRule="auto" w:before="51"/>
              <w:ind w:left="23" w:right="14"/>
              <w:jc w:val="left"/>
              <w:rPr>
                <w:rFonts w:ascii="宋体" w:hAnsi="宋体" w:cs="宋体" w:eastAsia="宋体" w:hint="default"/>
                <w:sz w:val="18"/>
                <w:szCs w:val="18"/>
              </w:rPr>
            </w:pP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、重大缺陷：（</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7"/>
                <w:sz w:val="18"/>
                <w:szCs w:val="18"/>
              </w:rPr>
              <w:t> </w:t>
            </w:r>
            <w:r>
              <w:rPr>
                <w:rFonts w:ascii="宋体" w:hAnsi="宋体" w:cs="宋体" w:eastAsia="宋体" w:hint="default"/>
                <w:spacing w:val="-1"/>
                <w:sz w:val="18"/>
                <w:szCs w:val="18"/>
              </w:rPr>
              <w:t>资产、负债错报＞资</w:t>
            </w:r>
            <w:r>
              <w:rPr>
                <w:rFonts w:ascii="宋体" w:hAnsi="宋体" w:cs="宋体" w:eastAsia="宋体" w:hint="default"/>
                <w:sz w:val="18"/>
                <w:szCs w:val="18"/>
              </w:rPr>
              <w:t> 产总额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营业收入错报＞营业收入 </w:t>
            </w: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以上，且绝对金额超过</w:t>
            </w:r>
            <w:r>
              <w:rPr>
                <w:rFonts w:ascii="宋体" w:hAnsi="宋体" w:cs="宋体" w:eastAsia="宋体" w:hint="default"/>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7"/>
                <w:sz w:val="18"/>
                <w:szCs w:val="18"/>
              </w:rPr>
              <w:t> </w:t>
            </w:r>
            <w:r>
              <w:rPr>
                <w:rFonts w:ascii="宋体" w:hAnsi="宋体" w:cs="宋体" w:eastAsia="宋体" w:hint="default"/>
                <w:spacing w:val="-20"/>
                <w:sz w:val="18"/>
                <w:szCs w:val="18"/>
              </w:rPr>
              <w:t>万元；（</w:t>
            </w: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w:t>
            </w:r>
            <w:r>
              <w:rPr>
                <w:rFonts w:ascii="Times New Roman" w:hAnsi="Times New Roman" w:cs="Times New Roman" w:eastAsia="Times New Roman" w:hint="default"/>
                <w:spacing w:val="-20"/>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利润错报＞净利润 </w:t>
            </w: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以上，且绝对</w:t>
            </w:r>
            <w:r>
              <w:rPr>
                <w:rFonts w:ascii="宋体" w:hAnsi="宋体" w:cs="宋体" w:eastAsia="宋体" w:hint="default"/>
                <w:spacing w:val="44"/>
                <w:sz w:val="18"/>
                <w:szCs w:val="18"/>
              </w:rPr>
              <w:t> </w:t>
            </w:r>
            <w:r>
              <w:rPr>
                <w:rFonts w:ascii="宋体" w:hAnsi="宋体" w:cs="宋体" w:eastAsia="宋体" w:hint="default"/>
                <w:sz w:val="18"/>
                <w:szCs w:val="18"/>
              </w:rPr>
              <w:t>超过</w:t>
            </w:r>
            <w:r>
              <w:rPr>
                <w:rFonts w:ascii="宋体" w:hAnsi="宋体" w:cs="宋体" w:eastAsia="宋体" w:hint="default"/>
                <w:sz w:val="18"/>
                <w:szCs w:val="18"/>
              </w:rPr>
              <w:t> </w:t>
            </w:r>
            <w:r>
              <w:rPr>
                <w:rFonts w:ascii="Times New Roman" w:hAnsi="Times New Roman" w:cs="Times New Roman" w:eastAsia="Times New Roman" w:hint="default"/>
                <w:sz w:val="18"/>
                <w:szCs w:val="18"/>
              </w:rPr>
              <w:t>300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所有者权益错报＞所 有者权益总额的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，且绝对金额超过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会计差错金额直接影响盈 </w:t>
            </w:r>
            <w:r>
              <w:rPr>
                <w:rFonts w:ascii="宋体" w:hAnsi="宋体" w:cs="宋体" w:eastAsia="宋体" w:hint="default"/>
                <w:spacing w:val="-5"/>
                <w:sz w:val="18"/>
                <w:szCs w:val="18"/>
              </w:rPr>
              <w:t>亏性质，即由于会计差错使得</w:t>
            </w:r>
            <w:r>
              <w:rPr>
                <w:rFonts w:ascii="宋体" w:hAnsi="宋体" w:cs="宋体" w:eastAsia="宋体" w:hint="default"/>
                <w:sz w:val="18"/>
                <w:szCs w:val="18"/>
              </w:rPr>
              <w:t> 原来为亏损</w:t>
            </w:r>
            <w:r>
              <w:rPr>
                <w:rFonts w:ascii="宋体" w:hAnsi="宋体" w:cs="宋体" w:eastAsia="宋体" w:hint="default"/>
                <w:sz w:val="18"/>
                <w:szCs w:val="18"/>
              </w:rPr>
              <w:t> 的转变为盈利，或者由盈利转变为亏损；</w:t>
            </w:r>
          </w:p>
          <w:p>
            <w:pPr>
              <w:pStyle w:val="TableParagraph"/>
              <w:spacing w:line="302" w:lineRule="auto" w:before="29"/>
              <w:ind w:left="23" w:right="-4"/>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经注册会计师审计对以前年度财务 报告进行更正的，</w:t>
            </w:r>
            <w:r>
              <w:rPr>
                <w:rFonts w:ascii="宋体" w:hAnsi="宋体" w:cs="宋体" w:eastAsia="宋体" w:hint="default"/>
                <w:spacing w:val="-63"/>
                <w:sz w:val="18"/>
                <w:szCs w:val="18"/>
              </w:rPr>
              <w:t> </w:t>
            </w:r>
            <w:r>
              <w:rPr>
                <w:rFonts w:ascii="宋体" w:hAnsi="宋体" w:cs="宋体" w:eastAsia="宋体" w:hint="default"/>
                <w:sz w:val="18"/>
                <w:szCs w:val="18"/>
              </w:rPr>
              <w:t>会计差错金额占最近一</w:t>
            </w:r>
            <w:r>
              <w:rPr>
                <w:rFonts w:ascii="宋体" w:hAnsi="宋体" w:cs="宋体" w:eastAsia="宋体" w:hint="default"/>
                <w:sz w:val="18"/>
                <w:szCs w:val="18"/>
              </w:rPr>
              <w:t> 个会计年度净利润</w:t>
            </w:r>
            <w:r>
              <w:rPr>
                <w:rFonts w:ascii="宋体" w:hAnsi="宋体" w:cs="宋体" w:eastAsia="宋体" w:hint="default"/>
                <w:spacing w:val="-41"/>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以上，且绝对金额超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过 </w:t>
            </w:r>
            <w:r>
              <w:rPr>
                <w:rFonts w:ascii="Times New Roman" w:hAnsi="Times New Roman" w:cs="Times New Roman" w:eastAsia="Times New Roman" w:hint="default"/>
                <w:sz w:val="18"/>
                <w:szCs w:val="18"/>
              </w:rPr>
              <w:t>300 </w:t>
            </w:r>
            <w:r>
              <w:rPr>
                <w:rFonts w:ascii="宋体" w:hAnsi="宋体" w:cs="宋体" w:eastAsia="宋体" w:hint="default"/>
                <w:spacing w:val="-11"/>
                <w:sz w:val="18"/>
                <w:szCs w:val="18"/>
              </w:rPr>
              <w:t>万元；</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、重要缺陷：（</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资产总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资产、负债错报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 且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≤1000 </w:t>
            </w:r>
            <w:r>
              <w:rPr>
                <w:rFonts w:ascii="宋体" w:hAnsi="宋体" w:cs="宋体" w:eastAsia="宋体" w:hint="default"/>
                <w:spacing w:val="-12"/>
                <w:sz w:val="18"/>
                <w:szCs w:val="18"/>
              </w:rPr>
              <w:t>万元；（</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营业收入总额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营业收入错报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 入总额 </w:t>
            </w:r>
            <w:r>
              <w:rPr>
                <w:rFonts w:ascii="Times New Roman" w:hAnsi="Times New Roman" w:cs="Times New Roman" w:eastAsia="Times New Roman" w:hint="default"/>
                <w:sz w:val="18"/>
                <w:szCs w:val="18"/>
              </w:rPr>
              <w:t>5%</w:t>
            </w:r>
            <w:r>
              <w:rPr>
                <w:rFonts w:ascii="宋体" w:hAnsi="宋体" w:cs="宋体" w:eastAsia="宋体" w:hint="default"/>
                <w:sz w:val="18"/>
                <w:szCs w:val="18"/>
              </w:rPr>
              <w:t>，且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净利润</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利润错报</w:t>
            </w:r>
            <w:r>
              <w:rPr>
                <w:rFonts w:ascii="Times New Roman" w:hAnsi="Times New Roman" w:cs="Times New Roman" w:eastAsia="Times New Roman" w:hint="default"/>
                <w:sz w:val="18"/>
                <w:szCs w:val="18"/>
              </w:rPr>
              <w:t>≤</w:t>
            </w:r>
            <w:r>
              <w:rPr>
                <w:rFonts w:ascii="宋体" w:hAnsi="宋体" w:cs="宋体" w:eastAsia="宋体" w:hint="default"/>
                <w:sz w:val="18"/>
                <w:szCs w:val="18"/>
              </w:rPr>
              <w:t>净利 润</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p>
          <w:p>
            <w:pPr>
              <w:pStyle w:val="TableParagraph"/>
              <w:spacing w:line="300" w:lineRule="auto" w:before="11"/>
              <w:ind w:left="23" w:right="15"/>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所有者权益总额的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所有者权益 错报</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pacing w:val="-11"/>
                <w:sz w:val="18"/>
                <w:szCs w:val="18"/>
              </w:rPr>
              <w:t>5%</w:t>
            </w:r>
            <w:r>
              <w:rPr>
                <w:rFonts w:ascii="宋体" w:hAnsi="宋体" w:cs="宋体" w:eastAsia="宋体" w:hint="default"/>
                <w:spacing w:val="-11"/>
                <w:sz w:val="18"/>
                <w:szCs w:val="18"/>
              </w:rPr>
              <w:t>，且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before="13"/>
              <w:ind w:left="23" w:right="1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绝对金额</w:t>
            </w:r>
            <w:r>
              <w:rPr>
                <w:rFonts w:ascii="Times New Roman" w:hAnsi="Times New Roman" w:cs="Times New Roman" w:eastAsia="Times New Roman" w:hint="default"/>
                <w:spacing w:val="-1"/>
                <w:w w:val="100"/>
                <w:sz w:val="18"/>
                <w:szCs w:val="18"/>
              </w:rPr>
              <w:t>≤800</w:t>
            </w:r>
            <w:r>
              <w:rPr>
                <w:rFonts w:ascii="Times New Roman" w:hAnsi="Times New Roman" w:cs="Times New Roman" w:eastAsia="Times New Roman" w:hint="default"/>
                <w:w w:val="100"/>
                <w:sz w:val="18"/>
                <w:szCs w:val="18"/>
              </w:rPr>
              <w:t>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经注册会计</w:t>
            </w:r>
            <w:r>
              <w:rPr>
                <w:rFonts w:ascii="宋体" w:hAnsi="宋体" w:cs="宋体" w:eastAsia="宋体" w:hint="default"/>
                <w:spacing w:val="-82"/>
                <w:sz w:val="18"/>
                <w:szCs w:val="18"/>
              </w:rPr>
              <w:t> </w:t>
            </w:r>
            <w:r>
              <w:rPr>
                <w:rFonts w:ascii="宋体" w:hAnsi="宋体" w:cs="宋体" w:eastAsia="宋体" w:hint="default"/>
                <w:sz w:val="18"/>
                <w:szCs w:val="18"/>
              </w:rPr>
              <w:t>师审计对以前年度财务报告进行更正的， 不直接影响盈亏性质，净利润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会计差 错金额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 额</w:t>
            </w:r>
            <w:r>
              <w:rPr>
                <w:rFonts w:ascii="Times New Roman" w:hAnsi="Times New Roman" w:cs="Times New Roman" w:eastAsia="Times New Roman" w:hint="default"/>
                <w:sz w:val="18"/>
                <w:szCs w:val="18"/>
              </w:rPr>
              <w:t>≤300 </w:t>
            </w:r>
            <w:r>
              <w:rPr>
                <w:rFonts w:ascii="宋体" w:hAnsi="宋体" w:cs="宋体" w:eastAsia="宋体" w:hint="default"/>
                <w:spacing w:val="-9"/>
                <w:sz w:val="18"/>
                <w:szCs w:val="18"/>
              </w:rPr>
              <w:t>万元；</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负债错报＜资产总额</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以下，且绝对金额</w:t>
            </w:r>
            <w:r>
              <w:rPr>
                <w:rFonts w:ascii="宋体" w:hAnsi="宋体" w:cs="宋体" w:eastAsia="宋体" w:hint="default"/>
                <w:sz w:val="18"/>
                <w:szCs w:val="18"/>
              </w:rPr>
              <w:t> 超过 </w:t>
            </w:r>
            <w:r>
              <w:rPr>
                <w:rFonts w:ascii="Times New Roman" w:hAnsi="Times New Roman" w:cs="Times New Roman" w:eastAsia="Times New Roman" w:hint="default"/>
                <w:sz w:val="18"/>
                <w:szCs w:val="18"/>
              </w:rPr>
              <w:t>100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4"/>
                <w:sz w:val="18"/>
                <w:szCs w:val="18"/>
              </w:rPr>
              <w:t> </w:t>
            </w:r>
            <w:r>
              <w:rPr>
                <w:rFonts w:ascii="宋体" w:hAnsi="宋体" w:cs="宋体" w:eastAsia="宋体" w:hint="default"/>
                <w:spacing w:val="-1"/>
                <w:sz w:val="18"/>
                <w:szCs w:val="18"/>
              </w:rPr>
              <w:t>营业收入错报＜营</w:t>
            </w:r>
            <w:r>
              <w:rPr>
                <w:rFonts w:ascii="宋体" w:hAnsi="宋体" w:cs="宋体" w:eastAsia="宋体" w:hint="default"/>
                <w:sz w:val="18"/>
                <w:szCs w:val="18"/>
              </w:rPr>
              <w:t> 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，且绝对金额超过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 </w:t>
            </w:r>
            <w:r>
              <w:rPr>
                <w:rFonts w:ascii="宋体" w:hAnsi="宋体" w:cs="宋体" w:eastAsia="宋体" w:hint="default"/>
                <w:spacing w:val="-19"/>
                <w:sz w:val="18"/>
                <w:szCs w:val="18"/>
              </w:rPr>
              <w:t>元；（</w:t>
            </w: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w:t>
            </w:r>
            <w:r>
              <w:rPr>
                <w:rFonts w:ascii="Times New Roman" w:hAnsi="Times New Roman" w:cs="Times New Roman" w:eastAsia="Times New Roman" w:hint="default"/>
                <w:spacing w:val="-19"/>
                <w:sz w:val="18"/>
                <w:szCs w:val="18"/>
              </w:rPr>
              <w:t>.</w:t>
            </w:r>
            <w:r>
              <w:rPr>
                <w:rFonts w:ascii="Times New Roman" w:hAnsi="Times New Roman" w:cs="Times New Roman" w:eastAsia="Times New Roman" w:hint="default"/>
                <w:sz w:val="18"/>
                <w:szCs w:val="18"/>
              </w:rPr>
              <w:t> </w:t>
            </w:r>
            <w:r>
              <w:rPr>
                <w:rFonts w:ascii="宋体" w:hAnsi="宋体" w:cs="宋体" w:eastAsia="宋体" w:hint="default"/>
                <w:spacing w:val="-1"/>
                <w:sz w:val="18"/>
                <w:szCs w:val="18"/>
              </w:rPr>
              <w:t>利润错报＜净利润</w:t>
            </w:r>
            <w:r>
              <w:rPr>
                <w:rFonts w:ascii="宋体" w:hAnsi="宋体" w:cs="宋体" w:eastAsia="宋体" w:hint="default"/>
                <w:spacing w:val="-39"/>
                <w:sz w:val="18"/>
                <w:szCs w:val="18"/>
              </w:rPr>
              <w:t> </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，且绝对</w:t>
            </w:r>
            <w:r>
              <w:rPr>
                <w:rFonts w:ascii="宋体" w:hAnsi="宋体" w:cs="宋体" w:eastAsia="宋体" w:hint="default"/>
                <w:sz w:val="18"/>
                <w:szCs w:val="18"/>
              </w:rPr>
              <w:t> 金额超过 </w:t>
            </w:r>
            <w:r>
              <w:rPr>
                <w:rFonts w:ascii="Times New Roman" w:hAnsi="Times New Roman" w:cs="Times New Roman" w:eastAsia="Times New Roman" w:hint="default"/>
                <w:sz w:val="18"/>
                <w:szCs w:val="18"/>
              </w:rPr>
              <w:t>100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所有者权益错</w:t>
            </w:r>
            <w:r>
              <w:rPr>
                <w:rFonts w:ascii="宋体" w:hAnsi="宋体" w:cs="宋体" w:eastAsia="宋体" w:hint="default"/>
                <w:sz w:val="18"/>
                <w:szCs w:val="18"/>
              </w:rPr>
              <w:t> 报＜所有者权益总额的</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，且绝对金额超</w:t>
            </w:r>
            <w:r>
              <w:rPr>
                <w:rFonts w:ascii="宋体" w:hAnsi="宋体" w:cs="宋体" w:eastAsia="宋体" w:hint="default"/>
                <w:sz w:val="18"/>
                <w:szCs w:val="18"/>
              </w:rPr>
              <w:t> 过 </w:t>
            </w:r>
            <w:r>
              <w:rPr>
                <w:rFonts w:ascii="Times New Roman" w:hAnsi="Times New Roman" w:cs="Times New Roman" w:eastAsia="Times New Roman" w:hint="default"/>
                <w:sz w:val="18"/>
                <w:szCs w:val="18"/>
              </w:rPr>
              <w:t>100 </w:t>
            </w:r>
            <w:r>
              <w:rPr>
                <w:rFonts w:ascii="宋体" w:hAnsi="宋体" w:cs="宋体" w:eastAsia="宋体" w:hint="default"/>
                <w:spacing w:val="-13"/>
                <w:sz w:val="18"/>
                <w:szCs w:val="18"/>
              </w:rPr>
              <w:t>万元；（</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经注册会计师审计对</w:t>
            </w:r>
            <w:r>
              <w:rPr>
                <w:rFonts w:ascii="宋体" w:hAnsi="宋体" w:cs="宋体" w:eastAsia="宋体" w:hint="default"/>
                <w:sz w:val="18"/>
                <w:szCs w:val="18"/>
              </w:rPr>
              <w:t> 以前年度财务报告进行更正的，不直接影 响盈亏性质，会计差错金额＜净利润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p>
            <w:pPr>
              <w:pStyle w:val="TableParagraph"/>
              <w:spacing w:line="240" w:lineRule="auto" w:before="12"/>
              <w:ind w:left="23" w:right="0"/>
              <w:jc w:val="left"/>
              <w:rPr>
                <w:rFonts w:ascii="宋体" w:hAnsi="宋体" w:cs="宋体" w:eastAsia="宋体" w:hint="default"/>
                <w:sz w:val="18"/>
                <w:szCs w:val="18"/>
              </w:rPr>
            </w:pPr>
            <w:r>
              <w:rPr>
                <w:rFonts w:ascii="宋体" w:hAnsi="宋体" w:cs="宋体" w:eastAsia="宋体" w:hint="default"/>
                <w:sz w:val="18"/>
                <w:szCs w:val="18"/>
              </w:rPr>
              <w:t>且绝对金额超过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27"/>
              <w:ind w:left="16" w:right="25"/>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、重大缺陷：损失＞净利润的 </w:t>
            </w:r>
            <w:r>
              <w:rPr>
                <w:rFonts w:ascii="Times New Roman" w:hAnsi="Times New Roman" w:cs="Times New Roman" w:eastAsia="Times New Roman" w:hint="default"/>
                <w:sz w:val="18"/>
                <w:szCs w:val="18"/>
              </w:rPr>
              <w:t>5%</w:t>
            </w:r>
            <w:r>
              <w:rPr>
                <w:rFonts w:ascii="宋体" w:hAnsi="宋体" w:cs="宋体" w:eastAsia="宋体" w:hint="default"/>
                <w:sz w:val="18"/>
                <w:szCs w:val="18"/>
              </w:rPr>
              <w:t>， 且超过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、重要缺陷：净利 润的</w:t>
            </w:r>
            <w:r>
              <w:rPr>
                <w:rFonts w:ascii="宋体" w:hAnsi="宋体" w:cs="宋体" w:eastAsia="宋体" w:hint="default"/>
                <w:spacing w:val="-67"/>
                <w:sz w:val="18"/>
                <w:szCs w:val="18"/>
              </w:rPr>
              <w:t> </w:t>
            </w:r>
            <w:r>
              <w:rPr>
                <w:rFonts w:ascii="Times New Roman" w:hAnsi="Times New Roman" w:cs="Times New Roman" w:eastAsia="Times New Roman" w:hint="default"/>
                <w:spacing w:val="-1"/>
                <w:w w:val="100"/>
                <w:sz w:val="18"/>
                <w:szCs w:val="18"/>
              </w:rPr>
              <w:t>2%≤</w:t>
            </w:r>
            <w:r>
              <w:rPr>
                <w:rFonts w:ascii="宋体" w:hAnsi="宋体" w:cs="宋体" w:eastAsia="宋体" w:hint="default"/>
                <w:spacing w:val="-1"/>
                <w:w w:val="100"/>
                <w:sz w:val="18"/>
                <w:szCs w:val="18"/>
              </w:rPr>
              <w:t>损失</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净利润的</w:t>
            </w:r>
            <w:r>
              <w:rPr>
                <w:rFonts w:ascii="宋体" w:hAnsi="宋体" w:cs="宋体" w:eastAsia="宋体" w:hint="default"/>
                <w:spacing w:val="-67"/>
                <w:w w:val="100"/>
                <w:sz w:val="18"/>
                <w:szCs w:val="18"/>
              </w:rPr>
              <w:t> </w:t>
            </w:r>
            <w:r>
              <w:rPr>
                <w:rFonts w:ascii="Times New Roman" w:hAnsi="Times New Roman" w:cs="Times New Roman" w:eastAsia="Times New Roman" w:hint="default"/>
                <w:spacing w:val="-23"/>
                <w:sz w:val="18"/>
                <w:szCs w:val="18"/>
              </w:rPr>
              <w:t>5%</w:t>
            </w:r>
            <w:r>
              <w:rPr>
                <w:rFonts w:ascii="宋体" w:hAnsi="宋体" w:cs="宋体" w:eastAsia="宋体" w:hint="default"/>
                <w:spacing w:val="-23"/>
                <w:sz w:val="18"/>
                <w:szCs w:val="18"/>
              </w:rPr>
              <w:t>，且</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150 </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w:t>
            </w:r>
          </w:p>
          <w:p>
            <w:pPr>
              <w:pStyle w:val="TableParagraph"/>
              <w:spacing w:line="203" w:lineRule="exact" w:before="13"/>
              <w:ind w:left="16" w:right="0"/>
              <w:jc w:val="both"/>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绝对金额</w:t>
            </w:r>
            <w:r>
              <w:rPr>
                <w:rFonts w:ascii="Times New Roman" w:hAnsi="Times New Roman" w:cs="Times New Roman" w:eastAsia="Times New Roman" w:hint="default"/>
                <w:sz w:val="18"/>
                <w:szCs w:val="18"/>
              </w:rPr>
              <w:t>≤300 </w:t>
            </w:r>
            <w:r>
              <w:rPr>
                <w:rFonts w:ascii="Times New Roman" w:hAnsi="Times New Roman" w:cs="Times New Roman" w:eastAsia="Times New Roman" w:hint="default"/>
                <w:spacing w:val="5"/>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、一般缺陷</w:t>
            </w:r>
          </w:p>
          <w:p>
            <w:pPr>
              <w:pStyle w:val="TableParagraph"/>
              <w:spacing w:line="149"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16" w:right="0"/>
              <w:jc w:val="both"/>
              <w:rPr>
                <w:rFonts w:ascii="宋体" w:hAnsi="宋体" w:cs="宋体" w:eastAsia="宋体" w:hint="default"/>
                <w:sz w:val="18"/>
                <w:szCs w:val="18"/>
              </w:rPr>
            </w:pPr>
            <w:r>
              <w:rPr>
                <w:rFonts w:ascii="宋体" w:hAnsi="宋体" w:cs="宋体" w:eastAsia="宋体" w:hint="default"/>
                <w:sz w:val="18"/>
                <w:szCs w:val="18"/>
              </w:rPr>
              <w:t>损失＜净利润的</w:t>
            </w:r>
            <w:r>
              <w:rPr>
                <w:rFonts w:ascii="宋体" w:hAnsi="宋体" w:cs="宋体" w:eastAsia="宋体" w:hint="default"/>
                <w:spacing w:val="4"/>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，且绝对金额超过</w:t>
            </w:r>
          </w:p>
          <w:p>
            <w:pPr>
              <w:pStyle w:val="TableParagraph"/>
              <w:spacing w:line="240" w:lineRule="auto" w:before="64"/>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4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0"/>
                <w:szCs w:val="10"/>
              </w:rPr>
            </w:pPr>
          </w:p>
          <w:p>
            <w:pPr>
              <w:pStyle w:val="TableParagraph"/>
              <w:spacing w:line="4836"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6"/>
                <w:sz w:val="20"/>
                <w:szCs w:val="20"/>
              </w:rPr>
              <w:pict>
                <v:group style="width:152.1pt;height:241.85pt;mso-position-horizontal-relative:char;mso-position-vertical-relative:line" coordorigin="0,0" coordsize="3042,4837">
                  <v:group style="position:absolute;left:0;top:0;width:3042;height:4837" coordorigin="0,0" coordsize="3042,4837">
                    <v:shape style="position:absolute;left:0;top:0;width:3042;height:4837" coordorigin="0,0" coordsize="3042,4837" path="m0,4836l3041,4836,3041,0,0,0,0,4836xe" filled="true" fillcolor="#ffffff" stroked="false">
                      <v:path arrowok="t"/>
                      <v:fill type="solid"/>
                    </v:shape>
                  </v:group>
                </v:group>
              </w:pict>
            </w:r>
            <w:r>
              <w:rPr>
                <w:rFonts w:ascii="Times New Roman" w:hAnsi="Times New Roman" w:cs="Times New Roman" w:eastAsia="Times New Roman" w:hint="default"/>
                <w:position w:val="-96"/>
                <w:sz w:val="20"/>
                <w:szCs w:val="20"/>
              </w:rPr>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left="154" w:right="0"/>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117"/>
        <w:jc w:val="center"/>
        <w:rPr>
          <w:b w:val="0"/>
          <w:bCs w:val="0"/>
        </w:rPr>
      </w:pPr>
      <w:bookmarkStart w:name="_TOC_250000" w:id="147"/>
      <w:bookmarkStart w:name="第十节 财务报告" w:id="148"/>
      <w:r>
        <w:rPr>
          <w:b w:val="0"/>
          <w:bCs w:val="0"/>
        </w:rPr>
      </w:r>
      <w:r>
        <w:rPr/>
        <w:t>第十节</w:t>
      </w:r>
      <w:r>
        <w:rPr>
          <w:spacing w:val="-5"/>
        </w:rPr>
        <w:t> </w:t>
      </w:r>
      <w:r>
        <w:rPr/>
        <w:t>财务报告</w:t>
      </w:r>
      <w:bookmarkEnd w:id="14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3"/>
        <w:spacing w:line="240" w:lineRule="auto" w:before="26"/>
        <w:ind w:right="0"/>
        <w:jc w:val="left"/>
        <w:rPr>
          <w:b w:val="0"/>
          <w:bCs w:val="0"/>
        </w:rPr>
      </w:pPr>
      <w:bookmarkStart w:name="一、审计报告" w:id="149"/>
      <w:bookmarkEnd w:id="149"/>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[2016]</w:t>
            </w:r>
            <w:r>
              <w:rPr>
                <w:rFonts w:ascii="宋体" w:hAnsi="宋体" w:cs="宋体" w:eastAsia="宋体" w:hint="default"/>
                <w:sz w:val="18"/>
                <w:szCs w:val="18"/>
              </w:rPr>
              <w:t>第</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111441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杨志平、钱骁玲</w:t>
            </w:r>
          </w:p>
        </w:tc>
      </w:tr>
    </w:tbl>
    <w:p>
      <w:pPr>
        <w:pStyle w:val="BodyText"/>
        <w:spacing w:line="240" w:lineRule="auto" w:before="51"/>
        <w:ind w:left="141" w:right="1117"/>
        <w:jc w:val="center"/>
      </w:pPr>
      <w:r>
        <w:rPr/>
        <w:t>审计报告正文</w:t>
      </w:r>
    </w:p>
    <w:p>
      <w:pPr>
        <w:spacing w:line="240" w:lineRule="auto" w:before="6"/>
        <w:rPr>
          <w:rFonts w:ascii="宋体" w:hAnsi="宋体" w:cs="宋体" w:eastAsia="宋体" w:hint="default"/>
          <w:sz w:val="14"/>
          <w:szCs w:val="14"/>
        </w:rPr>
      </w:pPr>
    </w:p>
    <w:p>
      <w:pPr>
        <w:spacing w:line="408" w:lineRule="auto" w:before="0"/>
        <w:ind w:left="714" w:right="1136" w:hanging="561"/>
        <w:jc w:val="left"/>
        <w:rPr>
          <w:rFonts w:ascii="宋体" w:hAnsi="宋体" w:cs="宋体" w:eastAsia="宋体" w:hint="default"/>
          <w:sz w:val="28"/>
          <w:szCs w:val="28"/>
        </w:rPr>
      </w:pPr>
      <w:r>
        <w:rPr>
          <w:rFonts w:ascii="宋体" w:hAnsi="宋体" w:cs="宋体" w:eastAsia="宋体" w:hint="default"/>
          <w:b/>
          <w:bCs/>
          <w:sz w:val="28"/>
          <w:szCs w:val="28"/>
        </w:rPr>
        <w:t>四川久远银海软件股份有限公司全体股东：</w:t>
      </w:r>
      <w:r>
        <w:rPr>
          <w:rFonts w:ascii="宋体" w:hAnsi="宋体" w:cs="宋体" w:eastAsia="宋体" w:hint="default"/>
          <w:b/>
          <w:bCs/>
          <w:w w:val="99"/>
          <w:sz w:val="28"/>
          <w:szCs w:val="28"/>
        </w:rPr>
        <w:t> </w:t>
      </w:r>
      <w:r>
        <w:rPr>
          <w:rFonts w:ascii="宋体" w:hAnsi="宋体" w:cs="宋体" w:eastAsia="宋体" w:hint="default"/>
          <w:spacing w:val="3"/>
          <w:sz w:val="28"/>
          <w:szCs w:val="28"/>
        </w:rPr>
        <w:t>我们审计了后附的四川久远银海软件股份有限公司（以下简称贵公司）财</w:t>
      </w:r>
    </w:p>
    <w:p>
      <w:pPr>
        <w:pStyle w:val="Heading2"/>
        <w:spacing w:line="398" w:lineRule="auto"/>
        <w:ind w:right="1133"/>
        <w:jc w:val="both"/>
      </w:pPr>
      <w:r>
        <w:rPr>
          <w:spacing w:val="2"/>
        </w:rPr>
        <w:t>务报表，包括</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日的合并及公司资产负债表，</w:t>
      </w:r>
      <w:r>
        <w:rPr>
          <w:rFonts w:ascii="Times New Roman" w:hAnsi="Times New Roman" w:cs="Times New Roman" w:eastAsia="Times New Roman" w:hint="default"/>
          <w:spacing w:val="2"/>
        </w:rPr>
        <w:t>2015</w:t>
      </w:r>
      <w:r>
        <w:rPr>
          <w:spacing w:val="2"/>
        </w:rPr>
        <w:t>年度的合并及公</w:t>
      </w:r>
      <w:r>
        <w:rPr>
          <w:spacing w:val="-122"/>
        </w:rPr>
        <w:t> </w:t>
      </w:r>
      <w:r>
        <w:rPr>
          <w:spacing w:val="-122"/>
        </w:rPr>
      </w:r>
      <w:r>
        <w:rPr>
          <w:spacing w:val="3"/>
        </w:rPr>
        <w:t>司利润表、合并及公司现金流量表、合并及公司所有者权益变动表以及财务报</w:t>
      </w:r>
      <w:r>
        <w:rPr>
          <w:w w:val="99"/>
        </w:rPr>
        <w:t> </w:t>
      </w:r>
      <w:r>
        <w:rPr/>
        <w:t>表附注。</w:t>
      </w:r>
    </w:p>
    <w:p>
      <w:pPr>
        <w:spacing w:line="408" w:lineRule="auto" w:before="72"/>
        <w:ind w:left="714" w:right="1125" w:firstLine="4"/>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w w:val="99"/>
          <w:sz w:val="28"/>
          <w:szCs w:val="28"/>
        </w:rPr>
        <w:t> </w:t>
      </w:r>
      <w:r>
        <w:rPr>
          <w:rFonts w:ascii="宋体" w:hAnsi="宋体" w:cs="宋体" w:eastAsia="宋体" w:hint="default"/>
          <w:spacing w:val="-1"/>
          <w:sz w:val="28"/>
          <w:szCs w:val="28"/>
        </w:rPr>
        <w:t>编制和公允列报财务报表是贵公司管理层的责任。这种责任包括：（</w:t>
      </w:r>
      <w:r>
        <w:rPr>
          <w:rFonts w:ascii="Times New Roman" w:hAnsi="Times New Roman" w:cs="Times New Roman" w:eastAsia="Times New Roman" w:hint="default"/>
          <w:spacing w:val="-1"/>
          <w:sz w:val="28"/>
          <w:szCs w:val="28"/>
        </w:rPr>
        <w:t>1</w:t>
      </w:r>
      <w:r>
        <w:rPr>
          <w:rFonts w:ascii="宋体" w:hAnsi="宋体" w:cs="宋体" w:eastAsia="宋体" w:hint="default"/>
          <w:spacing w:val="-1"/>
          <w:sz w:val="28"/>
          <w:szCs w:val="28"/>
        </w:rPr>
        <w:t>）按</w:t>
      </w:r>
      <w:r>
        <w:rPr>
          <w:rFonts w:ascii="宋体" w:hAnsi="宋体" w:cs="宋体" w:eastAsia="宋体" w:hint="default"/>
          <w:sz w:val="28"/>
          <w:szCs w:val="28"/>
        </w:rPr>
      </w:r>
    </w:p>
    <w:p>
      <w:pPr>
        <w:pStyle w:val="Heading2"/>
        <w:spacing w:line="386" w:lineRule="auto" w:before="19"/>
        <w:ind w:right="997" w:hanging="137"/>
        <w:jc w:val="center"/>
      </w:pPr>
      <w:r>
        <w:rPr/>
        <w:t>照企业会计准则的规定编制财务报表，并使其实现公允反映；（</w:t>
      </w:r>
      <w:r>
        <w:rPr>
          <w:rFonts w:ascii="Times New Roman" w:hAnsi="Times New Roman" w:cs="Times New Roman" w:eastAsia="Times New Roman" w:hint="default"/>
        </w:rPr>
        <w:t>2</w:t>
      </w:r>
      <w:r>
        <w:rPr/>
        <w:t>）设计、执行</w:t>
      </w:r>
      <w:r>
        <w:rPr>
          <w:w w:val="99"/>
        </w:rPr>
        <w:t> </w:t>
      </w:r>
      <w:r>
        <w:rPr>
          <w:spacing w:val="-1"/>
        </w:rPr>
        <w:t>和维护必要的内部控制，以使财务报表不存在由于舞弊或错误导致的重大错报。</w:t>
      </w:r>
    </w:p>
    <w:p>
      <w:pPr>
        <w:spacing w:line="408" w:lineRule="auto" w:before="86"/>
        <w:ind w:left="714" w:right="1136" w:firstLine="4"/>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w w:val="99"/>
          <w:sz w:val="28"/>
          <w:szCs w:val="28"/>
        </w:rPr>
        <w:t> </w:t>
      </w:r>
      <w:r>
        <w:rPr>
          <w:rFonts w:ascii="宋体" w:hAnsi="宋体" w:cs="宋体" w:eastAsia="宋体" w:hint="default"/>
          <w:spacing w:val="3"/>
          <w:sz w:val="28"/>
          <w:szCs w:val="28"/>
        </w:rPr>
        <w:t>我们的责任是在执行审计工作的基础上对财务报表发表审计意见。我们按</w:t>
      </w:r>
    </w:p>
    <w:p>
      <w:pPr>
        <w:pStyle w:val="Heading2"/>
        <w:spacing w:line="408" w:lineRule="auto"/>
        <w:ind w:right="1143"/>
        <w:jc w:val="both"/>
      </w:pPr>
      <w:r>
        <w:rPr>
          <w:spacing w:val="3"/>
        </w:rPr>
        <w:t>照中国注册会计师审计准则的规定执行了审计工作。中国注册会计师审计准则</w:t>
      </w:r>
      <w:r>
        <w:rPr>
          <w:w w:val="99"/>
        </w:rPr>
        <w:t> </w:t>
      </w:r>
      <w:r>
        <w:rPr>
          <w:spacing w:val="3"/>
        </w:rPr>
        <w:t>要求我们遵守中国注册会计师职业道德守则，计划和执行审计工作以对财务报</w:t>
      </w:r>
      <w:r>
        <w:rPr>
          <w:w w:val="99"/>
        </w:rPr>
        <w:t> </w:t>
      </w:r>
      <w:r>
        <w:rPr/>
        <w:t>表是否不存在重大错报获取合理保证。</w:t>
      </w:r>
    </w:p>
    <w:p>
      <w:pPr>
        <w:pStyle w:val="Heading2"/>
        <w:spacing w:line="240" w:lineRule="auto"/>
        <w:ind w:left="714" w:right="0"/>
        <w:jc w:val="left"/>
      </w:pPr>
      <w:r>
        <w:rPr/>
        <w:t>审计工作涉及实施审计程序，以获取有关财务报表金额和披露的审计证据。</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2"/>
        <w:spacing w:line="408" w:lineRule="auto" w:before="13"/>
        <w:ind w:right="1137"/>
        <w:jc w:val="both"/>
      </w:pPr>
      <w:r>
        <w:rPr>
          <w:spacing w:val="3"/>
        </w:rPr>
        <w:t>选择的审计程序取决于注册会计师的判断，包括对由于舞弊或错误导致的财务</w:t>
      </w:r>
      <w:r>
        <w:rPr>
          <w:w w:val="99"/>
        </w:rPr>
        <w:t> </w:t>
      </w:r>
      <w:r>
        <w:rPr>
          <w:spacing w:val="3"/>
        </w:rPr>
        <w:t>报表重大错报风险的评估。在进行风险评估时，注册会计师考虑与财务报表编</w:t>
      </w:r>
      <w:r>
        <w:rPr>
          <w:w w:val="99"/>
        </w:rPr>
        <w:t> </w:t>
      </w:r>
      <w:r>
        <w:rPr>
          <w:spacing w:val="3"/>
        </w:rPr>
        <w:t>制和公允列报相关的内部控制，以设计恰当的审计程序，但目的并非对内部控</w:t>
      </w:r>
      <w:r>
        <w:rPr>
          <w:w w:val="99"/>
        </w:rPr>
        <w:t> </w:t>
      </w:r>
      <w:r>
        <w:rPr>
          <w:spacing w:val="3"/>
        </w:rPr>
        <w:t>制的有效性发表意见。审计工作还包括评价管理层选用会计政策的恰当性和作</w:t>
      </w:r>
      <w:r>
        <w:rPr>
          <w:w w:val="99"/>
        </w:rPr>
        <w:t> </w:t>
      </w:r>
      <w:r>
        <w:rPr/>
        <w:t>出会计估计的合理性，以及评价财务报表的总体列报。</w:t>
      </w:r>
    </w:p>
    <w:p>
      <w:pPr>
        <w:pStyle w:val="Heading2"/>
        <w:spacing w:line="408" w:lineRule="auto"/>
        <w:ind w:right="1137" w:firstLine="560"/>
        <w:jc w:val="left"/>
      </w:pPr>
      <w:r>
        <w:rPr>
          <w:spacing w:val="3"/>
        </w:rPr>
        <w:t>我们相信，我们获取的审计证据是充分、适当的，为发表审计意见提供了</w:t>
      </w:r>
      <w:r>
        <w:rPr>
          <w:w w:val="99"/>
        </w:rPr>
        <w:t> </w:t>
      </w:r>
      <w:r>
        <w:rPr/>
        <w:t>基础。</w:t>
      </w:r>
    </w:p>
    <w:p>
      <w:pPr>
        <w:pStyle w:val="Heading2"/>
        <w:spacing w:line="408" w:lineRule="auto"/>
        <w:ind w:left="714" w:right="985" w:firstLine="1"/>
        <w:jc w:val="left"/>
      </w:pPr>
      <w:r>
        <w:rPr>
          <w:rFonts w:ascii="宋体" w:hAnsi="宋体" w:cs="宋体" w:eastAsia="宋体" w:hint="default"/>
          <w:b/>
          <w:bCs/>
        </w:rPr>
        <w:t>三、审计意见</w:t>
      </w:r>
      <w:r>
        <w:rPr>
          <w:rFonts w:ascii="宋体" w:hAnsi="宋体" w:cs="宋体" w:eastAsia="宋体" w:hint="default"/>
          <w:b/>
          <w:bCs/>
          <w:w w:val="99"/>
        </w:rPr>
        <w:t> </w:t>
      </w:r>
      <w:r>
        <w:rPr>
          <w:spacing w:val="-1"/>
        </w:rPr>
        <w:t>我们认为，贵公司财务报表在所有重大方面按照企业会计准则的规定编制，</w:t>
      </w:r>
    </w:p>
    <w:p>
      <w:pPr>
        <w:pStyle w:val="Heading2"/>
        <w:spacing w:line="386" w:lineRule="auto"/>
        <w:ind w:right="1133"/>
        <w:jc w:val="both"/>
      </w:pPr>
      <w:r>
        <w:rPr>
          <w:spacing w:val="2"/>
        </w:rPr>
        <w:t>公允反映了贵公司</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2015</w:t>
      </w:r>
      <w:r>
        <w:rPr>
          <w:spacing w:val="2"/>
        </w:rPr>
        <w:t>年度的合并</w:t>
      </w:r>
      <w:r>
        <w:rPr>
          <w:spacing w:val="-120"/>
        </w:rPr>
        <w:t> </w:t>
      </w:r>
      <w:r>
        <w:rPr>
          <w:spacing w:val="-120"/>
        </w:rPr>
      </w:r>
      <w:r>
        <w:rPr/>
        <w:t>及公司经营成果和现金流量。</w:t>
      </w:r>
    </w:p>
    <w:p>
      <w:pPr>
        <w:spacing w:line="240" w:lineRule="auto" w:before="0"/>
        <w:rPr>
          <w:rFonts w:ascii="宋体" w:hAnsi="宋体" w:cs="宋体" w:eastAsia="宋体" w:hint="default"/>
          <w:sz w:val="28"/>
          <w:szCs w:val="28"/>
        </w:rPr>
      </w:pPr>
    </w:p>
    <w:p>
      <w:pPr>
        <w:pStyle w:val="Heading3"/>
        <w:spacing w:line="240" w:lineRule="auto" w:before="211"/>
        <w:ind w:right="0"/>
        <w:jc w:val="both"/>
        <w:rPr>
          <w:b w:val="0"/>
          <w:bCs w:val="0"/>
        </w:rPr>
      </w:pPr>
      <w:bookmarkStart w:name="二、财务报表" w:id="150"/>
      <w:bookmarkEnd w:id="150"/>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t>财务附注中报表的单位为：人民币元</w:t>
      </w:r>
    </w:p>
    <w:p>
      <w:pPr>
        <w:spacing w:line="240" w:lineRule="auto" w:before="10"/>
        <w:rPr>
          <w:rFonts w:ascii="宋体" w:hAnsi="宋体" w:cs="宋体" w:eastAsia="宋体" w:hint="default"/>
          <w:sz w:val="26"/>
          <w:szCs w:val="26"/>
        </w:rPr>
      </w:pPr>
    </w:p>
    <w:p>
      <w:pPr>
        <w:pStyle w:val="Heading5"/>
        <w:spacing w:line="240" w:lineRule="auto"/>
        <w:ind w:right="0"/>
        <w:jc w:val="both"/>
        <w:rPr>
          <w:b w:val="0"/>
          <w:bCs w:val="0"/>
        </w:rPr>
      </w:pPr>
      <w:bookmarkStart w:name="1、合并资产负债表" w:id="151"/>
      <w:bookmarkEnd w:id="151"/>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right="-19"/>
        <w:jc w:val="left"/>
      </w:pPr>
      <w:r>
        <w:rPr/>
        <w:t>编制单位：四川久远银海软件股份有限公司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468,364,511.78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262,339,407.56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65,515,025.95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51,204,193.15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9,381,095.96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8,429,467.37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201,109.59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220,515.07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34,385,151.99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31,215,439.73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252,950,882.47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226,752,852.80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2,394,295.06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833,192,072.80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580,161,875.68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5,773,658.11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7,846,160.93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12,945,623.28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16,459,342.13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45,137,157.83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41,421,348.25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110,937.95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32,579,352.12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34,043,706.51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9,719,449.99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5,510,102.25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670,339.65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632,858.39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2,739,018.93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1,901,412.41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111,064,599.91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109,425,868.82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944,256,672.71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689,587,744.50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37,998,734.89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32,810,836.05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357,326,983.10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305,280,691.51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24,292,756.03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20,032,326.06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15,402,174.59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12,163,274.38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17,901.41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12,622,356.36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4,094,846.53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447,643,004.97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389,399,875.94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21,340,000.00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21,340,000.00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468,983,004.97</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406,539,875.94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FFFFFF"/>
            </w:tcBorders>
            <w:shd w:val="clear" w:color="auto" w:fill="D2D2D2"/>
          </w:tcPr>
          <w:p>
            <w:pPr/>
          </w:p>
        </w:tc>
        <w:tc>
          <w:tcPr>
            <w:tcW w:w="3300" w:type="dxa"/>
            <w:tcBorders>
              <w:top w:val="single" w:sz="4" w:space="0" w:color="000000"/>
              <w:left w:val="single" w:sz="4" w:space="0" w:color="FFFFFF"/>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202,052,472.57</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33,002,444.87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30,241,561.68</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25,325,704.49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FFFFFF"/>
            </w:tcBorders>
          </w:tcPr>
          <w:p>
            <w:pPr/>
          </w:p>
        </w:tc>
        <w:tc>
          <w:tcPr>
            <w:tcW w:w="3300" w:type="dxa"/>
            <w:tcBorders>
              <w:top w:val="single" w:sz="4" w:space="0" w:color="000000"/>
              <w:left w:val="single" w:sz="4" w:space="0" w:color="FFFFFF"/>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107,665,112.76</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115,358,257.46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419,959,147.01</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233,686,406.82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55,314,520.73</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49,361,461.74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475,273,667.74</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283,047,868.56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944,256,672.71</w:t>
            </w:r>
          </w:p>
        </w:tc>
        <w:tc>
          <w:tcPr>
            <w:tcW w:w="330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689,587,744.50</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ind w:left="0" w:right="1229"/>
        <w:jc w:val="right"/>
      </w:pPr>
      <w:r>
        <w:rPr/>
        <w:t>法定代表人：李慧霞</w:t>
        <w:tab/>
        <w:t>主管会计工作负责人：张光红</w:t>
        <w:tab/>
        <w:t>会计机构负责人：张雪梅</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母公司资产负债表" w:id="152"/>
      <w:bookmarkEnd w:id="152"/>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2" w:right="0"/>
              <w:jc w:val="left"/>
              <w:rPr>
                <w:rFonts w:ascii="Times New Roman" w:hAnsi="Times New Roman" w:cs="Times New Roman" w:eastAsia="Times New Roman" w:hint="default"/>
                <w:sz w:val="18"/>
                <w:szCs w:val="18"/>
              </w:rPr>
            </w:pPr>
            <w:r>
              <w:rPr>
                <w:rFonts w:ascii="Times New Roman"/>
                <w:sz w:val="18"/>
              </w:rPr>
              <w:t>334,320,852.75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164,987,216.13</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55,413,368.91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39,065,287.89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7,250,308.69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6,894,691.42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220,515.07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34,946,470.80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31,244,096.81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229,152,162.93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201,017,933.26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2,376,041.19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663,459,205.27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443,429,740.58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156,032,520.20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126,032,520.20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12,945,623.28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16,459,342.13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42,569,343.44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38,563,875.26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110,937.95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13,647,114.27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10,071,401.43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9,070,211.54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4,289,038.44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372,455.98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172,492.72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2,619,893.83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1,286,040.30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238,757,162.54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198,485,648.43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902,216,367.81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641,915,389.01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59,972,654.26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29,578,671.39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313,466,520.84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269,074,482.56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16,601,730.72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13,095,126.50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11,630,296.77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10,118,797.08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17,901.41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56,632,424.46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42,826,268.95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458,303,627.05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379,711,247.89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477,643,627.05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395,551,247.89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209,794,647.90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40,744,620.20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29,777,809.28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24,861,952.09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105,000,283.58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120,757,568.83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424,572,740.76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246,364,141.12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902,216,367.81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641,915,389.01</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3、合并利润表" w:id="153"/>
      <w:bookmarkEnd w:id="153"/>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449,817,897.70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365,710,363.14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449,817,897.70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365,710,363.14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375,784,401.49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303,861,712.68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255,822,902.33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197,412,364.25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3,011,351.51</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2,483,660.70</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41,185,588.42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36,099,216.67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72,642,209.59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61,336,015.67</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-1,717,641.02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-482,502.80</w:t>
            </w:r>
            <w:r>
              <w:rPr>
                <w:rFonts w:ascii="Times New Roman"/>
                <w:sz w:val="18"/>
              </w:rPr>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4,839,990.66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7,012,958.19</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-2,072,502.82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1,148,314.15</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-2,072,502.82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1,148,314.15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72.47998pt;width:157.7pt;height:19.650pt;mso-position-horizontal-relative:page;mso-position-vertical-relative:page;z-index:-860248" coordorigin="4242,1450" coordsize="3154,393">
            <v:shape style="position:absolute;left:4242;top:1450;width:3154;height:393" coordorigin="4242,1450" coordsize="3154,393" path="m4242,1842l7396,1842,7396,1450,4242,1450,4242,1842xe" filled="true" fillcolor="#ffffff" stroked="false">
              <v:path arrowok="t"/>
              <v:fill type="solid"/>
            </v:shape>
            <w10:wrap type="none"/>
          </v:group>
        </w:pict>
      </w:r>
      <w:r>
        <w:rPr/>
        <w:pict>
          <v:group style="position:absolute;margin-left:212.119995pt;margin-top:193.099976pt;width:157.7pt;height:19.650pt;mso-position-horizontal-relative:page;mso-position-vertical-relative:page;z-index:-860224" coordorigin="4242,3862" coordsize="3154,393">
            <v:shape style="position:absolute;left:4242;top:3862;width:3154;height:393" coordorigin="4242,3862" coordsize="3154,393" path="m4242,4254l7396,4254,7396,3862,4242,3862,4242,425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105"/>
        <w:gridCol w:w="2106"/>
        <w:gridCol w:w="3278"/>
      </w:tblGrid>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71,960,993.39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62,996,964.61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3,636,584.25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4,913,265.75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32,899.35</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29,535.40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9,535.40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75,568,042.24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67,910,230.36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12,392,270.76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8,832,058.45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63,175,771.48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59,078,171.91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57,222,712.49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55,768,580.55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5,953,058.99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3,309,591.36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63,175,771.48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59,078,171.91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57,222,712.49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55,768,580.55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5,953,058.99</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3,309,591.36</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0.93</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0.93</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法定代表人：李慧霞</w:t>
        <w:tab/>
        <w:t>主管会计工作负责人：张光红</w:t>
        <w:tab/>
        <w:t>会计机构负责人：张雪梅</w:t>
      </w:r>
    </w:p>
    <w:p>
      <w:pPr>
        <w:pStyle w:val="Heading5"/>
        <w:spacing w:line="240" w:lineRule="auto" w:before="63"/>
        <w:ind w:right="0"/>
        <w:jc w:val="left"/>
        <w:rPr>
          <w:b w:val="0"/>
          <w:bCs w:val="0"/>
        </w:rPr>
      </w:pPr>
      <w:bookmarkStart w:name="4、母公司利润表" w:id="154"/>
      <w:bookmarkEnd w:id="154"/>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364,799,880.50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286,190,247.25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220,986,305.21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153,349,531.03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2,236,044.58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1,838,038.25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29,794,388.92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25,972,786.21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52,712,088.37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44,315,779.79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-799,905.77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-246,181.54</w:t>
            </w:r>
            <w:r>
              <w:rPr>
                <w:rFonts w:ascii="Times New Roman"/>
                <w:sz w:val="18"/>
              </w:rPr>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4,581,545.65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4,432,646.45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55,289,413.54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56,527,647.06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3,167,212.79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3,959,688.36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22,815.42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58,436,626.33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60,487,335.42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9,278,054.39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6,157,224.43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49,158,571.94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54,330,110.99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49,158,571.94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54,330,110.99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0.91</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5、合并现金流量表" w:id="155"/>
      <w:bookmarkEnd w:id="155"/>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528,576,401.98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460,694,961.03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12,293,272.52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6,783,111.19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540,869,674.50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467,478,072.22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197,249,213.94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170,982,814.09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143,618,605.50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125,008,636.45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33,926,134.62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21,969,178.32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71,165,560.55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60,557,299.93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445,959,514.61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378,517,928.79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94,910,159.89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88,960,143.43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73,786.41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1,840.43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73,786.41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12,168,835.69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11,020,211.47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12,168,835.69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12,520,211.47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-12,095,049.28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-12,518,371.04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60,780,621.61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40,878,217.77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75,780,621.61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55,878,217.77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123,919,378.39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-40,878,217.77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206,734,489.00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35,563,554.62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260,746,546.38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225,182,991.76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467,481,035.38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260,746,546.38</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6、母公司现金流量表" w:id="156"/>
      <w:bookmarkEnd w:id="156"/>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421,001,910.46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368,611,798.17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10,367,743.70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5,467,810.55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431,369,654.16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374,079,608.72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173,446,783.78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163,472,643.92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95,171,430.40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83,397,233.27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25,946,335.98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14,887,266.62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51,102,354.68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46,857,644.22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345,666,904.84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308,614,788.03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85,702,749.32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65,464,820.69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27,184.47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1,840.43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27,184.47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1,840.43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9,606,290.78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8,113,629.94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39,606,290.78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12,613,629.94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-39,579,106.31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-12,611,789.51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60,780,621.61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40,878,217.77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75,780,621.61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55,878,217.77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123,919,378.39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-40,878,217.77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36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170,043,021.40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11,974,813.41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163,394,354.95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151,419,541.54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333,437,376.35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163,394,354.95</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7、合并所有者权益变动表" w:id="157"/>
      <w:bookmarkEnd w:id="157"/>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33,002,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444.87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25,325,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704.49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115,358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,257.46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49,361,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461.74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283,047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,868.56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33,002,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444.87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25,325,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704.49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115,358</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,257.46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49,361,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461.74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283,047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,868.56</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169,050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,027.70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4,915,8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57.19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-7,693,1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44.70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5,953,0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58.99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192,225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,799.18</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57,222,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712.49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5,953,0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58.99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63,175,</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771.48</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169,050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,027.70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189,050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,027.70</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169,050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,027.70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189,050</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,027.70</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4,915,8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57.19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-64,915,</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857.19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4,915,8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57.19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-4,915,8</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57.19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202,052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,472.57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30,241,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561.68</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107,665</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,112.76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55,314,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520.73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475,273</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,667.74</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33,002,</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444.87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19,892,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693.39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105,022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,688.01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46,051,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870.38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263,969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,696.65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33,002,</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444.87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19,892,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693.39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105,022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,688.01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46,051,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870.38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263,969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,696.65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5,433,0</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11.10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10,335,</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569.45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3,309,5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91.36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19,078,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171.91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55,768,</w:t>
            </w:r>
          </w:p>
          <w:p>
            <w:pPr>
              <w:pStyle w:val="TableParagraph"/>
              <w:spacing w:line="240" w:lineRule="auto" w:before="106"/>
              <w:ind w:left="149" w:right="0"/>
              <w:jc w:val="left"/>
              <w:rPr>
                <w:rFonts w:ascii="Times New Roman" w:hAnsi="Times New Roman" w:cs="Times New Roman" w:eastAsia="Times New Roman" w:hint="default"/>
                <w:sz w:val="18"/>
                <w:szCs w:val="18"/>
              </w:rPr>
            </w:pPr>
            <w:r>
              <w:rPr>
                <w:rFonts w:ascii="Times New Roman"/>
                <w:sz w:val="18"/>
              </w:rPr>
              <w:t>580.55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3,309,5</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91.36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59,078,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171.91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5,433,0</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11.10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-45,433,</w:t>
            </w:r>
          </w:p>
          <w:p>
            <w:pPr>
              <w:pStyle w:val="TableParagraph"/>
              <w:spacing w:line="240" w:lineRule="auto" w:before="106"/>
              <w:ind w:left="131" w:right="0"/>
              <w:jc w:val="center"/>
              <w:rPr>
                <w:rFonts w:ascii="Times New Roman" w:hAnsi="Times New Roman" w:cs="Times New Roman" w:eastAsia="Times New Roman" w:hint="default"/>
                <w:sz w:val="18"/>
                <w:szCs w:val="18"/>
              </w:rPr>
            </w:pPr>
            <w:r>
              <w:rPr>
                <w:rFonts w:ascii="Times New Roman"/>
                <w:sz w:val="18"/>
              </w:rPr>
              <w:t>011.10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5,433,0</w:t>
            </w:r>
          </w:p>
          <w:p>
            <w:pPr>
              <w:pStyle w:val="TableParagraph"/>
              <w:spacing w:line="240" w:lineRule="auto" w:before="106"/>
              <w:ind w:left="208" w:right="0"/>
              <w:jc w:val="center"/>
              <w:rPr>
                <w:rFonts w:ascii="Times New Roman" w:hAnsi="Times New Roman" w:cs="Times New Roman" w:eastAsia="Times New Roman" w:hint="default"/>
                <w:sz w:val="18"/>
                <w:szCs w:val="18"/>
              </w:rPr>
            </w:pPr>
            <w:r>
              <w:rPr>
                <w:rFonts w:ascii="Times New Roman"/>
                <w:sz w:val="18"/>
              </w:rPr>
              <w:t>11.10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-5,433,0</w:t>
            </w:r>
          </w:p>
          <w:p>
            <w:pPr>
              <w:pStyle w:val="TableParagraph"/>
              <w:spacing w:line="240" w:lineRule="auto" w:before="106"/>
              <w:ind w:left="245" w:right="0"/>
              <w:jc w:val="left"/>
              <w:rPr>
                <w:rFonts w:ascii="Times New Roman" w:hAnsi="Times New Roman" w:cs="Times New Roman" w:eastAsia="Times New Roman" w:hint="default"/>
                <w:sz w:val="18"/>
                <w:szCs w:val="18"/>
              </w:rPr>
            </w:pPr>
            <w:r>
              <w:rPr>
                <w:rFonts w:ascii="Times New Roman"/>
                <w:sz w:val="18"/>
              </w:rPr>
              <w:t>11.10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33,002,</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444.87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25,325,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704.49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115,358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,257.46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49,361,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461.74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283,047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,868.56</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5"/>
        <w:ind w:left="154" w:right="0"/>
        <w:jc w:val="left"/>
        <w:rPr>
          <w:b w:val="0"/>
          <w:bCs w:val="0"/>
        </w:rPr>
      </w:pPr>
      <w:bookmarkStart w:name="8、母公司所有者权益变动表" w:id="158"/>
      <w:bookmarkEnd w:id="158"/>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40,744,62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0.20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24,861,95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2.09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9"/>
              <w:ind w:left="58" w:right="0"/>
              <w:jc w:val="left"/>
              <w:rPr>
                <w:rFonts w:ascii="Times New Roman" w:hAnsi="Times New Roman" w:cs="Times New Roman" w:eastAsia="Times New Roman" w:hint="default"/>
                <w:sz w:val="18"/>
                <w:szCs w:val="18"/>
              </w:rPr>
            </w:pPr>
            <w:r>
              <w:rPr>
                <w:rFonts w:ascii="Times New Roman"/>
                <w:sz w:val="18"/>
              </w:rPr>
              <w:t>120,757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,568.83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9"/>
              <w:ind w:left="27" w:right="0"/>
              <w:jc w:val="left"/>
              <w:rPr>
                <w:rFonts w:ascii="Times New Roman" w:hAnsi="Times New Roman" w:cs="Times New Roman" w:eastAsia="Times New Roman" w:hint="default"/>
                <w:sz w:val="18"/>
                <w:szCs w:val="18"/>
              </w:rPr>
            </w:pPr>
            <w:r>
              <w:rPr>
                <w:rFonts w:ascii="Times New Roman"/>
                <w:sz w:val="18"/>
              </w:rPr>
              <w:t>246,364,1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41.12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40,744,62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0.20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24,861,95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2.09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120,757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,568.83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246,364,1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41.12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169,050,0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27.70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4,915,857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-15,757,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285.25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178,208,5</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99.64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49,158,</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571.94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49,158,57</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1.94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169,050,0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27.70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189,050,0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27.70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169,050,0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27.70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189,050,0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27.70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4,915,857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-64,915,</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857.19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4,915,857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-4,915,8</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57.19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209,794,6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47.90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29,777,80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9.28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105,000</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,283.58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424,572,7</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40.76</w:t>
            </w:r>
          </w:p>
        </w:tc>
      </w:tr>
    </w:tbl>
    <w:p>
      <w:pPr>
        <w:pStyle w:val="BodyText"/>
        <w:spacing w:line="240" w:lineRule="auto" w:before="51"/>
        <w:ind w:left="154" w:right="0"/>
        <w:jc w:val="left"/>
      </w:pPr>
      <w:r>
        <w:rPr/>
        <w:t>上期金额</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32"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5"/>
              <w:ind w:left="258" w:right="0"/>
              <w:jc w:val="left"/>
              <w:rPr>
                <w:rFonts w:ascii="Times New Roman" w:hAnsi="Times New Roman" w:cs="Times New Roman" w:eastAsia="Times New Roman" w:hint="default"/>
                <w:sz w:val="18"/>
                <w:szCs w:val="18"/>
              </w:rPr>
            </w:pPr>
            <w:r>
              <w:rPr>
                <w:rFonts w:ascii="Times New Roman"/>
                <w:sz w:val="18"/>
              </w:rPr>
              <w:t>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40,744,62</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0.20</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19,428,94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0.99</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5"/>
              <w:ind w:left="2" w:right="0"/>
              <w:jc w:val="center"/>
              <w:rPr>
                <w:rFonts w:ascii="Times New Roman" w:hAnsi="Times New Roman" w:cs="Times New Roman" w:eastAsia="Times New Roman" w:hint="default"/>
                <w:sz w:val="18"/>
                <w:szCs w:val="18"/>
              </w:rPr>
            </w:pPr>
            <w:r>
              <w:rPr>
                <w:rFonts w:ascii="Times New Roman"/>
                <w:sz w:val="18"/>
              </w:rPr>
              <w:t>111,860,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468.94</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18"/>
                <w:szCs w:val="18"/>
              </w:rPr>
            </w:pPr>
            <w:r>
              <w:rPr>
                <w:rFonts w:ascii="Times New Roman"/>
                <w:sz w:val="18"/>
              </w:rPr>
              <w:t>232,034,0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30.13</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40,744,62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19,428,94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111,860,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468.94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232,034,0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30.13</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5,433,011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8,897,0</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99.89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14,330,11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0.99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54,330,</w:t>
            </w:r>
          </w:p>
          <w:p>
            <w:pPr>
              <w:pStyle w:val="TableParagraph"/>
              <w:spacing w:line="240" w:lineRule="auto" w:before="106"/>
              <w:ind w:left="154" w:right="0"/>
              <w:jc w:val="left"/>
              <w:rPr>
                <w:rFonts w:ascii="Times New Roman" w:hAnsi="Times New Roman" w:cs="Times New Roman" w:eastAsia="Times New Roman" w:hint="default"/>
                <w:sz w:val="18"/>
                <w:szCs w:val="18"/>
              </w:rPr>
            </w:pPr>
            <w:r>
              <w:rPr>
                <w:rFonts w:ascii="Times New Roman"/>
                <w:sz w:val="18"/>
              </w:rPr>
              <w:t>110.99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54,330,11</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0.99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5,433,011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-45,433,</w:t>
            </w:r>
          </w:p>
          <w:p>
            <w:pPr>
              <w:pStyle w:val="TableParagraph"/>
              <w:spacing w:line="240" w:lineRule="auto" w:before="106"/>
              <w:ind w:left="131" w:right="0"/>
              <w:jc w:val="center"/>
              <w:rPr>
                <w:rFonts w:ascii="Times New Roman" w:hAnsi="Times New Roman" w:cs="Times New Roman" w:eastAsia="Times New Roman" w:hint="default"/>
                <w:sz w:val="18"/>
                <w:szCs w:val="18"/>
              </w:rPr>
            </w:pPr>
            <w:r>
              <w:rPr>
                <w:rFonts w:ascii="Times New Roman"/>
                <w:sz w:val="18"/>
              </w:rPr>
              <w:t>011.10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5,433,011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-5,433,0</w:t>
            </w:r>
          </w:p>
          <w:p>
            <w:pPr>
              <w:pStyle w:val="TableParagraph"/>
              <w:spacing w:line="240" w:lineRule="auto" w:before="106"/>
              <w:ind w:left="244" w:right="0"/>
              <w:jc w:val="left"/>
              <w:rPr>
                <w:rFonts w:ascii="Times New Roman" w:hAnsi="Times New Roman" w:cs="Times New Roman" w:eastAsia="Times New Roman" w:hint="default"/>
                <w:sz w:val="18"/>
                <w:szCs w:val="18"/>
              </w:rPr>
            </w:pPr>
            <w:r>
              <w:rPr>
                <w:rFonts w:ascii="Times New Roman"/>
                <w:sz w:val="18"/>
              </w:rPr>
              <w:t>11.10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253" w:right="0"/>
              <w:jc w:val="left"/>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40,744,62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24,861,95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2.09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120,757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,568.83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246,364,1</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41.12</w:t>
            </w:r>
          </w:p>
        </w:tc>
      </w:tr>
    </w:tbl>
    <w:p>
      <w:pPr>
        <w:spacing w:line="240" w:lineRule="auto" w:before="7"/>
        <w:rPr>
          <w:rFonts w:ascii="Times New Roman" w:hAnsi="Times New Roman" w:cs="Times New Roman" w:eastAsia="Times New Roman" w:hint="default"/>
          <w:sz w:val="20"/>
          <w:szCs w:val="20"/>
        </w:rPr>
      </w:pPr>
    </w:p>
    <w:p>
      <w:pPr>
        <w:pStyle w:val="Heading3"/>
        <w:spacing w:line="240" w:lineRule="auto" w:before="26"/>
        <w:ind w:left="154" w:right="0"/>
        <w:jc w:val="left"/>
        <w:rPr>
          <w:b w:val="0"/>
          <w:bCs w:val="0"/>
        </w:rPr>
      </w:pPr>
      <w:bookmarkStart w:name="三、公司基本情况" w:id="159"/>
      <w:bookmarkEnd w:id="159"/>
      <w:r>
        <w:rPr>
          <w:b w:val="0"/>
          <w:bCs w:val="0"/>
        </w:rPr>
      </w:r>
      <w:r>
        <w:rPr/>
        <w:t>三、公司基本情况</w:t>
      </w:r>
      <w:r>
        <w:rPr>
          <w:b w:val="0"/>
          <w:bCs w:val="0"/>
        </w:rPr>
      </w:r>
    </w:p>
    <w:p>
      <w:pPr>
        <w:spacing w:line="240" w:lineRule="auto" w:before="0"/>
        <w:rPr>
          <w:rFonts w:ascii="宋体" w:hAnsi="宋体" w:cs="宋体" w:eastAsia="宋体" w:hint="default"/>
          <w:b/>
          <w:bCs/>
          <w:sz w:val="25"/>
          <w:szCs w:val="25"/>
        </w:rPr>
      </w:pPr>
    </w:p>
    <w:p>
      <w:pPr>
        <w:pStyle w:val="Heading4"/>
        <w:spacing w:line="312" w:lineRule="exact"/>
        <w:ind w:right="1007" w:firstLine="384"/>
        <w:jc w:val="left"/>
      </w:pPr>
      <w:r>
        <w:rPr>
          <w:spacing w:val="-4"/>
        </w:rPr>
        <w:t>四川久远银海软件股份有限公司（以下简称</w:t>
      </w:r>
      <w:r>
        <w:rPr>
          <w:rFonts w:ascii="Times New Roman" w:hAnsi="Times New Roman" w:cs="Times New Roman" w:eastAsia="Times New Roman" w:hint="default"/>
          <w:spacing w:val="-4"/>
        </w:rPr>
        <w:t>“</w:t>
      </w:r>
      <w:r>
        <w:rPr>
          <w:spacing w:val="-4"/>
        </w:rPr>
        <w:t>公司</w:t>
      </w:r>
      <w:r>
        <w:rPr>
          <w:rFonts w:ascii="Times New Roman" w:hAnsi="Times New Roman" w:cs="Times New Roman" w:eastAsia="Times New Roman" w:hint="default"/>
          <w:spacing w:val="-4"/>
        </w:rPr>
        <w:t>”</w:t>
      </w:r>
      <w:r>
        <w:rPr>
          <w:spacing w:val="-4"/>
        </w:rPr>
        <w:t>或</w:t>
      </w:r>
      <w:r>
        <w:rPr>
          <w:rFonts w:ascii="Times New Roman" w:hAnsi="Times New Roman" w:cs="Times New Roman" w:eastAsia="Times New Roman" w:hint="default"/>
          <w:spacing w:val="-4"/>
        </w:rPr>
        <w:t>“</w:t>
      </w:r>
      <w:r>
        <w:rPr>
          <w:spacing w:val="-4"/>
        </w:rPr>
        <w:t>银海软件</w:t>
      </w:r>
      <w:r>
        <w:rPr>
          <w:rFonts w:ascii="Times New Roman" w:hAnsi="Times New Roman" w:cs="Times New Roman" w:eastAsia="Times New Roman" w:hint="default"/>
          <w:spacing w:val="-4"/>
        </w:rPr>
        <w:t>”</w:t>
      </w:r>
      <w:r>
        <w:rPr>
          <w:spacing w:val="-4"/>
        </w:rPr>
        <w:t>）成立于</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24</w:t>
      </w:r>
      <w:r>
        <w:rPr>
          <w:spacing w:val="-4"/>
        </w:rPr>
        <w:t>日，</w:t>
      </w:r>
      <w:r>
        <w:rPr/>
        <w:t> 系由四川久远投资控股集团有限公司（以下简称</w:t>
      </w:r>
      <w:r>
        <w:rPr>
          <w:rFonts w:ascii="Times New Roman" w:hAnsi="Times New Roman" w:cs="Times New Roman" w:eastAsia="Times New Roman" w:hint="default"/>
        </w:rPr>
        <w:t>“</w:t>
      </w:r>
      <w:r>
        <w:rPr/>
        <w:t>久远集团</w:t>
      </w:r>
      <w:r>
        <w:rPr>
          <w:rFonts w:ascii="Times New Roman" w:hAnsi="Times New Roman" w:cs="Times New Roman" w:eastAsia="Times New Roman" w:hint="default"/>
        </w:rPr>
        <w:t>”</w:t>
      </w:r>
      <w:r>
        <w:rPr/>
        <w:t>）、四川科学城锐锋集团有限责</w:t>
      </w:r>
      <w:r>
        <w:rPr>
          <w:spacing w:val="-84"/>
        </w:rPr>
        <w:t> </w:t>
      </w:r>
      <w:r>
        <w:rPr>
          <w:spacing w:val="-84"/>
        </w:rPr>
      </w:r>
      <w:r>
        <w:rPr/>
        <w:t>任公司（以下简称</w:t>
      </w:r>
      <w:r>
        <w:rPr>
          <w:rFonts w:ascii="Times New Roman" w:hAnsi="Times New Roman" w:cs="Times New Roman" w:eastAsia="Times New Roman" w:hint="default"/>
        </w:rPr>
        <w:t>“</w:t>
      </w:r>
      <w:r>
        <w:rPr/>
        <w:t>锐锋集团</w:t>
      </w:r>
      <w:r>
        <w:rPr>
          <w:rFonts w:ascii="Times New Roman" w:hAnsi="Times New Roman" w:cs="Times New Roman" w:eastAsia="Times New Roman" w:hint="default"/>
        </w:rPr>
        <w:t>”</w:t>
      </w:r>
      <w:r>
        <w:rPr/>
        <w:t>）、四川银海软件有限责任公司（以下简称</w:t>
      </w:r>
      <w:r>
        <w:rPr>
          <w:rFonts w:ascii="Times New Roman" w:hAnsi="Times New Roman" w:cs="Times New Roman" w:eastAsia="Times New Roman" w:hint="default"/>
        </w:rPr>
        <w:t>“</w:t>
      </w:r>
      <w:r>
        <w:rPr/>
        <w:t>四川银海</w:t>
      </w:r>
      <w:r>
        <w:rPr>
          <w:rFonts w:ascii="Times New Roman" w:hAnsi="Times New Roman" w:cs="Times New Roman" w:eastAsia="Times New Roman" w:hint="default"/>
        </w:rPr>
        <w:t>”</w:t>
      </w:r>
      <w:r>
        <w:rPr/>
        <w:t>）及李</w:t>
      </w:r>
      <w:r>
        <w:rPr>
          <w:spacing w:val="-45"/>
        </w:rPr>
        <w:t> </w:t>
      </w:r>
      <w:r>
        <w:rPr>
          <w:spacing w:val="-45"/>
        </w:rPr>
      </w:r>
      <w:r>
        <w:rPr/>
        <w:t>慧霞等</w:t>
      </w:r>
      <w:r>
        <w:rPr>
          <w:rFonts w:ascii="Times New Roman" w:hAnsi="Times New Roman" w:cs="Times New Roman" w:eastAsia="Times New Roman" w:hint="default"/>
        </w:rPr>
        <w:t>20</w:t>
      </w:r>
      <w:r>
        <w:rPr/>
        <w:t>名自然人经中国工程物理研究院（以下简称</w:t>
      </w:r>
      <w:r>
        <w:rPr>
          <w:rFonts w:ascii="Times New Roman" w:hAnsi="Times New Roman" w:cs="Times New Roman" w:eastAsia="Times New Roman" w:hint="default"/>
        </w:rPr>
        <w:t>“</w:t>
      </w:r>
      <w:r>
        <w:rPr/>
        <w:t>中物院</w:t>
      </w:r>
      <w:r>
        <w:rPr>
          <w:rFonts w:ascii="Times New Roman" w:hAnsi="Times New Roman" w:cs="Times New Roman" w:eastAsia="Times New Roman" w:hint="default"/>
        </w:rPr>
        <w:t>”</w:t>
      </w:r>
      <w:r>
        <w:rPr/>
        <w:t>）以《关于发起设立四川久远</w:t>
      </w:r>
      <w:r>
        <w:rPr>
          <w:spacing w:val="-82"/>
        </w:rPr>
        <w:t> </w:t>
      </w:r>
      <w:r>
        <w:rPr>
          <w:spacing w:val="-82"/>
        </w:rPr>
      </w:r>
      <w:r>
        <w:rPr/>
        <w:t>银海软件股份有限公司的批复》（院军转民</w:t>
      </w:r>
      <w:r>
        <w:rPr>
          <w:rFonts w:ascii="Times New Roman" w:hAnsi="Times New Roman" w:cs="Times New Roman" w:eastAsia="Times New Roman" w:hint="default"/>
        </w:rPr>
        <w:t>[2008]216</w:t>
      </w:r>
      <w:r>
        <w:rPr/>
        <w:t>号）文批准共同发起设立的股份有限公 司。企业法人营业执照统一社会信用代码：</w:t>
      </w:r>
      <w:r>
        <w:rPr>
          <w:rFonts w:ascii="Times New Roman" w:hAnsi="Times New Roman" w:cs="Times New Roman" w:eastAsia="Times New Roman" w:hint="default"/>
        </w:rPr>
        <w:t>915101006818136552</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日在深圳证</w:t>
      </w:r>
      <w:r>
        <w:rPr>
          <w:spacing w:val="-92"/>
        </w:rPr>
        <w:t> </w:t>
      </w:r>
      <w:r>
        <w:rPr>
          <w:spacing w:val="-92"/>
        </w:rPr>
      </w:r>
      <w:r>
        <w:rPr/>
        <w:t>券交易所上市。所属行业为计算机应用服务业。</w:t>
      </w:r>
    </w:p>
    <w:p>
      <w:pPr>
        <w:pStyle w:val="Heading4"/>
        <w:spacing w:line="312" w:lineRule="exact"/>
        <w:ind w:right="995" w:firstLine="384"/>
        <w:jc w:val="left"/>
      </w:pPr>
      <w:r>
        <w:rPr/>
        <w:t>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日止，本公司累计发行股本总数为</w:t>
      </w:r>
      <w:r>
        <w:rPr>
          <w:rFonts w:ascii="Times New Roman" w:hAnsi="Times New Roman" w:cs="Times New Roman" w:eastAsia="Times New Roman" w:hint="default"/>
        </w:rPr>
        <w:t>8,000</w:t>
      </w:r>
      <w:r>
        <w:rPr/>
        <w:t>万股，注册资本为</w:t>
      </w:r>
      <w:r>
        <w:rPr>
          <w:spacing w:val="-53"/>
        </w:rPr>
        <w:t> </w:t>
      </w:r>
      <w:r>
        <w:rPr>
          <w:rFonts w:ascii="Times New Roman" w:hAnsi="Times New Roman" w:cs="Times New Roman" w:eastAsia="Times New Roman" w:hint="default"/>
        </w:rPr>
        <w:t>8,000</w:t>
      </w:r>
      <w:r>
        <w:rPr>
          <w:rFonts w:ascii="Times New Roman" w:hAnsi="Times New Roman" w:cs="Times New Roman" w:eastAsia="Times New Roman" w:hint="default"/>
          <w:spacing w:val="7"/>
        </w:rPr>
        <w:t> </w:t>
      </w:r>
      <w:r>
        <w:rPr/>
        <w:t>万元， 注册地：成都高新区科园一路</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2</w:t>
      </w:r>
      <w:r>
        <w:rPr/>
        <w:t>幢，总部地址：成都高新区科园一路</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2</w:t>
      </w:r>
      <w:r>
        <w:rPr/>
        <w:t>幢。</w:t>
      </w:r>
    </w:p>
    <w:p>
      <w:pPr>
        <w:pStyle w:val="Heading4"/>
        <w:spacing w:line="312" w:lineRule="exact"/>
        <w:ind w:right="1133" w:firstLine="384"/>
        <w:jc w:val="both"/>
      </w:pPr>
      <w:r>
        <w:rPr>
          <w:spacing w:val="-3"/>
        </w:rPr>
        <w:t>本公司主要经营活动为：研制、开发、生产计算机软硬件、网络设备、办公机械、货币专</w:t>
      </w:r>
      <w:r>
        <w:rPr/>
        <w:t> 用设备、机电设备（不含九座以下乘用车）；智能弱电工程设计、施工；公共安全技术防范</w:t>
      </w:r>
      <w:r>
        <w:rPr>
          <w:spacing w:val="-113"/>
        </w:rPr>
        <w:t> </w:t>
      </w:r>
      <w:r>
        <w:rPr>
          <w:spacing w:val="-113"/>
        </w:rPr>
      </w:r>
      <w:r>
        <w:rPr/>
        <w:t>工程的设计、施工（以上工程类经营项目凭资质许可证从事经营）；货物进出口、技术进出</w:t>
      </w:r>
    </w:p>
    <w:p>
      <w:pPr>
        <w:pStyle w:val="Heading4"/>
        <w:spacing w:line="312" w:lineRule="exact"/>
        <w:ind w:right="985"/>
        <w:jc w:val="left"/>
      </w:pPr>
      <w:r>
        <w:rPr/>
        <w:t>口；医药、医疗咨询服务；开发、销售电子产品、通讯产品（不含无线广播电视发射设备和 卫星地面接收设备）；增值电信业务经营（未取得相关行政审批，不得开展经营活动）；零 售：药品（未取得相关行政审批，不得开展经营活动）；销售医疗器械（未取得相关行政审 </w:t>
      </w:r>
      <w:r>
        <w:rPr>
          <w:spacing w:val="-3"/>
        </w:rPr>
        <w:t>批，不得开展经营活动）；（依法须经批准的项目，经相关部门批准后方可开展经营活动）。</w:t>
      </w:r>
      <w:r>
        <w:rPr>
          <w:spacing w:val="-82"/>
        </w:rPr>
        <w:t> </w:t>
      </w:r>
      <w:r>
        <w:rPr>
          <w:spacing w:val="-82"/>
        </w:rPr>
      </w:r>
      <w:r>
        <w:rPr/>
        <w:t>本公司的母公司为四川久远投资控股集团有限公司，本公司的实际控制人为中国工程物理研 究院。</w:t>
      </w:r>
    </w:p>
    <w:p>
      <w:pPr>
        <w:pStyle w:val="Heading4"/>
        <w:spacing w:line="302" w:lineRule="exact"/>
        <w:ind w:left="634" w:right="0"/>
        <w:jc w:val="left"/>
      </w:pPr>
      <w:r>
        <w:rPr/>
        <w:t>本财务报表业经公司董事会于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日批准报出。</w:t>
      </w:r>
    </w:p>
    <w:p>
      <w:pPr>
        <w:spacing w:line="240" w:lineRule="auto" w:before="8"/>
        <w:rPr>
          <w:rFonts w:ascii="宋体" w:hAnsi="宋体" w:cs="宋体" w:eastAsia="宋体" w:hint="default"/>
          <w:sz w:val="24"/>
          <w:szCs w:val="24"/>
        </w:rPr>
      </w:pPr>
    </w:p>
    <w:p>
      <w:pPr>
        <w:pStyle w:val="Heading4"/>
        <w:spacing w:line="312" w:lineRule="exact"/>
        <w:ind w:right="1132" w:firstLine="384"/>
        <w:jc w:val="both"/>
      </w:pPr>
      <w:r>
        <w:rPr>
          <w:spacing w:val="-3"/>
        </w:rPr>
        <w:t>截至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日，本公司合并财务报表范围内子公司如下：四川银海软件有限责任公</w:t>
      </w:r>
      <w:r>
        <w:rPr/>
        <w:t> 司、天津银海环球信息技术有限公司、重庆久远银海软件有限公司、北京久远银海技术有限 公司、北京银海奥尼思特咨询有限公司、山西久远爱思普软件股份有限公司、成都兴政电子 政务运营服务有限公司、新疆银海鼎峰软件有限公司、四川久远银海畅辉软件有限公司、四 川久远国基科技有限公司。与上年相比，本年新设子公司四川久远国基科技有限公司。</w:t>
      </w: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四、财务报表的编制基础" w:id="160"/>
      <w:bookmarkEnd w:id="160"/>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编制基础" w:id="161"/>
      <w:bookmarkEnd w:id="161"/>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10"/>
        <w:rPr>
          <w:rFonts w:ascii="宋体" w:hAnsi="宋体" w:cs="宋体" w:eastAsia="宋体" w:hint="default"/>
          <w:b/>
          <w:bCs/>
          <w:sz w:val="22"/>
          <w:szCs w:val="22"/>
        </w:rPr>
      </w:pPr>
    </w:p>
    <w:p>
      <w:pPr>
        <w:pStyle w:val="Heading4"/>
        <w:spacing w:line="313" w:lineRule="exact"/>
        <w:ind w:left="442" w:right="0"/>
        <w:jc w:val="left"/>
      </w:pPr>
      <w:r>
        <w:rPr/>
        <w:t>公司以持续经营为基础，根据实际发生的交易和事项，按照财政部颁布的《企业会计准则</w:t>
      </w:r>
    </w:p>
    <w:p>
      <w:pPr>
        <w:pStyle w:val="Heading4"/>
        <w:spacing w:line="312" w:lineRule="exact" w:before="29"/>
        <w:ind w:left="154" w:right="1152"/>
        <w:jc w:val="left"/>
      </w:pPr>
      <w:r>
        <w:rPr>
          <w:rFonts w:ascii="Times New Roman" w:hAnsi="Times New Roman" w:cs="Times New Roman" w:eastAsia="Times New Roman" w:hint="default"/>
        </w:rPr>
        <w:t>——</w:t>
      </w:r>
      <w:r>
        <w:rPr/>
        <w:t>基本准则》和各项具体会计准则、企业会计准则应用指南、企业会计准则解释及其他相 关规定（以下合称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），以及中国证券监督管理委员会《公开发行证券的公司</w:t>
      </w:r>
    </w:p>
    <w:p>
      <w:pPr>
        <w:spacing w:after="0" w:line="312"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4"/>
        <w:spacing w:line="240" w:lineRule="auto" w:before="26"/>
        <w:ind w:right="0"/>
        <w:jc w:val="left"/>
      </w:pPr>
      <w:r>
        <w:rPr/>
        <w:t>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36"/>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4"/>
        <w:rPr>
          <w:rFonts w:ascii="宋体" w:hAnsi="宋体" w:cs="宋体" w:eastAsia="宋体" w:hint="default"/>
          <w:sz w:val="23"/>
          <w:szCs w:val="23"/>
        </w:rPr>
      </w:pPr>
    </w:p>
    <w:p>
      <w:pPr>
        <w:pStyle w:val="Heading5"/>
        <w:spacing w:line="240" w:lineRule="auto"/>
        <w:ind w:left="154" w:right="0"/>
        <w:jc w:val="left"/>
        <w:rPr>
          <w:b w:val="0"/>
          <w:bCs w:val="0"/>
        </w:rPr>
      </w:pPr>
      <w:bookmarkStart w:name="2、持续经营" w:id="162"/>
      <w:bookmarkEnd w:id="162"/>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
        <w:rPr>
          <w:rFonts w:ascii="宋体" w:hAnsi="宋体" w:cs="宋体" w:eastAsia="宋体" w:hint="default"/>
          <w:b/>
          <w:bCs/>
          <w:sz w:val="25"/>
          <w:szCs w:val="25"/>
        </w:rPr>
      </w:pPr>
    </w:p>
    <w:p>
      <w:pPr>
        <w:pStyle w:val="Heading4"/>
        <w:spacing w:line="312" w:lineRule="exact"/>
        <w:ind w:left="154" w:right="1133" w:firstLine="288"/>
        <w:jc w:val="both"/>
      </w:pPr>
      <w:r>
        <w:rPr>
          <w:spacing w:val="-1"/>
        </w:rPr>
        <w:t>公司考虑宏观政策风险、市场经营风险、目前或长期的盈利能力、偿债能力、财务弹性以</w:t>
      </w:r>
      <w:r>
        <w:rPr/>
        <w:t> 等因素后，认为公司自报告期末起至少</w:t>
      </w:r>
      <w:r>
        <w:rPr>
          <w:rFonts w:ascii="Times New Roman" w:hAnsi="Times New Roman" w:cs="Times New Roman" w:eastAsia="Times New Roman" w:hint="default"/>
        </w:rPr>
        <w:t>12</w:t>
      </w:r>
      <w:r>
        <w:rPr/>
        <w:t>个月内可持续经营。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0"/>
          <w:szCs w:val="20"/>
        </w:rPr>
      </w:pPr>
    </w:p>
    <w:p>
      <w:pPr>
        <w:pStyle w:val="Heading3"/>
        <w:spacing w:line="240" w:lineRule="auto"/>
        <w:ind w:left="154" w:right="0"/>
        <w:jc w:val="left"/>
        <w:rPr>
          <w:b w:val="0"/>
          <w:bCs w:val="0"/>
        </w:rPr>
      </w:pPr>
      <w:bookmarkStart w:name="五、重要会计政策及会计估计" w:id="163"/>
      <w:bookmarkEnd w:id="163"/>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具体会计政策和会计估计提示：</w:t>
      </w:r>
    </w:p>
    <w:p>
      <w:pPr>
        <w:spacing w:line="242" w:lineRule="auto" w:before="74"/>
        <w:ind w:left="154" w:right="1131" w:firstLine="277"/>
        <w:jc w:val="both"/>
        <w:rPr>
          <w:rFonts w:ascii="宋体" w:hAnsi="宋体" w:cs="宋体" w:eastAsia="宋体" w:hint="default"/>
          <w:sz w:val="23"/>
          <w:szCs w:val="23"/>
        </w:rPr>
      </w:pPr>
      <w:r>
        <w:rPr>
          <w:rFonts w:ascii="宋体" w:hAnsi="宋体" w:cs="宋体" w:eastAsia="宋体" w:hint="default"/>
          <w:spacing w:val="-3"/>
          <w:sz w:val="23"/>
          <w:szCs w:val="23"/>
        </w:rPr>
        <w:t>本公司及各子公司从事计算机应用服务。本公司及各子公司根据实际生产经营特点，依据相关</w:t>
      </w:r>
      <w:r>
        <w:rPr>
          <w:rFonts w:ascii="宋体" w:hAnsi="宋体" w:cs="宋体" w:eastAsia="宋体" w:hint="default"/>
          <w:w w:val="100"/>
          <w:sz w:val="23"/>
          <w:szCs w:val="23"/>
        </w:rPr>
        <w:t> </w:t>
      </w:r>
      <w:r>
        <w:rPr>
          <w:rFonts w:ascii="宋体" w:hAnsi="宋体" w:cs="宋体" w:eastAsia="宋体" w:hint="default"/>
          <w:sz w:val="23"/>
          <w:szCs w:val="23"/>
        </w:rPr>
        <w:t>企业会计准则的规定，对收入确认、</w:t>
      </w:r>
      <w:r>
        <w:rPr>
          <w:rFonts w:ascii="宋体" w:hAnsi="宋体" w:cs="宋体" w:eastAsia="宋体" w:hint="default"/>
          <w:sz w:val="24"/>
          <w:szCs w:val="24"/>
        </w:rPr>
        <w:t>应收款项坏账准备的确认和计量</w:t>
      </w:r>
      <w:r>
        <w:rPr>
          <w:rFonts w:ascii="宋体" w:hAnsi="宋体" w:cs="宋体" w:eastAsia="宋体" w:hint="default"/>
          <w:sz w:val="23"/>
          <w:szCs w:val="23"/>
        </w:rPr>
        <w:t>等事项制定了若干项具体</w:t>
      </w:r>
      <w:r>
        <w:rPr>
          <w:rFonts w:ascii="宋体" w:hAnsi="宋体" w:cs="宋体" w:eastAsia="宋体" w:hint="default"/>
          <w:w w:val="100"/>
          <w:sz w:val="23"/>
          <w:szCs w:val="23"/>
        </w:rPr>
        <w:t> </w:t>
      </w:r>
      <w:r>
        <w:rPr>
          <w:rFonts w:ascii="宋体" w:hAnsi="宋体" w:cs="宋体" w:eastAsia="宋体" w:hint="default"/>
          <w:sz w:val="23"/>
          <w:szCs w:val="23"/>
        </w:rPr>
        <w:t>会计政策和会计估计。</w:t>
      </w:r>
    </w:p>
    <w:p>
      <w:pPr>
        <w:spacing w:line="240" w:lineRule="auto" w:before="10"/>
        <w:rPr>
          <w:rFonts w:ascii="宋体" w:hAnsi="宋体" w:cs="宋体" w:eastAsia="宋体" w:hint="default"/>
          <w:sz w:val="25"/>
          <w:szCs w:val="25"/>
        </w:rPr>
      </w:pPr>
    </w:p>
    <w:p>
      <w:pPr>
        <w:spacing w:line="590" w:lineRule="atLeast" w:before="0"/>
        <w:ind w:left="322" w:right="1134" w:hanging="168"/>
        <w:jc w:val="left"/>
        <w:rPr>
          <w:rFonts w:ascii="宋体" w:hAnsi="宋体" w:cs="宋体" w:eastAsia="宋体" w:hint="default"/>
          <w:sz w:val="21"/>
          <w:szCs w:val="21"/>
        </w:rPr>
      </w:pPr>
      <w:bookmarkStart w:name="1、遵循企业会计准则的声明" w:id="164"/>
      <w:bookmarkEnd w:id="164"/>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公司所编制的财务报表符合企业会计准则的要求，真实、完整地反映了报告期公司的财务状况、经营成</w:t>
      </w:r>
    </w:p>
    <w:p>
      <w:pPr>
        <w:pStyle w:val="Heading6"/>
        <w:spacing w:line="240" w:lineRule="auto" w:before="37"/>
        <w:ind w:left="154" w:right="0"/>
        <w:jc w:val="left"/>
      </w:pPr>
      <w:r>
        <w:rPr/>
        <w:t>果、现金流量等有关信息。</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line="506" w:lineRule="auto" w:before="0"/>
        <w:ind w:left="153" w:right="5713" w:firstLine="0"/>
        <w:jc w:val="left"/>
        <w:rPr>
          <w:rFonts w:ascii="宋体" w:hAnsi="宋体" w:cs="宋体" w:eastAsia="宋体" w:hint="default"/>
          <w:sz w:val="21"/>
          <w:szCs w:val="21"/>
        </w:rPr>
      </w:pPr>
      <w:bookmarkStart w:name="2、会计期间" w:id="165"/>
      <w:bookmarkEnd w:id="16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w w:val="99"/>
          <w:sz w:val="21"/>
          <w:szCs w:val="21"/>
        </w:rPr>
        <w:t> </w:t>
      </w:r>
      <w:r>
        <w:rPr>
          <w:rFonts w:ascii="宋体" w:hAnsi="宋体" w:cs="宋体" w:eastAsia="宋体" w:hint="default"/>
          <w:sz w:val="21"/>
          <w:szCs w:val="21"/>
        </w:rPr>
        <w:t>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日止为一个会计年度。</w:t>
      </w:r>
    </w:p>
    <w:p>
      <w:pPr>
        <w:spacing w:line="240" w:lineRule="auto" w:before="10"/>
        <w:rPr>
          <w:rFonts w:ascii="宋体" w:hAnsi="宋体" w:cs="宋体" w:eastAsia="宋体" w:hint="default"/>
          <w:sz w:val="28"/>
          <w:szCs w:val="28"/>
        </w:rPr>
      </w:pPr>
    </w:p>
    <w:p>
      <w:pPr>
        <w:spacing w:line="506" w:lineRule="auto" w:before="0"/>
        <w:ind w:left="154" w:right="7333" w:firstLine="0"/>
        <w:jc w:val="left"/>
        <w:rPr>
          <w:rFonts w:ascii="宋体" w:hAnsi="宋体" w:cs="宋体" w:eastAsia="宋体" w:hint="default"/>
          <w:sz w:val="21"/>
          <w:szCs w:val="21"/>
        </w:rPr>
      </w:pPr>
      <w:bookmarkStart w:name="3、营业周期" w:id="166"/>
      <w:bookmarkEnd w:id="16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21"/>
          <w:szCs w:val="21"/>
        </w:rPr>
        <w:t>本公司营业周期为</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w:t>
      </w:r>
    </w:p>
    <w:p>
      <w:pPr>
        <w:spacing w:line="240" w:lineRule="auto" w:before="10"/>
        <w:rPr>
          <w:rFonts w:ascii="宋体" w:hAnsi="宋体" w:cs="宋体" w:eastAsia="宋体" w:hint="default"/>
          <w:sz w:val="28"/>
          <w:szCs w:val="28"/>
        </w:rPr>
      </w:pPr>
    </w:p>
    <w:p>
      <w:pPr>
        <w:spacing w:line="506" w:lineRule="auto" w:before="0"/>
        <w:ind w:left="271" w:right="7485" w:hanging="118"/>
        <w:jc w:val="left"/>
        <w:rPr>
          <w:rFonts w:ascii="宋体" w:hAnsi="宋体" w:cs="宋体" w:eastAsia="宋体" w:hint="default"/>
          <w:sz w:val="21"/>
          <w:szCs w:val="21"/>
        </w:rPr>
      </w:pPr>
      <w:bookmarkStart w:name="4、记账本位币" w:id="167"/>
      <w:bookmarkEnd w:id="167"/>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本公司采用人民币为记账本位币。</w:t>
      </w:r>
    </w:p>
    <w:p>
      <w:pPr>
        <w:spacing w:line="590" w:lineRule="atLeast" w:before="118"/>
        <w:ind w:left="405" w:right="0" w:hanging="252"/>
        <w:jc w:val="left"/>
        <w:rPr>
          <w:rFonts w:ascii="宋体" w:hAnsi="宋体" w:cs="宋体" w:eastAsia="宋体" w:hint="default"/>
          <w:sz w:val="21"/>
          <w:szCs w:val="21"/>
        </w:rPr>
      </w:pPr>
      <w:bookmarkStart w:name="5、同一控制下和非同一控制下企业合并的会计处理方法" w:id="168"/>
      <w:bookmarkEnd w:id="16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、同一控制下和非同一控制下企业合并的会计处理方法</w:t>
      </w:r>
      <w:r>
        <w:rPr>
          <w:rFonts w:ascii="宋体" w:hAnsi="宋体" w:cs="宋体" w:eastAsia="宋体" w:hint="default"/>
          <w:b/>
          <w:bCs/>
          <w:w w:val="99"/>
          <w:sz w:val="21"/>
          <w:szCs w:val="21"/>
        </w:rPr>
        <w:t> </w:t>
      </w:r>
      <w:r>
        <w:rPr>
          <w:rFonts w:ascii="宋体" w:hAnsi="宋体" w:cs="宋体" w:eastAsia="宋体" w:hint="default"/>
          <w:spacing w:val="-2"/>
          <w:sz w:val="21"/>
          <w:szCs w:val="21"/>
        </w:rPr>
        <w:t>同一控制下企业合并：本公司在企业合并中取得的资产和负债，按照合并日在被合并方资产、负债（包</w:t>
      </w:r>
    </w:p>
    <w:p>
      <w:pPr>
        <w:pStyle w:val="Heading6"/>
        <w:spacing w:line="273" w:lineRule="auto" w:before="37"/>
        <w:ind w:left="153" w:right="1131"/>
        <w:jc w:val="both"/>
      </w:pPr>
      <w:r>
        <w:rPr>
          <w:spacing w:val="-1"/>
        </w:rPr>
        <w:t>括最终控制方收购被合并方而形成的商誉）在最终控制方合并财务报表中的账面价值计量。在合并中取得</w:t>
      </w:r>
      <w:r>
        <w:rPr>
          <w:spacing w:val="-81"/>
        </w:rPr>
        <w:t> </w:t>
      </w:r>
      <w:r>
        <w:rPr>
          <w:spacing w:val="-81"/>
        </w:rPr>
      </w:r>
      <w:r>
        <w:rPr>
          <w:spacing w:val="-1"/>
        </w:rPr>
        <w:t>的净资产账面价值与支付的合并对价账面价值（或发行股份面值总额）的差额，调整资本公积中的股本溢</w:t>
      </w:r>
      <w:r>
        <w:rPr>
          <w:spacing w:val="-83"/>
        </w:rPr>
        <w:t> </w:t>
      </w:r>
      <w:r>
        <w:rPr>
          <w:spacing w:val="-83"/>
        </w:rPr>
      </w:r>
      <w:r>
        <w:rPr/>
        <w:t>价，资本公积中的股本溢价不足冲减的，调整留存收益。</w:t>
      </w:r>
    </w:p>
    <w:p>
      <w:pPr>
        <w:pStyle w:val="Heading6"/>
        <w:spacing w:line="240" w:lineRule="auto"/>
        <w:ind w:left="405" w:right="0"/>
        <w:jc w:val="left"/>
      </w:pPr>
      <w:r>
        <w:rPr/>
        <w:t>非同一控制下企业合并：本公司在购买日对作为企业合并对价付出的资产、发生或承担的负债按照公允</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left="153" w:right="1131"/>
        <w:jc w:val="both"/>
      </w:pPr>
      <w:r>
        <w:rPr>
          <w:spacing w:val="-1"/>
        </w:rPr>
        <w:t>价值计量，公允价值与其账面价值的差额，计入当期损益。本公司对合并成本大于合并中取得的被购买方</w:t>
      </w:r>
      <w:r>
        <w:rPr>
          <w:spacing w:val="-83"/>
        </w:rPr>
        <w:t> </w:t>
      </w:r>
      <w:r>
        <w:rPr>
          <w:spacing w:val="-83"/>
        </w:rPr>
      </w:r>
      <w:r>
        <w:rPr>
          <w:spacing w:val="-1"/>
        </w:rPr>
        <w:t>可辨认净资产公允价值份额的差额，确认为商誉；合并成本小于合并中取得的被购买方可辨认净资产公允</w:t>
      </w:r>
      <w:r>
        <w:rPr>
          <w:spacing w:val="-81"/>
        </w:rPr>
        <w:t> </w:t>
      </w:r>
      <w:r>
        <w:rPr>
          <w:spacing w:val="-81"/>
        </w:rPr>
      </w:r>
      <w:r>
        <w:rPr/>
        <w:t>价值份额的差额，经复核后，计入当期损益。</w:t>
      </w:r>
    </w:p>
    <w:p>
      <w:pPr>
        <w:pStyle w:val="Heading6"/>
        <w:spacing w:line="273" w:lineRule="auto"/>
        <w:ind w:left="153" w:right="0" w:firstLine="252"/>
        <w:jc w:val="left"/>
      </w:pPr>
      <w:r>
        <w:rPr>
          <w:spacing w:val="-2"/>
        </w:rPr>
        <w:t>为企业合并发生的审计、法律服务、评估咨询等中介费用以及其他直接相关费用，于发生时计入当期损</w:t>
      </w:r>
      <w:r>
        <w:rPr/>
        <w:t> 益；为企业合并而发行权益性证券的交易费用，冲减权益。</w:t>
      </w:r>
    </w:p>
    <w:p>
      <w:pPr>
        <w:spacing w:line="240" w:lineRule="auto" w:before="1"/>
        <w:rPr>
          <w:rFonts w:ascii="宋体" w:hAnsi="宋体" w:cs="宋体" w:eastAsia="宋体" w:hint="default"/>
          <w:sz w:val="23"/>
          <w:szCs w:val="23"/>
        </w:rPr>
      </w:pPr>
    </w:p>
    <w:p>
      <w:pPr>
        <w:pStyle w:val="Heading5"/>
        <w:spacing w:line="610" w:lineRule="atLeast"/>
        <w:ind w:left="510" w:right="8118" w:hanging="357"/>
        <w:jc w:val="left"/>
        <w:rPr>
          <w:b w:val="0"/>
          <w:bCs w:val="0"/>
        </w:rPr>
      </w:pPr>
      <w:bookmarkStart w:name="6、合并财务报表的编制方法" w:id="169"/>
      <w:bookmarkEnd w:id="169"/>
      <w:r>
        <w:rPr>
          <w:b w:val="0"/>
          <w:bCs w:val="0"/>
        </w:rPr>
      </w:r>
      <w:r>
        <w:rPr>
          <w:rFonts w:ascii="Times New Roman" w:hAnsi="Times New Roman" w:cs="Times New Roman" w:eastAsia="Times New Roman" w:hint="default"/>
        </w:rPr>
        <w:t>6</w:t>
      </w:r>
      <w:r>
        <w:rPr/>
        <w:t>、合并财务报表的编制方法</w:t>
      </w:r>
      <w:r>
        <w:rPr>
          <w:w w:val="99"/>
        </w:rPr>
        <w:t> </w:t>
      </w:r>
      <w:r>
        <w:rPr>
          <w:rFonts w:ascii="Times New Roman" w:hAnsi="Times New Roman" w:cs="Times New Roman" w:eastAsia="Times New Roman" w:hint="default"/>
        </w:rPr>
        <w:t>(1)</w:t>
      </w:r>
      <w:r>
        <w:rPr/>
        <w:t>、合并范围</w:t>
      </w:r>
      <w:r>
        <w:rPr>
          <w:b w:val="0"/>
          <w:bCs w:val="0"/>
        </w:rPr>
      </w:r>
    </w:p>
    <w:p>
      <w:pPr>
        <w:pStyle w:val="Heading6"/>
        <w:spacing w:line="273" w:lineRule="auto" w:before="21"/>
        <w:ind w:right="1130" w:firstLine="252"/>
        <w:jc w:val="both"/>
      </w:pPr>
      <w:r>
        <w:rPr>
          <w:spacing w:val="-3"/>
        </w:rPr>
        <w:t>本公司合并财务报表的合并范围以控制为基础确定，所有子公司（包括本公司所控制的被投资方</w:t>
      </w:r>
      <w:r>
        <w:rPr/>
        <w:t> 可分割的部分）均纳入合并财务报表。</w:t>
      </w:r>
    </w:p>
    <w:p>
      <w:pPr>
        <w:spacing w:line="240" w:lineRule="auto" w:before="6"/>
        <w:rPr>
          <w:rFonts w:ascii="宋体" w:hAnsi="宋体" w:cs="宋体" w:eastAsia="宋体" w:hint="default"/>
          <w:sz w:val="24"/>
          <w:szCs w:val="24"/>
        </w:rPr>
      </w:pPr>
    </w:p>
    <w:p>
      <w:pPr>
        <w:pStyle w:val="Heading5"/>
        <w:spacing w:line="240" w:lineRule="auto"/>
        <w:ind w:left="510" w:right="0"/>
        <w:jc w:val="left"/>
        <w:rPr>
          <w:b w:val="0"/>
          <w:bCs w:val="0"/>
        </w:rPr>
      </w:pPr>
      <w:r>
        <w:rPr>
          <w:rFonts w:ascii="Times New Roman" w:hAnsi="Times New Roman" w:cs="Times New Roman" w:eastAsia="Times New Roman" w:hint="default"/>
        </w:rPr>
        <w:t>(2)</w:t>
      </w:r>
      <w:r>
        <w:rPr/>
        <w:t>、合并程序</w:t>
      </w:r>
      <w:r>
        <w:rPr>
          <w:b w:val="0"/>
          <w:bCs w:val="0"/>
        </w:rPr>
      </w:r>
    </w:p>
    <w:p>
      <w:pPr>
        <w:pStyle w:val="Heading6"/>
        <w:spacing w:line="273" w:lineRule="auto" w:before="21"/>
        <w:ind w:right="1130" w:firstLine="252"/>
        <w:jc w:val="both"/>
      </w:pPr>
      <w:r>
        <w:rPr>
          <w:spacing w:val="-3"/>
        </w:rPr>
        <w:t>本公司以自身和各子公司的财务报表为基础，根据其他有关资料，编制合并财务报表。本公司编</w:t>
      </w:r>
      <w:r>
        <w:rPr/>
        <w:t> </w:t>
      </w:r>
      <w:r>
        <w:rPr>
          <w:spacing w:val="-2"/>
        </w:rPr>
        <w:t>制合并财务报表，将整个企业集团视为一个会计主体，依据相关企业会计准则的确认、计量和列报</w:t>
      </w:r>
      <w:r>
        <w:rPr>
          <w:spacing w:val="-70"/>
        </w:rPr>
        <w:t> </w:t>
      </w:r>
      <w:r>
        <w:rPr>
          <w:spacing w:val="-70"/>
        </w:rPr>
      </w:r>
      <w:r>
        <w:rPr/>
        <w:t>要求，按照统一的会计政策，反映本企业集团整体财务状况、经营成果和现金流量。</w:t>
      </w:r>
    </w:p>
    <w:p>
      <w:pPr>
        <w:pStyle w:val="Heading6"/>
        <w:spacing w:line="273" w:lineRule="auto"/>
        <w:ind w:right="1131" w:firstLine="252"/>
        <w:jc w:val="both"/>
      </w:pPr>
      <w:r>
        <w:rPr>
          <w:spacing w:val="-3"/>
        </w:rPr>
        <w:t>所有纳入合并财务报表合并范围的子公司所采用的会计政策、会计期间与本公司一致，如子公司</w:t>
      </w:r>
      <w:r>
        <w:rPr/>
        <w:t> </w:t>
      </w:r>
      <w:r>
        <w:rPr>
          <w:spacing w:val="-2"/>
        </w:rPr>
        <w:t>采用的会计政策、会计期间与本公司不一致的，在编制合并财务报表时，按本公司的会计政策、会</w:t>
      </w:r>
      <w:r>
        <w:rPr>
          <w:spacing w:val="-75"/>
        </w:rPr>
        <w:t> </w:t>
      </w:r>
      <w:r>
        <w:rPr>
          <w:spacing w:val="-75"/>
        </w:rPr>
      </w:r>
      <w:r>
        <w:rPr>
          <w:spacing w:val="-2"/>
        </w:rPr>
        <w:t>计期间进行必要的调整。对于非同一控制下企业合并取得的子公司，以购买日可辨认净资产公允价</w:t>
      </w:r>
      <w:r>
        <w:rPr>
          <w:spacing w:val="-73"/>
        </w:rPr>
        <w:t> </w:t>
      </w:r>
      <w:r>
        <w:rPr>
          <w:spacing w:val="-73"/>
        </w:rPr>
      </w:r>
      <w:r>
        <w:rPr>
          <w:spacing w:val="-2"/>
        </w:rPr>
        <w:t>值为基础对其财务报表进行调整。对于同一控制下企业合并取得的子公司，以其资产、负债（包括</w:t>
      </w:r>
      <w:r>
        <w:rPr>
          <w:spacing w:val="-75"/>
        </w:rPr>
        <w:t> </w:t>
      </w:r>
      <w:r>
        <w:rPr>
          <w:spacing w:val="-75"/>
        </w:rPr>
      </w:r>
      <w:r>
        <w:rPr>
          <w:spacing w:val="-2"/>
        </w:rPr>
        <w:t>最终控制方收购该子公司而形成的商誉）在最终控制方财务报表中的账面价值为基础对其财务报表</w:t>
      </w:r>
      <w:r>
        <w:rPr>
          <w:spacing w:val="-71"/>
        </w:rPr>
        <w:t> </w:t>
      </w:r>
      <w:r>
        <w:rPr>
          <w:spacing w:val="-71"/>
        </w:rPr>
      </w:r>
      <w:r>
        <w:rPr/>
        <w:t>进行调整。</w:t>
      </w:r>
    </w:p>
    <w:p>
      <w:pPr>
        <w:pStyle w:val="Heading6"/>
        <w:spacing w:line="273" w:lineRule="auto"/>
        <w:ind w:right="1131" w:firstLine="252"/>
        <w:jc w:val="both"/>
      </w:pPr>
      <w:r>
        <w:rPr>
          <w:spacing w:val="-3"/>
        </w:rPr>
        <w:t>子公司所有者权益、当期净损益和当期综合收益中属于少数股东的份额分别在合并资产负债表中</w:t>
      </w:r>
      <w:r>
        <w:rPr/>
        <w:t> </w:t>
      </w:r>
      <w:r>
        <w:rPr>
          <w:spacing w:val="-2"/>
        </w:rPr>
        <w:t>所有者权益项目下、合并利润表中净利润项目下和综合收益总额项目下单独列示。子公司少数股东</w:t>
      </w:r>
      <w:r>
        <w:rPr>
          <w:spacing w:val="-73"/>
        </w:rPr>
        <w:t> </w:t>
      </w:r>
      <w:r>
        <w:rPr>
          <w:spacing w:val="-73"/>
        </w:rPr>
      </w:r>
      <w:r>
        <w:rPr>
          <w:spacing w:val="-2"/>
        </w:rPr>
        <w:t>分担的当期亏损超过了少数股东在该子公司期初所有者权益中所享有份额而形成的余额，冲减少数</w:t>
      </w:r>
      <w:r>
        <w:rPr>
          <w:spacing w:val="-71"/>
        </w:rPr>
        <w:t> </w:t>
      </w:r>
      <w:r>
        <w:rPr>
          <w:spacing w:val="-71"/>
        </w:rPr>
      </w:r>
      <w:r>
        <w:rPr/>
        <w:t>股东权益。</w:t>
      </w:r>
    </w:p>
    <w:p>
      <w:pPr>
        <w:pStyle w:val="Heading6"/>
        <w:spacing w:line="266" w:lineRule="auto" w:before="0"/>
        <w:ind w:left="1066" w:right="1020" w:hanging="252"/>
        <w:jc w:val="left"/>
      </w:pPr>
      <w:r>
        <w:rPr>
          <w:sz w:val="22"/>
          <w:szCs w:val="22"/>
        </w:rPr>
        <w:t>①</w:t>
      </w:r>
      <w:r>
        <w:rPr/>
        <w:t>增加子公司或业务</w:t>
      </w:r>
      <w:r>
        <w:rPr/>
        <w:t> 在报告期内，若因同一控制下企业合并增加子公司或业务的，则调整合并资产负债表的期初数；</w:t>
      </w:r>
    </w:p>
    <w:p>
      <w:pPr>
        <w:pStyle w:val="Heading6"/>
        <w:spacing w:line="273" w:lineRule="auto" w:before="14"/>
        <w:ind w:right="1131"/>
        <w:jc w:val="both"/>
      </w:pPr>
      <w:r>
        <w:rPr>
          <w:spacing w:val="-2"/>
        </w:rPr>
        <w:t>将子公司或业务合并当期期初至报告期末的收入、费用、利润纳入合并利润表；将子公司或业务合</w:t>
      </w:r>
      <w:r>
        <w:rPr>
          <w:spacing w:val="-72"/>
        </w:rPr>
        <w:t> </w:t>
      </w:r>
      <w:r>
        <w:rPr>
          <w:spacing w:val="-72"/>
        </w:rPr>
      </w:r>
      <w:r>
        <w:rPr>
          <w:spacing w:val="-2"/>
        </w:rPr>
        <w:t>并当期期初至报告期末的现金流量纳入合并现金流量表，同时对比较报表的相关项目进行调整，视</w:t>
      </w:r>
      <w:r>
        <w:rPr>
          <w:spacing w:val="-73"/>
        </w:rPr>
        <w:t> </w:t>
      </w:r>
      <w:r>
        <w:rPr>
          <w:spacing w:val="-73"/>
        </w:rPr>
      </w:r>
      <w:r>
        <w:rPr/>
        <w:t>同合并后的报告主体自最终控制方开始控制时点起一直存在。</w:t>
      </w:r>
    </w:p>
    <w:p>
      <w:pPr>
        <w:pStyle w:val="Heading6"/>
        <w:spacing w:line="273" w:lineRule="auto"/>
        <w:ind w:right="1025" w:firstLine="252"/>
        <w:jc w:val="left"/>
      </w:pPr>
      <w:r>
        <w:rPr>
          <w:spacing w:val="-5"/>
        </w:rPr>
        <w:t>在报告期内，若因非同一控制下企业合并增加子公司或业务的，则不调整合并资产负债表期初数；</w:t>
      </w:r>
      <w:r>
        <w:rPr/>
        <w:t> 将该子公司或业务自购买日至报告期末的收入、费用、利润纳入合并利润表；该子公司或业务自购 买日至报告期末的现金流量纳入合并现金流量表。</w:t>
      </w:r>
    </w:p>
    <w:p>
      <w:pPr>
        <w:pStyle w:val="Heading6"/>
        <w:spacing w:line="266" w:lineRule="auto" w:before="0"/>
        <w:ind w:left="1114" w:right="8192" w:hanging="300"/>
        <w:jc w:val="left"/>
      </w:pPr>
      <w:r>
        <w:rPr>
          <w:sz w:val="22"/>
          <w:szCs w:val="22"/>
        </w:rPr>
        <w:t>②</w:t>
      </w:r>
      <w:r>
        <w:rPr/>
        <w:t>处置子公司或业务</w:t>
      </w:r>
      <w:r>
        <w:rPr/>
        <w:t> 一般处理方法</w:t>
      </w:r>
    </w:p>
    <w:p>
      <w:pPr>
        <w:pStyle w:val="Heading6"/>
        <w:spacing w:line="273" w:lineRule="auto" w:before="14"/>
        <w:ind w:right="1136" w:firstLine="336"/>
        <w:jc w:val="both"/>
      </w:pPr>
      <w:r>
        <w:rPr/>
        <w:t>在报告期内，本公司处置子公司或业务，则该子公司或业务期初至处置日的收入、费用、利润 纳入合并利润表；该子公司或业务期初至处置日的现金流量纳入合并现金流量表。</w:t>
      </w:r>
    </w:p>
    <w:p>
      <w:pPr>
        <w:pStyle w:val="Heading6"/>
        <w:spacing w:line="273" w:lineRule="auto"/>
        <w:ind w:right="1025" w:firstLine="252"/>
        <w:jc w:val="both"/>
      </w:pPr>
      <w:r>
        <w:rPr>
          <w:spacing w:val="-3"/>
        </w:rPr>
        <w:t>因处置部分股权投资或其他原因丧失了对被投资方控制权时，对于处置后的剩余股权投资，本公</w:t>
      </w:r>
      <w:r>
        <w:rPr/>
        <w:t> </w:t>
      </w:r>
      <w:r>
        <w:rPr>
          <w:spacing w:val="3"/>
        </w:rPr>
        <w:t>司按照其在丧失控制权日的公允价值进行重新计量。处置股权取得的对价与剩余股权公允价值之</w:t>
      </w:r>
      <w:r>
        <w:rPr>
          <w:spacing w:val="-101"/>
        </w:rPr>
        <w:t> </w:t>
      </w:r>
      <w:r>
        <w:rPr>
          <w:spacing w:val="-101"/>
        </w:rPr>
      </w:r>
      <w:r>
        <w:rPr/>
        <w:t>和，减去按原持股比例计算应享有原有子公司自购买日或合并日开始持续计算的净资产的份额与商</w:t>
      </w:r>
      <w:r>
        <w:rPr/>
        <w:t> 誉之和的差额，计入丧失控制权当期的投资收益。与原有子公司股权投资相关的其他综合收益或除 </w:t>
      </w:r>
      <w:r>
        <w:rPr>
          <w:spacing w:val="-4"/>
        </w:rPr>
        <w:t>净损益、其他综合收益及利润分配之外的其他所有者权益变动，在丧失控制权时转为当期投资收益，</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right="0"/>
        <w:jc w:val="left"/>
      </w:pPr>
      <w:r>
        <w:rPr>
          <w:spacing w:val="-2"/>
        </w:rPr>
        <w:t>由于被投资方重新计量设定受益计划净负债或净资产变动而产生的其他综合收益除外。因其他投资</w:t>
      </w:r>
      <w:r>
        <w:rPr>
          <w:spacing w:val="-71"/>
        </w:rPr>
        <w:t> </w:t>
      </w:r>
      <w:r>
        <w:rPr>
          <w:spacing w:val="-71"/>
        </w:rPr>
      </w:r>
      <w:r>
        <w:rPr/>
        <w:t>方对子公司增资而导致本公司持股比例下降从而丧失控制权的，按照上述原则进行</w:t>
      </w:r>
      <w:r>
        <w:rPr>
          <w:spacing w:val="-21"/>
        </w:rPr>
        <w:t> </w:t>
      </w:r>
      <w:r>
        <w:rPr/>
        <w:t>会计处理。</w:t>
      </w:r>
    </w:p>
    <w:p>
      <w:pPr>
        <w:pStyle w:val="Heading6"/>
        <w:spacing w:line="266" w:lineRule="auto" w:before="0"/>
        <w:ind w:left="1066" w:right="0" w:hanging="252"/>
        <w:jc w:val="left"/>
      </w:pPr>
      <w:r>
        <w:rPr>
          <w:sz w:val="22"/>
          <w:szCs w:val="22"/>
        </w:rPr>
        <w:t>③</w:t>
      </w:r>
      <w:r>
        <w:rPr/>
        <w:t>购买子公司少数股权</w:t>
      </w:r>
      <w:r>
        <w:rPr/>
        <w:t> </w:t>
      </w:r>
      <w:r>
        <w:rPr>
          <w:spacing w:val="2"/>
        </w:rPr>
        <w:t>本公司因购买少数股权新取得的长期股权投资与按照新增持股比例计算应享有子公司自购买日</w:t>
      </w:r>
    </w:p>
    <w:p>
      <w:pPr>
        <w:pStyle w:val="Heading6"/>
        <w:spacing w:line="273" w:lineRule="auto" w:before="14"/>
        <w:ind w:right="0"/>
        <w:jc w:val="left"/>
      </w:pPr>
      <w:r>
        <w:rPr>
          <w:spacing w:val="-2"/>
        </w:rPr>
        <w:t>（或合并日）开始持续计算的净资产份额之间的差额，调整合并资产负债表中的资本公积中的股本</w:t>
      </w:r>
      <w:r>
        <w:rPr>
          <w:spacing w:val="-73"/>
        </w:rPr>
        <w:t> </w:t>
      </w:r>
      <w:r>
        <w:rPr>
          <w:spacing w:val="-73"/>
        </w:rPr>
      </w:r>
      <w:r>
        <w:rPr/>
        <w:t>溢价，资本公积中的股本溢价不足冲减的，调整留存收益。</w:t>
      </w:r>
    </w:p>
    <w:p>
      <w:pPr>
        <w:pStyle w:val="Heading6"/>
        <w:spacing w:line="266" w:lineRule="auto" w:before="0"/>
        <w:ind w:left="982" w:right="0" w:hanging="168"/>
        <w:jc w:val="left"/>
      </w:pPr>
      <w:r>
        <w:rPr>
          <w:sz w:val="22"/>
          <w:szCs w:val="22"/>
        </w:rPr>
        <w:t>④</w:t>
      </w:r>
      <w:r>
        <w:rPr/>
        <w:t>不丧失控制权的情况下部分处置对子公司的股权投资</w:t>
      </w:r>
      <w:r>
        <w:rPr/>
        <w:t> </w:t>
      </w:r>
      <w:r>
        <w:rPr>
          <w:spacing w:val="4"/>
        </w:rPr>
        <w:t>在不丧失控制权的情况下因部分处置对子公司的长期股权投资而取得的处置价款与处置长期股</w:t>
      </w:r>
    </w:p>
    <w:p>
      <w:pPr>
        <w:pStyle w:val="Heading6"/>
        <w:spacing w:line="273" w:lineRule="auto" w:before="14"/>
        <w:ind w:right="0"/>
        <w:jc w:val="left"/>
      </w:pPr>
      <w:r>
        <w:rPr>
          <w:spacing w:val="-2"/>
        </w:rPr>
        <w:t>权投资相对应享有子公司自购买日或合并日开始持续计算的净资产份额之间的差额，调整合并资产</w:t>
      </w:r>
      <w:r>
        <w:rPr>
          <w:spacing w:val="-71"/>
        </w:rPr>
        <w:t> </w:t>
      </w:r>
      <w:r>
        <w:rPr>
          <w:spacing w:val="-71"/>
        </w:rPr>
      </w:r>
      <w:r>
        <w:rPr/>
        <w:t>负债表中的资本公积中的股本溢价，资本公积中的股本溢价不足冲减的，调整留存收益。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left="154" w:right="0"/>
        <w:jc w:val="left"/>
        <w:rPr>
          <w:b w:val="0"/>
          <w:bCs w:val="0"/>
        </w:rPr>
      </w:pPr>
      <w:bookmarkStart w:name="7、合营安排分类及共同经营会计处理方法" w:id="170"/>
      <w:bookmarkEnd w:id="170"/>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590" w:lineRule="atLeast" w:before="53"/>
        <w:ind w:left="607" w:right="0" w:hanging="454"/>
        <w:jc w:val="left"/>
        <w:rPr>
          <w:rFonts w:ascii="宋体" w:hAnsi="宋体" w:cs="宋体" w:eastAsia="宋体" w:hint="default"/>
          <w:sz w:val="21"/>
          <w:szCs w:val="21"/>
        </w:rPr>
      </w:pPr>
      <w:bookmarkStart w:name="8、现金及现金等价物的确定标准" w:id="171"/>
      <w:bookmarkEnd w:id="171"/>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2"/>
          <w:sz w:val="21"/>
          <w:szCs w:val="21"/>
        </w:rPr>
        <w:t>在编制现金流量表时，将本公司库存现金以及可以随时用于支付的存款确认为现金。将同时具备期限</w:t>
      </w:r>
    </w:p>
    <w:p>
      <w:pPr>
        <w:pStyle w:val="Heading6"/>
        <w:spacing w:line="273" w:lineRule="auto" w:before="37"/>
        <w:ind w:left="271" w:right="1021"/>
        <w:jc w:val="left"/>
      </w:pPr>
      <w:r>
        <w:rPr>
          <w:spacing w:val="-1"/>
        </w:rPr>
        <w:t>短（从购买日起三个月内到期）、流动性强、易于转换为已知现金、价值变动风险很小四个条件的投资，</w:t>
      </w:r>
      <w:r>
        <w:rPr>
          <w:spacing w:val="-98"/>
        </w:rPr>
        <w:t> </w:t>
      </w:r>
      <w:r>
        <w:rPr>
          <w:spacing w:val="-98"/>
        </w:rPr>
      </w:r>
      <w:r>
        <w:rPr/>
        <w:t>确定为现金等价物。</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left="154" w:right="0"/>
        <w:jc w:val="left"/>
        <w:rPr>
          <w:b w:val="0"/>
          <w:bCs w:val="0"/>
        </w:rPr>
      </w:pPr>
      <w:bookmarkStart w:name="9、外币业务和外币报表折算" w:id="172"/>
      <w:bookmarkEnd w:id="172"/>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Heading6"/>
        <w:spacing w:line="273" w:lineRule="auto" w:before="0"/>
        <w:ind w:left="511" w:right="0"/>
        <w:jc w:val="left"/>
      </w:pPr>
      <w:r>
        <w:rPr/>
        <w:t>外币业务采用交易发生日的即期汇率作为折算汇率将外币金额折合成人民币记账。 资产负债表日外币货币性项目余额按资产负债表日即期汇率折算，由此产生的汇兑差额，除属于与购</w:t>
      </w:r>
    </w:p>
    <w:p>
      <w:pPr>
        <w:pStyle w:val="Heading6"/>
        <w:spacing w:line="273" w:lineRule="auto"/>
        <w:ind w:left="259" w:right="0"/>
        <w:jc w:val="left"/>
      </w:pPr>
      <w:r>
        <w:rPr/>
        <w:t>建符合资本化条件的资产相关的外币专门借款产生的汇兑差额按照借款费用资本化的原则处理外，均计</w:t>
      </w:r>
      <w:r>
        <w:rPr>
          <w:spacing w:val="-35"/>
        </w:rPr>
        <w:t> </w:t>
      </w:r>
      <w:r>
        <w:rPr>
          <w:spacing w:val="-35"/>
        </w:rPr>
      </w:r>
      <w:r>
        <w:rPr/>
        <w:t>入当期损益。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10、金融工具" w:id="173"/>
      <w:bookmarkEnd w:id="173"/>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Heading6"/>
        <w:spacing w:line="240" w:lineRule="auto" w:before="0"/>
        <w:ind w:left="571" w:right="0"/>
        <w:jc w:val="left"/>
      </w:pPr>
      <w:r>
        <w:rPr/>
        <w:t>金融工具包括金融资产、金融负债和权益工具。</w:t>
      </w:r>
    </w:p>
    <w:p>
      <w:pPr>
        <w:spacing w:line="256" w:lineRule="auto" w:before="37"/>
        <w:ind w:left="766" w:right="0" w:hanging="25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、金融工具的分类</w:t>
      </w:r>
      <w:r>
        <w:rPr>
          <w:rFonts w:ascii="宋体" w:hAnsi="宋体" w:cs="宋体" w:eastAsia="宋体" w:hint="default"/>
          <w:b/>
          <w:bCs/>
          <w:w w:val="99"/>
          <w:sz w:val="21"/>
          <w:szCs w:val="21"/>
        </w:rPr>
        <w:t> </w:t>
      </w:r>
      <w:r>
        <w:rPr>
          <w:rFonts w:ascii="宋体" w:hAnsi="宋体" w:cs="宋体" w:eastAsia="宋体" w:hint="default"/>
          <w:spacing w:val="-1"/>
          <w:sz w:val="21"/>
          <w:szCs w:val="21"/>
        </w:rPr>
        <w:t>管理层按照取得持有金融资产和承担金融负债的目的，将其划分为：以公允价值计量且其变动计入</w:t>
      </w:r>
    </w:p>
    <w:p>
      <w:pPr>
        <w:pStyle w:val="Heading6"/>
        <w:spacing w:line="273" w:lineRule="auto" w:before="22"/>
        <w:ind w:left="514" w:right="0"/>
        <w:jc w:val="left"/>
      </w:pPr>
      <w:r>
        <w:rPr/>
        <w:t>当期损益的金融资产或金融负债，包括交易性金融资产或金融负债；持有至到期投资；应收款项；可</w:t>
      </w:r>
      <w:r>
        <w:rPr>
          <w:spacing w:val="-72"/>
        </w:rPr>
        <w:t> </w:t>
      </w:r>
      <w:r>
        <w:rPr>
          <w:spacing w:val="-72"/>
        </w:rPr>
      </w:r>
      <w:r>
        <w:rPr/>
        <w:t>供出售金融资产；其他金融负债等。</w:t>
      </w:r>
    </w:p>
    <w:p>
      <w:pPr>
        <w:pStyle w:val="Heading5"/>
        <w:spacing w:line="240" w:lineRule="auto" w:before="7"/>
        <w:ind w:left="510" w:right="0"/>
        <w:jc w:val="left"/>
        <w:rPr>
          <w:b w:val="0"/>
          <w:bCs w:val="0"/>
        </w:rPr>
      </w:pPr>
      <w:r>
        <w:rPr>
          <w:rFonts w:ascii="Times New Roman" w:hAnsi="Times New Roman" w:cs="Times New Roman" w:eastAsia="Times New Roman" w:hint="default"/>
        </w:rPr>
        <w:t>(2)</w:t>
      </w:r>
      <w:r>
        <w:rPr/>
        <w:t>、金融工具的确认依据和计量方法</w:t>
      </w:r>
      <w:r>
        <w:rPr>
          <w:b w:val="0"/>
          <w:bCs w:val="0"/>
        </w:rPr>
      </w:r>
    </w:p>
    <w:p>
      <w:pPr>
        <w:pStyle w:val="Heading6"/>
        <w:spacing w:line="266" w:lineRule="auto" w:before="13"/>
        <w:ind w:left="982" w:right="0" w:hanging="203"/>
        <w:jc w:val="left"/>
      </w:pPr>
      <w:r>
        <w:rPr>
          <w:sz w:val="22"/>
          <w:szCs w:val="22"/>
        </w:rPr>
        <w:t>①</w:t>
      </w:r>
      <w:r>
        <w:rPr/>
        <w:t>以公允价值计量且其变动计入当期损益的金融资产（金融负债）</w:t>
      </w:r>
      <w:r>
        <w:rPr/>
        <w:t> </w:t>
      </w:r>
      <w:r>
        <w:rPr>
          <w:spacing w:val="-1"/>
        </w:rPr>
        <w:t>取得时以公允价值（扣除已宣告但尚未发放的现金股利或已到付息期但尚未领取的债券利息）作</w:t>
      </w:r>
    </w:p>
    <w:p>
      <w:pPr>
        <w:pStyle w:val="Heading6"/>
        <w:spacing w:line="273" w:lineRule="auto" w:before="14"/>
        <w:ind w:left="982" w:right="1104" w:hanging="168"/>
        <w:jc w:val="left"/>
      </w:pPr>
      <w:r>
        <w:rPr/>
        <w:t>为初始确认金额，相关的交易费用计入当期损益。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spacing w:after="0" w:line="273" w:lineRule="auto"/>
        <w:jc w:val="left"/>
        <w:sectPr>
          <w:pgSz w:w="11910" w:h="16840"/>
          <w:pgMar w:header="747" w:footer="979" w:top="1060" w:bottom="1160" w:left="980" w:right="0"/>
        </w:sectPr>
      </w:pPr>
    </w:p>
    <w:p>
      <w:pPr>
        <w:spacing w:line="240" w:lineRule="auto" w:before="4"/>
        <w:rPr>
          <w:rFonts w:ascii="宋体" w:hAnsi="宋体" w:cs="宋体" w:eastAsia="宋体" w:hint="default"/>
          <w:sz w:val="24"/>
          <w:szCs w:val="24"/>
        </w:rPr>
      </w:pPr>
    </w:p>
    <w:p>
      <w:pPr>
        <w:pStyle w:val="Heading6"/>
        <w:spacing w:line="266" w:lineRule="auto" w:before="31"/>
        <w:ind w:left="982" w:right="0" w:hanging="168"/>
        <w:jc w:val="left"/>
      </w:pPr>
      <w:r>
        <w:rPr>
          <w:sz w:val="22"/>
          <w:szCs w:val="22"/>
        </w:rPr>
        <w:t>②</w:t>
      </w:r>
      <w:r>
        <w:rPr/>
        <w:t>持有至到期投资</w:t>
      </w:r>
      <w:r>
        <w:rPr/>
        <w:t> </w:t>
      </w:r>
      <w:r>
        <w:rPr>
          <w:spacing w:val="-1"/>
        </w:rPr>
        <w:t>取得时按公允价值（扣除已到付息期但尚未领取的债券利息）和相关交易费用之和作为初始确认</w:t>
      </w:r>
    </w:p>
    <w:p>
      <w:pPr>
        <w:pStyle w:val="Heading6"/>
        <w:spacing w:line="273" w:lineRule="auto" w:before="14"/>
        <w:ind w:left="982" w:right="1104" w:hanging="168"/>
        <w:jc w:val="left"/>
      </w:pPr>
      <w:r>
        <w:rPr/>
        <w:t>金额。 持有期间按照摊余成本和实际利率计算确认利息收入，计入投资收益。实际利率在取得时确定，</w:t>
      </w:r>
    </w:p>
    <w:p>
      <w:pPr>
        <w:pStyle w:val="Heading6"/>
        <w:spacing w:line="273" w:lineRule="auto" w:before="8"/>
        <w:ind w:left="898" w:right="3708" w:hanging="84"/>
        <w:jc w:val="left"/>
      </w:pPr>
      <w:r>
        <w:rPr/>
        <w:t>在该预期存续期间或适用的更短期间内保持不变。 处置时，将所取得价款与该投资账面价值之间的差额计入投资收益。</w:t>
      </w:r>
    </w:p>
    <w:p>
      <w:pPr>
        <w:pStyle w:val="Heading6"/>
        <w:spacing w:line="266" w:lineRule="auto" w:before="0"/>
        <w:ind w:left="1066" w:right="1118" w:hanging="252"/>
        <w:jc w:val="left"/>
      </w:pPr>
      <w:r>
        <w:rPr>
          <w:sz w:val="22"/>
          <w:szCs w:val="22"/>
        </w:rPr>
        <w:t>③</w:t>
      </w:r>
      <w:r>
        <w:rPr/>
        <w:t>应收款项</w:t>
      </w:r>
      <w:r>
        <w:rPr/>
        <w:t> </w:t>
      </w:r>
      <w:r>
        <w:rPr>
          <w:spacing w:val="-3"/>
        </w:rPr>
        <w:t>公司对外销售商品或提供劳务形成的应收债权，以及公司持有的其他企业的不包括在活跃市场上</w:t>
      </w:r>
    </w:p>
    <w:p>
      <w:pPr>
        <w:pStyle w:val="Heading6"/>
        <w:spacing w:line="273" w:lineRule="auto" w:before="14"/>
        <w:ind w:right="0"/>
        <w:jc w:val="left"/>
      </w:pPr>
      <w:r>
        <w:rPr>
          <w:spacing w:val="-2"/>
        </w:rPr>
        <w:t>有报价的债务工具的债权，包括应收账款、其他应收款等，以向购货方应收的合同或协议价款作为</w:t>
      </w:r>
      <w:r>
        <w:rPr>
          <w:spacing w:val="-70"/>
        </w:rPr>
        <w:t> </w:t>
      </w:r>
      <w:r>
        <w:rPr>
          <w:spacing w:val="-70"/>
        </w:rPr>
      </w:r>
      <w:r>
        <w:rPr/>
        <w:t>初始确认金额；具有融资性质的，按其现值进行初始确认。</w:t>
      </w:r>
    </w:p>
    <w:p>
      <w:pPr>
        <w:pStyle w:val="Heading6"/>
        <w:spacing w:line="240" w:lineRule="auto"/>
        <w:ind w:left="1114" w:right="0"/>
        <w:jc w:val="left"/>
      </w:pPr>
      <w:r>
        <w:rPr/>
        <w:t>收回或处置时，将取得的价款与该应收款项账面价值之间的差额计入当期损益。</w:t>
      </w:r>
    </w:p>
    <w:p>
      <w:pPr>
        <w:pStyle w:val="Heading6"/>
        <w:spacing w:line="266" w:lineRule="auto" w:before="29"/>
        <w:ind w:left="1066" w:right="0" w:hanging="252"/>
        <w:jc w:val="left"/>
      </w:pPr>
      <w:r>
        <w:rPr>
          <w:sz w:val="22"/>
          <w:szCs w:val="22"/>
        </w:rPr>
        <w:t>④</w:t>
      </w:r>
      <w:r>
        <w:rPr/>
        <w:t>可供出售金融资产</w:t>
      </w:r>
      <w:r>
        <w:rPr/>
        <w:t> </w:t>
      </w:r>
      <w:r>
        <w:rPr>
          <w:spacing w:val="-3"/>
        </w:rPr>
        <w:t>取得时按公允价值（扣除已宣告但尚未发放的现金股利或已到付息期但尚未领取的债券利息）和</w:t>
      </w:r>
    </w:p>
    <w:p>
      <w:pPr>
        <w:pStyle w:val="Heading6"/>
        <w:spacing w:line="273" w:lineRule="auto" w:before="14"/>
        <w:ind w:left="982" w:right="0" w:hanging="168"/>
        <w:jc w:val="left"/>
      </w:pPr>
      <w:r>
        <w:rPr/>
        <w:t>相关交易费用之和作为初始确认金额。 </w:t>
      </w:r>
      <w:r>
        <w:rPr>
          <w:spacing w:val="-1"/>
        </w:rPr>
        <w:t>持有期间将取得的利息或现金股利确认为投资收益。期末以公允价值计量且将公允价值变动计入</w:t>
      </w:r>
    </w:p>
    <w:p>
      <w:pPr>
        <w:pStyle w:val="Heading6"/>
        <w:spacing w:line="273" w:lineRule="auto"/>
        <w:ind w:right="0"/>
        <w:jc w:val="left"/>
      </w:pPr>
      <w:r>
        <w:rPr>
          <w:spacing w:val="-2"/>
        </w:rPr>
        <w:t>其他综合收益。但是，在活跃市场中没有报价且其公允价值不能可靠计量的权益工具投资，以及与</w:t>
      </w:r>
      <w:r>
        <w:rPr>
          <w:spacing w:val="-72"/>
        </w:rPr>
        <w:t> </w:t>
      </w:r>
      <w:r>
        <w:rPr>
          <w:spacing w:val="-72"/>
        </w:rPr>
      </w:r>
      <w:r>
        <w:rPr/>
        <w:t>该权益工具挂钩并须通过交付该权益工具结算的衍生金融资产，按照成本计量。</w:t>
      </w:r>
    </w:p>
    <w:p>
      <w:pPr>
        <w:pStyle w:val="Heading6"/>
        <w:spacing w:line="273" w:lineRule="auto"/>
        <w:ind w:left="1114" w:right="0"/>
        <w:jc w:val="left"/>
      </w:pPr>
      <w:r>
        <w:rPr/>
        <w:t>处置时，将取得的价款与该金融资产账面价值之间的差额，计入投资损益；同时，将原直接计</w:t>
      </w:r>
      <w:r>
        <w:rPr>
          <w:spacing w:val="-50"/>
        </w:rPr>
        <w:t> </w:t>
      </w:r>
      <w:r>
        <w:rPr>
          <w:spacing w:val="-50"/>
        </w:rPr>
      </w:r>
      <w:r>
        <w:rPr/>
        <w:t>入其他综合收益的公允价值变动累计额对应处置部分的金额转出，计入当期损益。</w:t>
      </w:r>
    </w:p>
    <w:p>
      <w:pPr>
        <w:pStyle w:val="Heading6"/>
        <w:spacing w:line="266" w:lineRule="auto" w:before="0"/>
        <w:ind w:left="1066" w:right="2070" w:hanging="252"/>
        <w:jc w:val="left"/>
      </w:pPr>
      <w:r>
        <w:rPr>
          <w:sz w:val="22"/>
          <w:szCs w:val="22"/>
        </w:rPr>
        <w:t>⑤</w:t>
      </w:r>
      <w:r>
        <w:rPr/>
        <w:t>其他金融负债</w:t>
      </w:r>
      <w:r>
        <w:rPr/>
        <w:t> 按其公允价值和相关交易费用之和作为初始确认金额。采用摊余成本进行后续计量。</w:t>
      </w:r>
    </w:p>
    <w:p>
      <w:pPr>
        <w:spacing w:line="256" w:lineRule="auto" w:before="14"/>
        <w:ind w:left="1066" w:right="0" w:hanging="55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3"/>
          <w:sz w:val="21"/>
          <w:szCs w:val="21"/>
        </w:rPr>
        <w:t>公司发生金融资产转移时，如已将金融资产所有权上几乎所有的风险和报酬转移给转入方，则终</w:t>
      </w:r>
    </w:p>
    <w:p>
      <w:pPr>
        <w:pStyle w:val="Heading6"/>
        <w:spacing w:line="273" w:lineRule="auto" w:before="22"/>
        <w:ind w:right="1118"/>
        <w:jc w:val="left"/>
      </w:pPr>
      <w:r>
        <w:rPr>
          <w:spacing w:val="-2"/>
        </w:rPr>
        <w:t>止确认该金融资产；如保留了金融资产所有权上几乎所有的风险和报酬的，则不终止确认该金融资</w:t>
      </w:r>
      <w:r>
        <w:rPr>
          <w:spacing w:val="-73"/>
        </w:rPr>
        <w:t> </w:t>
      </w:r>
      <w:r>
        <w:rPr>
          <w:spacing w:val="-73"/>
        </w:rPr>
      </w:r>
      <w:r>
        <w:rPr/>
        <w:t>产。</w:t>
      </w:r>
    </w:p>
    <w:p>
      <w:pPr>
        <w:pStyle w:val="Heading6"/>
        <w:spacing w:line="273" w:lineRule="auto"/>
        <w:ind w:left="1114" w:right="1014" w:firstLine="168"/>
        <w:jc w:val="left"/>
      </w:pPr>
      <w:r>
        <w:rPr>
          <w:spacing w:val="-3"/>
        </w:rPr>
        <w:t>在判断金融资产转移是否满足上述金融资产终止确认条件时，采用实质重于形式的原则。公司</w:t>
      </w:r>
      <w:r>
        <w:rPr/>
        <w:t> </w:t>
      </w:r>
      <w:r>
        <w:rPr>
          <w:spacing w:val="-1"/>
        </w:rPr>
        <w:t>将金融资产转移区分为金融资产整体转移和部分转移。金融资产整体转移满足终止确认条件的，</w:t>
      </w:r>
      <w:r>
        <w:rPr>
          <w:spacing w:val="-101"/>
        </w:rPr>
        <w:t> </w:t>
      </w:r>
      <w:r>
        <w:rPr>
          <w:spacing w:val="-101"/>
        </w:rPr>
      </w:r>
      <w:r>
        <w:rPr/>
        <w:t>将下列两项金额的差额计入当期损益：</w:t>
      </w:r>
    </w:p>
    <w:p>
      <w:pPr>
        <w:pStyle w:val="Heading6"/>
        <w:spacing w:line="288" w:lineRule="exact" w:before="0"/>
        <w:ind w:left="1203" w:right="0"/>
        <w:jc w:val="left"/>
      </w:pPr>
      <w:r>
        <w:rPr>
          <w:sz w:val="22"/>
          <w:szCs w:val="22"/>
        </w:rPr>
        <w:t>①</w:t>
      </w:r>
      <w:r>
        <w:rPr/>
        <w:t>所转移金融资产的账面价值；</w:t>
      </w:r>
    </w:p>
    <w:p>
      <w:pPr>
        <w:pStyle w:val="Heading6"/>
        <w:spacing w:line="266" w:lineRule="auto" w:before="24"/>
        <w:ind w:left="1114" w:right="1125" w:firstLine="88"/>
        <w:jc w:val="left"/>
      </w:pPr>
      <w:r>
        <w:rPr>
          <w:spacing w:val="-1"/>
          <w:sz w:val="22"/>
          <w:szCs w:val="22"/>
        </w:rPr>
        <w:t>②</w:t>
      </w:r>
      <w:r>
        <w:rPr>
          <w:spacing w:val="-1"/>
        </w:rPr>
        <w:t>因转移而收到的对价，与原直接计入所有者权益的公允价值变动累计额（涉及转移的金融资</w:t>
      </w:r>
      <w:r>
        <w:rPr/>
        <w:t> 产为可供出售金融资产的情形）之和。</w:t>
      </w:r>
    </w:p>
    <w:p>
      <w:pPr>
        <w:pStyle w:val="Heading6"/>
        <w:spacing w:line="273" w:lineRule="auto" w:before="14"/>
        <w:ind w:left="1114" w:right="1132" w:firstLine="168"/>
        <w:jc w:val="both"/>
      </w:pPr>
      <w:r>
        <w:rPr>
          <w:spacing w:val="-3"/>
        </w:rPr>
        <w:t>金融资产部分转移满足终止确认条件的，将所转移金融资产整体的账面价值，在终止确认部分</w:t>
      </w:r>
      <w:r>
        <w:rPr/>
        <w:t> 和未终止确认部分之间，按照各自的相对公允价值进行分摊，并将下列两项金额的差额计入当</w:t>
      </w:r>
      <w:r>
        <w:rPr>
          <w:spacing w:val="-50"/>
        </w:rPr>
        <w:t> </w:t>
      </w:r>
      <w:r>
        <w:rPr>
          <w:spacing w:val="-50"/>
        </w:rPr>
      </w:r>
      <w:r>
        <w:rPr/>
        <w:t>期损益：</w:t>
      </w:r>
    </w:p>
    <w:p>
      <w:pPr>
        <w:pStyle w:val="Heading6"/>
        <w:spacing w:line="288" w:lineRule="exact" w:before="0"/>
        <w:ind w:left="1203" w:right="0"/>
        <w:jc w:val="left"/>
      </w:pPr>
      <w:r>
        <w:rPr>
          <w:sz w:val="22"/>
          <w:szCs w:val="22"/>
        </w:rPr>
        <w:t>①</w:t>
      </w:r>
      <w:r>
        <w:rPr/>
        <w:t>终止确认部分的账面价值；</w:t>
      </w:r>
    </w:p>
    <w:p>
      <w:pPr>
        <w:pStyle w:val="Heading6"/>
        <w:spacing w:line="266" w:lineRule="auto" w:before="24"/>
        <w:ind w:left="1114" w:right="1125" w:firstLine="88"/>
        <w:jc w:val="left"/>
      </w:pPr>
      <w:r>
        <w:rPr>
          <w:spacing w:val="-1"/>
          <w:sz w:val="22"/>
          <w:szCs w:val="22"/>
        </w:rPr>
        <w:t>②</w:t>
      </w:r>
      <w:r>
        <w:rPr>
          <w:spacing w:val="-1"/>
        </w:rPr>
        <w:t>终止确认部分的对价，与原直接计入所有者权益的公允价值变动累计额中对应终止确认部分</w:t>
      </w:r>
      <w:r>
        <w:rPr/>
        <w:t> 的金额（涉及转移的金融资产为可供出售金融资产的情形）之和。</w:t>
      </w:r>
    </w:p>
    <w:p>
      <w:pPr>
        <w:pStyle w:val="Heading6"/>
        <w:spacing w:line="273" w:lineRule="auto" w:before="14"/>
        <w:ind w:left="1414" w:right="1118"/>
        <w:jc w:val="left"/>
      </w:pPr>
      <w:r>
        <w:rPr>
          <w:spacing w:val="-1"/>
        </w:rPr>
        <w:t>金融资产转移不满足终止确认条件的，继续确认该金融资产，所收到的对价确认为一项金融</w:t>
      </w:r>
      <w:r>
        <w:rPr>
          <w:spacing w:val="-87"/>
        </w:rPr>
        <w:t> </w:t>
      </w:r>
      <w:r>
        <w:rPr>
          <w:spacing w:val="-87"/>
        </w:rPr>
      </w:r>
      <w:r>
        <w:rPr/>
        <w:t>负债。</w:t>
      </w:r>
    </w:p>
    <w:p>
      <w:pPr>
        <w:spacing w:line="256" w:lineRule="auto" w:before="7"/>
        <w:ind w:left="982" w:right="0" w:hanging="47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金融负债的现时义务全部或部分已经解除的，则终止确认该金融负债或其一部分；本公司若与债</w:t>
      </w:r>
    </w:p>
    <w:p>
      <w:pPr>
        <w:pStyle w:val="Heading6"/>
        <w:spacing w:line="273" w:lineRule="auto" w:before="22"/>
        <w:ind w:right="0"/>
        <w:jc w:val="left"/>
      </w:pPr>
      <w:r>
        <w:rPr>
          <w:spacing w:val="-2"/>
        </w:rPr>
        <w:t>权人签定协议，以承担新金融负债方式替换现存金融负债，且新金融负债与现存金融负债的合同条</w:t>
      </w:r>
      <w:r>
        <w:rPr>
          <w:spacing w:val="-73"/>
        </w:rPr>
        <w:t> </w:t>
      </w:r>
      <w:r>
        <w:rPr>
          <w:spacing w:val="-73"/>
        </w:rPr>
      </w:r>
      <w:r>
        <w:rPr/>
        <w:t>款实质上不同的，则终止确认现存金融负债，并同时确认新金融负债。</w:t>
      </w:r>
    </w:p>
    <w:p>
      <w:pPr>
        <w:pStyle w:val="Heading6"/>
        <w:spacing w:line="240" w:lineRule="auto"/>
        <w:ind w:left="982" w:right="0"/>
        <w:jc w:val="left"/>
      </w:pPr>
      <w:r>
        <w:rPr/>
        <w:t>对现存金融负债全部或部分合同条款作出实质性修改的，则终止确认现存金融负债或其一部分，</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left="982" w:right="0" w:hanging="168"/>
        <w:jc w:val="left"/>
      </w:pPr>
      <w:r>
        <w:rPr/>
        <w:t>同时将修改条款后的金融负债确认为一项新金融负债。 </w:t>
      </w:r>
      <w:r>
        <w:rPr>
          <w:spacing w:val="-1"/>
        </w:rPr>
        <w:t>金融负债全部或部分终止确认时，终止确认的金融负债账面价值与支付对价（包括转出的非现金</w:t>
      </w:r>
    </w:p>
    <w:p>
      <w:pPr>
        <w:pStyle w:val="Heading6"/>
        <w:spacing w:line="273" w:lineRule="auto"/>
        <w:ind w:left="982" w:right="0" w:hanging="168"/>
        <w:jc w:val="left"/>
      </w:pPr>
      <w:r>
        <w:rPr/>
        <w:t>资产或承担的新金融负债）之间的差额，计入当期损益。 </w:t>
      </w:r>
      <w:r>
        <w:rPr>
          <w:spacing w:val="-1"/>
        </w:rPr>
        <w:t>本公司若回购部分金融负债的，在回购日按照继续确认部分与终止确认部分的相对公允价值，将</w:t>
      </w:r>
    </w:p>
    <w:p>
      <w:pPr>
        <w:pStyle w:val="Heading6"/>
        <w:spacing w:line="273" w:lineRule="auto" w:before="8"/>
        <w:ind w:right="0"/>
        <w:jc w:val="left"/>
      </w:pPr>
      <w:r>
        <w:rPr>
          <w:spacing w:val="-2"/>
        </w:rPr>
        <w:t>该金融负债整体的账面价值进行分配。分配给终止确认部分的账面价值与支付的对价（包括转出的</w:t>
      </w:r>
      <w:r>
        <w:rPr>
          <w:spacing w:val="-73"/>
        </w:rPr>
        <w:t> </w:t>
      </w:r>
      <w:r>
        <w:rPr>
          <w:spacing w:val="-73"/>
        </w:rPr>
      </w:r>
      <w:r>
        <w:rPr/>
        <w:t>非现金资产或承担的新金融负债）之间的差额，计入当期损益。</w:t>
      </w:r>
    </w:p>
    <w:p>
      <w:pPr>
        <w:spacing w:line="256" w:lineRule="auto" w:before="7"/>
        <w:ind w:left="766" w:right="1110" w:hanging="25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存在活跃市场的金融工具，以活跃市场中的报价确定其公允价值。不存在活跃市场的金融工具，采</w:t>
      </w:r>
    </w:p>
    <w:p>
      <w:pPr>
        <w:pStyle w:val="Heading6"/>
        <w:spacing w:line="273" w:lineRule="auto" w:before="22"/>
        <w:ind w:left="513" w:right="1131"/>
        <w:jc w:val="both"/>
      </w:pPr>
      <w:r>
        <w:rPr/>
        <w:t>用估值技术确定其公允价值。在估值时，本公司采用在当前情况下适用并且有足够可利用数据和其他</w:t>
      </w:r>
      <w:r>
        <w:rPr>
          <w:spacing w:val="-72"/>
        </w:rPr>
        <w:t> </w:t>
      </w:r>
      <w:r>
        <w:rPr>
          <w:spacing w:val="-72"/>
        </w:rPr>
      </w:r>
      <w:r>
        <w:rPr/>
        <w:t>信息支持的估值技术，选择与市场参与者在相关资产或负债的交易中所考虑的资产或负债特征相一致</w:t>
      </w:r>
      <w:r>
        <w:rPr>
          <w:spacing w:val="-72"/>
        </w:rPr>
        <w:t> </w:t>
      </w:r>
      <w:r>
        <w:rPr>
          <w:spacing w:val="-72"/>
        </w:rPr>
      </w:r>
      <w:r>
        <w:rPr/>
        <w:t>的输入值，并优先使用相关可观察输入值。只有在相关可观察输入值无法取得或取得不切实可行的情</w:t>
      </w:r>
      <w:r>
        <w:rPr>
          <w:spacing w:val="-69"/>
        </w:rPr>
        <w:t> </w:t>
      </w:r>
      <w:r>
        <w:rPr>
          <w:spacing w:val="-69"/>
        </w:rPr>
      </w:r>
      <w:r>
        <w:rPr/>
        <w:t>况下，才使用不可观察输入值。</w:t>
      </w:r>
    </w:p>
    <w:p>
      <w:pPr>
        <w:spacing w:line="256" w:lineRule="auto" w:before="7"/>
        <w:ind w:left="766" w:right="0" w:hanging="25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、金融资产（不含应收款项）减值准备计提</w:t>
      </w:r>
      <w:r>
        <w:rPr>
          <w:rFonts w:ascii="宋体" w:hAnsi="宋体" w:cs="宋体" w:eastAsia="宋体" w:hint="default"/>
          <w:b/>
          <w:bCs/>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除以公允价值计量且其变动计入当期损益的金融资产外，本公司于资产负债表日对金融资产的账面</w:t>
      </w:r>
    </w:p>
    <w:p>
      <w:pPr>
        <w:pStyle w:val="Heading6"/>
        <w:spacing w:line="240" w:lineRule="auto" w:before="22"/>
        <w:ind w:left="514" w:right="0"/>
        <w:jc w:val="left"/>
      </w:pPr>
      <w:r>
        <w:rPr/>
        <w:t>价值进行检查，如果有客观证据表明某项金融资产发生减值的，计提减值准备。</w:t>
      </w:r>
    </w:p>
    <w:p>
      <w:pPr>
        <w:pStyle w:val="Heading6"/>
        <w:spacing w:line="266" w:lineRule="auto" w:before="29"/>
        <w:ind w:left="982" w:right="0" w:hanging="168"/>
        <w:jc w:val="left"/>
      </w:pPr>
      <w:r>
        <w:rPr>
          <w:sz w:val="22"/>
          <w:szCs w:val="22"/>
        </w:rPr>
        <w:t>①</w:t>
      </w:r>
      <w:r>
        <w:rPr/>
        <w:t>可供出售金融资产的减值准备：</w:t>
      </w:r>
      <w:r>
        <w:rPr/>
        <w:t> </w:t>
      </w:r>
      <w:r>
        <w:rPr>
          <w:spacing w:val="-1"/>
        </w:rPr>
        <w:t>期末如果可供出售金融资产的公允价值发生较大幅度下降，或在综合考虑各种相关因素后，预期</w:t>
      </w:r>
    </w:p>
    <w:p>
      <w:pPr>
        <w:pStyle w:val="Heading6"/>
        <w:spacing w:line="273" w:lineRule="auto" w:before="14"/>
        <w:ind w:right="0"/>
        <w:jc w:val="left"/>
      </w:pPr>
      <w:r>
        <w:rPr>
          <w:spacing w:val="-2"/>
        </w:rPr>
        <w:t>这种下降趋势属于非暂时性的，就认定其已发生减值，将原直接计入所有者权益的公允价值下降形</w:t>
      </w:r>
      <w:r>
        <w:rPr>
          <w:spacing w:val="-73"/>
        </w:rPr>
        <w:t> </w:t>
      </w:r>
      <w:r>
        <w:rPr>
          <w:spacing w:val="-73"/>
        </w:rPr>
      </w:r>
      <w:r>
        <w:rPr/>
        <w:t>成的累计损失一并转出，确认减值损失。</w:t>
      </w:r>
    </w:p>
    <w:p>
      <w:pPr>
        <w:pStyle w:val="Heading6"/>
        <w:spacing w:line="273" w:lineRule="auto"/>
        <w:ind w:right="0" w:firstLine="168"/>
        <w:jc w:val="left"/>
      </w:pPr>
      <w:r>
        <w:rPr>
          <w:spacing w:val="-1"/>
        </w:rPr>
        <w:t>对于已确认减值损失的可供出售债务工具，在随后的会计期间公允价值已上升且客观上与确认原</w:t>
      </w:r>
      <w:r>
        <w:rPr/>
        <w:t> 减值损失确认后发生的事项有关的，原确认的减值损失予以转回，计入当期损益。</w:t>
      </w:r>
    </w:p>
    <w:p>
      <w:pPr>
        <w:pStyle w:val="Heading6"/>
        <w:spacing w:line="240" w:lineRule="auto"/>
        <w:ind w:left="982" w:right="0"/>
        <w:jc w:val="left"/>
      </w:pPr>
      <w:r>
        <w:rPr/>
        <w:t>可供出售权益工具投资发生的减值损失，不得通过损益转回。</w:t>
      </w:r>
    </w:p>
    <w:p>
      <w:pPr>
        <w:pStyle w:val="Heading6"/>
        <w:spacing w:line="266" w:lineRule="auto" w:before="29"/>
        <w:ind w:left="1114" w:right="3282" w:hanging="300"/>
        <w:jc w:val="left"/>
      </w:pPr>
      <w:r>
        <w:rPr>
          <w:sz w:val="22"/>
          <w:szCs w:val="22"/>
        </w:rPr>
        <w:t>②</w:t>
      </w:r>
      <w:r>
        <w:rPr/>
        <w:t>持有至到期投资的减值准备：</w:t>
      </w:r>
      <w:r>
        <w:rPr/>
        <w:t> 持有至到期投资减值损失的计量比照应收款项减值损失计量方法处理。</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5"/>
        <w:spacing w:line="240" w:lineRule="auto"/>
        <w:ind w:right="0"/>
        <w:jc w:val="left"/>
        <w:rPr>
          <w:b w:val="0"/>
          <w:bCs w:val="0"/>
        </w:rPr>
      </w:pPr>
      <w:bookmarkStart w:name="11、应收款项" w:id="174"/>
      <w:bookmarkEnd w:id="174"/>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单项金额重大并单独计提坏账准备的应收款项" w:id="175"/>
      <w:bookmarkEnd w:id="175"/>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应收款项期末余额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2）按信用风险特征组合计提坏账准备的应收款项" w:id="176"/>
      <w:bookmarkEnd w:id="176"/>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left="154" w:right="0"/>
        <w:jc w:val="left"/>
      </w:pPr>
      <w:r>
        <w:rPr/>
        <w:t>组合中，采用账龄分析法计提坏账准备的：</w:t>
      </w:r>
    </w:p>
    <w:p>
      <w:pPr>
        <w:pStyle w:val="BodyText"/>
        <w:spacing w:line="240" w:lineRule="auto" w:before="116"/>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0"/>
        <w:jc w:val="left"/>
      </w:pPr>
      <w:r>
        <w:rPr/>
        <w:t>组合中，采用余额百分比法计提坏账准备的：</w:t>
      </w:r>
    </w:p>
    <w:p>
      <w:pPr>
        <w:pStyle w:val="BodyText"/>
        <w:spacing w:line="338" w:lineRule="auto" w:before="117"/>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单项金额不重大但单独计提坏账准备的应收款项" w:id="177"/>
      <w:bookmarkEnd w:id="177"/>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有客观证据表明单项金额虽不重大，但因其发生了特殊减值 的应收款应进行单项减值测试。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结合现时情况分析法确认坏账准备计提的比例。</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12、存货" w:id="178"/>
      <w:bookmarkEnd w:id="178"/>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10" w:right="0"/>
        <w:jc w:val="left"/>
        <w:rPr>
          <w:b w:val="0"/>
          <w:bCs w:val="0"/>
        </w:rPr>
      </w:pPr>
      <w:r>
        <w:rPr>
          <w:rFonts w:ascii="Times New Roman" w:hAnsi="Times New Roman" w:cs="Times New Roman" w:eastAsia="Times New Roman" w:hint="default"/>
        </w:rPr>
        <w:t>(1)</w:t>
      </w:r>
      <w:r>
        <w:rPr/>
        <w:t>、存货的分类</w:t>
      </w:r>
      <w:r>
        <w:rPr>
          <w:b w:val="0"/>
          <w:bCs w:val="0"/>
        </w:rPr>
      </w:r>
    </w:p>
    <w:p>
      <w:pPr>
        <w:pStyle w:val="Heading6"/>
        <w:spacing w:line="240" w:lineRule="auto" w:before="21"/>
        <w:ind w:left="982" w:right="0"/>
        <w:jc w:val="left"/>
      </w:pPr>
      <w:r>
        <w:rPr/>
        <w:t>存货分类为：原材料、周转材料、库存商品、在产品、发出商品等。</w:t>
      </w:r>
    </w:p>
    <w:p>
      <w:pPr>
        <w:spacing w:line="256" w:lineRule="auto" w:before="37"/>
        <w:ind w:left="982" w:right="6984" w:hanging="47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、发出存货的计价方法</w:t>
      </w:r>
      <w:r>
        <w:rPr>
          <w:rFonts w:ascii="宋体" w:hAnsi="宋体" w:cs="宋体" w:eastAsia="宋体" w:hint="default"/>
          <w:b/>
          <w:bCs/>
          <w:w w:val="99"/>
          <w:sz w:val="21"/>
          <w:szCs w:val="21"/>
        </w:rPr>
        <w:t> </w:t>
      </w:r>
      <w:r>
        <w:rPr>
          <w:rFonts w:ascii="宋体" w:hAnsi="宋体" w:cs="宋体" w:eastAsia="宋体" w:hint="default"/>
          <w:sz w:val="21"/>
          <w:szCs w:val="21"/>
        </w:rPr>
        <w:t>存货发出时按个别计价法计价。</w:t>
      </w:r>
    </w:p>
    <w:p>
      <w:pPr>
        <w:spacing w:line="256" w:lineRule="auto" w:before="22"/>
        <w:ind w:left="982" w:right="0" w:hanging="47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、不同类别存货可变现净值的确定依据</w:t>
      </w:r>
      <w:r>
        <w:rPr>
          <w:rFonts w:ascii="宋体" w:hAnsi="宋体" w:cs="宋体" w:eastAsia="宋体" w:hint="default"/>
          <w:b/>
          <w:bCs/>
          <w:w w:val="99"/>
          <w:sz w:val="21"/>
          <w:szCs w:val="21"/>
        </w:rPr>
        <w:t> </w:t>
      </w:r>
      <w:r>
        <w:rPr>
          <w:rFonts w:ascii="宋体" w:hAnsi="宋体" w:cs="宋体" w:eastAsia="宋体" w:hint="default"/>
          <w:spacing w:val="-1"/>
          <w:sz w:val="21"/>
          <w:szCs w:val="21"/>
        </w:rPr>
        <w:t>产成品、库存商品和用于出售的材料等直接用于出售的商品存货，在正常生产经营过程中，以该</w:t>
      </w:r>
    </w:p>
    <w:p>
      <w:pPr>
        <w:pStyle w:val="Heading6"/>
        <w:spacing w:line="273" w:lineRule="auto" w:before="22"/>
        <w:ind w:right="0"/>
        <w:jc w:val="left"/>
      </w:pPr>
      <w:r>
        <w:rPr/>
        <w:t>存货的估计售价减去估计的销售费用和相关税费后的金额，确定其可变现净值；需要经过加工的材 </w:t>
      </w:r>
      <w:r>
        <w:rPr>
          <w:spacing w:val="-4"/>
        </w:rPr>
        <w:t>料存货，在正常生产经营过程中，以所生产的产成品的估计售价减去至完工时估计将要发生的成本、</w:t>
      </w:r>
      <w:r>
        <w:rPr>
          <w:spacing w:val="-85"/>
        </w:rPr>
        <w:t> </w:t>
      </w:r>
      <w:r>
        <w:rPr>
          <w:spacing w:val="-85"/>
        </w:rPr>
      </w:r>
      <w:r>
        <w:rPr/>
        <w:t>估计的销售费用和相关税费后的金额，确定其可变现净值；为执行销售合同或者劳务合同而持有的</w:t>
      </w:r>
      <w:r>
        <w:rPr/>
        <w:t> 存货，其可变现净值以合同价格为基础计算，若持有存货的数量多于销售合同订购数量的，超出部 分的存货的可变现净值以一般销售价格为基础计算。</w:t>
      </w:r>
    </w:p>
    <w:p>
      <w:pPr>
        <w:pStyle w:val="Heading6"/>
        <w:spacing w:line="273" w:lineRule="auto"/>
        <w:ind w:right="1130" w:firstLine="168"/>
        <w:jc w:val="both"/>
      </w:pPr>
      <w:r>
        <w:rPr>
          <w:spacing w:val="-1"/>
        </w:rPr>
        <w:t>期末按照单个存货项目计提存货跌价准备；但对于数量繁多、单价较低的存货，按照存货类别计</w:t>
      </w:r>
      <w:r>
        <w:rPr/>
        <w:t> </w:t>
      </w:r>
      <w:r>
        <w:rPr>
          <w:spacing w:val="-2"/>
        </w:rPr>
        <w:t>提存货跌价准备；与在同一地区生产和销售的产品系列相关、具有相同或类似最终用途或目的，且</w:t>
      </w:r>
      <w:r>
        <w:rPr>
          <w:spacing w:val="-70"/>
        </w:rPr>
        <w:t> </w:t>
      </w:r>
      <w:r>
        <w:rPr>
          <w:spacing w:val="-70"/>
        </w:rPr>
      </w:r>
      <w:r>
        <w:rPr/>
        <w:t>难以与其他项目分开计量的存货，则合并计提存货跌价准备。</w:t>
      </w:r>
    </w:p>
    <w:p>
      <w:pPr>
        <w:pStyle w:val="Heading6"/>
        <w:spacing w:line="273" w:lineRule="auto"/>
        <w:ind w:right="0" w:firstLine="168"/>
        <w:jc w:val="left"/>
      </w:pPr>
      <w:r>
        <w:rPr>
          <w:spacing w:val="-1"/>
        </w:rPr>
        <w:t>除有明确证据表明资产负债表日市场价格异常外，存货项目的可变现净值以资产负债表日市场价</w:t>
      </w:r>
      <w:r>
        <w:rPr/>
        <w:t> 格为基础确定。</w:t>
      </w:r>
    </w:p>
    <w:p>
      <w:pPr>
        <w:pStyle w:val="Heading6"/>
        <w:spacing w:line="240" w:lineRule="auto"/>
        <w:ind w:left="982" w:right="0"/>
        <w:jc w:val="left"/>
      </w:pPr>
      <w:r>
        <w:rPr/>
        <w:t>本期期末存货项目的可变现净值以资产负债表日市场价格为基础确定。</w:t>
      </w:r>
    </w:p>
    <w:p>
      <w:pPr>
        <w:pStyle w:val="Heading5"/>
        <w:spacing w:line="240" w:lineRule="auto" w:before="37"/>
        <w:ind w:left="600" w:right="0"/>
        <w:jc w:val="left"/>
        <w:rPr>
          <w:b w:val="0"/>
          <w:bCs w:val="0"/>
        </w:rPr>
      </w:pPr>
      <w:r>
        <w:rPr>
          <w:rFonts w:ascii="Times New Roman" w:hAnsi="Times New Roman" w:cs="Times New Roman" w:eastAsia="Times New Roman" w:hint="default"/>
        </w:rPr>
        <w:t>(4)</w:t>
      </w:r>
      <w:r>
        <w:rPr/>
        <w:t>、存货的盘存制度</w:t>
      </w:r>
      <w:r>
        <w:rPr>
          <w:b w:val="0"/>
          <w:bCs w:val="0"/>
        </w:rPr>
      </w:r>
    </w:p>
    <w:p>
      <w:pPr>
        <w:pStyle w:val="Heading6"/>
        <w:spacing w:line="240" w:lineRule="auto" w:before="21"/>
        <w:ind w:left="850" w:right="7475"/>
        <w:jc w:val="center"/>
      </w:pPr>
      <w:r>
        <w:rPr/>
        <w:t>采用永续盘存制</w:t>
      </w:r>
    </w:p>
    <w:p>
      <w:pPr>
        <w:pStyle w:val="Heading5"/>
        <w:spacing w:line="240" w:lineRule="auto" w:before="37"/>
        <w:ind w:left="510" w:right="0"/>
        <w:jc w:val="left"/>
        <w:rPr>
          <w:b w:val="0"/>
          <w:bCs w:val="0"/>
        </w:rPr>
      </w:pPr>
      <w:r>
        <w:rPr>
          <w:rFonts w:ascii="Times New Roman" w:hAnsi="Times New Roman" w:cs="Times New Roman" w:eastAsia="Times New Roman" w:hint="default"/>
        </w:rPr>
        <w:t>(5)</w:t>
      </w:r>
      <w:r>
        <w:rPr/>
        <w:t>、低值易耗品和包装物的摊销方法</w:t>
      </w:r>
      <w:r>
        <w:rPr>
          <w:b w:val="0"/>
          <w:bCs w:val="0"/>
        </w:rPr>
      </w:r>
    </w:p>
    <w:p>
      <w:pPr>
        <w:pStyle w:val="Heading6"/>
        <w:spacing w:line="240" w:lineRule="auto" w:before="13"/>
        <w:ind w:left="903" w:right="0"/>
        <w:jc w:val="left"/>
      </w:pPr>
      <w:r>
        <w:rPr>
          <w:sz w:val="22"/>
          <w:szCs w:val="22"/>
        </w:rPr>
        <w:t>①</w:t>
      </w:r>
      <w:r>
        <w:rPr/>
        <w:t>低值易耗品采用一次转销法；</w:t>
      </w:r>
    </w:p>
    <w:p>
      <w:pPr>
        <w:pStyle w:val="Heading6"/>
        <w:spacing w:line="240" w:lineRule="auto" w:before="24"/>
        <w:ind w:left="903" w:right="0"/>
        <w:jc w:val="left"/>
      </w:pPr>
      <w:r>
        <w:rPr>
          <w:sz w:val="22"/>
          <w:szCs w:val="22"/>
        </w:rPr>
        <w:t>②</w:t>
      </w:r>
      <w:r>
        <w:rPr/>
        <w:t>包装物采用一次转销法。</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13、划分为持有待售资产" w:id="179"/>
      <w:bookmarkEnd w:id="179"/>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pStyle w:val="Heading5"/>
        <w:spacing w:line="610" w:lineRule="atLeast" w:before="33"/>
        <w:ind w:left="510" w:right="6989" w:hanging="357"/>
        <w:jc w:val="left"/>
        <w:rPr>
          <w:b w:val="0"/>
          <w:bCs w:val="0"/>
        </w:rPr>
      </w:pPr>
      <w:bookmarkStart w:name="14、长期股权投资" w:id="180"/>
      <w:bookmarkEnd w:id="180"/>
      <w:r>
        <w:rPr>
          <w:b w:val="0"/>
          <w:bCs w:val="0"/>
        </w:rPr>
      </w:r>
      <w:r>
        <w:rPr>
          <w:rFonts w:ascii="Times New Roman" w:hAnsi="Times New Roman" w:cs="Times New Roman" w:eastAsia="Times New Roman" w:hint="default"/>
        </w:rPr>
        <w:t>14</w:t>
      </w:r>
      <w:r>
        <w:rPr/>
        <w:t>、长期股权投资</w:t>
      </w:r>
      <w:r>
        <w:rPr>
          <w:w w:val="99"/>
        </w:rPr>
        <w:t> </w:t>
      </w:r>
      <w:r>
        <w:rPr>
          <w:rFonts w:ascii="Times New Roman" w:hAnsi="Times New Roman" w:cs="Times New Roman" w:eastAsia="Times New Roman" w:hint="default"/>
        </w:rPr>
        <w:t>(1)</w:t>
      </w:r>
      <w:r>
        <w:rPr/>
        <w:t>、共同控制、重大影响的判断标准</w:t>
      </w:r>
      <w:r>
        <w:rPr>
          <w:b w:val="0"/>
          <w:bCs w:val="0"/>
        </w:rPr>
      </w:r>
    </w:p>
    <w:p>
      <w:pPr>
        <w:pStyle w:val="Heading6"/>
        <w:spacing w:line="273" w:lineRule="auto" w:before="21"/>
        <w:ind w:right="1131" w:firstLine="168"/>
        <w:jc w:val="both"/>
      </w:pPr>
      <w:r>
        <w:rPr>
          <w:spacing w:val="-1"/>
        </w:rPr>
        <w:t>共同控制，是指按照相关约定对某项安排所共有的控制，并且该安排的相关活动必须经过分享控</w:t>
      </w:r>
      <w:r>
        <w:rPr/>
        <w:t> </w:t>
      </w:r>
      <w:r>
        <w:rPr>
          <w:spacing w:val="-2"/>
        </w:rPr>
        <w:t>制权的参与方一致同意后才能决策。本公司与其他合营方一同对被投资单位实施共同控制且对被投</w:t>
      </w:r>
      <w:r>
        <w:rPr>
          <w:spacing w:val="-71"/>
        </w:rPr>
        <w:t> </w:t>
      </w:r>
      <w:r>
        <w:rPr>
          <w:spacing w:val="-71"/>
        </w:rPr>
      </w:r>
      <w:r>
        <w:rPr/>
        <w:t>资单位净资产享有权利的，被投资单位为本公司的合营企业。</w:t>
      </w:r>
    </w:p>
    <w:p>
      <w:pPr>
        <w:pStyle w:val="Heading6"/>
        <w:spacing w:line="273" w:lineRule="auto"/>
        <w:ind w:right="1130" w:firstLine="168"/>
        <w:jc w:val="both"/>
      </w:pPr>
      <w:r>
        <w:rPr>
          <w:spacing w:val="-1"/>
        </w:rPr>
        <w:t>重大影响，是指对一个企业的财务和经营决策有参与决策的权力，但并不能够控制或者与其他方</w:t>
      </w:r>
      <w:r>
        <w:rPr/>
        <w:t> </w:t>
      </w:r>
      <w:r>
        <w:rPr>
          <w:spacing w:val="-2"/>
        </w:rPr>
        <w:t>一起共同控制这些政策的制定。本能够对被投资单位施加重大影响的，被投资单位为本公司联营企</w:t>
      </w:r>
      <w:r>
        <w:rPr>
          <w:spacing w:val="-73"/>
        </w:rPr>
        <w:t> </w:t>
      </w:r>
      <w:r>
        <w:rPr>
          <w:spacing w:val="-73"/>
        </w:rPr>
      </w:r>
      <w:r>
        <w:rPr/>
        <w:t>业。</w:t>
      </w:r>
    </w:p>
    <w:p>
      <w:pPr>
        <w:pStyle w:val="Heading5"/>
        <w:spacing w:line="240" w:lineRule="auto" w:before="7"/>
        <w:ind w:left="510" w:right="0"/>
        <w:jc w:val="left"/>
        <w:rPr>
          <w:b w:val="0"/>
          <w:bCs w:val="0"/>
        </w:rPr>
      </w:pPr>
      <w:r>
        <w:rPr>
          <w:rFonts w:ascii="Times New Roman" w:hAnsi="Times New Roman" w:cs="Times New Roman" w:eastAsia="Times New Roman" w:hint="default"/>
        </w:rPr>
        <w:t>(2)</w:t>
      </w:r>
      <w:r>
        <w:rPr/>
        <w:t>、初始投资成本的确定</w:t>
      </w:r>
      <w:r>
        <w:rPr>
          <w:b w:val="0"/>
          <w:bCs w:val="0"/>
        </w:rPr>
      </w:r>
    </w:p>
    <w:p>
      <w:pPr>
        <w:pStyle w:val="Heading6"/>
        <w:spacing w:line="266" w:lineRule="auto" w:before="13"/>
        <w:ind w:left="982" w:right="0" w:hanging="80"/>
        <w:jc w:val="left"/>
      </w:pPr>
      <w:r>
        <w:rPr>
          <w:sz w:val="22"/>
          <w:szCs w:val="22"/>
        </w:rPr>
        <w:t>①</w:t>
      </w:r>
      <w:r>
        <w:rPr/>
        <w:t>企业合并形成的长期股权投资</w:t>
      </w:r>
      <w:r>
        <w:rPr/>
        <w:t> </w:t>
      </w:r>
      <w:r>
        <w:rPr>
          <w:spacing w:val="-1"/>
        </w:rPr>
        <w:t>同一控制下的企业合并：公司以支付现金、转让非现金资产或承担债务方式以及以发行权益性证</w:t>
      </w:r>
    </w:p>
    <w:p>
      <w:pPr>
        <w:pStyle w:val="Heading6"/>
        <w:spacing w:line="273" w:lineRule="auto" w:before="14"/>
        <w:ind w:right="0"/>
        <w:jc w:val="left"/>
      </w:pPr>
      <w:r>
        <w:rPr>
          <w:spacing w:val="-2"/>
        </w:rPr>
        <w:t>券作为合并对价的，在合并日按照取得被合并方所有者权益在最终控制方合并财务报表中的账面价</w:t>
      </w:r>
      <w:r>
        <w:rPr>
          <w:spacing w:val="-71"/>
        </w:rPr>
        <w:t> </w:t>
      </w:r>
      <w:r>
        <w:rPr>
          <w:spacing w:val="-71"/>
        </w:rPr>
      </w:r>
      <w:r>
        <w:rPr/>
        <w:t>值的份额作为长期股权投资的初始投资成本。</w:t>
      </w:r>
    </w:p>
    <w:p>
      <w:pPr>
        <w:pStyle w:val="Heading6"/>
        <w:spacing w:line="240" w:lineRule="auto"/>
        <w:ind w:left="982" w:right="0"/>
        <w:jc w:val="left"/>
      </w:pPr>
      <w:r>
        <w:rPr/>
        <w:t>非同一控制下的企业合并：公司按照购买日确定的合并成本作为长期股权投资的初始投资成本。</w:t>
      </w:r>
    </w:p>
    <w:p>
      <w:pPr>
        <w:pStyle w:val="Heading6"/>
        <w:spacing w:line="268" w:lineRule="auto" w:before="29"/>
        <w:ind w:left="898" w:right="1398" w:firstLine="4"/>
        <w:jc w:val="left"/>
      </w:pPr>
      <w:r>
        <w:rPr>
          <w:sz w:val="22"/>
          <w:szCs w:val="22"/>
        </w:rPr>
        <w:t>②</w:t>
      </w:r>
      <w:r>
        <w:rPr/>
        <w:t>其他方式取得的长期股权投资</w:t>
      </w:r>
      <w:r>
        <w:rPr/>
        <w:t> 以支付现金方式取得的长期股权投资，按照实际支付的购买价款作为初始投资成本。 以发行权益性证券取得的长期股权投资，按照发行权益性证券的公允价值作为初始投资成本。</w:t>
      </w:r>
    </w:p>
    <w:p>
      <w:pPr>
        <w:pStyle w:val="Heading5"/>
        <w:spacing w:line="240" w:lineRule="auto" w:before="12"/>
        <w:ind w:left="510" w:right="0"/>
        <w:jc w:val="left"/>
        <w:rPr>
          <w:b w:val="0"/>
          <w:bCs w:val="0"/>
        </w:rPr>
      </w:pPr>
      <w:r>
        <w:rPr>
          <w:rFonts w:ascii="Times New Roman" w:hAnsi="Times New Roman" w:cs="Times New Roman" w:eastAsia="Times New Roman" w:hint="default"/>
        </w:rPr>
        <w:t>(3)</w:t>
      </w:r>
      <w:r>
        <w:rPr/>
        <w:t>、后续计量及损益确认方法</w:t>
      </w:r>
      <w:r>
        <w:rPr>
          <w:b w:val="0"/>
          <w:bCs w:val="0"/>
        </w:rPr>
      </w:r>
    </w:p>
    <w:p>
      <w:pPr>
        <w:pStyle w:val="Heading6"/>
        <w:spacing w:line="266" w:lineRule="auto" w:before="13"/>
        <w:ind w:left="1282" w:right="0" w:hanging="168"/>
        <w:jc w:val="left"/>
      </w:pPr>
      <w:r>
        <w:rPr>
          <w:sz w:val="22"/>
          <w:szCs w:val="22"/>
        </w:rPr>
        <w:t>①</w:t>
      </w:r>
      <w:r>
        <w:rPr/>
        <w:t>成本法核算的长期股权投资</w:t>
      </w:r>
      <w:r>
        <w:rPr/>
        <w:t> </w:t>
      </w:r>
      <w:r>
        <w:rPr>
          <w:spacing w:val="-3"/>
        </w:rPr>
        <w:t>公司对子公司的长期股权投资，采用成本法核算。除取得投资时实际支付的价款或对价中包含</w:t>
      </w:r>
    </w:p>
    <w:p>
      <w:pPr>
        <w:pStyle w:val="Heading6"/>
        <w:spacing w:line="273" w:lineRule="auto" w:before="14"/>
        <w:ind w:left="1114" w:right="1141"/>
        <w:jc w:val="both"/>
      </w:pPr>
      <w:r>
        <w:rPr/>
        <w:t>的已宣告但尚未发放的现金股利或利润外，公司按照享有被投资单位宣告发放的现金股利或利</w:t>
      </w:r>
      <w:r>
        <w:rPr>
          <w:spacing w:val="-50"/>
        </w:rPr>
        <w:t> </w:t>
      </w:r>
      <w:r>
        <w:rPr>
          <w:spacing w:val="-50"/>
        </w:rPr>
      </w:r>
      <w:r>
        <w:rPr/>
        <w:t>润确认当期投资收益。</w:t>
      </w:r>
    </w:p>
    <w:p>
      <w:pPr>
        <w:pStyle w:val="Heading6"/>
        <w:spacing w:line="266" w:lineRule="auto" w:before="0"/>
        <w:ind w:left="1150" w:right="1136" w:hanging="36"/>
        <w:jc w:val="both"/>
      </w:pPr>
      <w:r>
        <w:rPr>
          <w:sz w:val="22"/>
          <w:szCs w:val="22"/>
        </w:rPr>
        <w:t>②</w:t>
      </w:r>
      <w:r>
        <w:rPr/>
        <w:t>权益法核算的长期股权投资</w:t>
      </w:r>
      <w:r>
        <w:rPr/>
        <w:t> 对联营企业和合营企业的长期股权投资，采用权益法核算。初始投资成本大于投资时应享有被</w:t>
      </w:r>
    </w:p>
    <w:p>
      <w:pPr>
        <w:pStyle w:val="Heading6"/>
        <w:spacing w:line="273" w:lineRule="auto" w:before="14"/>
        <w:ind w:right="0"/>
        <w:jc w:val="left"/>
      </w:pPr>
      <w:r>
        <w:rPr>
          <w:spacing w:val="-2"/>
        </w:rPr>
        <w:t>投资单位可辨认净资产公允价值份额的差额，不调整长期股权投资的初始投资成本；初始投资成本</w:t>
      </w:r>
      <w:r>
        <w:rPr>
          <w:spacing w:val="-73"/>
        </w:rPr>
        <w:t> </w:t>
      </w:r>
      <w:r>
        <w:rPr>
          <w:spacing w:val="-73"/>
        </w:rPr>
      </w:r>
      <w:r>
        <w:rPr/>
        <w:t>小于投资时应享有被投资单位可辨认净资产公允价值份额的差额，计入当期损益。</w:t>
      </w:r>
    </w:p>
    <w:p>
      <w:pPr>
        <w:pStyle w:val="Heading6"/>
        <w:spacing w:line="273" w:lineRule="auto"/>
        <w:ind w:left="1114" w:right="1132" w:firstLine="84"/>
        <w:jc w:val="both"/>
      </w:pPr>
      <w:r>
        <w:rPr>
          <w:spacing w:val="-1"/>
        </w:rPr>
        <w:t>公司按照应享有或应分担的被投资单位实现的净损益和其他综合收益的份额，分别确认投资收</w:t>
      </w:r>
      <w:r>
        <w:rPr/>
        <w:t> 益和其他综合收益，同时调整长期股权投资的账面价值；按照被投资单位宣告分派的利润或现</w:t>
      </w:r>
      <w:r>
        <w:rPr>
          <w:spacing w:val="-50"/>
        </w:rPr>
        <w:t> </w:t>
      </w:r>
      <w:r>
        <w:rPr>
          <w:spacing w:val="-50"/>
        </w:rPr>
      </w:r>
      <w:r>
        <w:rPr/>
        <w:t>金股利计算应享有的部分，相应减少长期股权投资的账面价值；对于被投资单位除净损益、其</w:t>
      </w:r>
      <w:r>
        <w:rPr>
          <w:spacing w:val="-50"/>
        </w:rPr>
        <w:t> </w:t>
      </w:r>
      <w:r>
        <w:rPr>
          <w:spacing w:val="-50"/>
        </w:rPr>
      </w:r>
      <w:r>
        <w:rPr/>
        <w:t>他综合收益和利润分配以外所有者权益的其他变动，调整长期股权投资的账面价值并计入所有</w:t>
      </w:r>
      <w:r>
        <w:rPr>
          <w:spacing w:val="-50"/>
        </w:rPr>
        <w:t> </w:t>
      </w:r>
      <w:r>
        <w:rPr>
          <w:spacing w:val="-50"/>
        </w:rPr>
      </w:r>
      <w:r>
        <w:rPr/>
        <w:t>者权益。</w:t>
      </w:r>
    </w:p>
    <w:p>
      <w:pPr>
        <w:pStyle w:val="Heading6"/>
        <w:spacing w:line="273" w:lineRule="auto"/>
        <w:ind w:left="1114" w:right="0" w:firstLine="168"/>
        <w:jc w:val="left"/>
      </w:pPr>
      <w:r>
        <w:rPr>
          <w:spacing w:val="-3"/>
        </w:rPr>
        <w:t>在确认应享有被投资单位净损益的份额时，以取得投资时被投资单位可辨认净资产的公允价值</w:t>
      </w:r>
      <w:r>
        <w:rPr/>
        <w:t> 为基础，并按照公司的会计政策及会计期间，对被投资单位的净利润进行调整后确认。在持有</w:t>
      </w:r>
      <w:r>
        <w:rPr>
          <w:spacing w:val="-50"/>
        </w:rPr>
        <w:t> </w:t>
      </w:r>
      <w:r>
        <w:rPr>
          <w:spacing w:val="-50"/>
        </w:rPr>
      </w:r>
      <w:r>
        <w:rPr/>
        <w:t>投资期间，被投资单位编制合并财务报表的，以合并财务报表中的净利润、其他综合收益和其</w:t>
      </w:r>
      <w:r>
        <w:rPr>
          <w:spacing w:val="-50"/>
        </w:rPr>
        <w:t> </w:t>
      </w:r>
      <w:r>
        <w:rPr>
          <w:spacing w:val="-50"/>
        </w:rPr>
      </w:r>
      <w:r>
        <w:rPr/>
        <w:t>他所有者权益变动中归属于被投资单位的金额为基础进行核算。 公司与联营企业、合营企业之间发生的未实现内部交易损益按照应享有的比例计算归属于公司</w:t>
      </w:r>
      <w:r>
        <w:rPr/>
        <w:t> 的部分，予以抵销，在此基础上确认投资收益。与被投资单位发生的未实现内部交易损失，属</w:t>
      </w:r>
      <w:r>
        <w:rPr>
          <w:spacing w:val="-50"/>
        </w:rPr>
        <w:t> </w:t>
      </w:r>
      <w:r>
        <w:rPr>
          <w:spacing w:val="-50"/>
        </w:rPr>
      </w:r>
      <w:r>
        <w:rPr/>
        <w:t>于资产减值损失的，全额确认。公司与联营企业、合营企业之间发生投出或出售资产的交易，</w:t>
      </w:r>
      <w:r>
        <w:rPr>
          <w:spacing w:val="-45"/>
        </w:rPr>
        <w:t> </w:t>
      </w:r>
      <w:r>
        <w:rPr>
          <w:spacing w:val="-45"/>
        </w:rPr>
      </w:r>
      <w:r>
        <w:rPr>
          <w:spacing w:val="-1"/>
        </w:rPr>
        <w:t>该资产构成业务的，按照本附注</w:t>
      </w:r>
      <w:r>
        <w:rPr>
          <w:rFonts w:ascii="Times New Roman" w:hAnsi="Times New Roman" w:cs="Times New Roman" w:eastAsia="Times New Roman" w:hint="default"/>
          <w:spacing w:val="-1"/>
        </w:rPr>
        <w:t>“</w:t>
      </w:r>
      <w:r>
        <w:rPr>
          <w:spacing w:val="-1"/>
        </w:rPr>
        <w:t>三、（五）同一控制下和非同一控制下企业合并的会计处理方</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56" w:lineRule="auto" w:before="35"/>
        <w:ind w:left="1366" w:right="0" w:hanging="252"/>
        <w:jc w:val="left"/>
      </w:pPr>
      <w:r>
        <w:rPr/>
        <w:t>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三、（六）合并财务报表的编制方法</w:t>
      </w:r>
      <w:r>
        <w:rPr>
          <w:rFonts w:ascii="Times New Roman" w:hAnsi="Times New Roman" w:cs="Times New Roman" w:eastAsia="Times New Roman" w:hint="default"/>
        </w:rPr>
        <w:t>”</w:t>
      </w:r>
      <w:r>
        <w:rPr/>
        <w:t>中披露的相关政策进行会计处理 在公司确认应分担被投资单位发生的亏损时，按照以下顺序进行处理：首先，冲减长期股权</w:t>
      </w:r>
    </w:p>
    <w:p>
      <w:pPr>
        <w:pStyle w:val="Heading6"/>
        <w:spacing w:line="273" w:lineRule="auto" w:before="22"/>
        <w:ind w:left="1114" w:right="1132"/>
        <w:jc w:val="both"/>
      </w:pPr>
      <w:r>
        <w:rPr/>
        <w:t>投资的账面价值。其次，长期股权投资的账面价值不足以冲减的，以其他实质上构成对被投资</w:t>
      </w:r>
      <w:r>
        <w:rPr>
          <w:spacing w:val="-50"/>
        </w:rPr>
        <w:t> </w:t>
      </w:r>
      <w:r>
        <w:rPr>
          <w:spacing w:val="-50"/>
        </w:rPr>
      </w:r>
      <w:r>
        <w:rPr/>
        <w:t>单位净投资的长期权益账面价值为限继续确认投资损失，冲减长期应收项目等的账面价值。最</w:t>
      </w:r>
      <w:r>
        <w:rPr>
          <w:spacing w:val="-50"/>
        </w:rPr>
        <w:t> </w:t>
      </w:r>
      <w:r>
        <w:rPr>
          <w:spacing w:val="-50"/>
        </w:rPr>
      </w:r>
      <w:r>
        <w:rPr/>
        <w:t>后，经过上述处理，按照投资合同或协议约定企业仍承担额外义务的，按预计承担的义务确认</w:t>
      </w:r>
      <w:r>
        <w:rPr>
          <w:spacing w:val="-42"/>
        </w:rPr>
        <w:t> </w:t>
      </w:r>
      <w:r>
        <w:rPr>
          <w:spacing w:val="-42"/>
        </w:rPr>
      </w:r>
      <w:r>
        <w:rPr/>
        <w:t>预计负债，计入当期投资损失。</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left="154" w:right="0"/>
        <w:jc w:val="left"/>
        <w:rPr>
          <w:b w:val="0"/>
          <w:bCs w:val="0"/>
        </w:rPr>
      </w:pPr>
      <w:bookmarkStart w:name="15、投资性房地产" w:id="181"/>
      <w:bookmarkEnd w:id="18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left="154" w:right="8952"/>
        <w:jc w:val="left"/>
      </w:pPr>
      <w:r>
        <w:rPr/>
        <w:t>投资性房地产计量模式 成本法计量 折旧或摊销方法</w:t>
      </w:r>
    </w:p>
    <w:p>
      <w:pPr>
        <w:pStyle w:val="Heading6"/>
        <w:spacing w:line="273" w:lineRule="auto" w:before="0"/>
        <w:ind w:left="154" w:right="1131" w:firstLine="384"/>
        <w:jc w:val="both"/>
      </w:pPr>
      <w:r>
        <w:rPr/>
        <w:t>投资性房地产是指为赚取租金或资本增值，或两者兼有而持有的房地产，包括已出租的土地使用权、 </w:t>
      </w:r>
      <w:r>
        <w:rPr>
          <w:spacing w:val="-1"/>
        </w:rPr>
        <w:t>持有并准备增值后转让的土地使用权、已出租的建筑物（含自行建造或开发活动完成后用于出租的建筑物</w:t>
      </w:r>
      <w:r>
        <w:rPr>
          <w:spacing w:val="-81"/>
        </w:rPr>
        <w:t> </w:t>
      </w:r>
      <w:r>
        <w:rPr>
          <w:spacing w:val="-81"/>
        </w:rPr>
      </w:r>
      <w:r>
        <w:rPr/>
        <w:t>以及正在建造或开发过程中将来用于出租的建筑物）。</w:t>
      </w:r>
    </w:p>
    <w:p>
      <w:pPr>
        <w:pStyle w:val="Heading6"/>
        <w:spacing w:line="273" w:lineRule="auto"/>
        <w:ind w:left="154" w:right="0" w:firstLine="252"/>
        <w:jc w:val="left"/>
      </w:pPr>
      <w:r>
        <w:rPr>
          <w:spacing w:val="-2"/>
        </w:rPr>
        <w:t>对按照成本模式计量的投资性房地产－出租用建筑物采用与本公司固定资产相同的折旧政策，出租用土</w:t>
      </w:r>
      <w:r>
        <w:rPr/>
        <w:t> 地使用权按与无形资产相同的摊销政策执行。</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48"/>
        <w:ind w:left="154" w:right="0"/>
        <w:jc w:val="left"/>
        <w:rPr>
          <w:b w:val="0"/>
          <w:bCs w:val="0"/>
        </w:rPr>
      </w:pPr>
      <w:bookmarkStart w:name="16、固定资产" w:id="182"/>
      <w:bookmarkEnd w:id="182"/>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4" w:right="0"/>
        <w:jc w:val="left"/>
        <w:rPr>
          <w:b w:val="0"/>
          <w:bCs w:val="0"/>
        </w:rPr>
      </w:pPr>
      <w:bookmarkStart w:name="（1）确认条件" w:id="183"/>
      <w:bookmarkEnd w:id="183"/>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30" w:firstLine="630"/>
        <w:jc w:val="both"/>
      </w:pPr>
      <w:r>
        <w:rPr/>
        <w:t>固定资产指为生产商品、提供劳务、出租或经营管理而持有，并且使用寿命超过一个会计年度的有形资产。固定资 产在同时满足下列条件时予以确认： ①与该固定资产有关的经济利益很可能流入企业；</w:t>
      </w:r>
      <w:r>
        <w:rPr>
          <w:spacing w:val="9"/>
        </w:rPr>
        <w:t> </w:t>
      </w:r>
      <w:r>
        <w:rPr/>
        <w:t>②该固定资产的成本能</w:t>
      </w:r>
      <w:r>
        <w:rPr/>
        <w:t> 够可靠地计量。</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2）折旧方法" w:id="184"/>
      <w:bookmarkEnd w:id="184"/>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2.38-3.17%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bookmarkStart w:name="（3）融资租入固定资产的认定依据、计价和折旧方法" w:id="185"/>
      <w:bookmarkEnd w:id="185"/>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无</w:t>
      </w:r>
    </w:p>
    <w:p>
      <w:pPr>
        <w:pStyle w:val="Heading6"/>
        <w:spacing w:line="590" w:lineRule="atLeast" w:before="51"/>
        <w:ind w:left="523" w:right="1118" w:hanging="370"/>
        <w:jc w:val="left"/>
      </w:pPr>
      <w:bookmarkStart w:name="17、在建工程" w:id="186"/>
      <w:bookmarkEnd w:id="186"/>
      <w:r>
        <w:rPr/>
      </w:r>
      <w:r>
        <w:rPr>
          <w:rFonts w:ascii="Times New Roman" w:hAnsi="Times New Roman" w:cs="Times New Roman" w:eastAsia="Times New Roman" w:hint="default"/>
          <w:b/>
          <w:bCs/>
        </w:rPr>
        <w:t>17</w:t>
      </w:r>
      <w:r>
        <w:rPr>
          <w:rFonts w:ascii="宋体" w:hAnsi="宋体" w:cs="宋体" w:eastAsia="宋体" w:hint="default"/>
          <w:b/>
          <w:bCs/>
        </w:rPr>
        <w:t>、在建工程</w:t>
      </w:r>
      <w:r>
        <w:rPr>
          <w:rFonts w:ascii="宋体" w:hAnsi="宋体" w:cs="宋体" w:eastAsia="宋体" w:hint="default"/>
          <w:b/>
          <w:bCs/>
          <w:w w:val="99"/>
        </w:rPr>
        <w:t> </w:t>
      </w:r>
      <w:r>
        <w:rPr/>
        <w:t>在建工程项目按建造该项资产达到预定可使用状态前所发生的必要支出，作为固定资产的入账价值。</w:t>
      </w:r>
    </w:p>
    <w:p>
      <w:pPr>
        <w:pStyle w:val="Heading6"/>
        <w:spacing w:line="273" w:lineRule="auto" w:before="37"/>
        <w:ind w:left="271" w:right="1135"/>
        <w:jc w:val="both"/>
      </w:pPr>
      <w:r>
        <w:rPr/>
        <w:t>所建造的固定资产在建工程已达到预定可使用状态，但尚未办理竣工决算的，自达到预定可使用状态之</w:t>
      </w:r>
      <w:r>
        <w:rPr>
          <w:spacing w:val="-47"/>
        </w:rPr>
        <w:t> </w:t>
      </w:r>
      <w:r>
        <w:rPr>
          <w:spacing w:val="-47"/>
        </w:rPr>
      </w:r>
      <w:r>
        <w:rPr/>
        <w:t>日起，根据工程预算、造价或者工程实际成本等，按估计的价值转入固定资产，并按本公司固定资产折</w:t>
      </w:r>
      <w:r>
        <w:rPr>
          <w:spacing w:val="-47"/>
        </w:rPr>
        <w:t> </w:t>
      </w:r>
      <w:r>
        <w:rPr>
          <w:spacing w:val="-47"/>
        </w:rPr>
      </w:r>
      <w:r>
        <w:rPr/>
        <w:t>旧政策计提固定资产的折旧，待办理竣工决算后，再按实际成本调整原来的暂估价值，但不调整原已计</w:t>
      </w:r>
      <w:r>
        <w:rPr>
          <w:spacing w:val="-42"/>
        </w:rPr>
        <w:t> </w:t>
      </w:r>
      <w:r>
        <w:rPr>
          <w:spacing w:val="-42"/>
        </w:rPr>
      </w:r>
      <w:r>
        <w:rPr/>
        <w:t>提的折旧额。</w:t>
      </w:r>
    </w:p>
    <w:p>
      <w:pPr>
        <w:spacing w:line="240" w:lineRule="auto" w:before="1"/>
        <w:rPr>
          <w:rFonts w:ascii="宋体" w:hAnsi="宋体" w:cs="宋体" w:eastAsia="宋体" w:hint="default"/>
          <w:sz w:val="23"/>
          <w:szCs w:val="23"/>
        </w:rPr>
      </w:pPr>
    </w:p>
    <w:p>
      <w:pPr>
        <w:pStyle w:val="Heading5"/>
        <w:spacing w:line="610" w:lineRule="atLeast"/>
        <w:ind w:left="510" w:right="7410" w:hanging="357"/>
        <w:jc w:val="left"/>
        <w:rPr>
          <w:b w:val="0"/>
          <w:bCs w:val="0"/>
        </w:rPr>
      </w:pPr>
      <w:bookmarkStart w:name="18、借款费用" w:id="187"/>
      <w:bookmarkEnd w:id="187"/>
      <w:r>
        <w:rPr>
          <w:b w:val="0"/>
          <w:bCs w:val="0"/>
        </w:rPr>
      </w:r>
      <w:r>
        <w:rPr>
          <w:rFonts w:ascii="Times New Roman" w:hAnsi="Times New Roman" w:cs="Times New Roman" w:eastAsia="Times New Roman" w:hint="default"/>
        </w:rPr>
        <w:t>18</w:t>
      </w:r>
      <w:r>
        <w:rPr/>
        <w:t>、借款费用</w:t>
      </w:r>
      <w:r>
        <w:rPr>
          <w:w w:val="99"/>
        </w:rPr>
        <w:t> </w:t>
      </w:r>
      <w:r>
        <w:rPr>
          <w:rFonts w:ascii="Times New Roman" w:hAnsi="Times New Roman" w:cs="Times New Roman" w:eastAsia="Times New Roman" w:hint="default"/>
        </w:rPr>
        <w:t>(1)</w:t>
      </w:r>
      <w:r>
        <w:rPr/>
        <w:t>、借款费用资本化的确认原则</w:t>
      </w:r>
      <w:r>
        <w:rPr>
          <w:b w:val="0"/>
          <w:bCs w:val="0"/>
        </w:rPr>
      </w:r>
    </w:p>
    <w:p>
      <w:pPr>
        <w:pStyle w:val="Heading6"/>
        <w:spacing w:line="273" w:lineRule="auto" w:before="21"/>
        <w:ind w:left="982" w:right="1023"/>
        <w:jc w:val="left"/>
      </w:pPr>
      <w:r>
        <w:rPr>
          <w:spacing w:val="-3"/>
        </w:rPr>
        <w:t>借款费用，包括借款利息、折价或者溢价的摊销、辅助费用以及因外币借款而发生的汇兑差额等。</w:t>
      </w:r>
      <w:r>
        <w:rPr>
          <w:spacing w:val="-93"/>
        </w:rPr>
        <w:t> </w:t>
      </w:r>
      <w:r>
        <w:rPr>
          <w:spacing w:val="-93"/>
        </w:rPr>
      </w:r>
      <w:r>
        <w:rPr/>
        <w:t>公司发生的借款费用，可直接归属于符合资本化条件的资产的购建或者生产的，予以资本化，计</w:t>
      </w:r>
    </w:p>
    <w:p>
      <w:pPr>
        <w:pStyle w:val="Heading6"/>
        <w:spacing w:line="273" w:lineRule="auto"/>
        <w:ind w:right="0"/>
        <w:jc w:val="left"/>
      </w:pPr>
      <w:r>
        <w:rPr/>
        <w:t>入相关资产成本；其他借款费用，在发生时根据其发生额确认为费用，计入当期损益。 符合资本化条件的资产，是指需要经过相当长时间的购建或者生产活动才能达到预定可使用或者</w:t>
      </w:r>
      <w:r>
        <w:rPr>
          <w:spacing w:val="-45"/>
        </w:rPr>
        <w:t> </w:t>
      </w:r>
      <w:r>
        <w:rPr>
          <w:spacing w:val="-45"/>
        </w:rPr>
      </w:r>
      <w:r>
        <w:rPr/>
        <w:t>可销售状态的固定资产、投资性房地产和存货等资产。</w:t>
      </w:r>
    </w:p>
    <w:p>
      <w:pPr>
        <w:pStyle w:val="Heading6"/>
        <w:spacing w:line="240" w:lineRule="auto"/>
        <w:ind w:left="982" w:right="0"/>
        <w:jc w:val="left"/>
      </w:pPr>
      <w:r>
        <w:rPr/>
        <w:t>借款费用同时满足下列条件时开始资本化：</w:t>
      </w:r>
    </w:p>
    <w:p>
      <w:pPr>
        <w:pStyle w:val="Heading6"/>
        <w:spacing w:line="266" w:lineRule="auto" w:before="29"/>
        <w:ind w:left="1114" w:right="1139"/>
        <w:jc w:val="both"/>
      </w:pPr>
      <w:r>
        <w:rPr>
          <w:sz w:val="22"/>
          <w:szCs w:val="22"/>
        </w:rPr>
        <w:t>①</w:t>
      </w:r>
      <w:r>
        <w:rPr/>
        <w:t>资产支出已经发生，资产支出包括为购建或者生产符合资本化条件的资产而以支付现金、转</w:t>
      </w:r>
      <w:r>
        <w:rPr>
          <w:spacing w:val="-58"/>
        </w:rPr>
        <w:t> </w:t>
      </w:r>
      <w:r>
        <w:rPr>
          <w:spacing w:val="-58"/>
        </w:rPr>
      </w:r>
      <w:r>
        <w:rPr/>
        <w:t>移非现金资产或者承担带息债务形式发生的支出；</w:t>
      </w:r>
    </w:p>
    <w:p>
      <w:pPr>
        <w:pStyle w:val="Heading6"/>
        <w:spacing w:line="240" w:lineRule="auto" w:before="6"/>
        <w:ind w:left="1114" w:right="0"/>
        <w:jc w:val="both"/>
      </w:pPr>
      <w:r>
        <w:rPr>
          <w:sz w:val="22"/>
          <w:szCs w:val="22"/>
        </w:rPr>
        <w:t>②</w:t>
      </w:r>
      <w:r>
        <w:rPr/>
        <w:t>借款费用已经发生；</w:t>
      </w:r>
    </w:p>
    <w:p>
      <w:pPr>
        <w:pStyle w:val="Heading6"/>
        <w:spacing w:line="240" w:lineRule="auto" w:before="24"/>
        <w:ind w:left="1114" w:right="0"/>
        <w:jc w:val="both"/>
      </w:pPr>
      <w:r>
        <w:rPr>
          <w:sz w:val="22"/>
          <w:szCs w:val="22"/>
        </w:rPr>
        <w:t>③</w:t>
      </w:r>
      <w:r>
        <w:rPr/>
        <w:t>为使资产达到预定可使用或者可销售状态所必要的购建或者生产活动已经开始。</w:t>
      </w:r>
    </w:p>
    <w:p>
      <w:pPr>
        <w:pStyle w:val="Heading6"/>
        <w:spacing w:line="271" w:lineRule="auto" w:before="32"/>
        <w:ind w:left="1114" w:right="1118" w:hanging="304"/>
        <w:jc w:val="left"/>
      </w:pPr>
      <w:r>
        <w:rPr>
          <w:rFonts w:ascii="Times New Roman" w:hAnsi="Times New Roman" w:cs="Times New Roman" w:eastAsia="Times New Roman" w:hint="default"/>
          <w:b/>
          <w:bCs/>
        </w:rPr>
        <w:t>(2)</w:t>
      </w:r>
      <w:r>
        <w:rPr>
          <w:rFonts w:ascii="宋体" w:hAnsi="宋体" w:cs="宋体" w:eastAsia="宋体" w:hint="default"/>
          <w:b/>
          <w:bCs/>
        </w:rPr>
        <w:t>、借款费用资本化期间</w:t>
      </w:r>
      <w:r>
        <w:rPr>
          <w:rFonts w:ascii="宋体" w:hAnsi="宋体" w:cs="宋体" w:eastAsia="宋体" w:hint="default"/>
          <w:b/>
          <w:bCs/>
          <w:w w:val="99"/>
        </w:rPr>
        <w:t> </w:t>
      </w:r>
      <w:r>
        <w:rPr/>
        <w:t>资本化期间，指从借款费用开始资本化时点到停止资本化时点的期间，借款费用暂停资本化的 期间不包括在内。 当购建或者生产符合资本化条件的资产达到预定可使用或者可销售状态时，借款费用停止资本 化。 当购建或者生产符合资本化条件的资产中部分项目分别完工且可单独使用时，该部分资产借款 费用停止资本化。 购建或者生产的资产的各部分分别完工，但必须等到整体完工后才可使用或可对外销售的，在 该资产整体完工时停止借款费用资本化。</w:t>
      </w:r>
    </w:p>
    <w:p>
      <w:pPr>
        <w:spacing w:line="256" w:lineRule="auto" w:before="10"/>
        <w:ind w:left="1282" w:right="0" w:hanging="47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、暂停资本化期间</w:t>
      </w:r>
      <w:r>
        <w:rPr>
          <w:rFonts w:ascii="宋体" w:hAnsi="宋体" w:cs="宋体" w:eastAsia="宋体" w:hint="default"/>
          <w:b/>
          <w:bCs/>
          <w:w w:val="99"/>
          <w:sz w:val="21"/>
          <w:szCs w:val="21"/>
        </w:rPr>
        <w:t> </w:t>
      </w:r>
      <w:r>
        <w:rPr>
          <w:rFonts w:ascii="宋体" w:hAnsi="宋体" w:cs="宋体" w:eastAsia="宋体" w:hint="default"/>
          <w:spacing w:val="-3"/>
          <w:sz w:val="21"/>
          <w:szCs w:val="21"/>
        </w:rPr>
        <w:t>符合资本化条件的资产在购建或生产过程中发生的非正常中断、且中断时间连续超过</w:t>
      </w:r>
      <w:r>
        <w:rPr>
          <w:rFonts w:ascii="Times New Roman" w:hAnsi="Times New Roman" w:cs="Times New Roman" w:eastAsia="Times New Roman" w:hint="default"/>
          <w:spacing w:val="-3"/>
          <w:sz w:val="21"/>
          <w:szCs w:val="21"/>
        </w:rPr>
        <w:t>3</w:t>
      </w:r>
      <w:r>
        <w:rPr>
          <w:rFonts w:ascii="宋体" w:hAnsi="宋体" w:cs="宋体" w:eastAsia="宋体" w:hint="default"/>
          <w:spacing w:val="-3"/>
          <w:sz w:val="21"/>
          <w:szCs w:val="21"/>
        </w:rPr>
        <w:t>个月的，</w:t>
      </w:r>
    </w:p>
    <w:p>
      <w:pPr>
        <w:pStyle w:val="Heading6"/>
        <w:spacing w:line="273" w:lineRule="auto" w:before="5"/>
        <w:ind w:left="1114" w:right="1141"/>
        <w:jc w:val="both"/>
      </w:pPr>
      <w:r>
        <w:rPr/>
        <w:t>则借款费用暂停资本化；该项中断如是所购建或生产的符合资本化条件的资产达到预定可使用</w:t>
      </w:r>
      <w:r>
        <w:rPr>
          <w:spacing w:val="-50"/>
        </w:rPr>
        <w:t> </w:t>
      </w:r>
      <w:r>
        <w:rPr>
          <w:spacing w:val="-50"/>
        </w:rPr>
      </w:r>
      <w:r>
        <w:rPr/>
        <w:t>状态或者可销售状态必要的程序，则借款费用继续资本化。在中断期间发生的借款费用确认为</w:t>
      </w:r>
      <w:r>
        <w:rPr>
          <w:spacing w:val="-50"/>
        </w:rPr>
        <w:t> </w:t>
      </w:r>
      <w:r>
        <w:rPr>
          <w:spacing w:val="-50"/>
        </w:rPr>
      </w:r>
      <w:r>
        <w:rPr/>
        <w:t>当期损益，直至资产的购建或者生产活动重新开始后借款费用继续资本化。</w:t>
      </w:r>
    </w:p>
    <w:p>
      <w:pPr>
        <w:pStyle w:val="Heading6"/>
        <w:spacing w:line="266" w:lineRule="auto" w:before="8"/>
        <w:ind w:left="1114" w:right="0" w:hanging="304"/>
        <w:jc w:val="left"/>
      </w:pPr>
      <w:r>
        <w:rPr>
          <w:rFonts w:ascii="Times New Roman" w:hAnsi="Times New Roman" w:cs="Times New Roman" w:eastAsia="Times New Roman" w:hint="default"/>
          <w:b/>
          <w:bCs/>
        </w:rPr>
        <w:t>(4)</w:t>
      </w:r>
      <w:r>
        <w:rPr>
          <w:rFonts w:ascii="宋体" w:hAnsi="宋体" w:cs="宋体" w:eastAsia="宋体" w:hint="default"/>
          <w:b/>
          <w:bCs/>
        </w:rPr>
        <w:t>、借款费用资本化金额的计算方法</w:t>
      </w:r>
      <w:r>
        <w:rPr>
          <w:rFonts w:ascii="宋体" w:hAnsi="宋体" w:cs="宋体" w:eastAsia="宋体" w:hint="default"/>
          <w:b/>
          <w:bCs/>
          <w:w w:val="99"/>
        </w:rPr>
        <w:t> </w:t>
      </w:r>
      <w:r>
        <w:rPr/>
        <w:t>对于为购建或者生产符合资本化条件的资产而借入的专门借款，以专门借款当期实际发生的借 款费用，减去尚未动用的借款资金存入银行取得的利息收入或进行暂时性投资取得的投资收益 后的金额，来确定借款费用的资本化金额。</w:t>
      </w:r>
    </w:p>
    <w:p>
      <w:pPr>
        <w:spacing w:after="0" w:line="26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right="1131" w:firstLine="252"/>
        <w:jc w:val="both"/>
      </w:pPr>
      <w:r>
        <w:rPr>
          <w:spacing w:val="-3"/>
        </w:rPr>
        <w:t>对于为购建或者生产符合资本化条件的资产而占用的一般借款，根据累计资产支出超过专门借款</w:t>
      </w:r>
      <w:r>
        <w:rPr/>
        <w:t> </w:t>
      </w:r>
      <w:r>
        <w:rPr>
          <w:spacing w:val="-2"/>
        </w:rPr>
        <w:t>部分的资产支出加权平均数乘以所占用一般借款的资本化率，计算确定一般借款应予资本化的借款</w:t>
      </w:r>
      <w:r>
        <w:rPr>
          <w:spacing w:val="-71"/>
        </w:rPr>
        <w:t> </w:t>
      </w:r>
      <w:r>
        <w:rPr>
          <w:spacing w:val="-71"/>
        </w:rPr>
      </w:r>
      <w:r>
        <w:rPr/>
        <w:t>费用金额。资本化率根据一般借款加权平均利率计算确定。</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19、生物资产" w:id="188"/>
      <w:bookmarkEnd w:id="188"/>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20、油气资产" w:id="189"/>
      <w:bookmarkEnd w:id="189"/>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21、无形资产" w:id="190"/>
      <w:bookmarkEnd w:id="190"/>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计价方法、使用寿命、减值测试" w:id="191"/>
      <w:bookmarkEnd w:id="191"/>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10" w:right="0"/>
        <w:jc w:val="left"/>
        <w:rPr>
          <w:b w:val="0"/>
          <w:bCs w:val="0"/>
        </w:rPr>
      </w:pPr>
      <w:r>
        <w:rPr>
          <w:rFonts w:ascii="Times New Roman" w:hAnsi="Times New Roman" w:cs="Times New Roman" w:eastAsia="Times New Roman" w:hint="default"/>
        </w:rPr>
        <w:t>A</w:t>
      </w:r>
      <w:r>
        <w:rPr/>
        <w:t>、无形资产的计价方法</w:t>
      </w:r>
      <w:r>
        <w:rPr>
          <w:b w:val="0"/>
          <w:bCs w:val="0"/>
        </w:rPr>
      </w:r>
    </w:p>
    <w:p>
      <w:pPr>
        <w:pStyle w:val="Heading6"/>
        <w:spacing w:line="268" w:lineRule="auto" w:before="13"/>
        <w:ind w:right="1118"/>
        <w:jc w:val="left"/>
      </w:pPr>
      <w:r>
        <w:rPr>
          <w:sz w:val="22"/>
          <w:szCs w:val="22"/>
        </w:rPr>
        <w:t>①</w:t>
      </w:r>
      <w:r>
        <w:rPr/>
        <w:t>公司取得无形资产时按成本进行初始计量；</w:t>
      </w:r>
      <w:r>
        <w:rPr/>
        <w:t> 外购无形资产的成本，包括购买价款、相关税费以及直接归属于使该项资产达到预定用途所发生</w:t>
      </w:r>
      <w:r>
        <w:rPr>
          <w:spacing w:val="-45"/>
        </w:rPr>
        <w:t> </w:t>
      </w:r>
      <w:r>
        <w:rPr>
          <w:spacing w:val="-45"/>
        </w:rPr>
      </w:r>
      <w:r>
        <w:rPr/>
        <w:t>的其他支出。</w:t>
      </w:r>
    </w:p>
    <w:p>
      <w:pPr>
        <w:pStyle w:val="Heading6"/>
        <w:spacing w:line="266" w:lineRule="auto" w:before="4"/>
        <w:ind w:left="982" w:right="6144" w:hanging="168"/>
        <w:jc w:val="left"/>
      </w:pPr>
      <w:r>
        <w:rPr>
          <w:sz w:val="22"/>
          <w:szCs w:val="22"/>
        </w:rPr>
        <w:t>②</w:t>
      </w:r>
      <w:r>
        <w:rPr/>
        <w:t>后续计量</w:t>
      </w:r>
      <w:r>
        <w:rPr/>
        <w:t> 在取得无形资产时分析判断其使用寿命。</w:t>
      </w:r>
    </w:p>
    <w:p>
      <w:pPr>
        <w:pStyle w:val="Heading6"/>
        <w:spacing w:line="273" w:lineRule="auto" w:before="14"/>
        <w:ind w:right="1131" w:firstLine="168"/>
        <w:jc w:val="both"/>
      </w:pPr>
      <w:r>
        <w:rPr>
          <w:spacing w:val="-1"/>
        </w:rPr>
        <w:t>对于使用寿命有限的无形资产，在为企业带来经济利益的期限内按直线法摊销；无法预见无形资</w:t>
      </w:r>
      <w:r>
        <w:rPr/>
        <w:t> 产为企业带来经济利益期限的，</w:t>
      </w:r>
      <w:r>
        <w:rPr>
          <w:spacing w:val="-21"/>
        </w:rPr>
        <w:t> </w:t>
      </w:r>
      <w:r>
        <w:rPr/>
        <w:t>视为使用寿命不确定的无形资产，不予摊销。</w:t>
      </w:r>
    </w:p>
    <w:p>
      <w:pPr>
        <w:pStyle w:val="Heading5"/>
        <w:spacing w:line="240" w:lineRule="auto" w:before="7"/>
        <w:ind w:left="510" w:right="0"/>
        <w:jc w:val="left"/>
        <w:rPr>
          <w:b w:val="0"/>
          <w:bCs w:val="0"/>
        </w:rPr>
      </w:pPr>
      <w:r>
        <w:rPr>
          <w:rFonts w:ascii="Times New Roman" w:hAnsi="Times New Roman" w:cs="Times New Roman" w:eastAsia="Times New Roman" w:hint="default"/>
        </w:rPr>
        <w:t>B</w:t>
      </w:r>
      <w:r>
        <w:rPr/>
        <w:t>、使用寿命有限的无形资产的使用寿命估计情况</w:t>
      </w:r>
      <w:r>
        <w:rPr>
          <w:b w:val="0"/>
          <w:bCs w:val="0"/>
        </w:rPr>
      </w:r>
    </w:p>
    <w:p>
      <w:pPr>
        <w:spacing w:line="240" w:lineRule="auto" w:before="10"/>
        <w:rPr>
          <w:rFonts w:ascii="宋体" w:hAnsi="宋体" w:cs="宋体" w:eastAsia="宋体" w:hint="default"/>
          <w:b/>
          <w:bCs/>
          <w:sz w:val="2"/>
          <w:szCs w:val="2"/>
        </w:rPr>
      </w:pPr>
    </w:p>
    <w:tbl>
      <w:tblPr>
        <w:tblW w:w="0" w:type="auto"/>
        <w:jc w:val="left"/>
        <w:tblInd w:w="864" w:type="dxa"/>
        <w:tblLayout w:type="fixed"/>
        <w:tblCellMar>
          <w:top w:w="0" w:type="dxa"/>
          <w:left w:w="0" w:type="dxa"/>
          <w:bottom w:w="0" w:type="dxa"/>
          <w:right w:w="0" w:type="dxa"/>
        </w:tblCellMar>
        <w:tblLook w:val="01E0"/>
      </w:tblPr>
      <w:tblGrid>
        <w:gridCol w:w="3173"/>
        <w:gridCol w:w="1999"/>
        <w:gridCol w:w="2955"/>
      </w:tblGrid>
      <w:tr>
        <w:trPr>
          <w:trHeight w:val="355" w:hRule="exact"/>
        </w:trPr>
        <w:tc>
          <w:tcPr>
            <w:tcW w:w="31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3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29"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295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125"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3" w:hRule="exact"/>
        </w:trPr>
        <w:tc>
          <w:tcPr>
            <w:tcW w:w="31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29" w:right="0"/>
              <w:jc w:val="center"/>
              <w:rPr>
                <w:rFonts w:ascii="Times New Roman" w:hAnsi="Times New Roman" w:cs="Times New Roman" w:eastAsia="Times New Roman" w:hint="default"/>
                <w:sz w:val="18"/>
                <w:szCs w:val="18"/>
              </w:rPr>
            </w:pPr>
            <w:r>
              <w:rPr>
                <w:rFonts w:ascii="Times New Roman"/>
                <w:sz w:val="18"/>
              </w:rPr>
              <w:t>10</w:t>
            </w:r>
          </w:p>
        </w:tc>
        <w:tc>
          <w:tcPr>
            <w:tcW w:w="29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24" w:right="0"/>
              <w:jc w:val="center"/>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52" w:hRule="exact"/>
        </w:trPr>
        <w:tc>
          <w:tcPr>
            <w:tcW w:w="31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38"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33" w:right="0"/>
              <w:jc w:val="center"/>
              <w:rPr>
                <w:rFonts w:ascii="Times New Roman" w:hAnsi="Times New Roman" w:cs="Times New Roman" w:eastAsia="Times New Roman" w:hint="default"/>
                <w:sz w:val="18"/>
                <w:szCs w:val="18"/>
              </w:rPr>
            </w:pPr>
            <w:r>
              <w:rPr>
                <w:rFonts w:ascii="Times New Roman"/>
                <w:sz w:val="18"/>
              </w:rPr>
              <w:t>5</w:t>
            </w:r>
          </w:p>
        </w:tc>
        <w:tc>
          <w:tcPr>
            <w:tcW w:w="29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26" w:right="0"/>
              <w:jc w:val="center"/>
              <w:rPr>
                <w:rFonts w:ascii="宋体" w:hAnsi="宋体" w:cs="宋体" w:eastAsia="宋体" w:hint="default"/>
                <w:sz w:val="18"/>
                <w:szCs w:val="18"/>
              </w:rPr>
            </w:pPr>
            <w:r>
              <w:rPr>
                <w:rFonts w:ascii="宋体" w:hAnsi="宋体" w:cs="宋体" w:eastAsia="宋体" w:hint="default"/>
                <w:sz w:val="18"/>
                <w:szCs w:val="18"/>
              </w:rPr>
              <w:t>预计受益年限</w:t>
            </w:r>
          </w:p>
        </w:tc>
      </w:tr>
      <w:tr>
        <w:trPr>
          <w:trHeight w:val="352" w:hRule="exact"/>
        </w:trPr>
        <w:tc>
          <w:tcPr>
            <w:tcW w:w="31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38"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32" w:right="0"/>
              <w:jc w:val="center"/>
              <w:rPr>
                <w:rFonts w:ascii="Times New Roman" w:hAnsi="Times New Roman" w:cs="Times New Roman" w:eastAsia="Times New Roman" w:hint="default"/>
                <w:sz w:val="18"/>
                <w:szCs w:val="18"/>
              </w:rPr>
            </w:pPr>
            <w:r>
              <w:rPr>
                <w:rFonts w:ascii="Times New Roman"/>
                <w:sz w:val="18"/>
              </w:rPr>
              <w:t>10</w:t>
            </w:r>
          </w:p>
        </w:tc>
        <w:tc>
          <w:tcPr>
            <w:tcW w:w="29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26"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353" w:hRule="exact"/>
        </w:trPr>
        <w:tc>
          <w:tcPr>
            <w:tcW w:w="31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38"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32" w:right="0"/>
              <w:jc w:val="center"/>
              <w:rPr>
                <w:rFonts w:ascii="Times New Roman" w:hAnsi="Times New Roman" w:cs="Times New Roman" w:eastAsia="Times New Roman" w:hint="default"/>
                <w:sz w:val="18"/>
                <w:szCs w:val="18"/>
              </w:rPr>
            </w:pPr>
            <w:r>
              <w:rPr>
                <w:rFonts w:ascii="Times New Roman"/>
                <w:sz w:val="18"/>
              </w:rPr>
              <w:t>10</w:t>
            </w:r>
          </w:p>
        </w:tc>
        <w:tc>
          <w:tcPr>
            <w:tcW w:w="29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26" w:right="0"/>
              <w:jc w:val="center"/>
              <w:rPr>
                <w:rFonts w:ascii="宋体" w:hAnsi="宋体" w:cs="宋体" w:eastAsia="宋体" w:hint="default"/>
                <w:sz w:val="18"/>
                <w:szCs w:val="18"/>
              </w:rPr>
            </w:pPr>
            <w:r>
              <w:rPr>
                <w:rFonts w:ascii="宋体" w:hAnsi="宋体" w:cs="宋体" w:eastAsia="宋体" w:hint="default"/>
                <w:sz w:val="18"/>
                <w:szCs w:val="18"/>
              </w:rPr>
              <w:t>预计可使用年限</w:t>
            </w:r>
          </w:p>
        </w:tc>
      </w:tr>
      <w:tr>
        <w:trPr>
          <w:trHeight w:val="352" w:hRule="exact"/>
        </w:trPr>
        <w:tc>
          <w:tcPr>
            <w:tcW w:w="31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BOT</w:t>
            </w:r>
            <w:r>
              <w:rPr>
                <w:rFonts w:ascii="宋体" w:hAnsi="宋体" w:cs="宋体" w:eastAsia="宋体" w:hint="default"/>
                <w:sz w:val="18"/>
                <w:szCs w:val="18"/>
              </w:rPr>
              <w:t>项目收费权</w:t>
            </w:r>
          </w:p>
        </w:tc>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30" w:right="0"/>
              <w:jc w:val="center"/>
              <w:rPr>
                <w:rFonts w:ascii="Times New Roman" w:hAnsi="Times New Roman" w:cs="Times New Roman" w:eastAsia="Times New Roman" w:hint="default"/>
                <w:sz w:val="18"/>
                <w:szCs w:val="18"/>
              </w:rPr>
            </w:pPr>
            <w:r>
              <w:rPr>
                <w:rFonts w:ascii="Times New Roman"/>
                <w:sz w:val="18"/>
              </w:rPr>
              <w:t>5</w:t>
            </w:r>
          </w:p>
        </w:tc>
        <w:tc>
          <w:tcPr>
            <w:tcW w:w="29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24" w:right="0"/>
              <w:jc w:val="center"/>
              <w:rPr>
                <w:rFonts w:ascii="宋体" w:hAnsi="宋体" w:cs="宋体" w:eastAsia="宋体" w:hint="default"/>
                <w:sz w:val="18"/>
                <w:szCs w:val="18"/>
              </w:rPr>
            </w:pPr>
            <w:r>
              <w:rPr>
                <w:rFonts w:ascii="宋体" w:hAnsi="宋体" w:cs="宋体" w:eastAsia="宋体" w:hint="default"/>
                <w:sz w:val="18"/>
                <w:szCs w:val="18"/>
              </w:rPr>
              <w:t>项目合同年限</w:t>
            </w:r>
          </w:p>
        </w:tc>
      </w:tr>
      <w:tr>
        <w:trPr>
          <w:trHeight w:val="352" w:hRule="exact"/>
        </w:trPr>
        <w:tc>
          <w:tcPr>
            <w:tcW w:w="31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129" w:right="0"/>
              <w:jc w:val="center"/>
              <w:rPr>
                <w:rFonts w:ascii="Times New Roman" w:hAnsi="Times New Roman" w:cs="Times New Roman" w:eastAsia="Times New Roman" w:hint="default"/>
                <w:sz w:val="18"/>
                <w:szCs w:val="18"/>
              </w:rPr>
            </w:pPr>
            <w:r>
              <w:rPr>
                <w:rFonts w:ascii="Times New Roman"/>
                <w:sz w:val="18"/>
              </w:rPr>
              <w:t>40-50</w:t>
            </w:r>
          </w:p>
        </w:tc>
        <w:tc>
          <w:tcPr>
            <w:tcW w:w="29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124" w:right="0"/>
              <w:jc w:val="center"/>
              <w:rPr>
                <w:rFonts w:ascii="宋体" w:hAnsi="宋体" w:cs="宋体" w:eastAsia="宋体" w:hint="default"/>
                <w:sz w:val="18"/>
                <w:szCs w:val="18"/>
              </w:rPr>
            </w:pPr>
            <w:r>
              <w:rPr>
                <w:rFonts w:ascii="宋体" w:hAnsi="宋体" w:cs="宋体" w:eastAsia="宋体" w:hint="default"/>
                <w:sz w:val="18"/>
                <w:szCs w:val="18"/>
              </w:rPr>
              <w:t>土地使用权证</w:t>
            </w:r>
          </w:p>
        </w:tc>
      </w:tr>
    </w:tbl>
    <w:p>
      <w:pPr>
        <w:pStyle w:val="Heading6"/>
        <w:spacing w:line="260" w:lineRule="exact" w:before="0"/>
        <w:ind w:left="914" w:right="0"/>
        <w:jc w:val="left"/>
      </w:pPr>
      <w:r>
        <w:rPr/>
        <w:t>每年度终了，对使用寿命有限的无形资产的使用寿命及摊销方法进行复核。</w:t>
      </w:r>
    </w:p>
    <w:p>
      <w:pPr>
        <w:pStyle w:val="Heading6"/>
        <w:spacing w:line="240" w:lineRule="auto" w:before="37"/>
        <w:ind w:left="914" w:right="0"/>
        <w:jc w:val="left"/>
      </w:pPr>
      <w:r>
        <w:rPr/>
        <w:t>经复核，本年期末无形资产的使用寿命及摊销方法与以前估计未有不同。</w:t>
      </w:r>
    </w:p>
    <w:p>
      <w:pPr>
        <w:spacing w:line="264" w:lineRule="auto" w:before="37"/>
        <w:ind w:left="1066" w:right="4170" w:hanging="25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C</w:t>
      </w:r>
      <w:r>
        <w:rPr>
          <w:rFonts w:ascii="宋体" w:hAnsi="宋体" w:cs="宋体" w:eastAsia="宋体" w:hint="default"/>
          <w:b/>
          <w:bCs/>
          <w:sz w:val="21"/>
          <w:szCs w:val="21"/>
        </w:rPr>
        <w:t>、使用寿命不确定的无形资产的判断依据</w:t>
      </w:r>
      <w:r>
        <w:rPr>
          <w:rFonts w:ascii="宋体" w:hAnsi="宋体" w:cs="宋体" w:eastAsia="宋体" w:hint="default"/>
          <w:b/>
          <w:bCs/>
          <w:w w:val="99"/>
          <w:sz w:val="21"/>
          <w:szCs w:val="21"/>
        </w:rPr>
        <w:t> </w:t>
      </w:r>
      <w:r>
        <w:rPr>
          <w:rFonts w:ascii="宋体" w:hAnsi="宋体" w:cs="宋体" w:eastAsia="宋体" w:hint="default"/>
          <w:sz w:val="21"/>
          <w:szCs w:val="21"/>
        </w:rPr>
        <w:t>每期末，对使用寿命不确定的无形资产的使用寿命进行复核。 经复核，该类无形资产的使用寿命仍为不确定。</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Heading5"/>
        <w:spacing w:line="240" w:lineRule="auto"/>
        <w:ind w:right="0"/>
        <w:jc w:val="left"/>
        <w:rPr>
          <w:b w:val="0"/>
          <w:bCs w:val="0"/>
        </w:rPr>
      </w:pPr>
      <w:bookmarkStart w:name="（2）内部研究开发支出会计政策" w:id="192"/>
      <w:bookmarkEnd w:id="192"/>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left="510"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A</w:t>
      </w:r>
      <w:r>
        <w:rPr/>
        <w:t>、划分公司内部研究开发项目的研究阶段和开发阶段具体标准</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Heading6"/>
        <w:spacing w:line="240" w:lineRule="auto" w:before="21"/>
        <w:ind w:left="682" w:right="0"/>
        <w:jc w:val="left"/>
      </w:pPr>
      <w:r>
        <w:rPr/>
        <w:t>公司内部研究开发项目的支出分为研究阶段支出和开发阶段支出。</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left="682" w:right="0"/>
        <w:jc w:val="left"/>
      </w:pPr>
      <w:r>
        <w:rPr/>
        <w:t>研究阶段：为获取并理解新的科学或技术知识等而进行的独创性的有计划调查、研究活动的阶段。 开发阶段：在进行商业性生产或使用前，将研究成果或其他知识应用于某项计划或设计，以生产出</w:t>
      </w:r>
    </w:p>
    <w:p>
      <w:pPr>
        <w:pStyle w:val="Heading6"/>
        <w:spacing w:line="240" w:lineRule="auto"/>
        <w:ind w:left="513" w:right="0"/>
        <w:jc w:val="left"/>
      </w:pPr>
      <w:r>
        <w:rPr/>
        <w:t>新的或具有实质性改进的材料、装置、产品等活动的阶段。</w:t>
      </w:r>
    </w:p>
    <w:p>
      <w:pPr>
        <w:pStyle w:val="Heading5"/>
        <w:spacing w:line="240" w:lineRule="auto" w:before="37"/>
        <w:ind w:left="510"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B</w:t>
      </w:r>
      <w:r>
        <w:rPr/>
        <w:t>、开发阶段支出符合资本化的具体标准</w:t>
      </w:r>
      <w:r>
        <w:rPr>
          <w:rFonts w:ascii="Times New Roman" w:hAnsi="Times New Roman" w:cs="Times New Roman" w:eastAsia="Times New Roman" w:hint="default"/>
        </w:rPr>
        <w:t>:</w:t>
      </w:r>
      <w:r>
        <w:rPr>
          <w:rFonts w:ascii="Times New Roman" w:hAnsi="Times New Roman" w:cs="Times New Roman" w:eastAsia="Times New Roman" w:hint="default"/>
          <w:b w:val="0"/>
          <w:bCs w:val="0"/>
        </w:rPr>
      </w:r>
    </w:p>
    <w:p>
      <w:pPr>
        <w:pStyle w:val="Heading6"/>
        <w:spacing w:line="240" w:lineRule="auto" w:before="21"/>
        <w:ind w:left="682" w:right="0"/>
        <w:jc w:val="left"/>
      </w:pPr>
      <w:r>
        <w:rPr/>
        <w:t>内部研究开发项目开发阶段的支出，同时满足下列条件时确认为无形资产：</w:t>
      </w:r>
    </w:p>
    <w:p>
      <w:pPr>
        <w:pStyle w:val="Heading6"/>
        <w:spacing w:line="240" w:lineRule="auto" w:before="29"/>
        <w:ind w:right="0"/>
        <w:jc w:val="left"/>
      </w:pPr>
      <w:r>
        <w:rPr>
          <w:sz w:val="22"/>
          <w:szCs w:val="22"/>
        </w:rPr>
        <w:t>①</w:t>
      </w:r>
      <w:r>
        <w:rPr/>
        <w:t>完成该无形资产以使其能够使用或出售在技术上具有可行性；</w:t>
      </w:r>
    </w:p>
    <w:p>
      <w:pPr>
        <w:pStyle w:val="Heading6"/>
        <w:spacing w:line="240" w:lineRule="auto" w:before="24"/>
        <w:ind w:right="0"/>
        <w:jc w:val="left"/>
      </w:pPr>
      <w:r>
        <w:rPr>
          <w:sz w:val="22"/>
          <w:szCs w:val="22"/>
        </w:rPr>
        <w:t>②</w:t>
      </w:r>
      <w:r>
        <w:rPr/>
        <w:t>具有完成该无形资产并使用或出售的意图；</w:t>
      </w:r>
    </w:p>
    <w:p>
      <w:pPr>
        <w:pStyle w:val="Heading6"/>
        <w:spacing w:line="266" w:lineRule="auto" w:before="24"/>
        <w:ind w:left="513" w:right="0" w:firstLine="252"/>
        <w:jc w:val="left"/>
      </w:pPr>
      <w:r>
        <w:rPr>
          <w:spacing w:val="-1"/>
          <w:sz w:val="22"/>
          <w:szCs w:val="22"/>
        </w:rPr>
        <w:t>③</w:t>
      </w:r>
      <w:r>
        <w:rPr>
          <w:spacing w:val="-1"/>
        </w:rPr>
        <w:t>无形资产产生经济利益的方式，包括能够证明运用该无形资产生产的产品存在市场或无形资产自</w:t>
      </w:r>
      <w:r>
        <w:rPr/>
        <w:t> 身存在市场，无形资产将在内部使用的，能够证明其有用性；</w:t>
      </w:r>
    </w:p>
    <w:p>
      <w:pPr>
        <w:pStyle w:val="Heading6"/>
        <w:spacing w:line="266" w:lineRule="auto" w:before="6"/>
        <w:ind w:right="1118"/>
        <w:jc w:val="left"/>
      </w:pPr>
      <w:r>
        <w:rPr>
          <w:spacing w:val="-2"/>
          <w:sz w:val="22"/>
          <w:szCs w:val="22"/>
        </w:rPr>
        <w:t>④</w:t>
      </w:r>
      <w:r>
        <w:rPr>
          <w:spacing w:val="-2"/>
        </w:rPr>
        <w:t>有足够的技术、财务资源和其他资源支持，以完成该无形资产的开发，并有能力使用或出售该无</w:t>
      </w:r>
      <w:r>
        <w:rPr>
          <w:spacing w:val="-83"/>
        </w:rPr>
        <w:t> </w:t>
      </w:r>
      <w:r>
        <w:rPr>
          <w:spacing w:val="-83"/>
        </w:rPr>
      </w:r>
      <w:r>
        <w:rPr/>
        <w:t>形资产；</w:t>
      </w:r>
    </w:p>
    <w:p>
      <w:pPr>
        <w:pStyle w:val="Heading6"/>
        <w:spacing w:line="268" w:lineRule="auto" w:before="6"/>
        <w:ind w:right="1118"/>
        <w:jc w:val="left"/>
      </w:pPr>
      <w:r>
        <w:rPr>
          <w:sz w:val="22"/>
          <w:szCs w:val="22"/>
        </w:rPr>
        <w:t>⑤</w:t>
      </w:r>
      <w:r>
        <w:rPr/>
        <w:t>归属于该无形资产开发阶段的支出能够可靠地计量。</w:t>
      </w:r>
      <w:r>
        <w:rPr/>
        <w:t> </w:t>
      </w:r>
      <w:r>
        <w:rPr>
          <w:spacing w:val="-2"/>
        </w:rPr>
        <w:t>开发阶段的支出，若不满足上列条件的，于发生时计入当期损益。研究阶段的支出，在发生时计入</w:t>
      </w:r>
      <w:r>
        <w:rPr>
          <w:spacing w:val="-75"/>
        </w:rPr>
        <w:t> </w:t>
      </w:r>
      <w:r>
        <w:rPr>
          <w:spacing w:val="-75"/>
        </w:rPr>
      </w:r>
      <w:r>
        <w:rPr/>
        <w:t>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Heading5"/>
        <w:spacing w:line="240" w:lineRule="auto"/>
        <w:ind w:left="154" w:right="0"/>
        <w:jc w:val="left"/>
        <w:rPr>
          <w:b w:val="0"/>
          <w:bCs w:val="0"/>
        </w:rPr>
      </w:pPr>
      <w:bookmarkStart w:name="22、长期资产减值" w:id="193"/>
      <w:bookmarkEnd w:id="193"/>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4"/>
          <w:szCs w:val="24"/>
        </w:rPr>
      </w:pPr>
    </w:p>
    <w:p>
      <w:pPr>
        <w:pStyle w:val="Heading6"/>
        <w:spacing w:line="273" w:lineRule="auto" w:before="0"/>
        <w:ind w:left="872" w:right="0" w:firstLine="252"/>
        <w:jc w:val="left"/>
      </w:pPr>
      <w:r>
        <w:rPr/>
        <w:t>长期股权投资、采用成本模式计量的投资性房地产、固定资产、在建工程、使用寿命有限的无 形资产等长期资产，于资产负债表日存在减值迹象的，进行减值测试。减值测试结果表明资产的</w:t>
      </w:r>
      <w:r>
        <w:rPr>
          <w:spacing w:val="-23"/>
        </w:rPr>
        <w:t> </w:t>
      </w:r>
      <w:r>
        <w:rPr>
          <w:spacing w:val="-23"/>
        </w:rPr>
      </w:r>
      <w:r>
        <w:rPr/>
        <w:t>可收回金额低于其账面价值的，按其差额计提减值准备并计入减值损失。可收回金额为资产的公</w:t>
      </w:r>
      <w:r>
        <w:rPr>
          <w:spacing w:val="-23"/>
        </w:rPr>
        <w:t> </w:t>
      </w:r>
      <w:r>
        <w:rPr>
          <w:spacing w:val="-23"/>
        </w:rPr>
      </w:r>
      <w:r>
        <w:rPr/>
        <w:t>允价值减去处置费用后的净额与资产预计未来现金流量的现值两者之间的较高者。资产减值准备</w:t>
      </w:r>
      <w:r>
        <w:rPr>
          <w:spacing w:val="-23"/>
        </w:rPr>
        <w:t> </w:t>
      </w:r>
      <w:r>
        <w:rPr>
          <w:spacing w:val="-23"/>
        </w:rPr>
      </w:r>
      <w:r>
        <w:rPr/>
        <w:t>按单项资产为基础计算并确认，如果难以对单项资产的可收回金额进行估计的，以该资产所属的</w:t>
      </w:r>
      <w:r>
        <w:rPr>
          <w:spacing w:val="-23"/>
        </w:rPr>
        <w:t> </w:t>
      </w:r>
      <w:r>
        <w:rPr>
          <w:spacing w:val="-23"/>
        </w:rPr>
      </w:r>
      <w:r>
        <w:rPr/>
        <w:t>资产组确定资产组的可收回金额。资产组是能够独立产生现金流入的最小资产组合。 上述资产减值损失一经确认，在以后会计期间不予转回。</w:t>
      </w:r>
    </w:p>
    <w:p>
      <w:pPr>
        <w:spacing w:line="240" w:lineRule="auto" w:before="8"/>
        <w:rPr>
          <w:rFonts w:ascii="宋体" w:hAnsi="宋体" w:cs="宋体" w:eastAsia="宋体" w:hint="default"/>
          <w:sz w:val="23"/>
          <w:szCs w:val="23"/>
        </w:rPr>
      </w:pPr>
    </w:p>
    <w:p>
      <w:pPr>
        <w:pStyle w:val="Heading5"/>
        <w:spacing w:line="240" w:lineRule="auto"/>
        <w:ind w:left="154" w:right="0"/>
        <w:jc w:val="left"/>
        <w:rPr>
          <w:b w:val="0"/>
          <w:bCs w:val="0"/>
        </w:rPr>
      </w:pPr>
      <w:bookmarkStart w:name="23、长期待摊费用" w:id="194"/>
      <w:bookmarkEnd w:id="19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Heading6"/>
        <w:spacing w:line="273" w:lineRule="auto" w:before="0"/>
        <w:ind w:left="872" w:right="0" w:firstLine="252"/>
        <w:jc w:val="left"/>
      </w:pPr>
      <w:r>
        <w:rPr/>
        <w:t>长期待摊费用为已经发生但应由本期和以后各期负担的分摊期限在一年以上的各项费用。本公 司长期待摊费用主要包括租入固定资产改良支出。</w:t>
      </w:r>
    </w:p>
    <w:p>
      <w:pPr>
        <w:spacing w:line="256" w:lineRule="auto" w:before="7"/>
        <w:ind w:left="1414" w:right="6342" w:hanging="30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t>长期待摊费用在受益期内平均摊销</w:t>
      </w:r>
    </w:p>
    <w:p>
      <w:pPr>
        <w:pStyle w:val="Heading5"/>
        <w:spacing w:line="240" w:lineRule="auto" w:before="22"/>
        <w:ind w:left="1110" w:right="0"/>
        <w:jc w:val="left"/>
        <w:rPr>
          <w:b w:val="0"/>
          <w:bCs w:val="0"/>
        </w:rPr>
      </w:pPr>
      <w:r>
        <w:rPr/>
        <w:t>（</w:t>
      </w:r>
      <w:r>
        <w:rPr>
          <w:rFonts w:ascii="Times New Roman" w:hAnsi="Times New Roman" w:cs="Times New Roman" w:eastAsia="Times New Roman" w:hint="default"/>
        </w:rPr>
        <w:t>2</w:t>
      </w:r>
      <w:r>
        <w:rPr/>
        <w:t>）、摊销年限</w:t>
      </w:r>
      <w:r>
        <w:rPr>
          <w:b w:val="0"/>
          <w:bCs w:val="0"/>
        </w:rPr>
      </w:r>
    </w:p>
    <w:p>
      <w:pPr>
        <w:spacing w:line="240" w:lineRule="auto" w:before="10"/>
        <w:rPr>
          <w:rFonts w:ascii="宋体" w:hAnsi="宋体" w:cs="宋体" w:eastAsia="宋体" w:hint="default"/>
          <w:b/>
          <w:bCs/>
          <w:sz w:val="2"/>
          <w:szCs w:val="2"/>
        </w:rPr>
      </w:pPr>
    </w:p>
    <w:tbl>
      <w:tblPr>
        <w:tblW w:w="0" w:type="auto"/>
        <w:jc w:val="left"/>
        <w:tblInd w:w="864" w:type="dxa"/>
        <w:tblLayout w:type="fixed"/>
        <w:tblCellMar>
          <w:top w:w="0" w:type="dxa"/>
          <w:left w:w="0" w:type="dxa"/>
          <w:bottom w:w="0" w:type="dxa"/>
          <w:right w:w="0" w:type="dxa"/>
        </w:tblCellMar>
        <w:tblLook w:val="01E0"/>
      </w:tblPr>
      <w:tblGrid>
        <w:gridCol w:w="3173"/>
        <w:gridCol w:w="1999"/>
        <w:gridCol w:w="2955"/>
      </w:tblGrid>
      <w:tr>
        <w:trPr>
          <w:trHeight w:val="355" w:hRule="exact"/>
        </w:trPr>
        <w:tc>
          <w:tcPr>
            <w:tcW w:w="317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307"/>
              <w:jc w:val="right"/>
              <w:rPr>
                <w:rFonts w:ascii="宋体" w:hAnsi="宋体" w:cs="宋体" w:eastAsia="宋体" w:hint="default"/>
                <w:sz w:val="18"/>
                <w:szCs w:val="18"/>
              </w:rPr>
            </w:pPr>
            <w:r>
              <w:rPr>
                <w:rFonts w:ascii="宋体" w:hAnsi="宋体" w:cs="宋体" w:eastAsia="宋体" w:hint="default"/>
                <w:sz w:val="18"/>
                <w:szCs w:val="18"/>
              </w:rPr>
              <w:t>项  目</w:t>
            </w:r>
          </w:p>
        </w:tc>
        <w:tc>
          <w:tcPr>
            <w:tcW w:w="19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预计收益期（年）</w:t>
            </w:r>
          </w:p>
        </w:tc>
        <w:tc>
          <w:tcPr>
            <w:tcW w:w="2955"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4"/>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53" w:hRule="exact"/>
        </w:trPr>
        <w:tc>
          <w:tcPr>
            <w:tcW w:w="31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353"/>
              <w:jc w:val="right"/>
              <w:rPr>
                <w:rFonts w:ascii="宋体" w:hAnsi="宋体" w:cs="宋体" w:eastAsia="宋体" w:hint="default"/>
                <w:sz w:val="18"/>
                <w:szCs w:val="18"/>
              </w:rPr>
            </w:pPr>
            <w:r>
              <w:rPr>
                <w:rFonts w:ascii="宋体" w:hAnsi="宋体" w:cs="宋体" w:eastAsia="宋体" w:hint="default"/>
                <w:sz w:val="18"/>
                <w:szCs w:val="18"/>
              </w:rPr>
              <w:t>租入固定资产改良支出</w:t>
            </w:r>
          </w:p>
        </w:tc>
        <w:tc>
          <w:tcPr>
            <w:tcW w:w="19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4-5</w:t>
            </w:r>
          </w:p>
        </w:tc>
        <w:tc>
          <w:tcPr>
            <w:tcW w:w="2955"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租赁合同</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5"/>
        <w:spacing w:line="240" w:lineRule="auto" w:before="35"/>
        <w:ind w:left="154" w:right="0"/>
        <w:jc w:val="left"/>
        <w:rPr>
          <w:b w:val="0"/>
          <w:bCs w:val="0"/>
        </w:rPr>
      </w:pPr>
      <w:bookmarkStart w:name="24、职工薪酬" w:id="195"/>
      <w:bookmarkEnd w:id="195"/>
      <w:r>
        <w:rPr>
          <w:b w:val="0"/>
          <w:bCs w:val="0"/>
        </w:rPr>
      </w:r>
      <w:r>
        <w:rPr>
          <w:rFonts w:ascii="Times New Roman" w:hAnsi="Times New Roman" w:cs="Times New Roman" w:eastAsia="Times New Roman" w:hint="default"/>
        </w:rPr>
        <w:t>24</w:t>
      </w:r>
      <w:r>
        <w:rPr/>
        <w:t>、职工薪酬</w:t>
      </w:r>
      <w:r>
        <w:rPr>
          <w:b w:val="0"/>
          <w:bCs w:val="0"/>
        </w:rPr>
      </w:r>
    </w:p>
    <w:p>
      <w:pPr>
        <w:spacing w:line="590" w:lineRule="atLeast" w:before="23"/>
        <w:ind w:left="682" w:right="0" w:hanging="529"/>
        <w:jc w:val="left"/>
        <w:rPr>
          <w:rFonts w:ascii="宋体" w:hAnsi="宋体" w:cs="宋体" w:eastAsia="宋体" w:hint="default"/>
          <w:sz w:val="21"/>
          <w:szCs w:val="21"/>
        </w:rPr>
      </w:pPr>
      <w:bookmarkStart w:name="（1）短期薪酬的会计处理方法" w:id="196"/>
      <w:bookmarkEnd w:id="1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本公司在职工为本公司提供服务的会计期间，将实际发生的短期薪酬确认为负债，并计入当期损益</w:t>
      </w:r>
    </w:p>
    <w:p>
      <w:pPr>
        <w:pStyle w:val="Heading6"/>
        <w:spacing w:line="273" w:lineRule="auto" w:before="37"/>
        <w:ind w:left="682" w:right="0" w:hanging="169"/>
        <w:jc w:val="left"/>
      </w:pPr>
      <w:r>
        <w:rPr/>
        <w:t>或相关资产成本。 本公司为职工缴纳的社会保险费和住房公积金，以及按规定提取的工会经费和职工教育经费，在职</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left="682" w:right="1363" w:hanging="169"/>
        <w:jc w:val="left"/>
      </w:pPr>
      <w:r>
        <w:rPr/>
        <w:t>工为本公司提供服务的会计期间，根据规定的计提基础和计提比例计算确定相应的职工薪酬金额。 职工福利费为非货币性福利的，如能够可靠计量的，按照公允价值计量。</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left="154" w:right="0"/>
        <w:jc w:val="left"/>
        <w:rPr>
          <w:b w:val="0"/>
          <w:bCs w:val="0"/>
        </w:rPr>
      </w:pPr>
      <w:bookmarkStart w:name="（2）离职后福利的会计处理方法" w:id="197"/>
      <w:bookmarkEnd w:id="197"/>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12"/>
        <w:rPr>
          <w:rFonts w:ascii="宋体" w:hAnsi="宋体" w:cs="宋体" w:eastAsia="宋体" w:hint="default"/>
          <w:b/>
          <w:bCs/>
          <w:sz w:val="23"/>
          <w:szCs w:val="23"/>
        </w:rPr>
      </w:pPr>
    </w:p>
    <w:p>
      <w:pPr>
        <w:pStyle w:val="Heading6"/>
        <w:spacing w:line="266" w:lineRule="auto" w:before="0"/>
        <w:ind w:left="682" w:right="1118" w:hanging="301"/>
        <w:jc w:val="left"/>
      </w:pPr>
      <w:r>
        <w:rPr>
          <w:sz w:val="22"/>
          <w:szCs w:val="22"/>
        </w:rPr>
        <w:t>①</w:t>
      </w:r>
      <w:r>
        <w:rPr/>
        <w:t>设定提存计划</w:t>
      </w:r>
      <w:r>
        <w:rPr/>
        <w:t> 本公司按当地政府的相关规定为职工缴纳基本养老保险和失业保险，在职工为本公司提供服务的会</w:t>
      </w:r>
    </w:p>
    <w:p>
      <w:pPr>
        <w:pStyle w:val="Heading6"/>
        <w:spacing w:line="273" w:lineRule="auto" w:before="14"/>
        <w:ind w:left="514" w:right="1118"/>
        <w:jc w:val="left"/>
      </w:pPr>
      <w:r>
        <w:rPr/>
        <w:t>计期间，按以当地规定的缴纳基数和比例计算应缴纳金额，确认为负债，并计入当期损益或相关资产</w:t>
      </w:r>
      <w:r>
        <w:rPr>
          <w:spacing w:val="-72"/>
        </w:rPr>
        <w:t> </w:t>
      </w:r>
      <w:r>
        <w:rPr>
          <w:spacing w:val="-72"/>
        </w:rPr>
      </w:r>
      <w:r>
        <w:rPr/>
        <w:t>成本。</w:t>
      </w:r>
    </w:p>
    <w:p>
      <w:pPr>
        <w:pStyle w:val="Heading6"/>
        <w:spacing w:line="264" w:lineRule="auto"/>
        <w:ind w:left="514" w:right="1035" w:firstLine="168"/>
        <w:jc w:val="left"/>
      </w:pPr>
      <w:r>
        <w:rPr/>
        <w:t>除基本养老保险外，本公司还依据国家企业年金制度的相关政策建立了企业年金缴费制度（补充养 老保险）</w:t>
      </w:r>
      <w:r>
        <w:rPr>
          <w:rFonts w:ascii="Times New Roman" w:hAnsi="Times New Roman" w:cs="Times New Roman" w:eastAsia="Times New Roman" w:hint="default"/>
        </w:rPr>
        <w:t>/</w:t>
      </w:r>
      <w:r>
        <w:rPr/>
        <w:t>企业年金计划。本公司按职工工资总额的一定比例向当地社会保险机构缴费</w:t>
      </w:r>
      <w:r>
        <w:rPr>
          <w:rFonts w:ascii="Times New Roman" w:hAnsi="Times New Roman" w:cs="Times New Roman" w:eastAsia="Times New Roman" w:hint="default"/>
        </w:rPr>
        <w:t>/</w:t>
      </w:r>
      <w:r>
        <w:rPr/>
        <w:t>年金计划缴费， 相应支出计入当期损益或相关资产成本。</w:t>
      </w:r>
    </w:p>
    <w:p>
      <w:pPr>
        <w:pStyle w:val="Heading6"/>
        <w:spacing w:line="266" w:lineRule="auto" w:before="8"/>
        <w:ind w:right="7572" w:hanging="301"/>
        <w:jc w:val="left"/>
      </w:pPr>
      <w:r>
        <w:rPr>
          <w:sz w:val="22"/>
          <w:szCs w:val="22"/>
        </w:rPr>
        <w:t>②</w:t>
      </w:r>
      <w:r>
        <w:rPr/>
        <w:t>设定受益计划</w:t>
      </w:r>
      <w:r>
        <w:rPr/>
        <w:t> 本公司暂无设定收益计划。</w:t>
      </w:r>
    </w:p>
    <w:p>
      <w:pPr>
        <w:spacing w:line="240" w:lineRule="auto" w:before="1"/>
        <w:rPr>
          <w:rFonts w:ascii="宋体" w:hAnsi="宋体" w:cs="宋体" w:eastAsia="宋体" w:hint="default"/>
          <w:sz w:val="25"/>
          <w:szCs w:val="25"/>
        </w:rPr>
      </w:pPr>
    </w:p>
    <w:p>
      <w:pPr>
        <w:spacing w:line="590" w:lineRule="atLeast" w:before="0"/>
        <w:ind w:left="381" w:right="1120" w:hanging="228"/>
        <w:jc w:val="left"/>
        <w:rPr>
          <w:rFonts w:ascii="宋体" w:hAnsi="宋体" w:cs="宋体" w:eastAsia="宋体" w:hint="default"/>
          <w:sz w:val="21"/>
          <w:szCs w:val="21"/>
        </w:rPr>
      </w:pPr>
      <w:bookmarkStart w:name="（3）辞退福利的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本公司在不能单方面撤回因解除劳动关系计划或裁减建议所提供的辞退福利时，或确认与涉及支付辞退</w:t>
      </w:r>
    </w:p>
    <w:p>
      <w:pPr>
        <w:pStyle w:val="Heading6"/>
        <w:tabs>
          <w:tab w:pos="4241" w:val="left" w:leader="none"/>
        </w:tabs>
        <w:spacing w:line="240" w:lineRule="auto" w:before="37"/>
        <w:ind w:left="213" w:right="0"/>
        <w:jc w:val="left"/>
      </w:pPr>
      <w:r>
        <w:rPr>
          <w:spacing w:val="-1"/>
        </w:rPr>
        <w:t>福利的重组相关的成本或费用时（两者孰</w:t>
        <w:tab/>
        <w:t>早），确认辞退福利产生的职工薪酬负债，并计入当期损益。</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5"/>
        <w:spacing w:line="240" w:lineRule="auto"/>
        <w:ind w:left="154" w:right="0"/>
        <w:jc w:val="left"/>
        <w:rPr>
          <w:b w:val="0"/>
          <w:bCs w:val="0"/>
        </w:rPr>
      </w:pPr>
      <w:bookmarkStart w:name="（4）其他长期职工福利的会计处理方法" w:id="199"/>
      <w:bookmarkEnd w:id="199"/>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25、预计负债" w:id="200"/>
      <w:bookmarkEnd w:id="200"/>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26、股份支付" w:id="201"/>
      <w:bookmarkEnd w:id="201"/>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27、优先股、永续债等其他金融工具" w:id="202"/>
      <w:bookmarkEnd w:id="202"/>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28、收入" w:id="203"/>
      <w:bookmarkEnd w:id="203"/>
      <w:r>
        <w:rPr>
          <w:b w:val="0"/>
          <w:bCs w:val="0"/>
        </w:rPr>
      </w:r>
      <w:r>
        <w:rPr>
          <w:rFonts w:ascii="Times New Roman" w:hAnsi="Times New Roman" w:cs="Times New Roman" w:eastAsia="Times New Roman" w:hint="default"/>
        </w:rPr>
        <w:t>28</w:t>
      </w:r>
      <w:r>
        <w:rPr/>
        <w:t>、收入</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4"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64" w:lineRule="auto" w:before="21"/>
        <w:ind w:left="830" w:right="6296" w:hanging="37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A</w:t>
      </w:r>
      <w:r>
        <w:rPr>
          <w:rFonts w:ascii="宋体" w:hAnsi="宋体" w:cs="宋体" w:eastAsia="宋体" w:hint="default"/>
          <w:b/>
          <w:bCs/>
          <w:sz w:val="21"/>
          <w:szCs w:val="21"/>
        </w:rPr>
        <w:t>、软件产品销售</w:t>
      </w:r>
      <w:r>
        <w:rPr>
          <w:rFonts w:ascii="宋体" w:hAnsi="宋体" w:cs="宋体" w:eastAsia="宋体" w:hint="default"/>
          <w:b/>
          <w:bCs/>
          <w:w w:val="99"/>
          <w:sz w:val="21"/>
          <w:szCs w:val="21"/>
        </w:rPr>
        <w:t> </w:t>
      </w:r>
      <w:r>
        <w:rPr>
          <w:rFonts w:ascii="宋体" w:hAnsi="宋体" w:cs="宋体" w:eastAsia="宋体" w:hint="default"/>
          <w:sz w:val="21"/>
          <w:szCs w:val="21"/>
        </w:rPr>
        <w:t>包括定制产品化软件以及定制工程化软件 </w:t>
      </w:r>
      <w:r>
        <w:rPr>
          <w:rFonts w:ascii="Times New Roman" w:hAnsi="Times New Roman" w:cs="Times New Roman" w:eastAsia="Times New Roman" w:hint="default"/>
          <w:sz w:val="21"/>
          <w:szCs w:val="21"/>
        </w:rPr>
        <w:t>a</w:t>
      </w:r>
      <w:r>
        <w:rPr>
          <w:rFonts w:ascii="宋体" w:hAnsi="宋体" w:cs="宋体" w:eastAsia="宋体" w:hint="default"/>
          <w:sz w:val="21"/>
          <w:szCs w:val="21"/>
        </w:rPr>
        <w:t>、定制产品化软件</w:t>
      </w:r>
    </w:p>
    <w:p>
      <w:pPr>
        <w:spacing w:after="0" w:line="264"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left="1129" w:right="0"/>
        <w:jc w:val="left"/>
      </w:pPr>
      <w:r>
        <w:rPr/>
        <w:t>主要指针对具体实施工程项目的定点医院和定点药店定制的医疗保险支付软件产品。该类软件</w:t>
      </w:r>
      <w:r>
        <w:rPr>
          <w:spacing w:val="-63"/>
        </w:rPr>
        <w:t> </w:t>
      </w:r>
      <w:r>
        <w:rPr>
          <w:spacing w:val="-63"/>
        </w:rPr>
      </w:r>
      <w:r>
        <w:rPr/>
        <w:t>通过产品配置、技术培训，就能够满足客户对产品的应用需求，具有区域性推广特点。</w:t>
      </w:r>
    </w:p>
    <w:p>
      <w:pPr>
        <w:pStyle w:val="Heading6"/>
        <w:spacing w:line="268" w:lineRule="auto"/>
        <w:ind w:left="1130" w:right="0" w:hanging="300"/>
        <w:jc w:val="left"/>
      </w:pPr>
      <w:r>
        <w:rPr/>
        <w:t>（</w:t>
      </w:r>
      <w:r>
        <w:rPr>
          <w:rFonts w:ascii="Times New Roman" w:hAnsi="Times New Roman" w:cs="Times New Roman" w:eastAsia="Times New Roman" w:hint="default"/>
        </w:rPr>
        <w:t>a</w:t>
      </w:r>
      <w:r>
        <w:rPr/>
        <w:t>）收入确认原则： 公司在软件产品使用权的主要风险和报酬转移给买方，不再对该软件产品使用权实施继续管理 权和实际控制权、相关的收入已经收到或取得了收款的证据、并且与销售该软件产品有关的成 本能够可靠地计量时，确认销售收入。</w:t>
      </w:r>
    </w:p>
    <w:p>
      <w:pPr>
        <w:pStyle w:val="Heading6"/>
        <w:spacing w:line="240" w:lineRule="auto" w:before="12"/>
        <w:ind w:left="829" w:right="0"/>
        <w:jc w:val="left"/>
      </w:pPr>
      <w:r>
        <w:rPr/>
        <w:t>（</w:t>
      </w:r>
      <w:r>
        <w:rPr>
          <w:rFonts w:ascii="Times New Roman" w:hAnsi="Times New Roman" w:cs="Times New Roman" w:eastAsia="Times New Roman" w:hint="default"/>
        </w:rPr>
        <w:t>b</w:t>
      </w:r>
      <w:r>
        <w:rPr/>
        <w:t>）收入确认方法：</w:t>
      </w:r>
    </w:p>
    <w:p>
      <w:pPr>
        <w:pStyle w:val="Heading6"/>
        <w:spacing w:line="240" w:lineRule="auto" w:before="21"/>
        <w:ind w:left="1430" w:right="0"/>
        <w:jc w:val="left"/>
      </w:pPr>
      <w:r>
        <w:rPr/>
        <w:t>①如销售合同规定需要安装验收的，在取得客户的安装验收报告时确认为销售收入；</w:t>
      </w:r>
    </w:p>
    <w:p>
      <w:pPr>
        <w:pStyle w:val="Heading6"/>
        <w:spacing w:line="240" w:lineRule="auto" w:before="37"/>
        <w:ind w:left="1430" w:right="0"/>
        <w:jc w:val="left"/>
      </w:pPr>
      <w:r>
        <w:rPr/>
        <w:t>②如销售合同未规定需要安装验收的，则在取得到货验收证明时确认为销售收入。</w:t>
      </w:r>
    </w:p>
    <w:p>
      <w:pPr>
        <w:spacing w:line="240" w:lineRule="auto" w:before="9"/>
        <w:rPr>
          <w:rFonts w:ascii="宋体" w:hAnsi="宋体" w:cs="宋体" w:eastAsia="宋体" w:hint="default"/>
          <w:sz w:val="26"/>
          <w:szCs w:val="26"/>
        </w:rPr>
      </w:pPr>
    </w:p>
    <w:p>
      <w:pPr>
        <w:pStyle w:val="Heading6"/>
        <w:spacing w:line="256" w:lineRule="auto" w:before="0"/>
        <w:ind w:left="1298" w:right="0" w:hanging="468"/>
        <w:jc w:val="left"/>
      </w:pPr>
      <w:r>
        <w:rPr>
          <w:rFonts w:ascii="Times New Roman" w:hAnsi="Times New Roman" w:cs="Times New Roman" w:eastAsia="Times New Roman" w:hint="default"/>
        </w:rPr>
        <w:t>b</w:t>
      </w:r>
      <w:r>
        <w:rPr/>
        <w:t>、定制工程化软件 是指接受客户委托，根据客户的具体业务需求，采用软件技术进行应用软件产品研究开发，</w:t>
      </w:r>
    </w:p>
    <w:p>
      <w:pPr>
        <w:pStyle w:val="Heading6"/>
        <w:spacing w:line="240" w:lineRule="auto" w:before="22"/>
        <w:ind w:left="1130" w:right="0"/>
        <w:jc w:val="left"/>
      </w:pPr>
      <w:r>
        <w:rPr/>
        <w:t>由此开发出来的软件为定制工程化软件、一般不具有通用性。</w:t>
      </w:r>
    </w:p>
    <w:p>
      <w:pPr>
        <w:pStyle w:val="Heading6"/>
        <w:spacing w:line="240" w:lineRule="auto" w:before="37"/>
        <w:ind w:left="1063" w:right="0"/>
        <w:jc w:val="left"/>
      </w:pPr>
      <w:r>
        <w:rPr>
          <w:rFonts w:ascii="Times New Roman" w:hAnsi="Times New Roman" w:cs="Times New Roman" w:eastAsia="Times New Roman" w:hint="default"/>
        </w:rPr>
        <w:t>(a)</w:t>
      </w:r>
      <w:r>
        <w:rPr/>
        <w:t>收入确认原则：</w:t>
      </w:r>
    </w:p>
    <w:p>
      <w:pPr>
        <w:pStyle w:val="Heading6"/>
        <w:spacing w:line="273" w:lineRule="auto" w:before="21"/>
        <w:ind w:left="1127" w:right="0"/>
        <w:jc w:val="left"/>
      </w:pPr>
      <w:r>
        <w:rPr/>
        <w:t>①在资产负债表日提供劳务交易的结果能够可靠估计的软件开发项目，采用完工百分比法（项</w:t>
      </w:r>
      <w:r>
        <w:rPr>
          <w:spacing w:val="-53"/>
        </w:rPr>
        <w:t> </w:t>
      </w:r>
      <w:r>
        <w:rPr>
          <w:spacing w:val="-53"/>
        </w:rPr>
      </w:r>
      <w:r>
        <w:rPr/>
        <w:t>目完工进度）确认软件开发收入。 完工百分比的确定方法：按已经提供的工作量占应提供的工作总量的比例确定。</w:t>
      </w:r>
    </w:p>
    <w:p>
      <w:pPr>
        <w:pStyle w:val="Heading6"/>
        <w:spacing w:line="273" w:lineRule="auto"/>
        <w:ind w:left="1127" w:right="1137"/>
        <w:jc w:val="both"/>
      </w:pPr>
      <w:r>
        <w:rPr/>
        <w:t>②对在资产负债表日提供劳务交易结果不能可靠估计的软件开发项目，如果已经发生的成本预</w:t>
      </w:r>
      <w:r>
        <w:rPr>
          <w:spacing w:val="-59"/>
        </w:rPr>
        <w:t> </w:t>
      </w:r>
      <w:r>
        <w:rPr>
          <w:spacing w:val="-59"/>
        </w:rPr>
      </w:r>
      <w:r>
        <w:rPr/>
        <w:t>计能够得到补偿，按能够得到补偿的金额确认收入，并按相同的金额结转成本；如果已经发生</w:t>
      </w:r>
      <w:r>
        <w:rPr>
          <w:spacing w:val="-59"/>
        </w:rPr>
        <w:t> </w:t>
      </w:r>
      <w:r>
        <w:rPr>
          <w:spacing w:val="-59"/>
        </w:rPr>
      </w:r>
      <w:r>
        <w:rPr/>
        <w:t>的成本预计不能全部得到补偿，按能够得到补偿的开发成本金额确认收入，并按已发生的成本</w:t>
      </w:r>
      <w:r>
        <w:rPr>
          <w:spacing w:val="-59"/>
        </w:rPr>
        <w:t> </w:t>
      </w:r>
      <w:r>
        <w:rPr>
          <w:spacing w:val="-59"/>
        </w:rPr>
      </w:r>
      <w:r>
        <w:rPr/>
        <w:t>结转成本，确认的收入金额小于已经发生的成本的差额，确认为损失；如果已发生的成本全部</w:t>
      </w:r>
      <w:r>
        <w:rPr>
          <w:spacing w:val="-59"/>
        </w:rPr>
        <w:t> </w:t>
      </w:r>
      <w:r>
        <w:rPr>
          <w:spacing w:val="-59"/>
        </w:rPr>
      </w:r>
      <w:r>
        <w:rPr/>
        <w:t>不能得到补偿，则不确认收入，但将已发生的成本确认为费用。</w:t>
      </w:r>
    </w:p>
    <w:p>
      <w:pPr>
        <w:pStyle w:val="Heading6"/>
        <w:spacing w:line="264" w:lineRule="auto" w:before="8"/>
        <w:ind w:left="1127" w:right="0" w:firstLine="84"/>
        <w:jc w:val="left"/>
      </w:pPr>
      <w:r>
        <w:rPr>
          <w:rFonts w:ascii="Times New Roman" w:hAnsi="Times New Roman" w:cs="Times New Roman" w:eastAsia="Times New Roman" w:hint="default"/>
        </w:rPr>
        <w:t>(b)</w:t>
      </w:r>
      <w:r>
        <w:rPr/>
        <w:t>收入确认方法：</w:t>
      </w:r>
      <w:r>
        <w:rPr>
          <w:w w:val="99"/>
        </w:rPr>
        <w:t> </w:t>
      </w:r>
      <w:r>
        <w:rPr/>
        <w:t>合同中明确约定合同总金额中包含质保金的，在确认收入时，先扣除质保金部分，然后按如下</w:t>
      </w:r>
      <w:r>
        <w:rPr>
          <w:spacing w:val="-59"/>
        </w:rPr>
        <w:t> </w:t>
      </w:r>
      <w:r>
        <w:rPr>
          <w:spacing w:val="-59"/>
        </w:rPr>
      </w:r>
      <w:r>
        <w:rPr/>
        <w:t>方法确认收入；质保期届满后，再将该质保金确认收入。</w:t>
      </w:r>
    </w:p>
    <w:p>
      <w:pPr>
        <w:pStyle w:val="Heading6"/>
        <w:spacing w:line="273" w:lineRule="auto" w:before="16"/>
        <w:ind w:left="1295" w:right="1131" w:hanging="168"/>
        <w:jc w:val="left"/>
      </w:pPr>
      <w:r>
        <w:rPr/>
        <w:t>①取得初验报告开始确认收入。 </w:t>
      </w:r>
      <w:r>
        <w:rPr>
          <w:spacing w:val="2"/>
        </w:rPr>
        <w:t>定制工程化软件一般包括软件功能的开发、现场安装调试、旧系统数据迁移、系统培训、用</w:t>
      </w:r>
    </w:p>
    <w:p>
      <w:pPr>
        <w:pStyle w:val="Heading6"/>
        <w:spacing w:line="273" w:lineRule="auto"/>
        <w:ind w:left="1127" w:right="1137"/>
        <w:jc w:val="both"/>
      </w:pPr>
      <w:r>
        <w:rPr/>
        <w:t>户测试、初验（系统试运行）和终验等环节，其中初验和终验是客户对系统运行情况作出的评</w:t>
      </w:r>
      <w:r>
        <w:rPr>
          <w:spacing w:val="-59"/>
        </w:rPr>
        <w:t> </w:t>
      </w:r>
      <w:r>
        <w:rPr>
          <w:spacing w:val="-59"/>
        </w:rPr>
      </w:r>
      <w:r>
        <w:rPr/>
        <w:t>价（用户也可直接终验），也是公司与客户结算的主要依据和环节。在初验阶段完成时，围绕</w:t>
      </w:r>
      <w:r>
        <w:rPr>
          <w:spacing w:val="-59"/>
        </w:rPr>
        <w:t> </w:t>
      </w:r>
      <w:r>
        <w:rPr>
          <w:spacing w:val="-59"/>
        </w:rPr>
      </w:r>
      <w:r>
        <w:rPr/>
        <w:t>项目的大部分工作均已完成，之后只是在运行期间可能进行部分系统功能的修改，所涉工作内</w:t>
      </w:r>
      <w:r>
        <w:rPr>
          <w:spacing w:val="-59"/>
        </w:rPr>
        <w:t> </w:t>
      </w:r>
      <w:r>
        <w:rPr>
          <w:spacing w:val="-59"/>
        </w:rPr>
      </w:r>
      <w:r>
        <w:rPr/>
        <w:t>容很少、工作量也不大。因此，公司在取得初验报告后开始确认收入。</w:t>
      </w:r>
    </w:p>
    <w:p>
      <w:pPr>
        <w:pStyle w:val="Heading6"/>
        <w:spacing w:line="273" w:lineRule="auto"/>
        <w:ind w:left="1295" w:right="1131" w:hanging="168"/>
        <w:jc w:val="left"/>
      </w:pPr>
      <w:r>
        <w:rPr/>
        <w:t>②初验确认收入的比例。 </w:t>
      </w:r>
      <w:r>
        <w:rPr>
          <w:spacing w:val="2"/>
        </w:rPr>
        <w:t>由于公司定制工程化软件主要依靠项目实施人员及自有软件技术的整合来进行开发，因此，</w:t>
      </w:r>
    </w:p>
    <w:p>
      <w:pPr>
        <w:pStyle w:val="Heading6"/>
        <w:spacing w:line="264" w:lineRule="auto"/>
        <w:ind w:left="1127" w:right="1025"/>
        <w:jc w:val="left"/>
      </w:pPr>
      <w:r>
        <w:rPr>
          <w:spacing w:val="-2"/>
        </w:rPr>
        <w:t>公司以投入工时为计算基础，以完工进度作为确认收入的依据。根据历年已完工典型合同统计，</w:t>
      </w:r>
      <w:r>
        <w:rPr>
          <w:spacing w:val="-73"/>
        </w:rPr>
        <w:t> </w:t>
      </w:r>
      <w:r>
        <w:rPr>
          <w:spacing w:val="-73"/>
        </w:rPr>
      </w:r>
      <w:r>
        <w:rPr/>
        <w:t>初验时项目投入工时约为</w:t>
      </w:r>
      <w:r>
        <w:rPr>
          <w:rFonts w:ascii="Times New Roman" w:hAnsi="Times New Roman" w:cs="Times New Roman" w:eastAsia="Times New Roman" w:hint="default"/>
        </w:rPr>
        <w:t>80%</w:t>
      </w:r>
      <w:r>
        <w:rPr/>
        <w:t>左右，因此，公司按照以下标准孰低的原则确定初验收入的确认</w:t>
      </w:r>
      <w:r>
        <w:rPr>
          <w:spacing w:val="-31"/>
        </w:rPr>
        <w:t> </w:t>
      </w:r>
      <w:r>
        <w:rPr>
          <w:spacing w:val="-31"/>
        </w:rPr>
      </w:r>
      <w:r>
        <w:rPr/>
        <w:t>比例：</w:t>
      </w:r>
    </w:p>
    <w:p>
      <w:pPr>
        <w:pStyle w:val="Heading6"/>
        <w:spacing w:line="256" w:lineRule="auto" w:before="16"/>
        <w:ind w:left="1429" w:right="2792"/>
        <w:jc w:val="left"/>
      </w:pPr>
      <w:r>
        <w:rPr/>
        <w:t>Ⅰ初验时合同约定的付款比例等于或高于</w:t>
      </w:r>
      <w:r>
        <w:rPr>
          <w:rFonts w:ascii="Times New Roman" w:hAnsi="Times New Roman" w:cs="Times New Roman" w:eastAsia="Times New Roman" w:hint="default"/>
        </w:rPr>
        <w:t>80%</w:t>
      </w:r>
      <w:r>
        <w:rPr/>
        <w:t>，则以</w:t>
      </w:r>
      <w:r>
        <w:rPr>
          <w:rFonts w:ascii="Times New Roman" w:hAnsi="Times New Roman" w:cs="Times New Roman" w:eastAsia="Times New Roman" w:hint="default"/>
        </w:rPr>
        <w:t>80%</w:t>
      </w:r>
      <w:r>
        <w:rPr/>
        <w:t>确认收入； Ⅱ初验时合同约定的付款比例低于</w:t>
      </w:r>
      <w:r>
        <w:rPr>
          <w:rFonts w:ascii="Times New Roman" w:hAnsi="Times New Roman" w:cs="Times New Roman" w:eastAsia="Times New Roman" w:hint="default"/>
        </w:rPr>
        <w:t>80%</w:t>
      </w:r>
      <w:r>
        <w:rPr/>
        <w:t>，则以合同约定的比例确认收入。 公司每年年末会根据当年完工合同情况，对初验完工进度进行复核。</w:t>
      </w:r>
    </w:p>
    <w:p>
      <w:pPr>
        <w:pStyle w:val="Heading6"/>
        <w:spacing w:line="273" w:lineRule="auto" w:before="22"/>
        <w:ind w:left="1598" w:right="1118" w:hanging="471"/>
        <w:jc w:val="left"/>
      </w:pPr>
      <w:r>
        <w:rPr/>
        <w:t>③终验时的收入确认： 取得客户终验报告确认时，公司扣除终验前已确认的比例后，将其余部分确认收入，如合</w:t>
      </w:r>
    </w:p>
    <w:p>
      <w:pPr>
        <w:pStyle w:val="Heading6"/>
        <w:spacing w:line="240" w:lineRule="auto"/>
        <w:ind w:left="1427" w:right="0"/>
        <w:jc w:val="left"/>
      </w:pPr>
      <w:r>
        <w:rPr/>
        <w:t>同中明确约定合同总金额中包含质保金的，先扣除质保金部分，再按前述办法确认收入。</w:t>
      </w:r>
    </w:p>
    <w:p>
      <w:pPr>
        <w:pStyle w:val="Heading6"/>
        <w:spacing w:line="256" w:lineRule="auto" w:before="37"/>
        <w:ind w:left="827" w:right="1015" w:hanging="301"/>
        <w:jc w:val="left"/>
      </w:pPr>
      <w:r>
        <w:rPr>
          <w:rFonts w:ascii="Times New Roman" w:hAnsi="Times New Roman" w:cs="Times New Roman" w:eastAsia="Times New Roman" w:hint="default"/>
          <w:b/>
          <w:bCs/>
        </w:rPr>
        <w:t>B</w:t>
      </w:r>
      <w:r>
        <w:rPr>
          <w:rFonts w:ascii="宋体" w:hAnsi="宋体" w:cs="宋体" w:eastAsia="宋体" w:hint="default"/>
          <w:b/>
          <w:bCs/>
        </w:rPr>
        <w:t>、运维服务</w:t>
      </w:r>
      <w:r>
        <w:rPr>
          <w:rFonts w:ascii="宋体" w:hAnsi="宋体" w:cs="宋体" w:eastAsia="宋体" w:hint="default"/>
          <w:b/>
          <w:bCs/>
          <w:w w:val="99"/>
        </w:rPr>
        <w:t> </w:t>
      </w:r>
      <w:r>
        <w:rPr>
          <w:spacing w:val="-4"/>
        </w:rPr>
        <w:t>运维服务包括公司向客户提供的技术支持、技术咨询、技术开发、系统维护、运营管理等服务内容。</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40" w:lineRule="auto" w:before="35"/>
        <w:ind w:left="827" w:right="0"/>
        <w:jc w:val="left"/>
      </w:pPr>
      <w:r>
        <w:rPr/>
        <w:t>服务合同期限过后，合同自动终止。</w:t>
      </w:r>
    </w:p>
    <w:p>
      <w:pPr>
        <w:pStyle w:val="Heading6"/>
        <w:spacing w:line="264" w:lineRule="auto" w:before="37"/>
        <w:ind w:left="1427" w:right="1023" w:hanging="300"/>
        <w:jc w:val="left"/>
      </w:pPr>
      <w:r>
        <w:rPr>
          <w:rFonts w:ascii="Times New Roman" w:hAnsi="Times New Roman" w:cs="Times New Roman" w:eastAsia="Times New Roman" w:hint="default"/>
        </w:rPr>
        <w:t>a</w:t>
      </w:r>
      <w:r>
        <w:rPr/>
        <w:t>、收入确认原则： </w:t>
      </w:r>
      <w:r>
        <w:rPr>
          <w:spacing w:val="-4"/>
        </w:rPr>
        <w:t>公司在已根据合同约定提供了相应服务，取得明确的收款证据，相关成本能够可靠地计量时，</w:t>
      </w:r>
      <w:r>
        <w:rPr/>
        <w:t> 确认收入。</w:t>
      </w:r>
    </w:p>
    <w:p>
      <w:pPr>
        <w:pStyle w:val="Heading6"/>
        <w:spacing w:line="240" w:lineRule="auto" w:before="16"/>
        <w:ind w:left="1127" w:right="0"/>
        <w:jc w:val="left"/>
      </w:pPr>
      <w:r>
        <w:rPr>
          <w:rFonts w:ascii="Times New Roman" w:hAnsi="Times New Roman" w:cs="Times New Roman" w:eastAsia="Times New Roman" w:hint="default"/>
        </w:rPr>
        <w:t>b</w:t>
      </w:r>
      <w:r>
        <w:rPr/>
        <w:t>、收入确认方法：</w:t>
      </w:r>
    </w:p>
    <w:p>
      <w:pPr>
        <w:pStyle w:val="Heading6"/>
        <w:spacing w:line="240" w:lineRule="auto" w:before="21"/>
        <w:ind w:left="1430" w:right="0"/>
        <w:jc w:val="both"/>
      </w:pPr>
      <w:r>
        <w:rPr/>
        <w:t>①合同明确约定服务期限的，在合同约定的服务期限内分期确认收入。</w:t>
      </w:r>
    </w:p>
    <w:p>
      <w:pPr>
        <w:pStyle w:val="Heading6"/>
        <w:spacing w:line="240" w:lineRule="auto" w:before="37"/>
        <w:ind w:left="1430" w:right="0"/>
        <w:jc w:val="both"/>
      </w:pPr>
      <w:r>
        <w:rPr/>
        <w:t>②合同明确约定服务成果需经客户验收确认的，根据客户验收情况确认收入。</w:t>
      </w:r>
    </w:p>
    <w:p>
      <w:pPr>
        <w:pStyle w:val="Heading5"/>
        <w:spacing w:line="240" w:lineRule="auto" w:before="37"/>
        <w:ind w:left="454" w:right="0"/>
        <w:jc w:val="left"/>
        <w:rPr>
          <w:b w:val="0"/>
          <w:bCs w:val="0"/>
        </w:rPr>
      </w:pPr>
      <w:r>
        <w:rPr>
          <w:rFonts w:ascii="Times New Roman" w:hAnsi="Times New Roman" w:cs="Times New Roman" w:eastAsia="Times New Roman" w:hint="default"/>
        </w:rPr>
        <w:t>C</w:t>
      </w:r>
      <w:r>
        <w:rPr/>
        <w:t>、系统集成</w:t>
      </w:r>
      <w:r>
        <w:rPr>
          <w:b w:val="0"/>
          <w:bCs w:val="0"/>
        </w:rPr>
      </w:r>
    </w:p>
    <w:p>
      <w:pPr>
        <w:pStyle w:val="Heading6"/>
        <w:spacing w:line="240" w:lineRule="auto" w:before="21"/>
        <w:ind w:left="911" w:right="0"/>
        <w:jc w:val="left"/>
      </w:pPr>
      <w:r>
        <w:rPr/>
        <w:t>系统集成包括外购软硬件产品和公司软件产品的安装调试。</w:t>
      </w:r>
    </w:p>
    <w:p>
      <w:pPr>
        <w:pStyle w:val="Heading6"/>
        <w:spacing w:line="266" w:lineRule="auto" w:before="37"/>
        <w:ind w:left="1129" w:right="1118" w:hanging="176"/>
        <w:jc w:val="left"/>
      </w:pPr>
      <w:r>
        <w:rPr>
          <w:rFonts w:ascii="Times New Roman" w:hAnsi="Times New Roman" w:cs="Times New Roman" w:eastAsia="Times New Roman" w:hint="default"/>
        </w:rPr>
        <w:t>a</w:t>
      </w:r>
      <w:r>
        <w:rPr/>
        <w:t>、收入确认原则： 公司已将产品所有权上的主要风险和报酬转移给购货方，并且不再对该产品实施继续管理和控 制，与交易相关的经济利益能够流入本公司，相关的收入和成本能够可靠计量时确认销售收入 的实现。</w:t>
      </w:r>
    </w:p>
    <w:p>
      <w:pPr>
        <w:pStyle w:val="Heading6"/>
        <w:spacing w:line="240" w:lineRule="auto" w:before="14"/>
        <w:ind w:left="998" w:right="0"/>
        <w:jc w:val="left"/>
      </w:pPr>
      <w:r>
        <w:rPr>
          <w:rFonts w:ascii="Times New Roman" w:hAnsi="Times New Roman" w:cs="Times New Roman" w:eastAsia="Times New Roman" w:hint="default"/>
        </w:rPr>
        <w:t>b</w:t>
      </w:r>
      <w:r>
        <w:rPr/>
        <w:t>、收入确认方法：</w:t>
      </w:r>
    </w:p>
    <w:p>
      <w:pPr>
        <w:pStyle w:val="Heading6"/>
        <w:spacing w:line="273" w:lineRule="auto" w:before="21"/>
        <w:ind w:left="1130" w:right="0"/>
        <w:jc w:val="left"/>
      </w:pPr>
      <w:r>
        <w:rPr/>
        <w:t>①如销售合同规定需要安装验收的，在取得客户的安装验收报告时按合同金额扣除增值税后的</w:t>
      </w:r>
      <w:r>
        <w:rPr>
          <w:spacing w:val="-63"/>
        </w:rPr>
        <w:t> </w:t>
      </w:r>
      <w:r>
        <w:rPr>
          <w:spacing w:val="-63"/>
        </w:rPr>
      </w:r>
      <w:r>
        <w:rPr/>
        <w:t>余额确认为销售收入；</w:t>
      </w:r>
    </w:p>
    <w:p>
      <w:pPr>
        <w:pStyle w:val="Heading6"/>
        <w:spacing w:line="273" w:lineRule="auto"/>
        <w:ind w:left="153" w:right="0" w:firstLine="757"/>
        <w:jc w:val="left"/>
      </w:pPr>
      <w:r>
        <w:rPr/>
        <w:t>②如销售合同未规定需要安装验收的，则在取得到货验收证明时按合同金额扣除增值税后的余额 确认为销售收入。</w:t>
      </w:r>
    </w:p>
    <w:p>
      <w:pPr>
        <w:pStyle w:val="Heading5"/>
        <w:spacing w:line="240" w:lineRule="auto" w:before="7"/>
        <w:ind w:left="453" w:right="0"/>
        <w:jc w:val="left"/>
        <w:rPr>
          <w:b w:val="0"/>
          <w:bCs w:val="0"/>
        </w:rPr>
      </w:pPr>
      <w:r>
        <w:rPr>
          <w:rFonts w:ascii="Times New Roman" w:hAnsi="Times New Roman" w:cs="Times New Roman" w:eastAsia="Times New Roman" w:hint="default"/>
        </w:rPr>
        <w:t>D</w:t>
      </w:r>
      <w:r>
        <w:rPr/>
        <w:t>、综合工程</w:t>
      </w:r>
      <w:r>
        <w:rPr>
          <w:b w:val="0"/>
          <w:bCs w:val="0"/>
        </w:rPr>
      </w:r>
    </w:p>
    <w:p>
      <w:pPr>
        <w:pStyle w:val="Heading6"/>
        <w:spacing w:line="240" w:lineRule="auto" w:before="21"/>
        <w:ind w:left="827" w:right="0"/>
        <w:jc w:val="left"/>
      </w:pPr>
      <w:r>
        <w:rPr/>
        <w:t>本公司综合工程包括弱电系统安装、综合布线等。</w:t>
      </w:r>
    </w:p>
    <w:p>
      <w:pPr>
        <w:pStyle w:val="Heading6"/>
        <w:spacing w:line="268" w:lineRule="auto" w:before="37"/>
        <w:ind w:left="827" w:right="1006" w:firstLine="2"/>
        <w:jc w:val="left"/>
      </w:pPr>
      <w:r>
        <w:rPr>
          <w:rFonts w:ascii="Times New Roman" w:hAnsi="Times New Roman" w:cs="Times New Roman" w:eastAsia="Times New Roman" w:hint="default"/>
        </w:rPr>
        <w:t>a</w:t>
      </w:r>
      <w:r>
        <w:rPr/>
        <w:t>、收入确认原则： 在资产负债表日，合同的结果能够可靠估计的，根据完工百分比法确认合同收入和合同费用。 如果合同的结果不能可靠地估计，区别以下情况处理：合同成本能够收回的，合同收入根据能够</w:t>
      </w:r>
      <w:r>
        <w:rPr>
          <w:spacing w:val="-56"/>
        </w:rPr>
        <w:t> </w:t>
      </w:r>
      <w:r>
        <w:rPr>
          <w:spacing w:val="-56"/>
        </w:rPr>
      </w:r>
      <w:r>
        <w:rPr/>
        <w:t>收回的实际合同成本加以确认；合同</w:t>
      </w:r>
      <w:r>
        <w:rPr>
          <w:spacing w:val="-62"/>
        </w:rPr>
        <w:t> </w:t>
      </w:r>
      <w:r>
        <w:rPr/>
        <w:t>成本不可能收回的，在发生时立即确认为费用，不确认收入。</w:t>
      </w:r>
      <w:r>
        <w:rPr/>
        <w:t> 合同的结果能够可靠估计是指同时具备下列条件：</w:t>
      </w:r>
    </w:p>
    <w:p>
      <w:pPr>
        <w:pStyle w:val="Heading6"/>
        <w:spacing w:line="240" w:lineRule="auto" w:before="12"/>
        <w:ind w:left="1427" w:right="0"/>
        <w:jc w:val="both"/>
      </w:pPr>
      <w:r>
        <w:rPr/>
        <w:t>①合同总收入能够可靠地计量；</w:t>
      </w:r>
    </w:p>
    <w:p>
      <w:pPr>
        <w:pStyle w:val="Heading6"/>
        <w:spacing w:line="240" w:lineRule="auto" w:before="37"/>
        <w:ind w:left="1427" w:right="0"/>
        <w:jc w:val="both"/>
      </w:pPr>
      <w:r>
        <w:rPr/>
        <w:t>②与合同相关的经济利益能够流入企业；</w:t>
      </w:r>
    </w:p>
    <w:p>
      <w:pPr>
        <w:pStyle w:val="Heading6"/>
        <w:spacing w:line="240" w:lineRule="auto" w:before="37"/>
        <w:ind w:left="1427" w:right="0"/>
        <w:jc w:val="both"/>
      </w:pPr>
      <w:r>
        <w:rPr/>
        <w:t>③在资产负债表日合同完工进度和为完成合同尚需发生的成本能够可靠地确定；</w:t>
      </w:r>
    </w:p>
    <w:p>
      <w:pPr>
        <w:pStyle w:val="Heading6"/>
        <w:spacing w:line="273" w:lineRule="auto" w:before="37"/>
        <w:ind w:left="1427" w:right="1131"/>
        <w:jc w:val="both"/>
      </w:pPr>
      <w:r>
        <w:rPr>
          <w:spacing w:val="-1"/>
        </w:rPr>
        <w:t>④为完成合同已经发生的合同成本能够清楚地区分和可靠地计量，以便实际合同成本能够与</w:t>
      </w:r>
      <w:r>
        <w:rPr>
          <w:spacing w:val="-100"/>
        </w:rPr>
        <w:t> </w:t>
      </w:r>
      <w:r>
        <w:rPr>
          <w:spacing w:val="-100"/>
        </w:rPr>
      </w:r>
      <w:r>
        <w:rPr/>
        <w:t>以前的预计成本相比较。</w:t>
      </w:r>
    </w:p>
    <w:p>
      <w:pPr>
        <w:pStyle w:val="Heading6"/>
        <w:spacing w:line="240" w:lineRule="auto"/>
        <w:ind w:left="827" w:right="0"/>
        <w:jc w:val="left"/>
      </w:pPr>
      <w:r>
        <w:rPr>
          <w:rFonts w:ascii="Times New Roman" w:hAnsi="Times New Roman" w:cs="Times New Roman" w:eastAsia="Times New Roman" w:hint="default"/>
        </w:rPr>
        <w:t>b</w:t>
      </w:r>
      <w:r>
        <w:rPr/>
        <w:t>、收入确认方法：</w:t>
      </w:r>
    </w:p>
    <w:p>
      <w:pPr>
        <w:pStyle w:val="Heading6"/>
        <w:spacing w:line="273" w:lineRule="auto" w:before="21"/>
        <w:ind w:left="1427" w:right="1131"/>
        <w:jc w:val="both"/>
      </w:pPr>
      <w:r>
        <w:rPr>
          <w:spacing w:val="-1"/>
        </w:rPr>
        <w:t>①在资产负债表日，按照合同总收入乘以完工进度扣除以前会计期间累计已确认收入后的金</w:t>
      </w:r>
      <w:r>
        <w:rPr>
          <w:spacing w:val="-100"/>
        </w:rPr>
        <w:t> </w:t>
      </w:r>
      <w:r>
        <w:rPr>
          <w:spacing w:val="-100"/>
        </w:rPr>
      </w:r>
      <w:r>
        <w:rPr>
          <w:spacing w:val="-1"/>
        </w:rPr>
        <w:t>额，确认为当期合同收入；同时，按照合同预计总成本乘以完工进度扣除以前会计期间累计</w:t>
      </w:r>
      <w:r>
        <w:rPr>
          <w:spacing w:val="-100"/>
        </w:rPr>
        <w:t> </w:t>
      </w:r>
      <w:r>
        <w:rPr>
          <w:spacing w:val="-100"/>
        </w:rPr>
      </w:r>
      <w:r>
        <w:rPr/>
        <w:t>已确认费用后的金额，确认为当期合同费用。</w:t>
      </w:r>
    </w:p>
    <w:p>
      <w:pPr>
        <w:pStyle w:val="Heading6"/>
        <w:spacing w:line="273" w:lineRule="auto"/>
        <w:ind w:left="1427" w:right="1095"/>
        <w:jc w:val="both"/>
      </w:pPr>
      <w:r>
        <w:rPr/>
        <w:t>②当期完成的建造合同，按照实际合同总收入扣除以前会计期间累计已确认收入后的金额， </w:t>
      </w:r>
      <w:r>
        <w:rPr>
          <w:spacing w:val="-1"/>
        </w:rPr>
        <w:t>确认为当期合同收入，如果合同约定质保条款的，先扣除质保金部分，然后按前述方法确认</w:t>
      </w:r>
      <w:r>
        <w:rPr>
          <w:spacing w:val="-101"/>
        </w:rPr>
        <w:t> </w:t>
      </w:r>
      <w:r>
        <w:rPr>
          <w:spacing w:val="-101"/>
        </w:rPr>
      </w:r>
      <w:r>
        <w:rPr>
          <w:spacing w:val="-1"/>
        </w:rPr>
        <w:t>收入，质保期届满后，再将该质保金确认收入；同时，按照累计实际发生的合同成本扣除以</w:t>
      </w:r>
      <w:r>
        <w:rPr>
          <w:spacing w:val="-103"/>
        </w:rPr>
        <w:t> </w:t>
      </w:r>
      <w:r>
        <w:rPr>
          <w:spacing w:val="-103"/>
        </w:rPr>
      </w:r>
      <w:r>
        <w:rPr/>
        <w:t>前会计期间累计已确认费用后的金额，确认为当期合同费用。</w:t>
      </w:r>
    </w:p>
    <w:p>
      <w:pPr>
        <w:spacing w:line="266" w:lineRule="auto" w:before="7"/>
        <w:ind w:left="1114" w:right="0" w:hanging="96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z w:val="21"/>
          <w:szCs w:val="21"/>
        </w:rPr>
        <w:t>与交易相关的经济利益很可能流入企业，收入的金额能够可靠地计量时。分别下列情况确定让 渡资产使用权收入金额：</w:t>
      </w:r>
    </w:p>
    <w:p>
      <w:pPr>
        <w:pStyle w:val="Heading6"/>
        <w:spacing w:line="240" w:lineRule="auto" w:before="6"/>
        <w:ind w:left="1414" w:right="0"/>
        <w:jc w:val="both"/>
      </w:pPr>
      <w:r>
        <w:rPr>
          <w:sz w:val="22"/>
          <w:szCs w:val="22"/>
        </w:rPr>
        <w:t>①</w:t>
      </w:r>
      <w:r>
        <w:rPr/>
        <w:t>利息收入金额，按照他人使用本企业货币资金的时间和实际利率计算确定。</w:t>
      </w:r>
    </w:p>
    <w:p>
      <w:pPr>
        <w:pStyle w:val="Heading6"/>
        <w:spacing w:line="240" w:lineRule="auto" w:before="32"/>
        <w:ind w:left="1414" w:right="0"/>
        <w:jc w:val="both"/>
      </w:pPr>
      <w:r>
        <w:rPr/>
        <w:t>②使用费收入金额，按照有关合同或协议约定的收费时间和方法计算确定。</w:t>
      </w:r>
    </w:p>
    <w:p>
      <w:pPr>
        <w:spacing w:after="0" w:line="240"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9、政府补助" w:id="204"/>
      <w:bookmarkEnd w:id="204"/>
      <w:r>
        <w:rPr>
          <w:b w:val="0"/>
          <w:bCs w:val="0"/>
        </w:rPr>
      </w:r>
      <w:r>
        <w:rPr>
          <w:rFonts w:ascii="Times New Roman" w:hAnsi="Times New Roman" w:cs="Times New Roman" w:eastAsia="Times New Roman" w:hint="default"/>
        </w:rPr>
        <w:t>29</w:t>
      </w:r>
      <w:r>
        <w:rPr/>
        <w:t>、政府补助</w:t>
      </w:r>
      <w:r>
        <w:rPr>
          <w:b w:val="0"/>
          <w:bCs w:val="0"/>
        </w:rPr>
      </w:r>
    </w:p>
    <w:p>
      <w:pPr>
        <w:spacing w:line="590" w:lineRule="atLeast" w:before="23"/>
        <w:ind w:left="850" w:right="0" w:hanging="697"/>
        <w:jc w:val="left"/>
        <w:rPr>
          <w:rFonts w:ascii="宋体" w:hAnsi="宋体" w:cs="宋体" w:eastAsia="宋体" w:hint="default"/>
          <w:sz w:val="21"/>
          <w:szCs w:val="21"/>
        </w:rPr>
      </w:pPr>
      <w:bookmarkStart w:name="（1）与资产相关的政府补助判断依据及会计处理方法" w:id="205"/>
      <w:bookmarkEnd w:id="2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与资产相关的政府补助，是指本公司取得的、用于购建或以其他方式形成长期资产的政府补助，包</w:t>
      </w:r>
    </w:p>
    <w:p>
      <w:pPr>
        <w:pStyle w:val="Heading6"/>
        <w:spacing w:line="273" w:lineRule="auto" w:before="37"/>
        <w:ind w:right="1118" w:hanging="301"/>
        <w:jc w:val="left"/>
      </w:pPr>
      <w:r>
        <w:rPr/>
        <w:t>括购买固定资产或无形资产的财政拨款、固定资产专门借款的财政贴息等。 与资产相关的政府补助，确认为递延收益，按照所建造或购买的资产使用年限分期计入营业外收 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2）与收益相关的政府补助判断依据及会计处理方法" w:id="206"/>
      <w:bookmarkEnd w:id="206"/>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4"/>
          <w:szCs w:val="24"/>
        </w:rPr>
      </w:pPr>
    </w:p>
    <w:p>
      <w:pPr>
        <w:pStyle w:val="Heading6"/>
        <w:spacing w:line="273" w:lineRule="auto" w:before="0"/>
        <w:ind w:left="1066" w:right="1025"/>
        <w:jc w:val="left"/>
      </w:pPr>
      <w:r>
        <w:rPr/>
        <w:t>与收益相关的政府补助，是指除与资产相关的政府补助之外的政府补助。 </w:t>
      </w:r>
      <w:r>
        <w:rPr>
          <w:spacing w:val="-5"/>
        </w:rPr>
        <w:t>与收益相关的政府补助，用于补偿本公司以后期间的相关费用或损失的，取得时确认为递延收益，</w:t>
      </w:r>
    </w:p>
    <w:p>
      <w:pPr>
        <w:pStyle w:val="Heading6"/>
        <w:spacing w:line="273" w:lineRule="auto"/>
        <w:ind w:right="0"/>
        <w:jc w:val="left"/>
      </w:pPr>
      <w:r>
        <w:rPr>
          <w:spacing w:val="-2"/>
        </w:rPr>
        <w:t>在确认相关费用的期间计入当期营业外收入；用于补偿本公司已发生的相关费用或损失的，取得时</w:t>
      </w:r>
      <w:r>
        <w:rPr>
          <w:spacing w:val="-73"/>
        </w:rPr>
        <w:t> </w:t>
      </w:r>
      <w:r>
        <w:rPr>
          <w:spacing w:val="-73"/>
        </w:rPr>
      </w:r>
      <w:r>
        <w:rPr/>
        <w:t>直接计入当期营业外收入。</w:t>
      </w:r>
    </w:p>
    <w:p>
      <w:pPr>
        <w:spacing w:line="240" w:lineRule="auto" w:before="8"/>
        <w:rPr>
          <w:rFonts w:ascii="宋体" w:hAnsi="宋体" w:cs="宋体" w:eastAsia="宋体" w:hint="default"/>
          <w:sz w:val="24"/>
          <w:szCs w:val="24"/>
        </w:rPr>
      </w:pPr>
    </w:p>
    <w:p>
      <w:pPr>
        <w:spacing w:line="590" w:lineRule="atLeast" w:before="0"/>
        <w:ind w:left="523" w:right="0" w:hanging="370"/>
        <w:jc w:val="left"/>
        <w:rPr>
          <w:rFonts w:ascii="宋体" w:hAnsi="宋体" w:cs="宋体" w:eastAsia="宋体" w:hint="default"/>
          <w:sz w:val="21"/>
          <w:szCs w:val="21"/>
        </w:rPr>
      </w:pPr>
      <w:bookmarkStart w:name="30、递延所得税资产/递延所得税负债" w:id="207"/>
      <w:bookmarkEnd w:id="207"/>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z w:val="21"/>
          <w:szCs w:val="21"/>
        </w:rPr>
        <w:t>对于可抵扣暂时性差异确认递延所得税资产，以未来期间很可能取得的用来抵扣可抵扣暂时性差异的</w:t>
      </w:r>
    </w:p>
    <w:p>
      <w:pPr>
        <w:pStyle w:val="Heading6"/>
        <w:spacing w:line="273" w:lineRule="auto" w:before="37"/>
        <w:ind w:left="271" w:right="0"/>
        <w:jc w:val="left"/>
      </w:pPr>
      <w:r>
        <w:rPr/>
        <w:t>应纳税所得额为限。对于能够结转以后年度的可抵扣亏损和税款抵减，以很可能获得用来抵扣可抵扣亏</w:t>
      </w:r>
      <w:r>
        <w:rPr>
          <w:spacing w:val="-47"/>
        </w:rPr>
        <w:t> </w:t>
      </w:r>
      <w:r>
        <w:rPr>
          <w:spacing w:val="-47"/>
        </w:rPr>
      </w:r>
      <w:r>
        <w:rPr/>
        <w:t>损和税款抵减的未来应纳税所得额为限，确认相应的递延所得税资产。</w:t>
      </w:r>
    </w:p>
    <w:p>
      <w:pPr>
        <w:pStyle w:val="Heading6"/>
        <w:spacing w:line="273" w:lineRule="auto"/>
        <w:ind w:left="405" w:right="0" w:firstLine="33"/>
        <w:jc w:val="left"/>
      </w:pPr>
      <w:r>
        <w:rPr/>
        <w:t>对于应纳税暂时性差异，除特殊情况外，确认递延所得税负债。 </w:t>
      </w:r>
      <w:r>
        <w:rPr>
          <w:spacing w:val="-2"/>
        </w:rPr>
        <w:t>不确认递延所得税资产或递延所得税负债的特殊情况包括：商誉的初始确认；除企业合并以外的发生时</w:t>
      </w:r>
    </w:p>
    <w:p>
      <w:pPr>
        <w:pStyle w:val="Heading6"/>
        <w:spacing w:line="273" w:lineRule="auto"/>
        <w:ind w:left="439" w:right="0" w:hanging="286"/>
        <w:jc w:val="left"/>
      </w:pPr>
      <w:r>
        <w:rPr/>
        <w:t>既不影响会计利润也不影响应纳税所得额（或可抵扣亏损）的其他交易或事项。 </w:t>
      </w:r>
      <w:r>
        <w:rPr>
          <w:spacing w:val="-3"/>
        </w:rPr>
        <w:t>当拥有以净额结算的法定权利，且意图以净额结算或取得资产、清偿负债同时进行时，当期所得税资产</w:t>
      </w:r>
    </w:p>
    <w:p>
      <w:pPr>
        <w:pStyle w:val="Heading6"/>
        <w:spacing w:line="273" w:lineRule="auto"/>
        <w:ind w:left="439" w:right="0" w:hanging="168"/>
        <w:jc w:val="left"/>
      </w:pPr>
      <w:r>
        <w:rPr/>
        <w:t>及当期所得税负债以抵销后的净额列报。 </w:t>
      </w:r>
      <w:r>
        <w:rPr>
          <w:spacing w:val="-3"/>
        </w:rPr>
        <w:t>当拥有以净额结算当期所得税资产及当期所得税负债的法定权利，且递延所得税资产及递延所得税负债</w:t>
      </w:r>
    </w:p>
    <w:p>
      <w:pPr>
        <w:pStyle w:val="Heading6"/>
        <w:spacing w:line="273" w:lineRule="auto"/>
        <w:ind w:left="153" w:right="1135" w:firstLine="117"/>
        <w:jc w:val="both"/>
      </w:pPr>
      <w:r>
        <w:rPr/>
        <w:t>是与同一税收征管部门对同一纳税主体征收的所得税相关或者是对不同的纳税主体相关，但在未来每一 具有重要性的递延所得税资产及负债转回的期间内，涉及的纳税主体意图以净额结算当期所得税资产和</w:t>
      </w:r>
      <w:r>
        <w:rPr>
          <w:spacing w:val="-42"/>
        </w:rPr>
        <w:t> </w:t>
      </w:r>
      <w:r>
        <w:rPr>
          <w:spacing w:val="-42"/>
        </w:rPr>
      </w:r>
      <w:r>
        <w:rPr/>
        <w:t>负债或是同时取得资产、清偿负债时，递延所得税资产及递延所得税负债以抵销后的净额列报。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2"/>
        <w:rPr>
          <w:rFonts w:ascii="宋体" w:hAnsi="宋体" w:cs="宋体" w:eastAsia="宋体" w:hint="default"/>
          <w:b/>
          <w:bCs/>
          <w:sz w:val="23"/>
          <w:szCs w:val="23"/>
        </w:rPr>
      </w:pPr>
    </w:p>
    <w:p>
      <w:pPr>
        <w:pStyle w:val="Heading6"/>
        <w:spacing w:line="271" w:lineRule="auto" w:before="0"/>
        <w:ind w:left="571" w:right="1129"/>
        <w:jc w:val="left"/>
      </w:pPr>
      <w:r>
        <w:rPr>
          <w:spacing w:val="-1"/>
          <w:sz w:val="22"/>
          <w:szCs w:val="22"/>
        </w:rPr>
        <w:t>①</w:t>
      </w:r>
      <w:r>
        <w:rPr>
          <w:spacing w:val="-1"/>
        </w:rPr>
        <w:t>公司租入资产所支付的租赁费，在不扣除免租期的整个租赁期内，按直线法进行分摊，计入当期费</w:t>
      </w:r>
      <w:r>
        <w:rPr>
          <w:spacing w:val="-92"/>
        </w:rPr>
        <w:t> </w:t>
      </w:r>
      <w:r>
        <w:rPr>
          <w:spacing w:val="-92"/>
        </w:rPr>
      </w:r>
      <w:r>
        <w:rPr/>
        <w:t>用。公司支付的与租赁交易相关的初始直接费用，计入当期费用。 </w:t>
      </w:r>
      <w:r>
        <w:rPr>
          <w:spacing w:val="-1"/>
        </w:rPr>
        <w:t>资产出租方承担了应由公司承担的与租赁相关的费用时，公司将该部分费用从租金总额中扣除，按扣</w:t>
      </w:r>
      <w:r>
        <w:rPr>
          <w:spacing w:val="-81"/>
        </w:rPr>
        <w:t> </w:t>
      </w:r>
      <w:r>
        <w:rPr>
          <w:spacing w:val="-81"/>
        </w:rPr>
      </w:r>
      <w:r>
        <w:rPr/>
        <w:t>除后的租金费用在租赁期内分摊，计入当期费用。</w:t>
      </w:r>
    </w:p>
    <w:p>
      <w:pPr>
        <w:pStyle w:val="Heading6"/>
        <w:spacing w:line="268" w:lineRule="auto" w:before="2"/>
        <w:ind w:left="571" w:right="1131"/>
        <w:jc w:val="both"/>
      </w:pPr>
      <w:r>
        <w:rPr>
          <w:spacing w:val="-1"/>
          <w:sz w:val="22"/>
          <w:szCs w:val="22"/>
        </w:rPr>
        <w:t>②</w:t>
      </w:r>
      <w:r>
        <w:rPr>
          <w:spacing w:val="-1"/>
        </w:rPr>
        <w:t>公司出租资产所收取的租赁费，在不扣除免租期的整个租赁期内，按直线法进行分摊，确认为租赁</w:t>
      </w:r>
      <w:r>
        <w:rPr>
          <w:spacing w:val="-92"/>
        </w:rPr>
        <w:t> </w:t>
      </w:r>
      <w:r>
        <w:rPr>
          <w:spacing w:val="-92"/>
        </w:rPr>
      </w:r>
      <w:r>
        <w:rPr>
          <w:spacing w:val="-1"/>
        </w:rPr>
        <w:t>相关收入。公司支付的与租赁交易相关的初始直接费用，计入当期费用；如金额较大的，则予以资本</w:t>
      </w:r>
      <w:r>
        <w:rPr>
          <w:spacing w:val="-81"/>
        </w:rPr>
        <w:t> </w:t>
      </w:r>
      <w:r>
        <w:rPr>
          <w:spacing w:val="-81"/>
        </w:rPr>
      </w:r>
      <w:r>
        <w:rPr/>
        <w:t>化，在整个租赁期间内按照与租赁相关收入确认相同的基础分期计入当期收益。</w:t>
      </w:r>
    </w:p>
    <w:p>
      <w:pPr>
        <w:spacing w:after="0" w:line="268"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6"/>
        <w:spacing w:line="273" w:lineRule="auto" w:before="35"/>
        <w:ind w:left="571" w:right="0"/>
        <w:jc w:val="left"/>
      </w:pPr>
      <w:r>
        <w:rPr>
          <w:spacing w:val="-1"/>
        </w:rPr>
        <w:t>公司承担了应由承租方承担的与租赁相关的费用时，公司将该部分费用从租金收入总额中扣除，按扣</w:t>
      </w:r>
      <w:r>
        <w:rPr>
          <w:spacing w:val="-81"/>
        </w:rPr>
        <w:t> </w:t>
      </w:r>
      <w:r>
        <w:rPr>
          <w:spacing w:val="-81"/>
        </w:rPr>
      </w:r>
      <w:r>
        <w:rPr/>
        <w:t>除后的租金费用在租赁期内分配。</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5"/>
        <w:spacing w:line="240" w:lineRule="auto"/>
        <w:ind w:right="0"/>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32、其他重要的会计政策和会计估计" w:id="211"/>
      <w:bookmarkEnd w:id="21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33、重要会计政策和会计估计变更" w:id="212"/>
      <w:bookmarkEnd w:id="21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5"/>
        <w:spacing w:line="240" w:lineRule="auto"/>
        <w:ind w:right="0"/>
        <w:jc w:val="left"/>
        <w:rPr>
          <w:b w:val="0"/>
          <w:bCs w:val="0"/>
        </w:rPr>
      </w:pPr>
      <w:bookmarkStart w:name="34、其他" w:id="215"/>
      <w:bookmarkEnd w:id="215"/>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left="154" w:right="0"/>
        <w:jc w:val="left"/>
        <w:rPr>
          <w:b w:val="0"/>
          <w:bCs w:val="0"/>
        </w:rPr>
      </w:pPr>
      <w:bookmarkStart w:name="六、税项" w:id="216"/>
      <w:bookmarkEnd w:id="216"/>
      <w:r>
        <w:rPr>
          <w:b w:val="0"/>
          <w:bCs w:val="0"/>
        </w:rPr>
      </w:r>
      <w:r>
        <w:rPr/>
        <w:t>六、税项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4" w:right="0"/>
        <w:jc w:val="left"/>
        <w:rPr>
          <w:b w:val="0"/>
          <w:bCs w:val="0"/>
        </w:rPr>
      </w:pPr>
      <w:bookmarkStart w:name="1、主要税种及税率" w:id="217"/>
      <w:bookmarkEnd w:id="217"/>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按应税营业收入计征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w:t>
            </w:r>
            <w:r>
              <w:rPr>
                <w:rFonts w:ascii="宋体" w:hAnsi="宋体" w:cs="宋体" w:eastAsia="宋体" w:hint="default"/>
                <w:sz w:val="18"/>
                <w:szCs w:val="18"/>
              </w:rPr>
              <w:t>5%</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left="154"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四川久远银海软件股份有限公司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四川银海软件有限责任公司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天津银海环球信息技术有限公司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重庆久远银海软件有限公司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北京久远银海技术有限公司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北京银海奥尼思特咨询有限公司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成都兴政电子政务运营服务有限公司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山西久远爱思普软件股份有限公司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新疆银海鼎峰软件有限公司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四川久远银海畅辉软件有限公司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四川久远国基科技有限公司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spacing w:line="256" w:lineRule="auto" w:before="0"/>
        <w:ind w:left="998" w:right="0" w:hanging="488"/>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）、母公司税收优惠及批文</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本公司已获取四川省成都高新技术产业开发区国家税务局出具的</w:t>
      </w:r>
      <w:r>
        <w:rPr>
          <w:rFonts w:ascii="Times New Roman" w:hAnsi="Times New Roman" w:cs="Times New Roman" w:eastAsia="Times New Roman" w:hint="default"/>
          <w:spacing w:val="3"/>
          <w:sz w:val="21"/>
          <w:szCs w:val="21"/>
        </w:rPr>
        <w:t>2015</w:t>
      </w:r>
      <w:r>
        <w:rPr>
          <w:rFonts w:ascii="宋体" w:hAnsi="宋体" w:cs="宋体" w:eastAsia="宋体" w:hint="default"/>
          <w:spacing w:val="3"/>
          <w:sz w:val="21"/>
          <w:szCs w:val="21"/>
        </w:rPr>
        <w:t>年度企业所得税优惠事项</w:t>
      </w:r>
    </w:p>
    <w:p>
      <w:pPr>
        <w:pStyle w:val="Heading6"/>
        <w:spacing w:line="264" w:lineRule="auto" w:before="5"/>
        <w:ind w:left="830" w:right="1130"/>
        <w:jc w:val="both"/>
      </w:pPr>
      <w:r>
        <w:rPr>
          <w:spacing w:val="-2"/>
        </w:rPr>
        <w:t>备案表和税务事项通知书，根据《国家税务总局关于深入实施西部大开发战略有关企业所得税问题</w:t>
      </w:r>
      <w:r>
        <w:rPr>
          <w:spacing w:val="-87"/>
        </w:rPr>
        <w:t> </w:t>
      </w:r>
      <w:r>
        <w:rPr>
          <w:spacing w:val="-87"/>
        </w:rPr>
      </w:r>
      <w:r>
        <w:rPr>
          <w:spacing w:val="-1"/>
        </w:rPr>
        <w:t>的公告》（国家税务总局公告</w:t>
      </w:r>
      <w:r>
        <w:rPr>
          <w:rFonts w:ascii="Times New Roman" w:hAnsi="Times New Roman" w:cs="Times New Roman" w:eastAsia="Times New Roman" w:hint="default"/>
          <w:spacing w:val="-1"/>
        </w:rPr>
        <w:t>2012</w:t>
      </w:r>
      <w:r>
        <w:rPr>
          <w:spacing w:val="-1"/>
        </w:rPr>
        <w:t>年第</w:t>
      </w:r>
      <w:r>
        <w:rPr>
          <w:rFonts w:ascii="Times New Roman" w:hAnsi="Times New Roman" w:cs="Times New Roman" w:eastAsia="Times New Roman" w:hint="default"/>
          <w:spacing w:val="-1"/>
        </w:rPr>
        <w:t>12</w:t>
      </w:r>
      <w:r>
        <w:rPr>
          <w:spacing w:val="-1"/>
        </w:rPr>
        <w:t>号）第三条的规定，同意公司</w:t>
      </w:r>
      <w:r>
        <w:rPr>
          <w:rFonts w:ascii="Times New Roman" w:hAnsi="Times New Roman" w:cs="Times New Roman" w:eastAsia="Times New Roman" w:hint="default"/>
          <w:spacing w:val="-1"/>
        </w:rPr>
        <w:t>2015</w:t>
      </w:r>
      <w:r>
        <w:rPr>
          <w:spacing w:val="-1"/>
        </w:rPr>
        <w:t>年度减按</w:t>
      </w:r>
      <w:r>
        <w:rPr>
          <w:rFonts w:ascii="Times New Roman" w:hAnsi="Times New Roman" w:cs="Times New Roman" w:eastAsia="Times New Roman" w:hint="default"/>
          <w:spacing w:val="-1"/>
        </w:rPr>
        <w:t>15%</w:t>
      </w:r>
      <w:r>
        <w:rPr>
          <w:spacing w:val="-1"/>
        </w:rPr>
        <w:t>税率征收</w:t>
      </w:r>
      <w:r>
        <w:rPr>
          <w:spacing w:val="-94"/>
        </w:rPr>
        <w:t> </w:t>
      </w:r>
      <w:r>
        <w:rPr>
          <w:spacing w:val="-94"/>
        </w:rPr>
      </w:r>
      <w:r>
        <w:rPr/>
        <w:t>企业所得税。</w:t>
      </w:r>
    </w:p>
    <w:p>
      <w:pPr>
        <w:spacing w:line="240" w:lineRule="auto" w:before="1"/>
        <w:rPr>
          <w:rFonts w:ascii="宋体" w:hAnsi="宋体" w:cs="宋体" w:eastAsia="宋体" w:hint="default"/>
          <w:sz w:val="25"/>
          <w:szCs w:val="25"/>
        </w:rPr>
      </w:pPr>
    </w:p>
    <w:p>
      <w:pPr>
        <w:spacing w:line="256" w:lineRule="auto" w:before="0"/>
        <w:ind w:left="914" w:right="7052" w:hanging="404"/>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）、子公司税收优惠及批文</w:t>
      </w:r>
      <w:r>
        <w:rPr>
          <w:rFonts w:ascii="宋体" w:hAnsi="宋体" w:cs="宋体" w:eastAsia="宋体" w:hint="default"/>
          <w:b/>
          <w:bCs/>
          <w:w w:val="99"/>
          <w:sz w:val="21"/>
          <w:szCs w:val="21"/>
        </w:rPr>
        <w:t> </w:t>
      </w:r>
      <w:r>
        <w:rPr>
          <w:rFonts w:ascii="宋体" w:hAnsi="宋体" w:cs="宋体" w:eastAsia="宋体" w:hint="default"/>
          <w:sz w:val="21"/>
          <w:szCs w:val="21"/>
        </w:rPr>
        <w:t>天津银海环球信息技术有限公司</w:t>
      </w:r>
    </w:p>
    <w:p>
      <w:pPr>
        <w:pStyle w:val="Heading6"/>
        <w:spacing w:line="264" w:lineRule="auto" w:before="22"/>
        <w:ind w:left="830" w:right="1129" w:firstLine="252"/>
        <w:jc w:val="both"/>
      </w:pPr>
      <w:r>
        <w:rPr>
          <w:spacing w:val="2"/>
        </w:rPr>
        <w:t>公司已通过天津市滨海高新技术产业开发区国家税务局审核的企业所得税优惠事项备案，依据</w:t>
      </w:r>
      <w:r>
        <w:rPr/>
        <w:t> 国科发火</w:t>
      </w:r>
      <w:r>
        <w:rPr>
          <w:rFonts w:ascii="Times New Roman" w:hAnsi="Times New Roman" w:cs="Times New Roman" w:eastAsia="Times New Roman" w:hint="default"/>
        </w:rPr>
        <w:t>[2008]172</w:t>
      </w:r>
      <w:r>
        <w:rPr/>
        <w:t>号、国科发火</w:t>
      </w:r>
      <w:r>
        <w:rPr>
          <w:rFonts w:ascii="Times New Roman" w:hAnsi="Times New Roman" w:cs="Times New Roman" w:eastAsia="Times New Roman" w:hint="default"/>
        </w:rPr>
        <w:t>[2008]362</w:t>
      </w:r>
      <w:r>
        <w:rPr/>
        <w:t>号、国税函</w:t>
      </w:r>
      <w:r>
        <w:rPr>
          <w:rFonts w:ascii="Times New Roman" w:hAnsi="Times New Roman" w:cs="Times New Roman" w:eastAsia="Times New Roman" w:hint="default"/>
        </w:rPr>
        <w:t>[2009]203</w:t>
      </w:r>
      <w:r>
        <w:rPr/>
        <w:t>号的规定，公司</w:t>
      </w:r>
      <w:r>
        <w:rPr>
          <w:rFonts w:ascii="Times New Roman" w:hAnsi="Times New Roman" w:cs="Times New Roman" w:eastAsia="Times New Roman" w:hint="default"/>
        </w:rPr>
        <w:t>2015</w:t>
      </w:r>
      <w:r>
        <w:rPr/>
        <w:t>年度至</w:t>
      </w:r>
      <w:r>
        <w:rPr>
          <w:rFonts w:ascii="Times New Roman" w:hAnsi="Times New Roman" w:cs="Times New Roman" w:eastAsia="Times New Roman" w:hint="default"/>
        </w:rPr>
        <w:t>2017</w:t>
      </w:r>
      <w:r>
        <w:rPr/>
        <w:t>年</w:t>
      </w:r>
      <w:r>
        <w:rPr>
          <w:spacing w:val="-74"/>
        </w:rPr>
        <w:t> </w:t>
      </w:r>
      <w:r>
        <w:rPr/>
        <w:t>度享受高新技术企业所得税优惠政策，减按</w:t>
      </w:r>
      <w:r>
        <w:rPr>
          <w:rFonts w:ascii="Times New Roman" w:hAnsi="Times New Roman" w:cs="Times New Roman" w:eastAsia="Times New Roman" w:hint="default"/>
        </w:rPr>
        <w:t>15%</w:t>
      </w:r>
      <w:r>
        <w:rPr/>
        <w:t>税率征收企业所得税。</w:t>
      </w:r>
    </w:p>
    <w:p>
      <w:pPr>
        <w:spacing w:line="240" w:lineRule="auto" w:before="9"/>
        <w:rPr>
          <w:rFonts w:ascii="宋体" w:hAnsi="宋体" w:cs="宋体" w:eastAsia="宋体" w:hint="default"/>
          <w:sz w:val="23"/>
          <w:szCs w:val="23"/>
        </w:rPr>
      </w:pPr>
    </w:p>
    <w:p>
      <w:pPr>
        <w:pStyle w:val="Heading6"/>
        <w:spacing w:line="273" w:lineRule="auto" w:before="0"/>
        <w:ind w:left="1081" w:right="0" w:hanging="168"/>
        <w:jc w:val="left"/>
      </w:pPr>
      <w:r>
        <w:rPr/>
        <w:t>重庆久远银海软件有限公司 依据重庆市大渡口区国家税务局税务事项通知书大渡口国税税通</w:t>
      </w:r>
      <w:r>
        <w:rPr>
          <w:rFonts w:ascii="Times New Roman" w:hAnsi="Times New Roman" w:cs="Times New Roman" w:eastAsia="Times New Roman" w:hint="default"/>
        </w:rPr>
        <w:t>[2016]809</w:t>
      </w:r>
      <w:r>
        <w:rPr/>
        <w:t>号，公司已通过企业</w:t>
      </w:r>
    </w:p>
    <w:p>
      <w:pPr>
        <w:pStyle w:val="Heading6"/>
        <w:spacing w:line="256" w:lineRule="auto" w:before="0"/>
        <w:ind w:left="830" w:right="1130"/>
        <w:jc w:val="both"/>
      </w:pPr>
      <w:r>
        <w:rPr/>
        <w:t>所得税优惠事项备案，依据国科发火</w:t>
      </w:r>
      <w:r>
        <w:rPr>
          <w:rFonts w:ascii="Times New Roman" w:hAnsi="Times New Roman" w:cs="Times New Roman" w:eastAsia="Times New Roman" w:hint="default"/>
        </w:rPr>
        <w:t>[2008]172</w:t>
      </w:r>
      <w:r>
        <w:rPr/>
        <w:t>号、国科发火</w:t>
      </w:r>
      <w:r>
        <w:rPr>
          <w:rFonts w:ascii="Times New Roman" w:hAnsi="Times New Roman" w:cs="Times New Roman" w:eastAsia="Times New Roman" w:hint="default"/>
        </w:rPr>
        <w:t>[2008]362</w:t>
      </w:r>
      <w:r>
        <w:rPr/>
        <w:t>号、国税函</w:t>
      </w:r>
      <w:r>
        <w:rPr>
          <w:rFonts w:ascii="Times New Roman" w:hAnsi="Times New Roman" w:cs="Times New Roman" w:eastAsia="Times New Roman" w:hint="default"/>
        </w:rPr>
        <w:t>[2009]203</w:t>
      </w:r>
      <w:r>
        <w:rPr/>
        <w:t>号的规</w:t>
      </w:r>
      <w:r>
        <w:rPr>
          <w:spacing w:val="-77"/>
        </w:rPr>
        <w:t> </w:t>
      </w:r>
      <w:r>
        <w:rPr>
          <w:spacing w:val="-77"/>
        </w:rPr>
      </w:r>
      <w:r>
        <w:rPr/>
        <w:t>定，公司</w:t>
      </w:r>
      <w:r>
        <w:rPr>
          <w:rFonts w:ascii="Times New Roman" w:hAnsi="Times New Roman" w:cs="Times New Roman" w:eastAsia="Times New Roman" w:hint="default"/>
        </w:rPr>
        <w:t>2015</w:t>
      </w:r>
      <w:r>
        <w:rPr/>
        <w:t>年度享受高新技术企业所得税优惠政策，减按</w:t>
      </w:r>
      <w:r>
        <w:rPr>
          <w:rFonts w:ascii="Times New Roman" w:hAnsi="Times New Roman" w:cs="Times New Roman" w:eastAsia="Times New Roman" w:hint="default"/>
        </w:rPr>
        <w:t>15%</w:t>
      </w:r>
      <w:r>
        <w:rPr/>
        <w:t>税率征收企业所得税。</w:t>
      </w:r>
    </w:p>
    <w:p>
      <w:pPr>
        <w:spacing w:line="240" w:lineRule="auto" w:before="3"/>
        <w:rPr>
          <w:rFonts w:ascii="宋体" w:hAnsi="宋体" w:cs="宋体" w:eastAsia="宋体" w:hint="default"/>
          <w:sz w:val="24"/>
          <w:szCs w:val="24"/>
        </w:rPr>
      </w:pPr>
    </w:p>
    <w:p>
      <w:pPr>
        <w:pStyle w:val="Heading6"/>
        <w:spacing w:line="273" w:lineRule="auto" w:before="0"/>
        <w:ind w:left="998" w:right="0" w:hanging="168"/>
        <w:jc w:val="left"/>
      </w:pPr>
      <w:r>
        <w:rPr/>
        <w:t>山西久远爱思普软件股份有限公司 依据太原经济技术开发区国家税务局出具的税务事项通知书《并高国税税通</w:t>
      </w:r>
      <w:r>
        <w:rPr>
          <w:rFonts w:ascii="Times New Roman" w:hAnsi="Times New Roman" w:cs="Times New Roman" w:eastAsia="Times New Roman" w:hint="default"/>
        </w:rPr>
        <w:t>[2014]1284</w:t>
      </w:r>
      <w:r>
        <w:rPr/>
        <w:t>号》，公</w:t>
      </w:r>
    </w:p>
    <w:p>
      <w:pPr>
        <w:pStyle w:val="Heading6"/>
        <w:spacing w:line="264" w:lineRule="auto" w:before="0"/>
        <w:ind w:left="829" w:right="1129"/>
        <w:jc w:val="both"/>
      </w:pPr>
      <w:r>
        <w:rPr/>
        <w:t>司已通过企业所得税优惠事项备案，依据《财政部</w:t>
      </w:r>
      <w:r>
        <w:rPr>
          <w:spacing w:val="27"/>
        </w:rPr>
        <w:t> </w:t>
      </w:r>
      <w:r>
        <w:rPr/>
        <w:t>国家税务总局关于进一步鼓励软件产业和集成</w:t>
      </w:r>
      <w:r>
        <w:rPr>
          <w:spacing w:val="-99"/>
        </w:rPr>
        <w:t> </w:t>
      </w:r>
      <w:r>
        <w:rPr>
          <w:spacing w:val="-99"/>
        </w:rPr>
      </w:r>
      <w:r>
        <w:rPr>
          <w:spacing w:val="-3"/>
        </w:rPr>
        <w:t>电路产业发展企业所得税政策的通知》（财税</w:t>
      </w:r>
      <w:r>
        <w:rPr>
          <w:rFonts w:ascii="Times New Roman" w:hAnsi="Times New Roman" w:cs="Times New Roman" w:eastAsia="Times New Roman" w:hint="default"/>
          <w:spacing w:val="-3"/>
        </w:rPr>
        <w:t>[2012]027</w:t>
      </w:r>
      <w:r>
        <w:rPr>
          <w:spacing w:val="-3"/>
        </w:rPr>
        <w:t>号）的文件规定，公司被认定为新办软件企</w:t>
      </w:r>
      <w:r>
        <w:rPr>
          <w:spacing w:val="-66"/>
        </w:rPr>
        <w:t> </w:t>
      </w:r>
      <w:r>
        <w:rPr>
          <w:spacing w:val="-66"/>
        </w:rPr>
      </w:r>
      <w:r>
        <w:rPr/>
        <w:t>业，符合减免税条件。企业所得税免征期为</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9"/>
        <w:rPr>
          <w:rFonts w:ascii="宋体" w:hAnsi="宋体" w:cs="宋体" w:eastAsia="宋体" w:hint="default"/>
          <w:sz w:val="23"/>
          <w:szCs w:val="23"/>
        </w:rPr>
      </w:pPr>
    </w:p>
    <w:p>
      <w:pPr>
        <w:pStyle w:val="Heading6"/>
        <w:spacing w:line="273" w:lineRule="auto" w:before="0"/>
        <w:ind w:left="998" w:right="1130" w:hanging="168"/>
        <w:jc w:val="left"/>
      </w:pPr>
      <w:r>
        <w:rPr/>
        <w:t>新疆银海鼎峰软件有限公司 </w:t>
      </w:r>
      <w:r>
        <w:rPr>
          <w:spacing w:val="-1"/>
        </w:rPr>
        <w:t>公司已获新疆维吾尔自治区经济和信息化委员会印发的《关于确认新疆银海鼎峰软件有限公司主</w:t>
      </w:r>
    </w:p>
    <w:p>
      <w:pPr>
        <w:pStyle w:val="Heading6"/>
        <w:spacing w:line="256" w:lineRule="auto"/>
        <w:ind w:left="830" w:right="1129"/>
        <w:jc w:val="both"/>
        <w:rPr>
          <w:rFonts w:ascii="Times New Roman" w:hAnsi="Times New Roman" w:cs="Times New Roman" w:eastAsia="Times New Roman" w:hint="default"/>
        </w:rPr>
      </w:pPr>
      <w:r>
        <w:rPr>
          <w:spacing w:val="-3"/>
        </w:rPr>
        <w:t>营业务符合国家鼓励类目录的函》（新经信产业函</w:t>
      </w:r>
      <w:r>
        <w:rPr>
          <w:rFonts w:ascii="Times New Roman" w:hAnsi="Times New Roman" w:cs="Times New Roman" w:eastAsia="Times New Roman" w:hint="default"/>
          <w:spacing w:val="-3"/>
        </w:rPr>
        <w:t>[2015]529</w:t>
      </w:r>
      <w:r>
        <w:rPr>
          <w:spacing w:val="-3"/>
        </w:rPr>
        <w:t>号），确定公司所从事的软件开发生产</w:t>
      </w:r>
      <w:r>
        <w:rPr>
          <w:spacing w:val="-65"/>
        </w:rPr>
        <w:t> </w:t>
      </w:r>
      <w:r>
        <w:rPr>
          <w:spacing w:val="-65"/>
        </w:rPr>
      </w:r>
      <w:r>
        <w:rPr>
          <w:spacing w:val="-1"/>
        </w:rPr>
        <w:t>业务符合《产业结构调整指导目录（</w:t>
      </w:r>
      <w:r>
        <w:rPr>
          <w:rFonts w:ascii="Times New Roman" w:hAnsi="Times New Roman" w:cs="Times New Roman" w:eastAsia="Times New Roman" w:hint="default"/>
          <w:spacing w:val="-1"/>
        </w:rPr>
        <w:t>2011</w:t>
      </w:r>
      <w:r>
        <w:rPr>
          <w:spacing w:val="-1"/>
        </w:rPr>
        <w:t>年本）（修正）》第一类</w:t>
      </w:r>
      <w:r>
        <w:rPr>
          <w:rFonts w:ascii="Times New Roman" w:hAnsi="Times New Roman" w:cs="Times New Roman" w:eastAsia="Times New Roman" w:hint="default"/>
          <w:spacing w:val="-1"/>
        </w:rPr>
        <w:t>“</w:t>
      </w:r>
      <w:r>
        <w:rPr>
          <w:spacing w:val="-1"/>
        </w:rPr>
        <w:t>鼓励类</w:t>
      </w:r>
      <w:r>
        <w:rPr>
          <w:rFonts w:ascii="Times New Roman" w:hAnsi="Times New Roman" w:cs="Times New Roman" w:eastAsia="Times New Roman" w:hint="default"/>
          <w:spacing w:val="-1"/>
        </w:rPr>
        <w:t>”</w:t>
      </w:r>
      <w:r>
        <w:rPr>
          <w:spacing w:val="-1"/>
        </w:rPr>
        <w:t>第二十八条</w:t>
      </w:r>
      <w:r>
        <w:rPr>
          <w:rFonts w:ascii="Times New Roman" w:hAnsi="Times New Roman" w:cs="Times New Roman" w:eastAsia="Times New Roman" w:hint="default"/>
          <w:spacing w:val="-1"/>
        </w:rPr>
        <w:t>“</w:t>
      </w:r>
      <w:r>
        <w:rPr>
          <w:spacing w:val="-1"/>
        </w:rPr>
        <w:t>信息产业</w:t>
      </w:r>
      <w:r>
        <w:rPr>
          <w:rFonts w:ascii="Times New Roman" w:hAnsi="Times New Roman" w:cs="Times New Roman" w:eastAsia="Times New Roman" w:hint="default"/>
          <w:spacing w:val="-1"/>
        </w:rPr>
        <w:t>”</w:t>
      </w:r>
    </w:p>
    <w:p>
      <w:pPr>
        <w:spacing w:after="0" w:line="256" w:lineRule="auto"/>
        <w:jc w:val="both"/>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1"/>
        <w:rPr>
          <w:rFonts w:ascii="Times New Roman" w:hAnsi="Times New Roman" w:cs="Times New Roman" w:eastAsia="Times New Roman" w:hint="default"/>
          <w:sz w:val="28"/>
          <w:szCs w:val="28"/>
        </w:rPr>
      </w:pPr>
    </w:p>
    <w:p>
      <w:pPr>
        <w:pStyle w:val="Heading6"/>
        <w:spacing w:line="256" w:lineRule="auto" w:before="35"/>
        <w:ind w:left="829" w:right="0"/>
        <w:jc w:val="left"/>
      </w:pPr>
      <w:r>
        <w:rPr>
          <w:spacing w:val="-2"/>
        </w:rPr>
        <w:t>中第</w:t>
      </w:r>
      <w:r>
        <w:rPr>
          <w:rFonts w:ascii="Times New Roman" w:hAnsi="Times New Roman" w:cs="Times New Roman" w:eastAsia="Times New Roman" w:hint="default"/>
          <w:spacing w:val="-2"/>
        </w:rPr>
        <w:t>23</w:t>
      </w:r>
      <w:r>
        <w:rPr>
          <w:spacing w:val="-2"/>
        </w:rPr>
        <w:t>款</w:t>
      </w:r>
      <w:r>
        <w:rPr>
          <w:rFonts w:ascii="Times New Roman" w:hAnsi="Times New Roman" w:cs="Times New Roman" w:eastAsia="Times New Roman" w:hint="default"/>
          <w:spacing w:val="-2"/>
        </w:rPr>
        <w:t>“</w:t>
      </w:r>
      <w:r>
        <w:rPr>
          <w:spacing w:val="-2"/>
        </w:rPr>
        <w:t>软件开发生产（含民族语言信息化标准研究与推广运用）</w:t>
      </w:r>
      <w:r>
        <w:rPr>
          <w:rFonts w:ascii="Times New Roman" w:hAnsi="Times New Roman" w:cs="Times New Roman" w:eastAsia="Times New Roman" w:hint="default"/>
          <w:spacing w:val="-2"/>
        </w:rPr>
        <w:t>”</w:t>
      </w:r>
      <w:r>
        <w:rPr>
          <w:spacing w:val="-2"/>
        </w:rPr>
        <w:t>的内容。依据财税</w:t>
      </w:r>
      <w:r>
        <w:rPr>
          <w:rFonts w:ascii="Times New Roman" w:hAnsi="Times New Roman" w:cs="Times New Roman" w:eastAsia="Times New Roman" w:hint="default"/>
          <w:spacing w:val="-2"/>
        </w:rPr>
        <w:t>[2011]58</w:t>
      </w:r>
      <w:r>
        <w:rPr>
          <w:spacing w:val="-2"/>
        </w:rPr>
        <w:t>号，</w:t>
      </w:r>
      <w:r>
        <w:rPr>
          <w:spacing w:val="-86"/>
        </w:rPr>
        <w:t> </w:t>
      </w:r>
      <w:r>
        <w:rPr/>
        <w:t>公司已通过企业所得税优惠事项备案，公司</w:t>
      </w:r>
      <w:r>
        <w:rPr>
          <w:rFonts w:ascii="Times New Roman" w:hAnsi="Times New Roman" w:cs="Times New Roman" w:eastAsia="Times New Roman" w:hint="default"/>
        </w:rPr>
        <w:t>2015</w:t>
      </w:r>
      <w:r>
        <w:rPr/>
        <w:t>年度减按</w:t>
      </w:r>
      <w:r>
        <w:rPr>
          <w:rFonts w:ascii="Times New Roman" w:hAnsi="Times New Roman" w:cs="Times New Roman" w:eastAsia="Times New Roman" w:hint="default"/>
        </w:rPr>
        <w:t>15%</w:t>
      </w:r>
      <w:r>
        <w:rPr/>
        <w:t>征收企业所得税。</w:t>
      </w:r>
    </w:p>
    <w:p>
      <w:pPr>
        <w:spacing w:line="240" w:lineRule="auto" w:before="3"/>
        <w:rPr>
          <w:rFonts w:ascii="宋体" w:hAnsi="宋体" w:cs="宋体" w:eastAsia="宋体" w:hint="default"/>
          <w:sz w:val="24"/>
          <w:szCs w:val="24"/>
        </w:rPr>
      </w:pPr>
    </w:p>
    <w:p>
      <w:pPr>
        <w:pStyle w:val="Heading6"/>
        <w:spacing w:line="273" w:lineRule="auto" w:before="0"/>
        <w:ind w:left="998" w:right="0" w:hanging="168"/>
        <w:jc w:val="left"/>
      </w:pPr>
      <w:r>
        <w:rPr/>
        <w:t>四川久远银海畅辉软件有限公司 公司已获取四川省经济和信息化委员会印发的《关于确认成都欧珀通信科技有限公司等</w:t>
      </w:r>
      <w:r>
        <w:rPr>
          <w:rFonts w:ascii="Times New Roman" w:hAnsi="Times New Roman" w:cs="Times New Roman" w:eastAsia="Times New Roman" w:hint="default"/>
        </w:rPr>
        <w:t>280</w:t>
      </w:r>
      <w:r>
        <w:rPr/>
        <w:t>家企</w:t>
      </w:r>
    </w:p>
    <w:p>
      <w:pPr>
        <w:pStyle w:val="Heading6"/>
        <w:spacing w:line="256" w:lineRule="auto" w:before="0"/>
        <w:ind w:left="830" w:right="1011"/>
        <w:jc w:val="left"/>
      </w:pPr>
      <w:r>
        <w:rPr/>
        <w:t>业符合国家软件产业优惠政策条件的通知》（川经信软件函</w:t>
      </w:r>
      <w:r>
        <w:rPr>
          <w:rFonts w:ascii="Times New Roman" w:hAnsi="Times New Roman" w:cs="Times New Roman" w:eastAsia="Times New Roman" w:hint="default"/>
        </w:rPr>
        <w:t>[2015]336</w:t>
      </w:r>
      <w:r>
        <w:rPr/>
        <w:t>号），确认公司符合财政部、 </w:t>
      </w:r>
      <w:r>
        <w:rPr>
          <w:spacing w:val="-9"/>
        </w:rPr>
        <w:t>国家税务总局《关于进一步鼓励软件产业和集成电路产业发展企业所得税政策的通知》（财税【</w:t>
      </w:r>
      <w:r>
        <w:rPr>
          <w:rFonts w:ascii="Times New Roman" w:hAnsi="Times New Roman" w:cs="Times New Roman" w:eastAsia="Times New Roman" w:hint="default"/>
          <w:spacing w:val="-9"/>
        </w:rPr>
        <w:t>2012</w:t>
      </w:r>
      <w:r>
        <w:rPr>
          <w:spacing w:val="-9"/>
        </w:rPr>
        <w:t>】</w:t>
      </w:r>
      <w:r>
        <w:rPr>
          <w:spacing w:val="-67"/>
        </w:rPr>
        <w:t> </w:t>
      </w:r>
      <w:r>
        <w:rPr>
          <w:rFonts w:ascii="Times New Roman" w:hAnsi="Times New Roman" w:cs="Times New Roman" w:eastAsia="Times New Roman" w:hint="default"/>
        </w:rPr>
        <w:t>027</w:t>
      </w:r>
      <w:r>
        <w:rPr/>
        <w:t>号）的文件规定，公司被认定为新办软件企业，符合减免税条件。企业所得税免征期为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3"/>
        <w:rPr>
          <w:rFonts w:ascii="宋体" w:hAnsi="宋体" w:cs="宋体" w:eastAsia="宋体" w:hint="default"/>
          <w:sz w:val="24"/>
          <w:szCs w:val="24"/>
        </w:rPr>
      </w:pPr>
    </w:p>
    <w:p>
      <w:pPr>
        <w:pStyle w:val="Heading6"/>
        <w:spacing w:line="240" w:lineRule="auto" w:before="0"/>
        <w:ind w:left="830" w:right="0"/>
        <w:jc w:val="left"/>
      </w:pPr>
      <w:r>
        <w:rPr/>
        <w:t>北京银海奥尼思特咨询有限公司</w:t>
      </w:r>
    </w:p>
    <w:p>
      <w:pPr>
        <w:pStyle w:val="Heading6"/>
        <w:spacing w:line="256" w:lineRule="auto" w:before="37"/>
        <w:ind w:left="830" w:right="1064" w:firstLine="252"/>
        <w:jc w:val="both"/>
      </w:pPr>
      <w:r>
        <w:rPr/>
        <w:t>依据 《财政部</w:t>
      </w:r>
      <w:r>
        <w:rPr>
          <w:spacing w:val="-41"/>
        </w:rPr>
        <w:t> </w:t>
      </w:r>
      <w:r>
        <w:rPr/>
        <w:t>国家税务总局关于小型微利企业所得税优惠政策的通知》（财税</w:t>
      </w:r>
      <w:r>
        <w:rPr>
          <w:rFonts w:ascii="Times New Roman" w:hAnsi="Times New Roman" w:cs="Times New Roman" w:eastAsia="Times New Roman" w:hint="default"/>
        </w:rPr>
        <w:t>[2015]34</w:t>
      </w:r>
      <w:r>
        <w:rPr/>
        <w:t>号）， 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日，对年应纳税所得额低于</w:t>
      </w:r>
      <w:r>
        <w:rPr>
          <w:rFonts w:ascii="Times New Roman" w:hAnsi="Times New Roman" w:cs="Times New Roman" w:eastAsia="Times New Roman" w:hint="default"/>
        </w:rPr>
        <w:t>20</w:t>
      </w:r>
      <w:r>
        <w:rPr/>
        <w:t>万元（含</w:t>
      </w:r>
      <w:r>
        <w:rPr>
          <w:rFonts w:ascii="Times New Roman" w:hAnsi="Times New Roman" w:cs="Times New Roman" w:eastAsia="Times New Roman" w:hint="default"/>
        </w:rPr>
        <w:t>20</w:t>
      </w:r>
      <w:r>
        <w:rPr/>
        <w:t>万元）的小型微利企业， 其所得减按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pStyle w:val="Heading5"/>
        <w:spacing w:line="240" w:lineRule="auto"/>
        <w:ind w:right="0"/>
        <w:jc w:val="left"/>
        <w:rPr>
          <w:b w:val="0"/>
          <w:bCs w:val="0"/>
        </w:rPr>
      </w:pPr>
      <w:bookmarkStart w:name="3、其他" w:id="219"/>
      <w:bookmarkEnd w:id="219"/>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left="154" w:right="0"/>
        <w:jc w:val="left"/>
        <w:rPr>
          <w:b w:val="0"/>
          <w:bCs w:val="0"/>
        </w:rPr>
      </w:pPr>
      <w:bookmarkStart w:name="七、合并财务报表项目注释" w:id="220"/>
      <w:bookmarkEnd w:id="220"/>
      <w:r>
        <w:rPr>
          <w:b w:val="0"/>
          <w:bCs w:val="0"/>
        </w:rPr>
      </w: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货币资金" w:id="221"/>
      <w:bookmarkEnd w:id="221"/>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96,117.18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152,535.05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467,384,918.20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260,594,011.33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883,476.40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1,592,861.18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468,364,511.78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262,339,407.56</w:t>
            </w:r>
          </w:p>
        </w:tc>
      </w:tr>
    </w:tbl>
    <w:p>
      <w:pPr>
        <w:pStyle w:val="BodyText"/>
        <w:spacing w:line="240" w:lineRule="auto" w:before="51"/>
        <w:ind w:left="154" w:right="0"/>
        <w:jc w:val="left"/>
      </w:pPr>
      <w:r>
        <w:rPr/>
        <w:t>其他说明</w:t>
      </w:r>
    </w:p>
    <w:p>
      <w:pPr>
        <w:pStyle w:val="Heading6"/>
        <w:spacing w:line="256" w:lineRule="auto" w:before="90"/>
        <w:ind w:left="721" w:right="0"/>
        <w:jc w:val="left"/>
      </w:pPr>
      <w:r>
        <w:rPr>
          <w:spacing w:val="-2"/>
        </w:rPr>
        <w:t>截止</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日，其他货币资金中</w:t>
      </w:r>
      <w:r>
        <w:rPr>
          <w:rFonts w:ascii="Times New Roman" w:hAnsi="Times New Roman" w:cs="Times New Roman" w:eastAsia="Times New Roman" w:hint="default"/>
          <w:spacing w:val="-2"/>
        </w:rPr>
        <w:t>883,476.40</w:t>
      </w:r>
      <w:r>
        <w:rPr>
          <w:spacing w:val="-2"/>
        </w:rPr>
        <w:t>元，系本公司保函保证金。在编制现金流量表期末</w:t>
      </w:r>
      <w:r>
        <w:rPr>
          <w:spacing w:val="-70"/>
        </w:rPr>
        <w:t> </w:t>
      </w:r>
      <w:r>
        <w:rPr>
          <w:spacing w:val="-70"/>
        </w:rPr>
      </w:r>
      <w:r>
        <w:rPr/>
        <w:t>现金及现金等价物时已作剔除。</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Heading5"/>
        <w:spacing w:line="240" w:lineRule="auto"/>
        <w:ind w:right="0"/>
        <w:jc w:val="left"/>
        <w:rPr>
          <w:b w:val="0"/>
          <w:bCs w:val="0"/>
        </w:rPr>
      </w:pPr>
      <w:bookmarkStart w:name="2、以公允价值计量且其变动计入当期损益的金融资产" w:id="222"/>
      <w:bookmarkEnd w:id="22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衍生金融资产" w:id="223"/>
      <w:bookmarkEnd w:id="22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4、应收票据" w:id="224"/>
      <w:bookmarkEnd w:id="224"/>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应收票据分类列示" w:id="225"/>
      <w:bookmarkEnd w:id="225"/>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期末公司已质押的应收票据" w:id="226"/>
      <w:bookmarkEnd w:id="226"/>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期末公司已背书或贴现且在资产负债表日尚未到期的应收票据" w:id="227"/>
      <w:bookmarkEnd w:id="227"/>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期末公司因出票人未履约而将其转应收账款的票据" w:id="228"/>
      <w:bookmarkEnd w:id="228"/>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5、应收账款" w:id="229"/>
      <w:bookmarkEnd w:id="229"/>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应收账款分类披露" w:id="230"/>
      <w:bookmarkEnd w:id="23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62"/>
        <w:gridCol w:w="751"/>
        <w:gridCol w:w="800"/>
        <w:gridCol w:w="655"/>
        <w:gridCol w:w="762"/>
        <w:gridCol w:w="813"/>
        <w:gridCol w:w="932"/>
        <w:gridCol w:w="932"/>
      </w:tblGrid>
      <w:tr>
        <w:trPr>
          <w:trHeight w:val="403"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2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00" w:type="dxa"/>
            <w:vMerge w:val="restart"/>
            <w:tcBorders>
              <w:top w:val="single" w:sz="4" w:space="0" w:color="000000"/>
              <w:left w:val="single" w:sz="4" w:space="0" w:color="000000"/>
              <w:right w:val="single" w:sz="4" w:space="0" w:color="000000"/>
            </w:tcBorders>
            <w:shd w:val="clear" w:color="auto" w:fill="D2D2D2"/>
          </w:tcPr>
          <w:p>
            <w:pPr/>
          </w:p>
        </w:tc>
        <w:tc>
          <w:tcPr>
            <w:tcW w:w="14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1417"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2D2D2"/>
          </w:tcPr>
          <w:p>
            <w:pPr/>
          </w:p>
        </w:tc>
        <w:tc>
          <w:tcPr>
            <w:tcW w:w="800"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1" w:type="dxa"/>
            <w:vMerge/>
            <w:tcBorders>
              <w:left w:val="single" w:sz="4" w:space="0" w:color="000000"/>
              <w:right w:val="single" w:sz="4" w:space="0" w:color="000000"/>
            </w:tcBorders>
            <w:shd w:val="clear" w:color="auto" w:fill="D2D2D2"/>
          </w:tcPr>
          <w:p>
            <w:pPr/>
          </w:p>
        </w:tc>
        <w:tc>
          <w:tcPr>
            <w:tcW w:w="800"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1"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22" w:right="171"/>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6" w:right="0"/>
              <w:jc w:val="left"/>
              <w:rPr>
                <w:rFonts w:ascii="Times New Roman" w:hAnsi="Times New Roman" w:cs="Times New Roman" w:eastAsia="Times New Roman" w:hint="default"/>
                <w:sz w:val="18"/>
                <w:szCs w:val="18"/>
              </w:rPr>
            </w:pPr>
            <w:r>
              <w:rPr>
                <w:rFonts w:ascii="Times New Roman"/>
                <w:sz w:val="18"/>
              </w:rPr>
              <w:t>88,087,1</w:t>
            </w:r>
          </w:p>
          <w:p>
            <w:pPr>
              <w:pStyle w:val="TableParagraph"/>
              <w:spacing w:line="240" w:lineRule="auto" w:before="105"/>
              <w:ind w:left="301" w:right="0"/>
              <w:jc w:val="left"/>
              <w:rPr>
                <w:rFonts w:ascii="Times New Roman" w:hAnsi="Times New Roman" w:cs="Times New Roman" w:eastAsia="Times New Roman" w:hint="default"/>
                <w:sz w:val="18"/>
                <w:szCs w:val="18"/>
              </w:rPr>
            </w:pPr>
            <w:r>
              <w:rPr>
                <w:rFonts w:ascii="Times New Roman"/>
                <w:sz w:val="18"/>
              </w:rPr>
              <w:t>55.60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22,572,1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29.65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25.62%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65,515,02</w:t>
            </w:r>
          </w:p>
          <w:p>
            <w:pPr>
              <w:pStyle w:val="TableParagraph"/>
              <w:spacing w:line="240" w:lineRule="auto" w:before="105"/>
              <w:ind w:left="454" w:right="0"/>
              <w:jc w:val="left"/>
              <w:rPr>
                <w:rFonts w:ascii="Times New Roman" w:hAnsi="Times New Roman" w:cs="Times New Roman" w:eastAsia="Times New Roman" w:hint="default"/>
                <w:sz w:val="18"/>
                <w:szCs w:val="18"/>
              </w:rPr>
            </w:pPr>
            <w:r>
              <w:rPr>
                <w:rFonts w:ascii="Times New Roman"/>
                <w:sz w:val="18"/>
              </w:rPr>
              <w:t>5.95</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1" w:right="0"/>
              <w:jc w:val="left"/>
              <w:rPr>
                <w:rFonts w:ascii="Times New Roman" w:hAnsi="Times New Roman" w:cs="Times New Roman" w:eastAsia="Times New Roman" w:hint="default"/>
                <w:sz w:val="18"/>
                <w:szCs w:val="18"/>
              </w:rPr>
            </w:pPr>
            <w:r>
              <w:rPr>
                <w:rFonts w:ascii="Times New Roman"/>
                <w:sz w:val="18"/>
              </w:rPr>
              <w:t>69,948,</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615.89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18,744,42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26.80%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51,204,193.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88,087,1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55.60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22,572,1</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29.65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25.62%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65,515,02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5.95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69,948,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615.89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18,744,42</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2.74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26.80%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51,204,193.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43,624,018.63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2,181,200.94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16,725,895.29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1,672,589.53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8,508,742.17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1,701,748.44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3,146,868.14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1,573,434.08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3,192,373.53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2,553,898.82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12,889,257.84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12,889,257.84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88,087,155.60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22,572,129.65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25.62%</w:t>
            </w:r>
          </w:p>
        </w:tc>
      </w:tr>
    </w:tbl>
    <w:p>
      <w:pPr>
        <w:pStyle w:val="BodyText"/>
        <w:spacing w:line="338" w:lineRule="auto" w:before="51"/>
        <w:ind w:left="154" w:right="0"/>
        <w:jc w:val="left"/>
      </w:pPr>
      <w:r>
        <w:rPr/>
        <w:t>确定该组合依据的说明： </w:t>
      </w:r>
      <w:r>
        <w:rPr>
          <w:spacing w:val="-2"/>
        </w:rPr>
        <w:t>公司根据以前年度与之相同或相类似的、按账龄段划分的具有类似信用风险特征的应收款项组合的实际损失率为基础，结合</w:t>
      </w:r>
      <w:r>
        <w:rPr>
          <w:spacing w:val="-64"/>
        </w:rPr>
        <w:t> </w:t>
      </w:r>
      <w:r>
        <w:rPr>
          <w:spacing w:val="-64"/>
        </w:rPr>
      </w:r>
      <w:r>
        <w:rPr/>
        <w:t>现时情况分析法确定坏账准备计提的比例。</w:t>
      </w:r>
    </w:p>
    <w:p>
      <w:pPr>
        <w:pStyle w:val="BodyText"/>
        <w:spacing w:line="240" w:lineRule="auto" w:before="43"/>
        <w:ind w:left="154" w:right="0"/>
        <w:jc w:val="left"/>
      </w:pPr>
      <w:r>
        <w:rPr/>
        <w:t>组合中，采用余额百分比法计提坏账准备的应收账款：</w:t>
      </w:r>
    </w:p>
    <w:p>
      <w:pPr>
        <w:pStyle w:val="BodyText"/>
        <w:spacing w:line="34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无</w:t>
      </w:r>
    </w:p>
    <w:p>
      <w:pPr>
        <w:spacing w:line="240" w:lineRule="auto" w:before="9"/>
        <w:rPr>
          <w:rFonts w:ascii="宋体" w:hAnsi="宋体" w:cs="宋体" w:eastAsia="宋体" w:hint="default"/>
          <w:sz w:val="20"/>
          <w:szCs w:val="20"/>
        </w:rPr>
      </w:pPr>
    </w:p>
    <w:p>
      <w:pPr>
        <w:pStyle w:val="Heading5"/>
        <w:spacing w:line="240" w:lineRule="auto"/>
        <w:ind w:left="154" w:right="0"/>
        <w:jc w:val="left"/>
        <w:rPr>
          <w:b w:val="0"/>
          <w:bCs w:val="0"/>
        </w:rPr>
      </w:pPr>
      <w:bookmarkStart w:name="（2）本期计提、收回或转回的坏账准备情况" w:id="231"/>
      <w:bookmarkEnd w:id="23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ind w:right="-12"/>
        <w:jc w:val="left"/>
      </w:pPr>
      <w:r>
        <w:rPr/>
        <w:t>本期计提坏账准备金额</w:t>
      </w:r>
      <w:r>
        <w:rPr>
          <w:spacing w:val="-47"/>
        </w:rPr>
        <w:t> </w:t>
      </w:r>
      <w:r>
        <w:rPr>
          <w:rFonts w:ascii="Times New Roman" w:hAnsi="Times New Roman" w:cs="Times New Roman" w:eastAsia="Times New Roman" w:hint="default"/>
        </w:rPr>
        <w:t>3,827,706.91</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3）本期实际核销的应收账款情况" w:id="232"/>
      <w:bookmarkEnd w:id="23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54" w:right="9132"/>
        <w:jc w:val="left"/>
      </w:pPr>
      <w:r>
        <w:rPr/>
        <w:t>应收账款核销说明：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4）按欠款方归集的期末余额前五名的应收账款情况" w:id="233"/>
      <w:bookmarkEnd w:id="23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3"/>
          <w:szCs w:val="13"/>
        </w:rPr>
      </w:pPr>
    </w:p>
    <w:p>
      <w:pPr>
        <w:spacing w:line="2385" w:lineRule="exact"/>
        <w:ind w:left="154"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4620260" cy="15144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8" cstate="print"/>
                    <a:stretch>
                      <a:fillRect/>
                    </a:stretch>
                  </pic:blipFill>
                  <pic:spPr>
                    <a:xfrm>
                      <a:off x="0" y="0"/>
                      <a:ext cx="4620260" cy="1514475"/>
                    </a:xfrm>
                    <a:prstGeom prst="rect">
                      <a:avLst/>
                    </a:prstGeom>
                  </pic:spPr>
                </pic:pic>
              </a:graphicData>
            </a:graphic>
          </wp:inline>
        </w:drawing>
      </w:r>
      <w:r>
        <w:rPr>
          <w:rFonts w:ascii="宋体" w:hAnsi="宋体" w:cs="宋体" w:eastAsia="宋体" w:hint="default"/>
          <w:position w:val="-47"/>
          <w:sz w:val="20"/>
          <w:szCs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7"/>
          <w:szCs w:val="27"/>
        </w:rPr>
      </w:pPr>
    </w:p>
    <w:p>
      <w:pPr>
        <w:pStyle w:val="Heading5"/>
        <w:spacing w:line="240" w:lineRule="auto" w:before="35"/>
        <w:ind w:left="154" w:right="0"/>
        <w:jc w:val="left"/>
        <w:rPr>
          <w:b w:val="0"/>
          <w:bCs w:val="0"/>
        </w:rPr>
      </w:pPr>
      <w:bookmarkStart w:name="（5）因金融资产转移而终止确认的应收账款" w:id="234"/>
      <w:bookmarkEnd w:id="23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6）转移应收账款且继续涉入形成的资产、负债金额" w:id="235"/>
      <w:bookmarkEnd w:id="23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9853"/>
        <w:jc w:val="left"/>
      </w:pPr>
      <w:r>
        <w:rPr/>
        <w:t>无 其他说明： 无</w:t>
      </w:r>
    </w:p>
    <w:p>
      <w:pPr>
        <w:spacing w:line="240" w:lineRule="auto" w:before="0"/>
        <w:rPr>
          <w:rFonts w:ascii="宋体" w:hAnsi="宋体" w:cs="宋体" w:eastAsia="宋体" w:hint="default"/>
          <w:sz w:val="20"/>
          <w:szCs w:val="20"/>
        </w:rPr>
      </w:pPr>
    </w:p>
    <w:p>
      <w:pPr>
        <w:pStyle w:val="Heading5"/>
        <w:spacing w:line="240" w:lineRule="auto"/>
        <w:ind w:left="154" w:right="0"/>
        <w:jc w:val="left"/>
        <w:rPr>
          <w:b w:val="0"/>
          <w:bCs w:val="0"/>
        </w:rPr>
      </w:pPr>
      <w:bookmarkStart w:name="6、预付款项" w:id="236"/>
      <w:bookmarkEnd w:id="236"/>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预付款项按账龄列示" w:id="237"/>
      <w:bookmarkEnd w:id="23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6,144,721.14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7,484,230.84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88.79%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2,715,098.72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903,623.67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484,663.24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36,612.86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36,612.86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4"/>
        <w:gridCol w:w="1927"/>
        <w:gridCol w:w="1903"/>
        <w:gridCol w:w="1914"/>
        <w:gridCol w:w="190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38" w:right="0"/>
              <w:jc w:val="left"/>
              <w:rPr>
                <w:rFonts w:ascii="Times New Roman" w:hAnsi="Times New Roman" w:cs="Times New Roman" w:eastAsia="Times New Roman" w:hint="default"/>
                <w:sz w:val="18"/>
                <w:szCs w:val="18"/>
              </w:rPr>
            </w:pPr>
            <w:r>
              <w:rPr>
                <w:rFonts w:ascii="Times New Roman"/>
                <w:sz w:val="18"/>
              </w:rPr>
              <w:t>9,381,095.96</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8,429,467.37</w:t>
            </w:r>
          </w:p>
        </w:tc>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pStyle w:val="Heading6"/>
        <w:spacing w:line="256" w:lineRule="auto" w:before="77"/>
        <w:ind w:left="153" w:right="1169"/>
        <w:jc w:val="left"/>
      </w:pPr>
      <w:r>
        <w:rPr/>
        <w:t>账龄超过一年且金额</w:t>
      </w:r>
      <w:r>
        <w:rPr>
          <w:spacing w:val="-24"/>
        </w:rPr>
        <w:t> </w:t>
      </w:r>
      <w:r>
        <w:rPr/>
        <w:t>重大的预付款项为</w:t>
      </w:r>
      <w:r>
        <w:rPr>
          <w:rFonts w:ascii="Times New Roman" w:hAnsi="Times New Roman" w:cs="Times New Roman" w:eastAsia="Times New Roman" w:hint="default"/>
        </w:rPr>
        <w:t>2,591,377.72</w:t>
      </w:r>
      <w:r>
        <w:rPr/>
        <w:t>元，主要为预付材料采购款项，因为材料尚未验收， 该款项尚未结算。</w:t>
      </w:r>
    </w:p>
    <w:p>
      <w:pPr>
        <w:spacing w:line="240" w:lineRule="auto" w:before="10"/>
        <w:rPr>
          <w:rFonts w:ascii="宋体" w:hAnsi="宋体" w:cs="宋体" w:eastAsia="宋体" w:hint="default"/>
          <w:sz w:val="24"/>
          <w:szCs w:val="24"/>
        </w:rPr>
      </w:pPr>
    </w:p>
    <w:p>
      <w:pPr>
        <w:pStyle w:val="Heading5"/>
        <w:spacing w:line="240" w:lineRule="auto"/>
        <w:ind w:right="0"/>
        <w:jc w:val="left"/>
        <w:rPr>
          <w:b w:val="0"/>
          <w:bCs w:val="0"/>
        </w:rPr>
      </w:pPr>
      <w:bookmarkStart w:name="（2）按预付对象归集的期末余额前五名的预付款情况" w:id="238"/>
      <w:bookmarkEnd w:id="23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56" w:type="dxa"/>
        <w:tblLayout w:type="fixed"/>
        <w:tblCellMar>
          <w:top w:w="0" w:type="dxa"/>
          <w:left w:w="0" w:type="dxa"/>
          <w:bottom w:w="0" w:type="dxa"/>
          <w:right w:w="0" w:type="dxa"/>
        </w:tblCellMar>
        <w:tblLook w:val="01E0"/>
      </w:tblPr>
      <w:tblGrid>
        <w:gridCol w:w="3644"/>
        <w:gridCol w:w="2126"/>
        <w:gridCol w:w="2127"/>
      </w:tblGrid>
      <w:tr>
        <w:trPr>
          <w:trHeight w:val="523" w:hRule="exact"/>
        </w:trPr>
        <w:tc>
          <w:tcPr>
            <w:tcW w:w="36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61"/>
              <w:ind w:left="6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12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61"/>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占预付款期末余额</w:t>
            </w:r>
            <w:r>
              <w:rPr>
                <w:rFonts w:ascii="Times New Roman" w:hAnsi="Times New Roman" w:cs="Times New Roman" w:eastAsia="Times New Roman" w:hint="default"/>
                <w:sz w:val="18"/>
                <w:szCs w:val="18"/>
              </w:rPr>
              <w:t>(%)</w:t>
            </w:r>
          </w:p>
        </w:tc>
      </w:tr>
      <w:tr>
        <w:trPr>
          <w:trHeight w:val="521" w:hRule="exact"/>
        </w:trPr>
        <w:tc>
          <w:tcPr>
            <w:tcW w:w="36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1"/>
              <w:ind w:left="3" w:right="0"/>
              <w:jc w:val="left"/>
              <w:rPr>
                <w:rFonts w:ascii="宋体" w:hAnsi="宋体" w:cs="宋体" w:eastAsia="宋体" w:hint="default"/>
                <w:sz w:val="18"/>
                <w:szCs w:val="18"/>
              </w:rPr>
            </w:pPr>
            <w:r>
              <w:rPr>
                <w:rFonts w:ascii="宋体" w:hAnsi="宋体" w:cs="宋体" w:eastAsia="宋体" w:hint="default"/>
                <w:sz w:val="18"/>
                <w:szCs w:val="18"/>
              </w:rPr>
              <w:t>北京中健祥电子科技有限公司</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2,633,490.47</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28.07</w:t>
            </w:r>
          </w:p>
        </w:tc>
      </w:tr>
      <w:tr>
        <w:trPr>
          <w:trHeight w:val="520" w:hRule="exact"/>
        </w:trPr>
        <w:tc>
          <w:tcPr>
            <w:tcW w:w="36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1"/>
              <w:ind w:left="3" w:right="0"/>
              <w:jc w:val="left"/>
              <w:rPr>
                <w:rFonts w:ascii="宋体" w:hAnsi="宋体" w:cs="宋体" w:eastAsia="宋体" w:hint="default"/>
                <w:sz w:val="18"/>
                <w:szCs w:val="18"/>
              </w:rPr>
            </w:pPr>
            <w:r>
              <w:rPr>
                <w:rFonts w:ascii="宋体" w:hAnsi="宋体" w:cs="宋体" w:eastAsia="宋体" w:hint="default"/>
                <w:sz w:val="18"/>
                <w:szCs w:val="18"/>
              </w:rPr>
              <w:t>成都纳合科技有限公司</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2,332,765.00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24.87</w:t>
            </w:r>
          </w:p>
        </w:tc>
      </w:tr>
      <w:tr>
        <w:trPr>
          <w:trHeight w:val="520" w:hRule="exact"/>
        </w:trPr>
        <w:tc>
          <w:tcPr>
            <w:tcW w:w="36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1"/>
              <w:ind w:left="3" w:right="0"/>
              <w:jc w:val="left"/>
              <w:rPr>
                <w:rFonts w:ascii="宋体" w:hAnsi="宋体" w:cs="宋体" w:eastAsia="宋体" w:hint="default"/>
                <w:sz w:val="18"/>
                <w:szCs w:val="18"/>
              </w:rPr>
            </w:pPr>
            <w:r>
              <w:rPr>
                <w:rFonts w:ascii="宋体" w:hAnsi="宋体" w:cs="宋体" w:eastAsia="宋体" w:hint="default"/>
                <w:sz w:val="18"/>
                <w:szCs w:val="18"/>
              </w:rPr>
              <w:t>成都振熙投资咨询有限公司</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692,458.00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7.38</w:t>
            </w:r>
          </w:p>
        </w:tc>
      </w:tr>
      <w:tr>
        <w:trPr>
          <w:trHeight w:val="521" w:hRule="exact"/>
        </w:trPr>
        <w:tc>
          <w:tcPr>
            <w:tcW w:w="36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1"/>
              <w:ind w:left="3" w:right="0"/>
              <w:jc w:val="left"/>
              <w:rPr>
                <w:rFonts w:ascii="宋体" w:hAnsi="宋体" w:cs="宋体" w:eastAsia="宋体" w:hint="default"/>
                <w:sz w:val="18"/>
                <w:szCs w:val="18"/>
              </w:rPr>
            </w:pPr>
            <w:r>
              <w:rPr>
                <w:rFonts w:ascii="宋体" w:hAnsi="宋体" w:cs="宋体" w:eastAsia="宋体" w:hint="default"/>
                <w:sz w:val="18"/>
                <w:szCs w:val="18"/>
              </w:rPr>
              <w:t>成都科王科技有限公司</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400,000.00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4.26</w:t>
            </w:r>
          </w:p>
        </w:tc>
      </w:tr>
      <w:tr>
        <w:trPr>
          <w:trHeight w:val="520" w:hRule="exact"/>
        </w:trPr>
        <w:tc>
          <w:tcPr>
            <w:tcW w:w="36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1"/>
              <w:ind w:left="3" w:right="0"/>
              <w:jc w:val="left"/>
              <w:rPr>
                <w:rFonts w:ascii="宋体" w:hAnsi="宋体" w:cs="宋体" w:eastAsia="宋体" w:hint="default"/>
                <w:sz w:val="18"/>
                <w:szCs w:val="18"/>
              </w:rPr>
            </w:pPr>
            <w:r>
              <w:rPr>
                <w:rFonts w:ascii="宋体" w:hAnsi="宋体" w:cs="宋体" w:eastAsia="宋体" w:hint="default"/>
                <w:sz w:val="18"/>
                <w:szCs w:val="18"/>
              </w:rPr>
              <w:t>成都市海沐科技有限公司</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z w:val="18"/>
              </w:rPr>
              <w:t>300,000.00</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3.20</w:t>
            </w:r>
          </w:p>
        </w:tc>
      </w:tr>
      <w:tr>
        <w:trPr>
          <w:trHeight w:val="520" w:hRule="exact"/>
        </w:trPr>
        <w:tc>
          <w:tcPr>
            <w:tcW w:w="36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6,358,713.47</w:t>
            </w:r>
          </w:p>
        </w:tc>
        <w:tc>
          <w:tcPr>
            <w:tcW w:w="212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67.78</w:t>
            </w:r>
          </w:p>
        </w:tc>
      </w:tr>
    </w:tbl>
    <w:p>
      <w:pPr>
        <w:spacing w:line="273" w:lineRule="exact" w:before="0"/>
        <w:ind w:left="508" w:right="0" w:firstLine="0"/>
        <w:jc w:val="left"/>
        <w:rPr>
          <w:rFonts w:ascii="宋体" w:hAnsi="宋体" w:cs="宋体" w:eastAsia="宋体" w:hint="default"/>
          <w:sz w:val="22"/>
          <w:szCs w:val="22"/>
        </w:rPr>
      </w:pPr>
      <w:r>
        <w:rPr>
          <w:rFonts w:ascii="宋体" w:hAnsi="宋体" w:cs="宋体" w:eastAsia="宋体" w:hint="default"/>
          <w:sz w:val="22"/>
          <w:szCs w:val="22"/>
        </w:rPr>
        <w:t>按预付对象归集的年末余额前五名预付款项汇总金额</w:t>
      </w:r>
      <w:r>
        <w:rPr>
          <w:rFonts w:ascii="Times New Roman" w:hAnsi="Times New Roman" w:cs="Times New Roman" w:eastAsia="Times New Roman" w:hint="default"/>
          <w:sz w:val="18"/>
          <w:szCs w:val="18"/>
        </w:rPr>
        <w:t>6,358,713.47</w:t>
      </w:r>
      <w:r>
        <w:rPr>
          <w:rFonts w:ascii="宋体" w:hAnsi="宋体" w:cs="宋体" w:eastAsia="宋体" w:hint="default"/>
          <w:sz w:val="22"/>
          <w:szCs w:val="22"/>
        </w:rPr>
        <w:t>元，占预付款项年末余额合计数的</w:t>
      </w:r>
    </w:p>
    <w:p>
      <w:pPr>
        <w:spacing w:before="16"/>
        <w:ind w:left="153" w:right="0" w:firstLine="0"/>
        <w:jc w:val="left"/>
        <w:rPr>
          <w:rFonts w:ascii="宋体" w:hAnsi="宋体" w:cs="宋体" w:eastAsia="宋体" w:hint="default"/>
          <w:sz w:val="22"/>
          <w:szCs w:val="22"/>
        </w:rPr>
      </w:pPr>
      <w:r>
        <w:rPr>
          <w:rFonts w:ascii="宋体" w:hAnsi="宋体" w:cs="宋体" w:eastAsia="宋体" w:hint="default"/>
          <w:sz w:val="22"/>
          <w:szCs w:val="22"/>
        </w:rPr>
        <w:t>比例</w:t>
      </w:r>
      <w:r>
        <w:rPr>
          <w:rFonts w:ascii="Times New Roman" w:hAnsi="Times New Roman" w:cs="Times New Roman" w:eastAsia="Times New Roman" w:hint="default"/>
          <w:sz w:val="22"/>
          <w:szCs w:val="22"/>
        </w:rPr>
        <w:t>67.78%</w:t>
      </w:r>
      <w:r>
        <w:rPr>
          <w:rFonts w:ascii="宋体" w:hAnsi="宋体" w:cs="宋体" w:eastAsia="宋体" w:hint="default"/>
          <w:sz w:val="22"/>
          <w:szCs w:val="22"/>
        </w:rPr>
        <w:t>。</w:t>
      </w:r>
    </w:p>
    <w:p>
      <w:pPr>
        <w:pStyle w:val="BodyText"/>
        <w:spacing w:line="357" w:lineRule="auto" w:before="8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7、应收利息" w:id="239"/>
      <w:bookmarkEnd w:id="239"/>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应收利息分类" w:id="240"/>
      <w:bookmarkEnd w:id="240"/>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201,109.59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220,515.07</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201,109.59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220,515.07</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重要逾期利息" w:id="241"/>
      <w:bookmarkEnd w:id="241"/>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8、应收股利" w:id="242"/>
      <w:bookmarkEnd w:id="242"/>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应收股利" w:id="243"/>
      <w:bookmarkEnd w:id="243"/>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2）重要的账龄超过1年的应收股利" w:id="244"/>
      <w:bookmarkEnd w:id="244"/>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2"/>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9、其他应收款" w:id="245"/>
      <w:bookmarkEnd w:id="245"/>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其他应收款分类披露" w:id="246"/>
      <w:bookmarkEnd w:id="24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44,872,5</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26.16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10,487,3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74.17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23.37%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34,385,15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1.99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40,690,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530.15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9,475,090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23.29%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31,215,439.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44,872,5</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26.16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10,487,3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74.17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23.37%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34,385,15</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1.99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40,690,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530.15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9,475,090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23.29%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31,215,439.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6"/>
        <w:gridCol w:w="2399"/>
        <w:gridCol w:w="2392"/>
        <w:gridCol w:w="2392"/>
      </w:tblGrid>
      <w:tr>
        <w:trPr>
          <w:trHeight w:val="206" w:hRule="exact"/>
        </w:trPr>
        <w:tc>
          <w:tcPr>
            <w:tcW w:w="23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8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6" w:type="dxa"/>
            <w:vMerge/>
            <w:tcBorders>
              <w:left w:val="single" w:sz="4" w:space="0" w:color="000000"/>
              <w:bottom w:val="nil" w:sz="6" w:space="0" w:color="auto"/>
              <w:right w:val="single" w:sz="4" w:space="0" w:color="000000"/>
            </w:tcBorders>
            <w:shd w:val="clear" w:color="auto" w:fill="D2D2D2"/>
          </w:tcPr>
          <w:p>
            <w:pPr/>
          </w:p>
        </w:tc>
        <w:tc>
          <w:tcPr>
            <w:tcW w:w="2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8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9"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20,792,729.69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1,039,636.49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7,735,639.13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773,563.92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8,264,368.60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1,652,873.72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254,300.00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4,020,943.49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3,216,754.79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3,550,245.25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3,550,245.25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44,872,526.16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10,487,374.17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23.37%</w:t>
            </w:r>
          </w:p>
        </w:tc>
      </w:tr>
    </w:tbl>
    <w:p>
      <w:pPr>
        <w:pStyle w:val="BodyText"/>
        <w:spacing w:line="338" w:lineRule="auto" w:before="51"/>
        <w:ind w:left="154" w:right="0"/>
        <w:jc w:val="left"/>
      </w:pPr>
      <w:r>
        <w:rPr/>
        <w:t>确定该组合依据的说明： </w:t>
      </w:r>
      <w:r>
        <w:rPr>
          <w:spacing w:val="-2"/>
        </w:rPr>
        <w:t>公司根据以前年度与之相同或相类似的、按账龄段划分的具有类似信用风险特征的应收款项组合的实际损失率为基础，结合</w:t>
      </w:r>
      <w:r>
        <w:rPr>
          <w:spacing w:val="-64"/>
        </w:rPr>
        <w:t> </w:t>
      </w:r>
      <w:r>
        <w:rPr>
          <w:spacing w:val="-64"/>
        </w:rPr>
      </w:r>
      <w:r>
        <w:rPr/>
        <w:t>现时情况分析法确定坏账准备计提的比例。</w:t>
      </w:r>
    </w:p>
    <w:p>
      <w:pPr>
        <w:spacing w:line="240" w:lineRule="auto" w:before="0"/>
        <w:rPr>
          <w:rFonts w:ascii="宋体" w:hAnsi="宋体" w:cs="宋体" w:eastAsia="宋体" w:hint="default"/>
          <w:sz w:val="18"/>
          <w:szCs w:val="18"/>
        </w:rPr>
      </w:pPr>
    </w:p>
    <w:p>
      <w:pPr>
        <w:pStyle w:val="BodyText"/>
        <w:spacing w:line="240" w:lineRule="auto" w:before="120"/>
        <w:ind w:left="15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本期计提、收回或转回的坏账准备情况" w:id="247"/>
      <w:bookmarkEnd w:id="24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ind w:right="-12"/>
        <w:jc w:val="left"/>
      </w:pPr>
      <w:r>
        <w:rPr/>
        <w:t>本期计提坏账准备金额</w:t>
      </w:r>
      <w:r>
        <w:rPr>
          <w:spacing w:val="-47"/>
        </w:rPr>
        <w:t> </w:t>
      </w:r>
      <w:r>
        <w:rPr>
          <w:rFonts w:ascii="Times New Roman" w:hAnsi="Times New Roman" w:cs="Times New Roman" w:eastAsia="Times New Roman" w:hint="default"/>
        </w:rPr>
        <w:t>1,012,283.75</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1"/>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3）本期实际核销的其他应收款情况" w:id="248"/>
      <w:bookmarkEnd w:id="24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left="154" w:right="8952"/>
        <w:jc w:val="left"/>
      </w:pPr>
      <w:r>
        <w:rPr/>
        <w:t>其他应收款核销说明：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4）其他应收款按款项性质分类情况" w:id="249"/>
      <w:bookmarkEnd w:id="24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33,390,105.20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23,694,548.95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往来款、债权债务转让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7,000,816.64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9,971,654.89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2,267,740.29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1,556,479.04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2,213,864.03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1,257,847.27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上市中介费</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44,872,526.16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40,690,530.15</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5）按欠款方归集的期末余额前五名的其他应收款情况" w:id="250"/>
      <w:bookmarkEnd w:id="25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往来款、债权债务转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让</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6,905,820.49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1,289,565.98</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5,463,245.00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2" w:lineRule="auto" w:before="6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pacing w:val="-7"/>
                <w:sz w:val="18"/>
                <w:szCs w:val="18"/>
              </w:rPr>
              <w:t>年、</w:t>
            </w:r>
            <w:r>
              <w:rPr>
                <w:rFonts w:ascii="Times New Roman" w:hAnsi="Times New Roman" w:cs="Times New Roman" w:eastAsia="Times New Roman" w:hint="default"/>
                <w:spacing w:val="-7"/>
                <w:sz w:val="18"/>
                <w:szCs w:val="18"/>
              </w:rPr>
              <w:t>4-5 </w:t>
            </w:r>
            <w:r>
              <w:rPr>
                <w:rFonts w:ascii="宋体" w:hAnsi="宋体" w:cs="宋体" w:eastAsia="宋体" w:hint="default"/>
                <w:spacing w:val="-11"/>
                <w:sz w:val="18"/>
                <w:szCs w:val="18"/>
              </w:rPr>
              <w:t>年、</w:t>
            </w:r>
            <w:r>
              <w:rPr>
                <w:rFonts w:ascii="Times New Roman" w:hAnsi="Times New Roman" w:cs="Times New Roman" w:eastAsia="Times New Roman" w:hint="default"/>
                <w:spacing w:val="-11"/>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 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4,128,441.00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142,600.00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2,663,049.00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133,152.45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1,634,400.00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81,720.00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19,518,514.49</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5,775,479.43</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6）涉及政府补助的应收款项" w:id="251"/>
      <w:bookmarkEnd w:id="25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1"/>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7）因金融资产转移而终止确认的其他应收款" w:id="252"/>
      <w:bookmarkEnd w:id="25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8）转移其他应收款且继续涉入形成的资产、负债金额" w:id="253"/>
      <w:bookmarkEnd w:id="25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9853"/>
        <w:jc w:val="left"/>
      </w:pPr>
      <w:r>
        <w:rPr/>
        <w:t>无 其他说明： 无</w:t>
      </w:r>
    </w:p>
    <w:p>
      <w:pPr>
        <w:spacing w:after="0" w:line="360" w:lineRule="auto"/>
        <w:jc w:val="left"/>
        <w:sectPr>
          <w:footerReference w:type="default" r:id="rId19"/>
          <w:pgSz w:w="11910" w:h="16840"/>
          <w:pgMar w:footer="979" w:header="747"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10、存货" w:id="254"/>
      <w:bookmarkEnd w:id="254"/>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存货分类" w:id="255"/>
      <w:bookmarkEnd w:id="25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8,284,117.11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8,284,117.11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10,815,518.56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10,815,518.56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241,971,592.93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241,971,592.93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214,960,079.61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214,960,079.61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2,695,172.43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2,695,172.43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977,254.63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977,254.63</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252,950,882.47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252,950,882.47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226,752,852.80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226,752,852.80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存货跌价准备" w:id="256"/>
      <w:bookmarkEnd w:id="25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11"/>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3）存货期末余额含有借款费用资本化金额的说明" w:id="257"/>
      <w:bookmarkEnd w:id="25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4）期末建造合同形成的已完工未结算资产情况" w:id="258"/>
      <w:bookmarkEnd w:id="25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1、划分为持有待售的资产" w:id="259"/>
      <w:bookmarkEnd w:id="259"/>
      <w:r>
        <w:rPr>
          <w:b w:val="0"/>
          <w:bCs w:val="0"/>
        </w:rPr>
      </w:r>
      <w:r>
        <w:rPr>
          <w:rFonts w:ascii="Times New Roman" w:hAnsi="Times New Roman" w:cs="Times New Roman" w:eastAsia="Times New Roman" w:hint="default"/>
        </w:rPr>
        <w:t>11</w:t>
      </w:r>
      <w:r>
        <w:rPr/>
        <w:t>、划分为持有待售的资产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12、一年内到期的非流动资产" w:id="260"/>
      <w:bookmarkEnd w:id="260"/>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footerReference w:type="default" r:id="rId20"/>
          <w:pgSz w:w="11910" w:h="16840"/>
          <w:pgMar w:footer="979" w:header="747" w:top="1060" w:bottom="1160" w:left="980" w:right="0"/>
          <w:pgNumType w:start="101"/>
        </w:sectPr>
      </w:pPr>
    </w:p>
    <w:p>
      <w:pPr>
        <w:spacing w:line="240" w:lineRule="auto" w:before="13"/>
        <w:rPr>
          <w:rFonts w:ascii="宋体" w:hAnsi="宋体" w:cs="宋体" w:eastAsia="宋体" w:hint="default"/>
          <w:sz w:val="25"/>
          <w:szCs w:val="25"/>
        </w:rPr>
      </w:pPr>
    </w:p>
    <w:p>
      <w:pPr>
        <w:pStyle w:val="BodyText"/>
        <w:spacing w:line="357" w:lineRule="auto"/>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13、其他流动资产" w:id="261"/>
      <w:bookmarkEnd w:id="261"/>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未认证待抵扣进项税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2,379,039.74</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6,651.43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代扣预缴个人所得税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8,603.89</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2,394,295.06</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14、可供出售金融资产" w:id="262"/>
      <w:bookmarkEnd w:id="262"/>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可供出售金融资产情况" w:id="263"/>
      <w:bookmarkEnd w:id="26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期末按公允价值计量的可供出售金融资产" w:id="264"/>
      <w:bookmarkEnd w:id="26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期末按成本计量的可供出售金融资产" w:id="265"/>
      <w:bookmarkEnd w:id="26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绵阳市绵 州通有限 责任公司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866"/>
        <w:gridCol w:w="870"/>
        <w:gridCol w:w="870"/>
        <w:gridCol w:w="870"/>
        <w:gridCol w:w="870"/>
        <w:gridCol w:w="870"/>
        <w:gridCol w:w="870"/>
        <w:gridCol w:w="870"/>
        <w:gridCol w:w="870"/>
        <w:gridCol w:w="870"/>
        <w:gridCol w:w="870"/>
      </w:tblGrid>
      <w:tr>
        <w:trPr>
          <w:trHeight w:val="714"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报告期内可供出售金融资产减值的变动情况" w:id="266"/>
      <w:bookmarkEnd w:id="26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5）可供出售权益工具期末公允价值严重下跌或非暂时性下跌但未计提减值准备的相关说" w:id="267"/>
      <w:bookmarkEnd w:id="26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357" w:lineRule="auto" w:before="52"/>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15、持有至到期投资" w:id="268"/>
      <w:bookmarkEnd w:id="268"/>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持有至到期投资情况" w:id="269"/>
      <w:bookmarkEnd w:id="26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期末重要的持有至到期投资" w:id="270"/>
      <w:bookmarkEnd w:id="27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本期重分类的持有至到期投资" w:id="271"/>
      <w:bookmarkEnd w:id="271"/>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16、长期应收款" w:id="272"/>
      <w:bookmarkEnd w:id="272"/>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长期应收款情况" w:id="273"/>
      <w:bookmarkEnd w:id="27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因金融资产转移而终止确认的长期应收款" w:id="274"/>
      <w:bookmarkEnd w:id="27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转移长期应收款且继续涉入形成的资产、负债金额" w:id="275"/>
      <w:bookmarkEnd w:id="27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17、长期股权投资" w:id="276"/>
      <w:bookmarkEnd w:id="276"/>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北京利博 赛社保信 息技术有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2,617,130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-1,272,53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1,344,593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四川银海 天怡信息 技术有限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5,229,030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-799,965.</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4,429,065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7,846,160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-2,072,50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5,773,658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3"/>
                <w:sz w:val="18"/>
              </w:rPr>
              <w:t>.11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7,846,160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-2,072,50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5,773,658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3"/>
                <w:sz w:val="18"/>
              </w:rPr>
              <w:t>.11</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18、投资性房地产" w:id="277"/>
      <w:bookmarkEnd w:id="277"/>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采用成本计量模式的投资性房地产" w:id="278"/>
      <w:bookmarkEnd w:id="27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19,174,149.60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19,174,149.60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3,511,106.05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3,511,106.05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3,511,106.05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3,511,106.05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15,663,043.55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15,663,043.55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2,714,807.47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2,714,807.47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509,915.96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509,915.96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509,915.96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509,915.96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507,303.16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507,303.16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507,303.16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507,303.16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2,717,420.27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2,717,420.27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12,945,623.28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12,945,623.28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16,459,342.13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16,459,342.13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5"/>
        <w:ind w:right="0"/>
        <w:jc w:val="left"/>
        <w:rPr>
          <w:b w:val="0"/>
          <w:bCs w:val="0"/>
        </w:rPr>
      </w:pPr>
      <w:bookmarkStart w:name="（2）采用公允价值计量模式的投资性房地产" w:id="279"/>
      <w:bookmarkEnd w:id="27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未办妥产权证书的投资性房地产情况" w:id="280"/>
      <w:bookmarkEnd w:id="28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357" w:lineRule="auto" w:before="52"/>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19、固定资产" w:id="281"/>
      <w:bookmarkEnd w:id="281"/>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固定资产情况" w:id="282"/>
      <w:bookmarkEnd w:id="28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714" w:hRule="exact"/>
        </w:trPr>
        <w:tc>
          <w:tcPr>
            <w:tcW w:w="106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房屋及建筑 物</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通用设备</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06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固定资产装 修</w:t>
            </w:r>
          </w:p>
        </w:tc>
        <w:tc>
          <w:tcPr>
            <w:tcW w:w="1063" w:type="dxa"/>
            <w:tcBorders>
              <w:top w:val="single" w:sz="4" w:space="0" w:color="000000"/>
              <w:left w:val="single" w:sz="13" w:space="0" w:color="E0FFFF"/>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一、账面原 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40,438,596.9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4,831,671.08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297,630.54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5,692,163.39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637,738.49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846,377.34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4,535,664.03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57,279,841.8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3,511,106.05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3,116,725.19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78,264.96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802,836.20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34,655.51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127,655.53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206,763.74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7,878,007.18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3,116,725.19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78,264.96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802,836.20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34,655.51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127,655.53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4,160,137.39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 建工程转入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206,763.74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206,763.74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 业合并增加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38"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 投资性房地 产转入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3,511,106.05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3,511,106.05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1,008,449.31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1,008,449.31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1,008,449.31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1,008,449.31</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43,949,703.0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7,948,396.27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375,895.50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5,486,550.28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672,394.00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974,032.87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4,742,427.77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64,149,399.7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4"/>
                <w:sz w:val="18"/>
                <w:szCs w:val="18"/>
              </w:rPr>
              <w:t>、</w:t>
            </w:r>
            <w:r>
              <w:rPr>
                <w:rFonts w:ascii="宋体" w:hAnsi="宋体" w:cs="宋体" w:eastAsia="宋体" w:hint="default"/>
                <w:sz w:val="18"/>
                <w:szCs w:val="18"/>
              </w:rPr>
              <w:t>累计折旧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5,784,554.48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1,363,064.75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192,424.67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3,596,636.07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224,409.43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247,847.19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4,449,557.02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15,858,493.6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1,880,312.97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1,127,076.25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37,099.94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734,593.76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123,532.78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156,157.36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53,002.08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4,111,775.14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1,373,009.81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1,127,076.25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37,099.94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734,593.76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123,532.78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156,157.36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53,002.08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3,604,471.98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9" w:lineRule="auto" w:before="51"/>
              <w:ind w:left="22" w:right="-50" w:firstLine="63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投资性房地 产转入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65pt;height:15.6pt;mso-position-horizontal-relative:char;mso-position-vertical-relative:line" coordorigin="0,0" coordsize="1053,312">
                  <v:group style="position:absolute;left:0;top:0;width:1053;height:312" coordorigin="0,0" coordsize="1053,312">
                    <v:shape style="position:absolute;left:0;top:0;width:1053;height:312" coordorigin="0,0" coordsize="1053,312" path="m0,312l1052,312,1052,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507,303.16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507,303.16</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958,026.85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958,026.85</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958,026.85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958,026.85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7,664,867.45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2,490,141.00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229,524.61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3,373,202.98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347,942.21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404,004.55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4,502,559.10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19,012,241.9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4"/>
                <w:sz w:val="18"/>
                <w:szCs w:val="18"/>
              </w:rPr>
              <w:t>、</w:t>
            </w:r>
            <w:r>
              <w:rPr>
                <w:rFonts w:ascii="宋体" w:hAnsi="宋体" w:cs="宋体" w:eastAsia="宋体" w:hint="default"/>
                <w:sz w:val="18"/>
                <w:szCs w:val="18"/>
              </w:rPr>
              <w:t>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4"/>
                <w:sz w:val="18"/>
                <w:szCs w:val="18"/>
              </w:rPr>
              <w:t>、</w:t>
            </w: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36,284,835.5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5,458,255.27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146,370.89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2,113,347.30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324,451.79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570,028.32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239,868.67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45,137,157.8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34,654,042.5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3,468,606.33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105,205.87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2,095,527.32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413,329.06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598,530.15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86,107.01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41,421,348.2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5"/>
        <w:ind w:right="0"/>
        <w:jc w:val="left"/>
        <w:rPr>
          <w:b w:val="0"/>
          <w:bCs w:val="0"/>
        </w:rPr>
      </w:pPr>
      <w:bookmarkStart w:name="（2）暂时闲置的固定资产情况" w:id="283"/>
      <w:bookmarkEnd w:id="28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3）通过融资租赁租入的固定资产情况" w:id="284"/>
      <w:bookmarkEnd w:id="28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通过经营租赁租出的固定资产" w:id="285"/>
      <w:bookmarkEnd w:id="28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5）未办妥产权证书的固定资产情况" w:id="286"/>
      <w:bookmarkEnd w:id="28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20、在建工程" w:id="287"/>
      <w:bookmarkEnd w:id="287"/>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在建工程情况" w:id="288"/>
      <w:bookmarkEnd w:id="28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楼中心机房工 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110,937.95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110,937.95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110,937.95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110,937.95</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重要在建工程项目本期变动情况" w:id="289"/>
      <w:bookmarkEnd w:id="28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本期计提在建工程减值准备情况" w:id="290"/>
      <w:bookmarkEnd w:id="29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57" w:lineRule="auto" w:before="52"/>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21、工程物资" w:id="291"/>
      <w:bookmarkEnd w:id="291"/>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22、固定资产清理" w:id="292"/>
      <w:bookmarkEnd w:id="292"/>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9853"/>
        <w:jc w:val="left"/>
      </w:pPr>
      <w:r>
        <w:rPr/>
        <w:t>其他说明： 无</w:t>
      </w:r>
    </w:p>
    <w:p>
      <w:pPr>
        <w:spacing w:line="240" w:lineRule="auto" w:before="3"/>
        <w:rPr>
          <w:rFonts w:ascii="宋体" w:hAnsi="宋体" w:cs="宋体" w:eastAsia="宋体" w:hint="default"/>
          <w:sz w:val="20"/>
          <w:szCs w:val="20"/>
        </w:rPr>
      </w:pPr>
    </w:p>
    <w:p>
      <w:pPr>
        <w:pStyle w:val="Heading5"/>
        <w:spacing w:line="240" w:lineRule="auto"/>
        <w:ind w:left="154" w:right="0"/>
        <w:jc w:val="left"/>
        <w:rPr>
          <w:b w:val="0"/>
          <w:bCs w:val="0"/>
        </w:rPr>
      </w:pPr>
      <w:bookmarkStart w:name="23、生产性生物资产" w:id="293"/>
      <w:bookmarkEnd w:id="293"/>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生产性生物资产" w:id="294"/>
      <w:bookmarkEnd w:id="29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采用公允价值计量模式的生产性生物资产" w:id="295"/>
      <w:bookmarkEnd w:id="29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4、油气资产" w:id="296"/>
      <w:bookmarkEnd w:id="296"/>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5、无形资产" w:id="297"/>
      <w:bookmarkEnd w:id="297"/>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无形资产情况" w:id="298"/>
      <w:bookmarkEnd w:id="29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7"/>
        <w:gridCol w:w="958"/>
        <w:gridCol w:w="956"/>
        <w:gridCol w:w="958"/>
        <w:gridCol w:w="957"/>
        <w:gridCol w:w="957"/>
        <w:gridCol w:w="957"/>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9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管理软件</w:t>
            </w:r>
          </w:p>
        </w:tc>
        <w:tc>
          <w:tcPr>
            <w:tcW w:w="95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2" w:lineRule="auto" w:before="51"/>
              <w:ind w:left="202" w:right="89" w:hanging="112"/>
              <w:jc w:val="left"/>
              <w:rPr>
                <w:rFonts w:ascii="宋体" w:hAnsi="宋体" w:cs="宋体" w:eastAsia="宋体" w:hint="default"/>
                <w:sz w:val="18"/>
                <w:szCs w:val="18"/>
              </w:rPr>
            </w:pPr>
            <w:r>
              <w:rPr>
                <w:rFonts w:ascii="Times New Roman" w:hAnsi="Times New Roman" w:cs="Times New Roman" w:eastAsia="Times New Roman" w:hint="default"/>
                <w:sz w:val="18"/>
                <w:szCs w:val="18"/>
              </w:rPr>
              <w:t>BOT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w:t>
            </w:r>
            <w:r>
              <w:rPr>
                <w:rFonts w:ascii="宋体" w:hAnsi="宋体" w:cs="宋体" w:eastAsia="宋体" w:hint="default"/>
                <w:w w:val="99"/>
                <w:sz w:val="18"/>
                <w:szCs w:val="18"/>
              </w:rPr>
              <w:t> </w:t>
            </w:r>
            <w:r>
              <w:rPr>
                <w:rFonts w:ascii="宋体" w:hAnsi="宋体" w:cs="宋体" w:eastAsia="宋体" w:hint="default"/>
                <w:sz w:val="18"/>
                <w:szCs w:val="18"/>
              </w:rPr>
              <w:t>收费权</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98.599998pt;margin-top:250.999985pt;width:53.6pt;height:15.6pt;mso-position-horizontal-relative:page;mso-position-vertical-relative:page;z-index:-860176"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56.43pt;margin-top:71.759979pt;width:479.1pt;height:688.35pt;mso-position-horizontal-relative:page;mso-position-vertical-relative:page;z-index:-860152" coordorigin="1129,1435" coordsize="9582,13767">
            <v:group style="position:absolute;left:1150;top:1450;width:2;height:705" coordorigin="1150,1450" coordsize="2,705">
              <v:shape style="position:absolute;left:1150;top:1450;width:2;height:705" coordorigin="1150,1450" coordsize="0,705" path="m1150,1450l1150,2154e" filled="false" stroked="true" strokeweight="1.140pt" strokecolor="#d2d2d2">
                <v:path arrowok="t"/>
              </v:shape>
            </v:group>
            <v:group style="position:absolute;left:2075;top:1450;width:2;height:705" coordorigin="2075,1450" coordsize="2,705">
              <v:shape style="position:absolute;left:2075;top:1450;width:2;height:705" coordorigin="2075,1450" coordsize="0,705" path="m2075,1450l2075,2154e" filled="false" stroked="true" strokeweight="1.140pt" strokecolor="#d2d2d2">
                <v:path arrowok="t"/>
              </v:shape>
            </v:group>
            <v:group style="position:absolute;left:1162;top:1450;width:902;height:353" coordorigin="1162,1450" coordsize="902,353">
              <v:shape style="position:absolute;left:1162;top:1450;width:902;height:353" coordorigin="1162,1450" coordsize="902,353" path="m1162,1802l2063,1802,2063,1450,1162,1450,1162,1802xe" filled="true" fillcolor="#d2d2d2" stroked="false">
                <v:path arrowok="t"/>
                <v:fill type="solid"/>
              </v:shape>
            </v:group>
            <v:group style="position:absolute;left:1162;top:1802;width:902;height:352" coordorigin="1162,1802" coordsize="902,352">
              <v:shape style="position:absolute;left:1162;top:1802;width:902;height:352" coordorigin="1162,1802" coordsize="902,352" path="m1162,2154l2063,2154,2063,1802,1162,1802,1162,2154xe" filled="true" fillcolor="#d2d2d2" stroked="false">
                <v:path arrowok="t"/>
                <v:fill type="solid"/>
              </v:shape>
            </v:group>
            <v:group style="position:absolute;left:1139;top:1445;width:949;height:2" coordorigin="1139,1445" coordsize="949,2">
              <v:shape style="position:absolute;left:1139;top:1445;width:949;height:2" coordorigin="1139,1445" coordsize="949,0" path="m1139,1445l2087,1445e" filled="false" stroked="true" strokeweight=".48pt" strokecolor="#000000">
                <v:path arrowok="t"/>
              </v:shape>
            </v:group>
            <v:group style="position:absolute;left:2097;top:1445;width:947;height:2" coordorigin="2097,1445" coordsize="947,2">
              <v:shape style="position:absolute;left:2097;top:1445;width:947;height:2" coordorigin="2097,1445" coordsize="947,0" path="m2097,1445l3044,1445e" filled="false" stroked="true" strokeweight=".48pt" strokecolor="#000000">
                <v:path arrowok="t"/>
              </v:shape>
            </v:group>
            <v:group style="position:absolute;left:3053;top:1445;width:948;height:2" coordorigin="3053,1445" coordsize="948,2">
              <v:shape style="position:absolute;left:3053;top:1445;width:948;height:2" coordorigin="3053,1445" coordsize="948,0" path="m3053,1445l4001,1445e" filled="false" stroked="true" strokeweight=".48pt" strokecolor="#000000">
                <v:path arrowok="t"/>
              </v:shape>
            </v:group>
            <v:group style="position:absolute;left:4011;top:1445;width:948;height:2" coordorigin="4011,1445" coordsize="948,2">
              <v:shape style="position:absolute;left:4011;top:1445;width:948;height:2" coordorigin="4011,1445" coordsize="948,0" path="m4011,1445l4958,1445e" filled="false" stroked="true" strokeweight=".48pt" strokecolor="#000000">
                <v:path arrowok="t"/>
              </v:shape>
            </v:group>
            <v:group style="position:absolute;left:4968;top:1445;width:948;height:2" coordorigin="4968,1445" coordsize="948,2">
              <v:shape style="position:absolute;left:4968;top:1445;width:948;height:2" coordorigin="4968,1445" coordsize="948,0" path="m4968,1445l5916,1445e" filled="false" stroked="true" strokeweight=".48pt" strokecolor="#000000">
                <v:path arrowok="t"/>
              </v:shape>
            </v:group>
            <v:group style="position:absolute;left:5925;top:1445;width:947;height:2" coordorigin="5925,1445" coordsize="947,2">
              <v:shape style="position:absolute;left:5925;top:1445;width:947;height:2" coordorigin="5925,1445" coordsize="947,0" path="m5925,1445l6872,1445e" filled="false" stroked="true" strokeweight=".48pt" strokecolor="#000000">
                <v:path arrowok="t"/>
              </v:shape>
            </v:group>
            <v:group style="position:absolute;left:6882;top:1445;width:948;height:2" coordorigin="6882,1445" coordsize="948,2">
              <v:shape style="position:absolute;left:6882;top:1445;width:948;height:2" coordorigin="6882,1445" coordsize="948,0" path="m6882,1445l7830,1445e" filled="false" stroked="true" strokeweight=".48pt" strokecolor="#000000">
                <v:path arrowok="t"/>
              </v:shape>
            </v:group>
            <v:group style="position:absolute;left:7839;top:1445;width:948;height:2" coordorigin="7839,1445" coordsize="948,2">
              <v:shape style="position:absolute;left:7839;top:1445;width:948;height:2" coordorigin="7839,1445" coordsize="948,0" path="m7839,1445l8786,1445e" filled="false" stroked="true" strokeweight=".48pt" strokecolor="#000000">
                <v:path arrowok="t"/>
              </v:shape>
            </v:group>
            <v:group style="position:absolute;left:8796;top:1445;width:948;height:2" coordorigin="8796,1445" coordsize="948,2">
              <v:shape style="position:absolute;left:8796;top:1445;width:948;height:2" coordorigin="8796,1445" coordsize="948,0" path="m8796,1445l9744,1445e" filled="false" stroked="true" strokeweight=".48pt" strokecolor="#000000">
                <v:path arrowok="t"/>
              </v:shape>
            </v:group>
            <v:group style="position:absolute;left:9754;top:1445;width:947;height:2" coordorigin="9754,1445" coordsize="947,2">
              <v:shape style="position:absolute;left:9754;top:1445;width:947;height:2" coordorigin="9754,1445" coordsize="947,0" path="m9754,1445l10700,1445e" filled="false" stroked="true" strokeweight=".48pt" strokecolor="#000000">
                <v:path arrowok="t"/>
              </v:shape>
            </v:group>
            <v:group style="position:absolute;left:1150;top:2164;width:2;height:705" coordorigin="1150,2164" coordsize="2,705">
              <v:shape style="position:absolute;left:1150;top:2164;width:2;height:705" coordorigin="1150,2164" coordsize="0,705" path="m1150,2164l1150,2868e" filled="false" stroked="true" strokeweight="1.140pt" strokecolor="#d2d2d2">
                <v:path arrowok="t"/>
              </v:shape>
            </v:group>
            <v:group style="position:absolute;left:2075;top:2164;width:2;height:705" coordorigin="2075,2164" coordsize="2,705">
              <v:shape style="position:absolute;left:2075;top:2164;width:2;height:705" coordorigin="2075,2164" coordsize="0,705" path="m2075,2164l2075,2868e" filled="false" stroked="true" strokeweight="1.140pt" strokecolor="#d2d2d2">
                <v:path arrowok="t"/>
              </v:shape>
            </v:group>
            <v:group style="position:absolute;left:1162;top:2164;width:902;height:353" coordorigin="1162,2164" coordsize="902,353">
              <v:shape style="position:absolute;left:1162;top:2164;width:902;height:353" coordorigin="1162,2164" coordsize="902,353" path="m1162,2516l2063,2516,2063,2164,1162,2164,1162,2516xe" filled="true" fillcolor="#d2d2d2" stroked="false">
                <v:path arrowok="t"/>
                <v:fill type="solid"/>
              </v:shape>
            </v:group>
            <v:group style="position:absolute;left:1162;top:2516;width:902;height:352" coordorigin="1162,2516" coordsize="902,352">
              <v:shape style="position:absolute;left:1162;top:2516;width:902;height:352" coordorigin="1162,2516" coordsize="902,352" path="m1162,2868l2063,2868,2063,2516,1162,2516,1162,2868xe" filled="true" fillcolor="#d2d2d2" stroked="false">
                <v:path arrowok="t"/>
                <v:fill type="solid"/>
              </v:shape>
            </v:group>
            <v:group style="position:absolute;left:1139;top:2159;width:949;height:2" coordorigin="1139,2159" coordsize="949,2">
              <v:shape style="position:absolute;left:1139;top:2159;width:949;height:2" coordorigin="1139,2159" coordsize="949,0" path="m1139,2159l2087,2159e" filled="false" stroked="true" strokeweight=".48pt" strokecolor="#000000">
                <v:path arrowok="t"/>
              </v:shape>
            </v:group>
            <v:group style="position:absolute;left:2097;top:2159;width:947;height:2" coordorigin="2097,2159" coordsize="947,2">
              <v:shape style="position:absolute;left:2097;top:2159;width:947;height:2" coordorigin="2097,2159" coordsize="947,0" path="m2097,2159l3044,2159e" filled="false" stroked="true" strokeweight=".48pt" strokecolor="#000000">
                <v:path arrowok="t"/>
              </v:shape>
            </v:group>
            <v:group style="position:absolute;left:3053;top:2159;width:948;height:2" coordorigin="3053,2159" coordsize="948,2">
              <v:shape style="position:absolute;left:3053;top:2159;width:948;height:2" coordorigin="3053,2159" coordsize="948,0" path="m3053,2159l4001,2159e" filled="false" stroked="true" strokeweight=".48pt" strokecolor="#000000">
                <v:path arrowok="t"/>
              </v:shape>
            </v:group>
            <v:group style="position:absolute;left:4011;top:2159;width:948;height:2" coordorigin="4011,2159" coordsize="948,2">
              <v:shape style="position:absolute;left:4011;top:2159;width:948;height:2" coordorigin="4011,2159" coordsize="948,0" path="m4011,2159l4958,2159e" filled="false" stroked="true" strokeweight=".48pt" strokecolor="#000000">
                <v:path arrowok="t"/>
              </v:shape>
            </v:group>
            <v:group style="position:absolute;left:4968;top:2159;width:948;height:2" coordorigin="4968,2159" coordsize="948,2">
              <v:shape style="position:absolute;left:4968;top:2159;width:948;height:2" coordorigin="4968,2159" coordsize="948,0" path="m4968,2159l5916,2159e" filled="false" stroked="true" strokeweight=".48pt" strokecolor="#000000">
                <v:path arrowok="t"/>
              </v:shape>
            </v:group>
            <v:group style="position:absolute;left:5925;top:2159;width:947;height:2" coordorigin="5925,2159" coordsize="947,2">
              <v:shape style="position:absolute;left:5925;top:2159;width:947;height:2" coordorigin="5925,2159" coordsize="947,0" path="m5925,2159l6872,2159e" filled="false" stroked="true" strokeweight=".48pt" strokecolor="#000000">
                <v:path arrowok="t"/>
              </v:shape>
            </v:group>
            <v:group style="position:absolute;left:6882;top:2159;width:948;height:2" coordorigin="6882,2159" coordsize="948,2">
              <v:shape style="position:absolute;left:6882;top:2159;width:948;height:2" coordorigin="6882,2159" coordsize="948,0" path="m6882,2159l7830,2159e" filled="false" stroked="true" strokeweight=".48pt" strokecolor="#000000">
                <v:path arrowok="t"/>
              </v:shape>
            </v:group>
            <v:group style="position:absolute;left:7839;top:2159;width:948;height:2" coordorigin="7839,2159" coordsize="948,2">
              <v:shape style="position:absolute;left:7839;top:2159;width:948;height:2" coordorigin="7839,2159" coordsize="948,0" path="m7839,2159l8786,2159e" filled="false" stroked="true" strokeweight=".48pt" strokecolor="#000000">
                <v:path arrowok="t"/>
              </v:shape>
            </v:group>
            <v:group style="position:absolute;left:8796;top:2159;width:948;height:2" coordorigin="8796,2159" coordsize="948,2">
              <v:shape style="position:absolute;left:8796;top:2159;width:948;height:2" coordorigin="8796,2159" coordsize="948,0" path="m8796,2159l9744,2159e" filled="false" stroked="true" strokeweight=".48pt" strokecolor="#000000">
                <v:path arrowok="t"/>
              </v:shape>
            </v:group>
            <v:group style="position:absolute;left:9754;top:2159;width:947;height:2" coordorigin="9754,2159" coordsize="947,2">
              <v:shape style="position:absolute;left:9754;top:2159;width:947;height:2" coordorigin="9754,2159" coordsize="947,0" path="m9754,2159l10700,2159e" filled="false" stroked="true" strokeweight=".48pt" strokecolor="#000000">
                <v:path arrowok="t"/>
              </v:shape>
            </v:group>
            <v:group style="position:absolute;left:1150;top:2878;width:2;height:705" coordorigin="1150,2878" coordsize="2,705">
              <v:shape style="position:absolute;left:1150;top:2878;width:2;height:705" coordorigin="1150,2878" coordsize="0,705" path="m1150,2878l1150,3582e" filled="false" stroked="true" strokeweight="1.140pt" strokecolor="#d2d2d2">
                <v:path arrowok="t"/>
              </v:shape>
            </v:group>
            <v:group style="position:absolute;left:2075;top:2878;width:2;height:705" coordorigin="2075,2878" coordsize="2,705">
              <v:shape style="position:absolute;left:2075;top:2878;width:2;height:705" coordorigin="2075,2878" coordsize="0,705" path="m2075,2878l2075,3582e" filled="false" stroked="true" strokeweight="1.140pt" strokecolor="#d2d2d2">
                <v:path arrowok="t"/>
              </v:shape>
            </v:group>
            <v:group style="position:absolute;left:1162;top:2878;width:902;height:353" coordorigin="1162,2878" coordsize="902,353">
              <v:shape style="position:absolute;left:1162;top:2878;width:902;height:353" coordorigin="1162,2878" coordsize="902,353" path="m1162,3231l2063,3231,2063,2878,1162,2878,1162,3231xe" filled="true" fillcolor="#d2d2d2" stroked="false">
                <v:path arrowok="t"/>
                <v:fill type="solid"/>
              </v:shape>
            </v:group>
            <v:group style="position:absolute;left:1162;top:3231;width:902;height:352" coordorigin="1162,3231" coordsize="902,352">
              <v:shape style="position:absolute;left:1162;top:3231;width:902;height:352" coordorigin="1162,3231" coordsize="902,352" path="m1162,3582l2063,3582,2063,3231,1162,3231,1162,3582xe" filled="true" fillcolor="#d2d2d2" stroked="false">
                <v:path arrowok="t"/>
                <v:fill type="solid"/>
              </v:shape>
            </v:group>
            <v:group style="position:absolute;left:1139;top:2873;width:949;height:2" coordorigin="1139,2873" coordsize="949,2">
              <v:shape style="position:absolute;left:1139;top:2873;width:949;height:2" coordorigin="1139,2873" coordsize="949,0" path="m1139,2873l2087,2873e" filled="false" stroked="true" strokeweight=".48pt" strokecolor="#000000">
                <v:path arrowok="t"/>
              </v:shape>
            </v:group>
            <v:group style="position:absolute;left:2097;top:2873;width:947;height:2" coordorigin="2097,2873" coordsize="947,2">
              <v:shape style="position:absolute;left:2097;top:2873;width:947;height:2" coordorigin="2097,2873" coordsize="947,0" path="m2097,2873l3044,2873e" filled="false" stroked="true" strokeweight=".48pt" strokecolor="#000000">
                <v:path arrowok="t"/>
              </v:shape>
            </v:group>
            <v:group style="position:absolute;left:3053;top:2873;width:948;height:2" coordorigin="3053,2873" coordsize="948,2">
              <v:shape style="position:absolute;left:3053;top:2873;width:948;height:2" coordorigin="3053,2873" coordsize="948,0" path="m3053,2873l4001,2873e" filled="false" stroked="true" strokeweight=".48pt" strokecolor="#000000">
                <v:path arrowok="t"/>
              </v:shape>
            </v:group>
            <v:group style="position:absolute;left:4011;top:2873;width:948;height:2" coordorigin="4011,2873" coordsize="948,2">
              <v:shape style="position:absolute;left:4011;top:2873;width:948;height:2" coordorigin="4011,2873" coordsize="948,0" path="m4011,2873l4958,2873e" filled="false" stroked="true" strokeweight=".48pt" strokecolor="#000000">
                <v:path arrowok="t"/>
              </v:shape>
            </v:group>
            <v:group style="position:absolute;left:4968;top:2873;width:948;height:2" coordorigin="4968,2873" coordsize="948,2">
              <v:shape style="position:absolute;left:4968;top:2873;width:948;height:2" coordorigin="4968,2873" coordsize="948,0" path="m4968,2873l5916,2873e" filled="false" stroked="true" strokeweight=".48pt" strokecolor="#000000">
                <v:path arrowok="t"/>
              </v:shape>
            </v:group>
            <v:group style="position:absolute;left:5925;top:2873;width:947;height:2" coordorigin="5925,2873" coordsize="947,2">
              <v:shape style="position:absolute;left:5925;top:2873;width:947;height:2" coordorigin="5925,2873" coordsize="947,0" path="m5925,2873l6872,2873e" filled="false" stroked="true" strokeweight=".48pt" strokecolor="#000000">
                <v:path arrowok="t"/>
              </v:shape>
            </v:group>
            <v:group style="position:absolute;left:6882;top:2873;width:948;height:2" coordorigin="6882,2873" coordsize="948,2">
              <v:shape style="position:absolute;left:6882;top:2873;width:948;height:2" coordorigin="6882,2873" coordsize="948,0" path="m6882,2873l7830,2873e" filled="false" stroked="true" strokeweight=".48pt" strokecolor="#000000">
                <v:path arrowok="t"/>
              </v:shape>
            </v:group>
            <v:group style="position:absolute;left:7839;top:2873;width:948;height:2" coordorigin="7839,2873" coordsize="948,2">
              <v:shape style="position:absolute;left:7839;top:2873;width:948;height:2" coordorigin="7839,2873" coordsize="948,0" path="m7839,2873l8786,2873e" filled="false" stroked="true" strokeweight=".48pt" strokecolor="#000000">
                <v:path arrowok="t"/>
              </v:shape>
            </v:group>
            <v:group style="position:absolute;left:8796;top:2873;width:948;height:2" coordorigin="8796,2873" coordsize="948,2">
              <v:shape style="position:absolute;left:8796;top:2873;width:948;height:2" coordorigin="8796,2873" coordsize="948,0" path="m8796,2873l9744,2873e" filled="false" stroked="true" strokeweight=".48pt" strokecolor="#000000">
                <v:path arrowok="t"/>
              </v:shape>
            </v:group>
            <v:group style="position:absolute;left:9754;top:2873;width:947;height:2" coordorigin="9754,2873" coordsize="947,2">
              <v:shape style="position:absolute;left:9754;top:2873;width:947;height:2" coordorigin="9754,2873" coordsize="947,0" path="m9754,2873l10700,2873e" filled="false" stroked="true" strokeweight=".48pt" strokecolor="#000000">
                <v:path arrowok="t"/>
              </v:shape>
            </v:group>
            <v:group style="position:absolute;left:1150;top:3592;width:2;height:705" coordorigin="1150,3592" coordsize="2,705">
              <v:shape style="position:absolute;left:1150;top:3592;width:2;height:705" coordorigin="1150,3592" coordsize="0,705" path="m1150,3592l1150,4296e" filled="false" stroked="true" strokeweight="1.140pt" strokecolor="#d2d2d2">
                <v:path arrowok="t"/>
              </v:shape>
            </v:group>
            <v:group style="position:absolute;left:2075;top:3592;width:2;height:705" coordorigin="2075,3592" coordsize="2,705">
              <v:shape style="position:absolute;left:2075;top:3592;width:2;height:705" coordorigin="2075,3592" coordsize="0,705" path="m2075,3592l2075,4296e" filled="false" stroked="true" strokeweight="1.140pt" strokecolor="#d2d2d2">
                <v:path arrowok="t"/>
              </v:shape>
            </v:group>
            <v:group style="position:absolute;left:1162;top:3592;width:902;height:353" coordorigin="1162,3592" coordsize="902,353">
              <v:shape style="position:absolute;left:1162;top:3592;width:902;height:353" coordorigin="1162,3592" coordsize="902,353" path="m1162,3945l2063,3945,2063,3592,1162,3592,1162,3945xe" filled="true" fillcolor="#d2d2d2" stroked="false">
                <v:path arrowok="t"/>
                <v:fill type="solid"/>
              </v:shape>
            </v:group>
            <v:group style="position:absolute;left:1162;top:3945;width:902;height:352" coordorigin="1162,3945" coordsize="902,352">
              <v:shape style="position:absolute;left:1162;top:3945;width:902;height:352" coordorigin="1162,3945" coordsize="902,352" path="m1162,4296l2063,4296,2063,3945,1162,3945,1162,4296xe" filled="true" fillcolor="#d2d2d2" stroked="false">
                <v:path arrowok="t"/>
                <v:fill type="solid"/>
              </v:shape>
            </v:group>
            <v:group style="position:absolute;left:2097;top:3592;width:947;height:156" coordorigin="2097,3592" coordsize="947,156">
              <v:shape style="position:absolute;left:2097;top:3592;width:947;height:156" coordorigin="2097,3592" coordsize="947,156" path="m2097,3748l3044,3748,3044,3592,2097,3592,2097,3748xe" filled="true" fillcolor="#ffffff" stroked="false">
                <v:path arrowok="t"/>
                <v:fill type="solid"/>
              </v:shape>
            </v:group>
            <v:group style="position:absolute;left:2108;top:3748;width:2;height:393" coordorigin="2108,3748" coordsize="2,393">
              <v:shape style="position:absolute;left:2108;top:3748;width:2;height:393" coordorigin="2108,3748" coordsize="0,393" path="m2108,3748l2108,4140e" filled="false" stroked="true" strokeweight="1.140pt" strokecolor="#ffffff">
                <v:path arrowok="t"/>
              </v:shape>
            </v:group>
            <v:group style="position:absolute;left:2120;top:3748;width:902;height:393" coordorigin="2120,3748" coordsize="902,393">
              <v:shape style="position:absolute;left:2120;top:3748;width:902;height:393" coordorigin="2120,3748" coordsize="902,393" path="m2120,4140l3021,4140,3021,3748,2120,3748,2120,4140xe" filled="true" fillcolor="#ffffff" stroked="false">
                <v:path arrowok="t"/>
                <v:fill type="solid"/>
              </v:shape>
            </v:group>
            <v:group style="position:absolute;left:1139;top:3587;width:949;height:2" coordorigin="1139,3587" coordsize="949,2">
              <v:shape style="position:absolute;left:1139;top:3587;width:949;height:2" coordorigin="1139,3587" coordsize="949,0" path="m1139,3587l2087,3587e" filled="false" stroked="true" strokeweight=".48pt" strokecolor="#000000">
                <v:path arrowok="t"/>
              </v:shape>
            </v:group>
            <v:group style="position:absolute;left:2097;top:3587;width:947;height:2" coordorigin="2097,3587" coordsize="947,2">
              <v:shape style="position:absolute;left:2097;top:3587;width:947;height:2" coordorigin="2097,3587" coordsize="947,0" path="m2097,3587l3044,3587e" filled="false" stroked="true" strokeweight=".48pt" strokecolor="#000000">
                <v:path arrowok="t"/>
              </v:shape>
            </v:group>
            <v:group style="position:absolute;left:3053;top:3587;width:948;height:2" coordorigin="3053,3587" coordsize="948,2">
              <v:shape style="position:absolute;left:3053;top:3587;width:948;height:2" coordorigin="3053,3587" coordsize="948,0" path="m3053,3587l4001,3587e" filled="false" stroked="true" strokeweight=".48pt" strokecolor="#000000">
                <v:path arrowok="t"/>
              </v:shape>
            </v:group>
            <v:group style="position:absolute;left:4011;top:3587;width:948;height:2" coordorigin="4011,3587" coordsize="948,2">
              <v:shape style="position:absolute;left:4011;top:3587;width:948;height:2" coordorigin="4011,3587" coordsize="948,0" path="m4011,3587l4958,3587e" filled="false" stroked="true" strokeweight=".48pt" strokecolor="#000000">
                <v:path arrowok="t"/>
              </v:shape>
            </v:group>
            <v:group style="position:absolute;left:4968;top:3587;width:948;height:2" coordorigin="4968,3587" coordsize="948,2">
              <v:shape style="position:absolute;left:4968;top:3587;width:948;height:2" coordorigin="4968,3587" coordsize="948,0" path="m4968,3587l5916,3587e" filled="false" stroked="true" strokeweight=".48pt" strokecolor="#000000">
                <v:path arrowok="t"/>
              </v:shape>
            </v:group>
            <v:group style="position:absolute;left:5925;top:3587;width:947;height:2" coordorigin="5925,3587" coordsize="947,2">
              <v:shape style="position:absolute;left:5925;top:3587;width:947;height:2" coordorigin="5925,3587" coordsize="947,0" path="m5925,3587l6872,3587e" filled="false" stroked="true" strokeweight=".48pt" strokecolor="#000000">
                <v:path arrowok="t"/>
              </v:shape>
            </v:group>
            <v:group style="position:absolute;left:6882;top:3587;width:948;height:2" coordorigin="6882,3587" coordsize="948,2">
              <v:shape style="position:absolute;left:6882;top:3587;width:948;height:2" coordorigin="6882,3587" coordsize="948,0" path="m6882,3587l7830,3587e" filled="false" stroked="true" strokeweight=".48pt" strokecolor="#000000">
                <v:path arrowok="t"/>
              </v:shape>
            </v:group>
            <v:group style="position:absolute;left:7839;top:3587;width:948;height:2" coordorigin="7839,3587" coordsize="948,2">
              <v:shape style="position:absolute;left:7839;top:3587;width:948;height:2" coordorigin="7839,3587" coordsize="948,0" path="m7839,3587l8786,3587e" filled="false" stroked="true" strokeweight=".48pt" strokecolor="#000000">
                <v:path arrowok="t"/>
              </v:shape>
            </v:group>
            <v:group style="position:absolute;left:8796;top:3587;width:948;height:2" coordorigin="8796,3587" coordsize="948,2">
              <v:shape style="position:absolute;left:8796;top:3587;width:948;height:2" coordorigin="8796,3587" coordsize="948,0" path="m8796,3587l9744,3587e" filled="false" stroked="true" strokeweight=".48pt" strokecolor="#000000">
                <v:path arrowok="t"/>
              </v:shape>
            </v:group>
            <v:group style="position:absolute;left:9754;top:3587;width:947;height:2" coordorigin="9754,3587" coordsize="947,2">
              <v:shape style="position:absolute;left:9754;top:3587;width:947;height:2" coordorigin="9754,3587" coordsize="947,0" path="m9754,3587l10700,3587e" filled="false" stroked="true" strokeweight=".48pt" strokecolor="#000000">
                <v:path arrowok="t"/>
              </v:shape>
            </v:group>
            <v:group style="position:absolute;left:1150;top:4306;width:2;height:705" coordorigin="1150,4306" coordsize="2,705">
              <v:shape style="position:absolute;left:1150;top:4306;width:2;height:705" coordorigin="1150,4306" coordsize="0,705" path="m1150,4306l1150,5010e" filled="false" stroked="true" strokeweight="1.140pt" strokecolor="#d2d2d2">
                <v:path arrowok="t"/>
              </v:shape>
            </v:group>
            <v:group style="position:absolute;left:2075;top:4306;width:2;height:705" coordorigin="2075,4306" coordsize="2,705">
              <v:shape style="position:absolute;left:2075;top:4306;width:2;height:705" coordorigin="2075,4306" coordsize="0,705" path="m2075,4306l2075,5010e" filled="false" stroked="true" strokeweight="1.140pt" strokecolor="#d2d2d2">
                <v:path arrowok="t"/>
              </v:shape>
            </v:group>
            <v:group style="position:absolute;left:1162;top:4306;width:902;height:353" coordorigin="1162,4306" coordsize="902,353">
              <v:shape style="position:absolute;left:1162;top:4306;width:902;height:353" coordorigin="1162,4306" coordsize="902,353" path="m1162,4659l2063,4659,2063,4306,1162,4306,1162,4659xe" filled="true" fillcolor="#d2d2d2" stroked="false">
                <v:path arrowok="t"/>
                <v:fill type="solid"/>
              </v:shape>
            </v:group>
            <v:group style="position:absolute;left:1162;top:4659;width:902;height:352" coordorigin="1162,4659" coordsize="902,352">
              <v:shape style="position:absolute;left:1162;top:4659;width:902;height:352" coordorigin="1162,4659" coordsize="902,352" path="m1162,5010l2063,5010,2063,4659,1162,4659,1162,5010xe" filled="true" fillcolor="#d2d2d2" stroked="false">
                <v:path arrowok="t"/>
                <v:fill type="solid"/>
              </v:shape>
            </v:group>
            <v:group style="position:absolute;left:2097;top:4306;width:947;height:156" coordorigin="2097,4306" coordsize="947,156">
              <v:shape style="position:absolute;left:2097;top:4306;width:947;height:156" coordorigin="2097,4306" coordsize="947,156" path="m2097,4462l3044,4462,3044,4306,2097,4306,2097,4462xe" filled="true" fillcolor="#ffffff" stroked="false">
                <v:path arrowok="t"/>
                <v:fill type="solid"/>
              </v:shape>
            </v:group>
            <v:group style="position:absolute;left:2108;top:4462;width:2;height:393" coordorigin="2108,4462" coordsize="2,393">
              <v:shape style="position:absolute;left:2108;top:4462;width:2;height:393" coordorigin="2108,4462" coordsize="0,393" path="m2108,4462l2108,4854e" filled="false" stroked="true" strokeweight="1.140pt" strokecolor="#ffffff">
                <v:path arrowok="t"/>
              </v:shape>
            </v:group>
            <v:group style="position:absolute;left:2120;top:4462;width:902;height:393" coordorigin="2120,4462" coordsize="902,393">
              <v:shape style="position:absolute;left:2120;top:4462;width:902;height:393" coordorigin="2120,4462" coordsize="902,393" path="m2120,4854l3021,4854,3021,4462,2120,4462,2120,4854xe" filled="true" fillcolor="#ffffff" stroked="false">
                <v:path arrowok="t"/>
                <v:fill type="solid"/>
              </v:shape>
            </v:group>
            <v:group style="position:absolute;left:1139;top:4301;width:949;height:2" coordorigin="1139,4301" coordsize="949,2">
              <v:shape style="position:absolute;left:1139;top:4301;width:949;height:2" coordorigin="1139,4301" coordsize="949,0" path="m1139,4301l2087,4301e" filled="false" stroked="true" strokeweight=".48pt" strokecolor="#000000">
                <v:path arrowok="t"/>
              </v:shape>
            </v:group>
            <v:group style="position:absolute;left:2097;top:4301;width:947;height:2" coordorigin="2097,4301" coordsize="947,2">
              <v:shape style="position:absolute;left:2097;top:4301;width:947;height:2" coordorigin="2097,4301" coordsize="947,0" path="m2097,4301l3044,4301e" filled="false" stroked="true" strokeweight=".48pt" strokecolor="#000000">
                <v:path arrowok="t"/>
              </v:shape>
            </v:group>
            <v:group style="position:absolute;left:3053;top:4301;width:948;height:2" coordorigin="3053,4301" coordsize="948,2">
              <v:shape style="position:absolute;left:3053;top:4301;width:948;height:2" coordorigin="3053,4301" coordsize="948,0" path="m3053,4301l4001,4301e" filled="false" stroked="true" strokeweight=".48pt" strokecolor="#000000">
                <v:path arrowok="t"/>
              </v:shape>
            </v:group>
            <v:group style="position:absolute;left:4011;top:4301;width:948;height:2" coordorigin="4011,4301" coordsize="948,2">
              <v:shape style="position:absolute;left:4011;top:4301;width:948;height:2" coordorigin="4011,4301" coordsize="948,0" path="m4011,4301l4958,4301e" filled="false" stroked="true" strokeweight=".48pt" strokecolor="#000000">
                <v:path arrowok="t"/>
              </v:shape>
            </v:group>
            <v:group style="position:absolute;left:4968;top:4301;width:948;height:2" coordorigin="4968,4301" coordsize="948,2">
              <v:shape style="position:absolute;left:4968;top:4301;width:948;height:2" coordorigin="4968,4301" coordsize="948,0" path="m4968,4301l5916,4301e" filled="false" stroked="true" strokeweight=".48pt" strokecolor="#000000">
                <v:path arrowok="t"/>
              </v:shape>
            </v:group>
            <v:group style="position:absolute;left:5925;top:4301;width:947;height:2" coordorigin="5925,4301" coordsize="947,2">
              <v:shape style="position:absolute;left:5925;top:4301;width:947;height:2" coordorigin="5925,4301" coordsize="947,0" path="m5925,4301l6872,4301e" filled="false" stroked="true" strokeweight=".48pt" strokecolor="#000000">
                <v:path arrowok="t"/>
              </v:shape>
            </v:group>
            <v:group style="position:absolute;left:6882;top:4301;width:948;height:2" coordorigin="6882,4301" coordsize="948,2">
              <v:shape style="position:absolute;left:6882;top:4301;width:948;height:2" coordorigin="6882,4301" coordsize="948,0" path="m6882,4301l7830,4301e" filled="false" stroked="true" strokeweight=".48pt" strokecolor="#000000">
                <v:path arrowok="t"/>
              </v:shape>
            </v:group>
            <v:group style="position:absolute;left:7839;top:4301;width:948;height:2" coordorigin="7839,4301" coordsize="948,2">
              <v:shape style="position:absolute;left:7839;top:4301;width:948;height:2" coordorigin="7839,4301" coordsize="948,0" path="m7839,4301l8786,4301e" filled="false" stroked="true" strokeweight=".48pt" strokecolor="#000000">
                <v:path arrowok="t"/>
              </v:shape>
            </v:group>
            <v:group style="position:absolute;left:8796;top:4301;width:948;height:2" coordorigin="8796,4301" coordsize="948,2">
              <v:shape style="position:absolute;left:8796;top:4301;width:948;height:2" coordorigin="8796,4301" coordsize="948,0" path="m8796,4301l9744,4301e" filled="false" stroked="true" strokeweight=".48pt" strokecolor="#000000">
                <v:path arrowok="t"/>
              </v:shape>
            </v:group>
            <v:group style="position:absolute;left:9754;top:4301;width:947;height:2" coordorigin="9754,4301" coordsize="947,2">
              <v:shape style="position:absolute;left:9754;top:4301;width:947;height:2" coordorigin="9754,4301" coordsize="947,0" path="m9754,4301l10700,4301e" filled="false" stroked="true" strokeweight=".48pt" strokecolor="#000000">
                <v:path arrowok="t"/>
              </v:shape>
            </v:group>
            <v:group style="position:absolute;left:1150;top:5020;width:2;height:1017" coordorigin="1150,5020" coordsize="2,1017">
              <v:shape style="position:absolute;left:1150;top:5020;width:2;height:1017" coordorigin="1150,5020" coordsize="0,1017" path="m1150,5020l1150,6036e" filled="false" stroked="true" strokeweight="1.140pt" strokecolor="#d2d2d2">
                <v:path arrowok="t"/>
              </v:shape>
            </v:group>
            <v:group style="position:absolute;left:2075;top:5020;width:2;height:1017" coordorigin="2075,5020" coordsize="2,1017">
              <v:shape style="position:absolute;left:2075;top:5020;width:2;height:1017" coordorigin="2075,5020" coordsize="0,1017" path="m2075,5020l2075,6036e" filled="false" stroked="true" strokeweight="1.140pt" strokecolor="#d2d2d2">
                <v:path arrowok="t"/>
              </v:shape>
            </v:group>
            <v:group style="position:absolute;left:1162;top:5020;width:902;height:353" coordorigin="1162,5020" coordsize="902,353">
              <v:shape style="position:absolute;left:1162;top:5020;width:902;height:353" coordorigin="1162,5020" coordsize="902,353" path="m1162,5373l2063,5373,2063,5020,1162,5020,1162,5373xe" filled="true" fillcolor="#d2d2d2" stroked="false">
                <v:path arrowok="t"/>
                <v:fill type="solid"/>
              </v:shape>
            </v:group>
            <v:group style="position:absolute;left:1162;top:5373;width:902;height:312" coordorigin="1162,5373" coordsize="902,312">
              <v:shape style="position:absolute;left:1162;top:5373;width:902;height:312" coordorigin="1162,5373" coordsize="902,312" path="m1162,5685l2063,5685,2063,5373,1162,5373,1162,5685xe" filled="true" fillcolor="#d2d2d2" stroked="false">
                <v:path arrowok="t"/>
                <v:fill type="solid"/>
              </v:shape>
            </v:group>
            <v:group style="position:absolute;left:1162;top:5685;width:902;height:352" coordorigin="1162,5685" coordsize="902,352">
              <v:shape style="position:absolute;left:1162;top:5685;width:902;height:352" coordorigin="1162,5685" coordsize="902,352" path="m1162,6036l2063,6036,2063,5685,1162,5685,1162,6036xe" filled="true" fillcolor="#d2d2d2" stroked="false">
                <v:path arrowok="t"/>
                <v:fill type="solid"/>
              </v:shape>
            </v:group>
            <v:group style="position:absolute;left:2097;top:5020;width:947;height:312" coordorigin="2097,5020" coordsize="947,312">
              <v:shape style="position:absolute;left:2097;top:5020;width:947;height:312" coordorigin="2097,5020" coordsize="947,312" path="m2097,5332l3044,5332,3044,5020,2097,5020,2097,5332xe" filled="true" fillcolor="#ffffff" stroked="false">
                <v:path arrowok="t"/>
                <v:fill type="solid"/>
              </v:shape>
            </v:group>
            <v:group style="position:absolute;left:1139;top:5015;width:949;height:2" coordorigin="1139,5015" coordsize="949,2">
              <v:shape style="position:absolute;left:1139;top:5015;width:949;height:2" coordorigin="1139,5015" coordsize="949,0" path="m1139,5015l2087,5015e" filled="false" stroked="true" strokeweight=".48pt" strokecolor="#000000">
                <v:path arrowok="t"/>
              </v:shape>
            </v:group>
            <v:group style="position:absolute;left:2097;top:5015;width:947;height:2" coordorigin="2097,5015" coordsize="947,2">
              <v:shape style="position:absolute;left:2097;top:5015;width:947;height:2" coordorigin="2097,5015" coordsize="947,0" path="m2097,5015l3044,5015e" filled="false" stroked="true" strokeweight=".48pt" strokecolor="#000000">
                <v:path arrowok="t"/>
              </v:shape>
            </v:group>
            <v:group style="position:absolute;left:3053;top:5015;width:948;height:2" coordorigin="3053,5015" coordsize="948,2">
              <v:shape style="position:absolute;left:3053;top:5015;width:948;height:2" coordorigin="3053,5015" coordsize="948,0" path="m3053,5015l4001,5015e" filled="false" stroked="true" strokeweight=".48pt" strokecolor="#000000">
                <v:path arrowok="t"/>
              </v:shape>
            </v:group>
            <v:group style="position:absolute;left:4011;top:5015;width:948;height:2" coordorigin="4011,5015" coordsize="948,2">
              <v:shape style="position:absolute;left:4011;top:5015;width:948;height:2" coordorigin="4011,5015" coordsize="948,0" path="m4011,5015l4958,5015e" filled="false" stroked="true" strokeweight=".48pt" strokecolor="#000000">
                <v:path arrowok="t"/>
              </v:shape>
            </v:group>
            <v:group style="position:absolute;left:4968;top:5015;width:948;height:2" coordorigin="4968,5015" coordsize="948,2">
              <v:shape style="position:absolute;left:4968;top:5015;width:948;height:2" coordorigin="4968,5015" coordsize="948,0" path="m4968,5015l5916,5015e" filled="false" stroked="true" strokeweight=".48pt" strokecolor="#000000">
                <v:path arrowok="t"/>
              </v:shape>
            </v:group>
            <v:group style="position:absolute;left:5925;top:5015;width:947;height:2" coordorigin="5925,5015" coordsize="947,2">
              <v:shape style="position:absolute;left:5925;top:5015;width:947;height:2" coordorigin="5925,5015" coordsize="947,0" path="m5925,5015l6872,5015e" filled="false" stroked="true" strokeweight=".48pt" strokecolor="#000000">
                <v:path arrowok="t"/>
              </v:shape>
            </v:group>
            <v:group style="position:absolute;left:6882;top:5015;width:948;height:2" coordorigin="6882,5015" coordsize="948,2">
              <v:shape style="position:absolute;left:6882;top:5015;width:948;height:2" coordorigin="6882,5015" coordsize="948,0" path="m6882,5015l7830,5015e" filled="false" stroked="true" strokeweight=".48pt" strokecolor="#000000">
                <v:path arrowok="t"/>
              </v:shape>
            </v:group>
            <v:group style="position:absolute;left:7839;top:5015;width:948;height:2" coordorigin="7839,5015" coordsize="948,2">
              <v:shape style="position:absolute;left:7839;top:5015;width:948;height:2" coordorigin="7839,5015" coordsize="948,0" path="m7839,5015l8786,5015e" filled="false" stroked="true" strokeweight=".48pt" strokecolor="#000000">
                <v:path arrowok="t"/>
              </v:shape>
            </v:group>
            <v:group style="position:absolute;left:8796;top:5015;width:948;height:2" coordorigin="8796,5015" coordsize="948,2">
              <v:shape style="position:absolute;left:8796;top:5015;width:948;height:2" coordorigin="8796,5015" coordsize="948,0" path="m8796,5015l9744,5015e" filled="false" stroked="true" strokeweight=".48pt" strokecolor="#000000">
                <v:path arrowok="t"/>
              </v:shape>
            </v:group>
            <v:group style="position:absolute;left:9754;top:5015;width:947;height:2" coordorigin="9754,5015" coordsize="947,2">
              <v:shape style="position:absolute;left:9754;top:5015;width:947;height:2" coordorigin="9754,5015" coordsize="947,0" path="m9754,5015l10700,5015e" filled="false" stroked="true" strokeweight=".48pt" strokecolor="#000000">
                <v:path arrowok="t"/>
              </v:shape>
            </v:group>
            <v:group style="position:absolute;left:1150;top:6046;width:2;height:393" coordorigin="1150,6046" coordsize="2,393">
              <v:shape style="position:absolute;left:1150;top:6046;width:2;height:393" coordorigin="1150,6046" coordsize="0,393" path="m1150,6046l1150,6438e" filled="false" stroked="true" strokeweight="1.140pt" strokecolor="#e0ffff">
                <v:path arrowok="t"/>
              </v:shape>
            </v:group>
            <v:group style="position:absolute;left:2075;top:6046;width:2;height:393" coordorigin="2075,6046" coordsize="2,393">
              <v:shape style="position:absolute;left:2075;top:6046;width:2;height:393" coordorigin="2075,6046" coordsize="0,393" path="m2075,6046l2075,6438e" filled="false" stroked="true" strokeweight="1.140pt" strokecolor="#e0ffff">
                <v:path arrowok="t"/>
              </v:shape>
            </v:group>
            <v:group style="position:absolute;left:1162;top:6046;width:902;height:393" coordorigin="1162,6046" coordsize="902,393">
              <v:shape style="position:absolute;left:1162;top:6046;width:902;height:393" coordorigin="1162,6046" coordsize="902,393" path="m1162,6438l2063,6438,2063,6046,1162,6046,1162,6438xe" filled="true" fillcolor="#e0ffff" stroked="false">
                <v:path arrowok="t"/>
                <v:fill type="solid"/>
              </v:shape>
            </v:group>
            <v:group style="position:absolute;left:1139;top:6041;width:949;height:2" coordorigin="1139,6041" coordsize="949,2">
              <v:shape style="position:absolute;left:1139;top:6041;width:949;height:2" coordorigin="1139,6041" coordsize="949,0" path="m1139,6041l2087,6041e" filled="false" stroked="true" strokeweight=".48pt" strokecolor="#000000">
                <v:path arrowok="t"/>
              </v:shape>
            </v:group>
            <v:group style="position:absolute;left:2097;top:6041;width:947;height:2" coordorigin="2097,6041" coordsize="947,2">
              <v:shape style="position:absolute;left:2097;top:6041;width:947;height:2" coordorigin="2097,6041" coordsize="947,0" path="m2097,6041l3044,6041e" filled="false" stroked="true" strokeweight=".48pt" strokecolor="#000000">
                <v:path arrowok="t"/>
              </v:shape>
            </v:group>
            <v:group style="position:absolute;left:3053;top:6041;width:948;height:2" coordorigin="3053,6041" coordsize="948,2">
              <v:shape style="position:absolute;left:3053;top:6041;width:948;height:2" coordorigin="3053,6041" coordsize="948,0" path="m3053,6041l4001,6041e" filled="false" stroked="true" strokeweight=".48pt" strokecolor="#000000">
                <v:path arrowok="t"/>
              </v:shape>
            </v:group>
            <v:group style="position:absolute;left:4011;top:6041;width:948;height:2" coordorigin="4011,6041" coordsize="948,2">
              <v:shape style="position:absolute;left:4011;top:6041;width:948;height:2" coordorigin="4011,6041" coordsize="948,0" path="m4011,6041l4958,6041e" filled="false" stroked="true" strokeweight=".48pt" strokecolor="#000000">
                <v:path arrowok="t"/>
              </v:shape>
            </v:group>
            <v:group style="position:absolute;left:4968;top:6041;width:948;height:2" coordorigin="4968,6041" coordsize="948,2">
              <v:shape style="position:absolute;left:4968;top:6041;width:948;height:2" coordorigin="4968,6041" coordsize="948,0" path="m4968,6041l5916,6041e" filled="false" stroked="true" strokeweight=".48pt" strokecolor="#000000">
                <v:path arrowok="t"/>
              </v:shape>
            </v:group>
            <v:group style="position:absolute;left:5925;top:6041;width:947;height:2" coordorigin="5925,6041" coordsize="947,2">
              <v:shape style="position:absolute;left:5925;top:6041;width:947;height:2" coordorigin="5925,6041" coordsize="947,0" path="m5925,6041l6872,6041e" filled="false" stroked="true" strokeweight=".48pt" strokecolor="#000000">
                <v:path arrowok="t"/>
              </v:shape>
            </v:group>
            <v:group style="position:absolute;left:6882;top:6041;width:948;height:2" coordorigin="6882,6041" coordsize="948,2">
              <v:shape style="position:absolute;left:6882;top:6041;width:948;height:2" coordorigin="6882,6041" coordsize="948,0" path="m6882,6041l7830,6041e" filled="false" stroked="true" strokeweight=".48pt" strokecolor="#000000">
                <v:path arrowok="t"/>
              </v:shape>
            </v:group>
            <v:group style="position:absolute;left:7839;top:6041;width:948;height:2" coordorigin="7839,6041" coordsize="948,2">
              <v:shape style="position:absolute;left:7839;top:6041;width:948;height:2" coordorigin="7839,6041" coordsize="948,0" path="m7839,6041l8786,6041e" filled="false" stroked="true" strokeweight=".48pt" strokecolor="#000000">
                <v:path arrowok="t"/>
              </v:shape>
            </v:group>
            <v:group style="position:absolute;left:8796;top:6041;width:948;height:2" coordorigin="8796,6041" coordsize="948,2">
              <v:shape style="position:absolute;left:8796;top:6041;width:948;height:2" coordorigin="8796,6041" coordsize="948,0" path="m8796,6041l9744,6041e" filled="false" stroked="true" strokeweight=".48pt" strokecolor="#000000">
                <v:path arrowok="t"/>
              </v:shape>
            </v:group>
            <v:group style="position:absolute;left:9754;top:6041;width:947;height:2" coordorigin="9754,6041" coordsize="947,2">
              <v:shape style="position:absolute;left:9754;top:6041;width:947;height:2" coordorigin="9754,6041" coordsize="947,0" path="m9754,6041l10700,6041e" filled="false" stroked="true" strokeweight=".48pt" strokecolor="#000000">
                <v:path arrowok="t"/>
              </v:shape>
            </v:group>
            <v:group style="position:absolute;left:1150;top:6448;width:2;height:705" coordorigin="1150,6448" coordsize="2,705">
              <v:shape style="position:absolute;left:1150;top:6448;width:2;height:705" coordorigin="1150,6448" coordsize="0,705" path="m1150,6448l1150,7152e" filled="false" stroked="true" strokeweight="1.140pt" strokecolor="#d2d2d2">
                <v:path arrowok="t"/>
              </v:shape>
            </v:group>
            <v:group style="position:absolute;left:2075;top:6448;width:2;height:705" coordorigin="2075,6448" coordsize="2,705">
              <v:shape style="position:absolute;left:2075;top:6448;width:2;height:705" coordorigin="2075,6448" coordsize="0,705" path="m2075,6448l2075,7152e" filled="false" stroked="true" strokeweight="1.140pt" strokecolor="#d2d2d2">
                <v:path arrowok="t"/>
              </v:shape>
            </v:group>
            <v:group style="position:absolute;left:1162;top:6448;width:902;height:353" coordorigin="1162,6448" coordsize="902,353">
              <v:shape style="position:absolute;left:1162;top:6448;width:902;height:353" coordorigin="1162,6448" coordsize="902,353" path="m1162,6801l2063,6801,2063,6448,1162,6448,1162,6801xe" filled="true" fillcolor="#d2d2d2" stroked="false">
                <v:path arrowok="t"/>
                <v:fill type="solid"/>
              </v:shape>
            </v:group>
            <v:group style="position:absolute;left:1162;top:6801;width:902;height:352" coordorigin="1162,6801" coordsize="902,352">
              <v:shape style="position:absolute;left:1162;top:6801;width:902;height:352" coordorigin="1162,6801" coordsize="902,352" path="m1162,7152l2063,7152,2063,6801,1162,6801,1162,7152xe" filled="true" fillcolor="#d2d2d2" stroked="false">
                <v:path arrowok="t"/>
                <v:fill type="solid"/>
              </v:shape>
            </v:group>
            <v:group style="position:absolute;left:1139;top:6443;width:949;height:2" coordorigin="1139,6443" coordsize="949,2">
              <v:shape style="position:absolute;left:1139;top:6443;width:949;height:2" coordorigin="1139,6443" coordsize="949,0" path="m1139,6443l2087,6443e" filled="false" stroked="true" strokeweight=".48pt" strokecolor="#000000">
                <v:path arrowok="t"/>
              </v:shape>
            </v:group>
            <v:group style="position:absolute;left:2097;top:6443;width:947;height:2" coordorigin="2097,6443" coordsize="947,2">
              <v:shape style="position:absolute;left:2097;top:6443;width:947;height:2" coordorigin="2097,6443" coordsize="947,0" path="m2097,6443l3044,6443e" filled="false" stroked="true" strokeweight=".48pt" strokecolor="#000000">
                <v:path arrowok="t"/>
              </v:shape>
            </v:group>
            <v:group style="position:absolute;left:3053;top:6443;width:948;height:2" coordorigin="3053,6443" coordsize="948,2">
              <v:shape style="position:absolute;left:3053;top:6443;width:948;height:2" coordorigin="3053,6443" coordsize="948,0" path="m3053,6443l4001,6443e" filled="false" stroked="true" strokeweight=".48pt" strokecolor="#000000">
                <v:path arrowok="t"/>
              </v:shape>
            </v:group>
            <v:group style="position:absolute;left:4011;top:6443;width:948;height:2" coordorigin="4011,6443" coordsize="948,2">
              <v:shape style="position:absolute;left:4011;top:6443;width:948;height:2" coordorigin="4011,6443" coordsize="948,0" path="m4011,6443l4958,6443e" filled="false" stroked="true" strokeweight=".48pt" strokecolor="#000000">
                <v:path arrowok="t"/>
              </v:shape>
            </v:group>
            <v:group style="position:absolute;left:4968;top:6443;width:948;height:2" coordorigin="4968,6443" coordsize="948,2">
              <v:shape style="position:absolute;left:4968;top:6443;width:948;height:2" coordorigin="4968,6443" coordsize="948,0" path="m4968,6443l5916,6443e" filled="false" stroked="true" strokeweight=".48pt" strokecolor="#000000">
                <v:path arrowok="t"/>
              </v:shape>
            </v:group>
            <v:group style="position:absolute;left:5925;top:6443;width:947;height:2" coordorigin="5925,6443" coordsize="947,2">
              <v:shape style="position:absolute;left:5925;top:6443;width:947;height:2" coordorigin="5925,6443" coordsize="947,0" path="m5925,6443l6872,6443e" filled="false" stroked="true" strokeweight=".48pt" strokecolor="#000000">
                <v:path arrowok="t"/>
              </v:shape>
            </v:group>
            <v:group style="position:absolute;left:6882;top:6443;width:948;height:2" coordorigin="6882,6443" coordsize="948,2">
              <v:shape style="position:absolute;left:6882;top:6443;width:948;height:2" coordorigin="6882,6443" coordsize="948,0" path="m6882,6443l7830,6443e" filled="false" stroked="true" strokeweight=".48pt" strokecolor="#000000">
                <v:path arrowok="t"/>
              </v:shape>
            </v:group>
            <v:group style="position:absolute;left:7839;top:6443;width:948;height:2" coordorigin="7839,6443" coordsize="948,2">
              <v:shape style="position:absolute;left:7839;top:6443;width:948;height:2" coordorigin="7839,6443" coordsize="948,0" path="m7839,6443l8786,6443e" filled="false" stroked="true" strokeweight=".48pt" strokecolor="#000000">
                <v:path arrowok="t"/>
              </v:shape>
            </v:group>
            <v:group style="position:absolute;left:8796;top:6443;width:948;height:2" coordorigin="8796,6443" coordsize="948,2">
              <v:shape style="position:absolute;left:8796;top:6443;width:948;height:2" coordorigin="8796,6443" coordsize="948,0" path="m8796,6443l9744,6443e" filled="false" stroked="true" strokeweight=".48pt" strokecolor="#000000">
                <v:path arrowok="t"/>
              </v:shape>
            </v:group>
            <v:group style="position:absolute;left:9754;top:6443;width:947;height:2" coordorigin="9754,6443" coordsize="947,2">
              <v:shape style="position:absolute;left:9754;top:6443;width:947;height:2" coordorigin="9754,6443" coordsize="947,0" path="m9754,6443l10700,6443e" filled="false" stroked="true" strokeweight=".48pt" strokecolor="#000000">
                <v:path arrowok="t"/>
              </v:shape>
            </v:group>
            <v:group style="position:absolute;left:1150;top:7162;width:2;height:705" coordorigin="1150,7162" coordsize="2,705">
              <v:shape style="position:absolute;left:1150;top:7162;width:2;height:705" coordorigin="1150,7162" coordsize="0,705" path="m1150,7162l1150,7866e" filled="false" stroked="true" strokeweight="1.140pt" strokecolor="#d2d2d2">
                <v:path arrowok="t"/>
              </v:shape>
            </v:group>
            <v:group style="position:absolute;left:2075;top:7162;width:2;height:705" coordorigin="2075,7162" coordsize="2,705">
              <v:shape style="position:absolute;left:2075;top:7162;width:2;height:705" coordorigin="2075,7162" coordsize="0,705" path="m2075,7162l2075,7866e" filled="false" stroked="true" strokeweight="1.140pt" strokecolor="#d2d2d2">
                <v:path arrowok="t"/>
              </v:shape>
            </v:group>
            <v:group style="position:absolute;left:1162;top:7162;width:902;height:353" coordorigin="1162,7162" coordsize="902,353">
              <v:shape style="position:absolute;left:1162;top:7162;width:902;height:353" coordorigin="1162,7162" coordsize="902,353" path="m1162,7515l2063,7515,2063,7162,1162,7162,1162,7515xe" filled="true" fillcolor="#d2d2d2" stroked="false">
                <v:path arrowok="t"/>
                <v:fill type="solid"/>
              </v:shape>
            </v:group>
            <v:group style="position:absolute;left:1162;top:7515;width:902;height:352" coordorigin="1162,7515" coordsize="902,352">
              <v:shape style="position:absolute;left:1162;top:7515;width:902;height:352" coordorigin="1162,7515" coordsize="902,352" path="m1162,7866l2063,7866,2063,7515,1162,7515,1162,7866xe" filled="true" fillcolor="#d2d2d2" stroked="false">
                <v:path arrowok="t"/>
                <v:fill type="solid"/>
              </v:shape>
            </v:group>
            <v:group style="position:absolute;left:2097;top:7162;width:947;height:156" coordorigin="2097,7162" coordsize="947,156">
              <v:shape style="position:absolute;left:2097;top:7162;width:947;height:156" coordorigin="2097,7162" coordsize="947,156" path="m2097,7318l3044,7318,3044,7162,2097,7162,2097,7318xe" filled="true" fillcolor="#ffffff" stroked="false">
                <v:path arrowok="t"/>
                <v:fill type="solid"/>
              </v:shape>
            </v:group>
            <v:group style="position:absolute;left:2108;top:7318;width:2;height:393" coordorigin="2108,7318" coordsize="2,393">
              <v:shape style="position:absolute;left:2108;top:7318;width:2;height:393" coordorigin="2108,7318" coordsize="0,393" path="m2108,7318l2108,7710e" filled="false" stroked="true" strokeweight="1.140pt" strokecolor="#ffffff">
                <v:path arrowok="t"/>
              </v:shape>
            </v:group>
            <v:group style="position:absolute;left:2120;top:7318;width:902;height:393" coordorigin="2120,7318" coordsize="902,393">
              <v:shape style="position:absolute;left:2120;top:7318;width:902;height:393" coordorigin="2120,7318" coordsize="902,393" path="m2120,7710l3021,7710,3021,7318,2120,7318,2120,7710xe" filled="true" fillcolor="#ffffff" stroked="false">
                <v:path arrowok="t"/>
                <v:fill type="solid"/>
              </v:shape>
            </v:group>
            <v:group style="position:absolute;left:1139;top:7157;width:949;height:2" coordorigin="1139,7157" coordsize="949,2">
              <v:shape style="position:absolute;left:1139;top:7157;width:949;height:2" coordorigin="1139,7157" coordsize="949,0" path="m1139,7157l2087,7157e" filled="false" stroked="true" strokeweight=".48pt" strokecolor="#000000">
                <v:path arrowok="t"/>
              </v:shape>
            </v:group>
            <v:group style="position:absolute;left:2097;top:7157;width:947;height:2" coordorigin="2097,7157" coordsize="947,2">
              <v:shape style="position:absolute;left:2097;top:7157;width:947;height:2" coordorigin="2097,7157" coordsize="947,0" path="m2097,7157l3044,7157e" filled="false" stroked="true" strokeweight=".48pt" strokecolor="#000000">
                <v:path arrowok="t"/>
              </v:shape>
            </v:group>
            <v:group style="position:absolute;left:3053;top:7157;width:948;height:2" coordorigin="3053,7157" coordsize="948,2">
              <v:shape style="position:absolute;left:3053;top:7157;width:948;height:2" coordorigin="3053,7157" coordsize="948,0" path="m3053,7157l4001,7157e" filled="false" stroked="true" strokeweight=".48pt" strokecolor="#000000">
                <v:path arrowok="t"/>
              </v:shape>
            </v:group>
            <v:group style="position:absolute;left:4011;top:7157;width:948;height:2" coordorigin="4011,7157" coordsize="948,2">
              <v:shape style="position:absolute;left:4011;top:7157;width:948;height:2" coordorigin="4011,7157" coordsize="948,0" path="m4011,7157l4958,7157e" filled="false" stroked="true" strokeweight=".48pt" strokecolor="#000000">
                <v:path arrowok="t"/>
              </v:shape>
            </v:group>
            <v:group style="position:absolute;left:4968;top:7157;width:948;height:2" coordorigin="4968,7157" coordsize="948,2">
              <v:shape style="position:absolute;left:4968;top:7157;width:948;height:2" coordorigin="4968,7157" coordsize="948,0" path="m4968,7157l5916,7157e" filled="false" stroked="true" strokeweight=".48pt" strokecolor="#000000">
                <v:path arrowok="t"/>
              </v:shape>
            </v:group>
            <v:group style="position:absolute;left:5925;top:7157;width:947;height:2" coordorigin="5925,7157" coordsize="947,2">
              <v:shape style="position:absolute;left:5925;top:7157;width:947;height:2" coordorigin="5925,7157" coordsize="947,0" path="m5925,7157l6872,7157e" filled="false" stroked="true" strokeweight=".48pt" strokecolor="#000000">
                <v:path arrowok="t"/>
              </v:shape>
            </v:group>
            <v:group style="position:absolute;left:6882;top:7157;width:948;height:2" coordorigin="6882,7157" coordsize="948,2">
              <v:shape style="position:absolute;left:6882;top:7157;width:948;height:2" coordorigin="6882,7157" coordsize="948,0" path="m6882,7157l7830,7157e" filled="false" stroked="true" strokeweight=".48pt" strokecolor="#000000">
                <v:path arrowok="t"/>
              </v:shape>
            </v:group>
            <v:group style="position:absolute;left:7839;top:7157;width:948;height:2" coordorigin="7839,7157" coordsize="948,2">
              <v:shape style="position:absolute;left:7839;top:7157;width:948;height:2" coordorigin="7839,7157" coordsize="948,0" path="m7839,7157l8786,7157e" filled="false" stroked="true" strokeweight=".48pt" strokecolor="#000000">
                <v:path arrowok="t"/>
              </v:shape>
            </v:group>
            <v:group style="position:absolute;left:8796;top:7157;width:948;height:2" coordorigin="8796,7157" coordsize="948,2">
              <v:shape style="position:absolute;left:8796;top:7157;width:948;height:2" coordorigin="8796,7157" coordsize="948,0" path="m8796,7157l9744,7157e" filled="false" stroked="true" strokeweight=".48pt" strokecolor="#000000">
                <v:path arrowok="t"/>
              </v:shape>
            </v:group>
            <v:group style="position:absolute;left:9754;top:7157;width:947;height:2" coordorigin="9754,7157" coordsize="947,2">
              <v:shape style="position:absolute;left:9754;top:7157;width:947;height:2" coordorigin="9754,7157" coordsize="947,0" path="m9754,7157l10700,7157e" filled="false" stroked="true" strokeweight=".48pt" strokecolor="#000000">
                <v:path arrowok="t"/>
              </v:shape>
            </v:group>
            <v:group style="position:absolute;left:1150;top:7876;width:2;height:393" coordorigin="1150,7876" coordsize="2,393">
              <v:shape style="position:absolute;left:1150;top:7876;width:2;height:393" coordorigin="1150,7876" coordsize="0,393" path="m1150,7876l1150,8268e" filled="false" stroked="true" strokeweight="1.140pt" strokecolor="#e0ffff">
                <v:path arrowok="t"/>
              </v:shape>
            </v:group>
            <v:group style="position:absolute;left:2075;top:7876;width:2;height:393" coordorigin="2075,7876" coordsize="2,393">
              <v:shape style="position:absolute;left:2075;top:7876;width:2;height:393" coordorigin="2075,7876" coordsize="0,393" path="m2075,7876l2075,8268e" filled="false" stroked="true" strokeweight="1.140pt" strokecolor="#e0ffff">
                <v:path arrowok="t"/>
              </v:shape>
            </v:group>
            <v:group style="position:absolute;left:1162;top:7876;width:902;height:393" coordorigin="1162,7876" coordsize="902,393">
              <v:shape style="position:absolute;left:1162;top:7876;width:902;height:393" coordorigin="1162,7876" coordsize="902,393" path="m1162,8268l2063,8268,2063,7876,1162,7876,1162,8268xe" filled="true" fillcolor="#e0ffff" stroked="false">
                <v:path arrowok="t"/>
                <v:fill type="solid"/>
              </v:shape>
            </v:group>
            <v:group style="position:absolute;left:1139;top:7871;width:949;height:2" coordorigin="1139,7871" coordsize="949,2">
              <v:shape style="position:absolute;left:1139;top:7871;width:949;height:2" coordorigin="1139,7871" coordsize="949,0" path="m1139,7871l2087,7871e" filled="false" stroked="true" strokeweight=".48pt" strokecolor="#000000">
                <v:path arrowok="t"/>
              </v:shape>
            </v:group>
            <v:group style="position:absolute;left:2097;top:7871;width:947;height:2" coordorigin="2097,7871" coordsize="947,2">
              <v:shape style="position:absolute;left:2097;top:7871;width:947;height:2" coordorigin="2097,7871" coordsize="947,0" path="m2097,7871l3044,7871e" filled="false" stroked="true" strokeweight=".48pt" strokecolor="#000000">
                <v:path arrowok="t"/>
              </v:shape>
            </v:group>
            <v:group style="position:absolute;left:3053;top:7871;width:948;height:2" coordorigin="3053,7871" coordsize="948,2">
              <v:shape style="position:absolute;left:3053;top:7871;width:948;height:2" coordorigin="3053,7871" coordsize="948,0" path="m3053,7871l4001,7871e" filled="false" stroked="true" strokeweight=".48pt" strokecolor="#000000">
                <v:path arrowok="t"/>
              </v:shape>
            </v:group>
            <v:group style="position:absolute;left:4011;top:7871;width:948;height:2" coordorigin="4011,7871" coordsize="948,2">
              <v:shape style="position:absolute;left:4011;top:7871;width:948;height:2" coordorigin="4011,7871" coordsize="948,0" path="m4011,7871l4958,7871e" filled="false" stroked="true" strokeweight=".48pt" strokecolor="#000000">
                <v:path arrowok="t"/>
              </v:shape>
            </v:group>
            <v:group style="position:absolute;left:4968;top:7871;width:948;height:2" coordorigin="4968,7871" coordsize="948,2">
              <v:shape style="position:absolute;left:4968;top:7871;width:948;height:2" coordorigin="4968,7871" coordsize="948,0" path="m4968,7871l5916,7871e" filled="false" stroked="true" strokeweight=".48pt" strokecolor="#000000">
                <v:path arrowok="t"/>
              </v:shape>
            </v:group>
            <v:group style="position:absolute;left:5925;top:7871;width:947;height:2" coordorigin="5925,7871" coordsize="947,2">
              <v:shape style="position:absolute;left:5925;top:7871;width:947;height:2" coordorigin="5925,7871" coordsize="947,0" path="m5925,7871l6872,7871e" filled="false" stroked="true" strokeweight=".48pt" strokecolor="#000000">
                <v:path arrowok="t"/>
              </v:shape>
            </v:group>
            <v:group style="position:absolute;left:6882;top:7871;width:948;height:2" coordorigin="6882,7871" coordsize="948,2">
              <v:shape style="position:absolute;left:6882;top:7871;width:948;height:2" coordorigin="6882,7871" coordsize="948,0" path="m6882,7871l7830,7871e" filled="false" stroked="true" strokeweight=".48pt" strokecolor="#000000">
                <v:path arrowok="t"/>
              </v:shape>
            </v:group>
            <v:group style="position:absolute;left:7839;top:7871;width:948;height:2" coordorigin="7839,7871" coordsize="948,2">
              <v:shape style="position:absolute;left:7839;top:7871;width:948;height:2" coordorigin="7839,7871" coordsize="948,0" path="m7839,7871l8786,7871e" filled="false" stroked="true" strokeweight=".48pt" strokecolor="#000000">
                <v:path arrowok="t"/>
              </v:shape>
            </v:group>
            <v:group style="position:absolute;left:8796;top:7871;width:948;height:2" coordorigin="8796,7871" coordsize="948,2">
              <v:shape style="position:absolute;left:8796;top:7871;width:948;height:2" coordorigin="8796,7871" coordsize="948,0" path="m8796,7871l9744,7871e" filled="false" stroked="true" strokeweight=".48pt" strokecolor="#000000">
                <v:path arrowok="t"/>
              </v:shape>
            </v:group>
            <v:group style="position:absolute;left:9754;top:7871;width:947;height:2" coordorigin="9754,7871" coordsize="947,2">
              <v:shape style="position:absolute;left:9754;top:7871;width:947;height:2" coordorigin="9754,7871" coordsize="947,0" path="m9754,7871l10700,7871e" filled="false" stroked="true" strokeweight=".48pt" strokecolor="#000000">
                <v:path arrowok="t"/>
              </v:shape>
            </v:group>
            <v:group style="position:absolute;left:1150;top:8278;width:2;height:705" coordorigin="1150,8278" coordsize="2,705">
              <v:shape style="position:absolute;left:1150;top:8278;width:2;height:705" coordorigin="1150,8278" coordsize="0,705" path="m1150,8278l1150,8983e" filled="false" stroked="true" strokeweight="1.140pt" strokecolor="#d2d2d2">
                <v:path arrowok="t"/>
              </v:shape>
            </v:group>
            <v:group style="position:absolute;left:2075;top:8278;width:2;height:705" coordorigin="2075,8278" coordsize="2,705">
              <v:shape style="position:absolute;left:2075;top:8278;width:2;height:705" coordorigin="2075,8278" coordsize="0,705" path="m2075,8278l2075,8983e" filled="false" stroked="true" strokeweight="1.140pt" strokecolor="#d2d2d2">
                <v:path arrowok="t"/>
              </v:shape>
            </v:group>
            <v:group style="position:absolute;left:1162;top:8278;width:902;height:354" coordorigin="1162,8278" coordsize="902,354">
              <v:shape style="position:absolute;left:1162;top:8278;width:902;height:354" coordorigin="1162,8278" coordsize="902,354" path="m1162,8631l2063,8631,2063,8278,1162,8278,1162,8631xe" filled="true" fillcolor="#d2d2d2" stroked="false">
                <v:path arrowok="t"/>
                <v:fill type="solid"/>
              </v:shape>
            </v:group>
            <v:group style="position:absolute;left:1162;top:8631;width:902;height:352" coordorigin="1162,8631" coordsize="902,352">
              <v:shape style="position:absolute;left:1162;top:8631;width:902;height:352" coordorigin="1162,8631" coordsize="902,352" path="m1162,8983l2063,8983,2063,8631,1162,8631,1162,8983xe" filled="true" fillcolor="#d2d2d2" stroked="false">
                <v:path arrowok="t"/>
                <v:fill type="solid"/>
              </v:shape>
            </v:group>
            <v:group style="position:absolute;left:1139;top:8273;width:949;height:2" coordorigin="1139,8273" coordsize="949,2">
              <v:shape style="position:absolute;left:1139;top:8273;width:949;height:2" coordorigin="1139,8273" coordsize="949,0" path="m1139,8273l2087,8273e" filled="false" stroked="true" strokeweight=".48pt" strokecolor="#000000">
                <v:path arrowok="t"/>
              </v:shape>
            </v:group>
            <v:group style="position:absolute;left:2097;top:8273;width:947;height:2" coordorigin="2097,8273" coordsize="947,2">
              <v:shape style="position:absolute;left:2097;top:8273;width:947;height:2" coordorigin="2097,8273" coordsize="947,0" path="m2097,8273l3044,8273e" filled="false" stroked="true" strokeweight=".48pt" strokecolor="#000000">
                <v:path arrowok="t"/>
              </v:shape>
            </v:group>
            <v:group style="position:absolute;left:3053;top:8273;width:948;height:2" coordorigin="3053,8273" coordsize="948,2">
              <v:shape style="position:absolute;left:3053;top:8273;width:948;height:2" coordorigin="3053,8273" coordsize="948,0" path="m3053,8273l4001,8273e" filled="false" stroked="true" strokeweight=".48pt" strokecolor="#000000">
                <v:path arrowok="t"/>
              </v:shape>
            </v:group>
            <v:group style="position:absolute;left:4011;top:8273;width:948;height:2" coordorigin="4011,8273" coordsize="948,2">
              <v:shape style="position:absolute;left:4011;top:8273;width:948;height:2" coordorigin="4011,8273" coordsize="948,0" path="m4011,8273l4958,8273e" filled="false" stroked="true" strokeweight=".48pt" strokecolor="#000000">
                <v:path arrowok="t"/>
              </v:shape>
            </v:group>
            <v:group style="position:absolute;left:4968;top:8273;width:948;height:2" coordorigin="4968,8273" coordsize="948,2">
              <v:shape style="position:absolute;left:4968;top:8273;width:948;height:2" coordorigin="4968,8273" coordsize="948,0" path="m4968,8273l5916,8273e" filled="false" stroked="true" strokeweight=".48pt" strokecolor="#000000">
                <v:path arrowok="t"/>
              </v:shape>
            </v:group>
            <v:group style="position:absolute;left:5925;top:8273;width:947;height:2" coordorigin="5925,8273" coordsize="947,2">
              <v:shape style="position:absolute;left:5925;top:8273;width:947;height:2" coordorigin="5925,8273" coordsize="947,0" path="m5925,8273l6872,8273e" filled="false" stroked="true" strokeweight=".48pt" strokecolor="#000000">
                <v:path arrowok="t"/>
              </v:shape>
            </v:group>
            <v:group style="position:absolute;left:6882;top:8273;width:948;height:2" coordorigin="6882,8273" coordsize="948,2">
              <v:shape style="position:absolute;left:6882;top:8273;width:948;height:2" coordorigin="6882,8273" coordsize="948,0" path="m6882,8273l7830,8273e" filled="false" stroked="true" strokeweight=".48pt" strokecolor="#000000">
                <v:path arrowok="t"/>
              </v:shape>
            </v:group>
            <v:group style="position:absolute;left:7839;top:8273;width:948;height:2" coordorigin="7839,8273" coordsize="948,2">
              <v:shape style="position:absolute;left:7839;top:8273;width:948;height:2" coordorigin="7839,8273" coordsize="948,0" path="m7839,8273l8786,8273e" filled="false" stroked="true" strokeweight=".48pt" strokecolor="#000000">
                <v:path arrowok="t"/>
              </v:shape>
            </v:group>
            <v:group style="position:absolute;left:8796;top:8273;width:948;height:2" coordorigin="8796,8273" coordsize="948,2">
              <v:shape style="position:absolute;left:8796;top:8273;width:948;height:2" coordorigin="8796,8273" coordsize="948,0" path="m8796,8273l9744,8273e" filled="false" stroked="true" strokeweight=".48pt" strokecolor="#000000">
                <v:path arrowok="t"/>
              </v:shape>
            </v:group>
            <v:group style="position:absolute;left:9754;top:8273;width:947;height:2" coordorigin="9754,8273" coordsize="947,2">
              <v:shape style="position:absolute;left:9754;top:8273;width:947;height:2" coordorigin="9754,8273" coordsize="947,0" path="m9754,8273l10700,8273e" filled="false" stroked="true" strokeweight=".48pt" strokecolor="#000000">
                <v:path arrowok="t"/>
              </v:shape>
            </v:group>
            <v:group style="position:absolute;left:1150;top:8992;width:2;height:705" coordorigin="1150,8992" coordsize="2,705">
              <v:shape style="position:absolute;left:1150;top:8992;width:2;height:705" coordorigin="1150,8992" coordsize="0,705" path="m1150,8992l1150,9697e" filled="false" stroked="true" strokeweight="1.140pt" strokecolor="#d2d2d2">
                <v:path arrowok="t"/>
              </v:shape>
            </v:group>
            <v:group style="position:absolute;left:2075;top:8992;width:2;height:705" coordorigin="2075,8992" coordsize="2,705">
              <v:shape style="position:absolute;left:2075;top:8992;width:2;height:705" coordorigin="2075,8992" coordsize="0,705" path="m2075,8992l2075,9697e" filled="false" stroked="true" strokeweight="1.140pt" strokecolor="#d2d2d2">
                <v:path arrowok="t"/>
              </v:shape>
            </v:group>
            <v:group style="position:absolute;left:1162;top:8992;width:902;height:353" coordorigin="1162,8992" coordsize="902,353">
              <v:shape style="position:absolute;left:1162;top:8992;width:902;height:353" coordorigin="1162,8992" coordsize="902,353" path="m1162,9345l2063,9345,2063,8992,1162,8992,1162,9345xe" filled="true" fillcolor="#d2d2d2" stroked="false">
                <v:path arrowok="t"/>
                <v:fill type="solid"/>
              </v:shape>
            </v:group>
            <v:group style="position:absolute;left:1162;top:9345;width:902;height:352" coordorigin="1162,9345" coordsize="902,352">
              <v:shape style="position:absolute;left:1162;top:9345;width:902;height:352" coordorigin="1162,9345" coordsize="902,352" path="m1162,9697l2063,9697,2063,9345,1162,9345,1162,9697xe" filled="true" fillcolor="#d2d2d2" stroked="false">
                <v:path arrowok="t"/>
                <v:fill type="solid"/>
              </v:shape>
            </v:group>
            <v:group style="position:absolute;left:1139;top:8988;width:949;height:2" coordorigin="1139,8988" coordsize="949,2">
              <v:shape style="position:absolute;left:1139;top:8988;width:949;height:2" coordorigin="1139,8988" coordsize="949,0" path="m1139,8988l2087,8988e" filled="false" stroked="true" strokeweight=".48pt" strokecolor="#000000">
                <v:path arrowok="t"/>
              </v:shape>
            </v:group>
            <v:group style="position:absolute;left:2097;top:8988;width:947;height:2" coordorigin="2097,8988" coordsize="947,2">
              <v:shape style="position:absolute;left:2097;top:8988;width:947;height:2" coordorigin="2097,8988" coordsize="947,0" path="m2097,8988l3044,8988e" filled="false" stroked="true" strokeweight=".48pt" strokecolor="#000000">
                <v:path arrowok="t"/>
              </v:shape>
            </v:group>
            <v:group style="position:absolute;left:3053;top:8988;width:948;height:2" coordorigin="3053,8988" coordsize="948,2">
              <v:shape style="position:absolute;left:3053;top:8988;width:948;height:2" coordorigin="3053,8988" coordsize="948,0" path="m3053,8988l4001,8988e" filled="false" stroked="true" strokeweight=".48pt" strokecolor="#000000">
                <v:path arrowok="t"/>
              </v:shape>
            </v:group>
            <v:group style="position:absolute;left:4011;top:8988;width:948;height:2" coordorigin="4011,8988" coordsize="948,2">
              <v:shape style="position:absolute;left:4011;top:8988;width:948;height:2" coordorigin="4011,8988" coordsize="948,0" path="m4011,8988l4958,8988e" filled="false" stroked="true" strokeweight=".48pt" strokecolor="#000000">
                <v:path arrowok="t"/>
              </v:shape>
            </v:group>
            <v:group style="position:absolute;left:4968;top:8988;width:948;height:2" coordorigin="4968,8988" coordsize="948,2">
              <v:shape style="position:absolute;left:4968;top:8988;width:948;height:2" coordorigin="4968,8988" coordsize="948,0" path="m4968,8988l5916,8988e" filled="false" stroked="true" strokeweight=".48pt" strokecolor="#000000">
                <v:path arrowok="t"/>
              </v:shape>
            </v:group>
            <v:group style="position:absolute;left:5925;top:8988;width:947;height:2" coordorigin="5925,8988" coordsize="947,2">
              <v:shape style="position:absolute;left:5925;top:8988;width:947;height:2" coordorigin="5925,8988" coordsize="947,0" path="m5925,8988l6872,8988e" filled="false" stroked="true" strokeweight=".48pt" strokecolor="#000000">
                <v:path arrowok="t"/>
              </v:shape>
            </v:group>
            <v:group style="position:absolute;left:6882;top:8988;width:948;height:2" coordorigin="6882,8988" coordsize="948,2">
              <v:shape style="position:absolute;left:6882;top:8988;width:948;height:2" coordorigin="6882,8988" coordsize="948,0" path="m6882,8988l7830,8988e" filled="false" stroked="true" strokeweight=".48pt" strokecolor="#000000">
                <v:path arrowok="t"/>
              </v:shape>
            </v:group>
            <v:group style="position:absolute;left:7839;top:8988;width:948;height:2" coordorigin="7839,8988" coordsize="948,2">
              <v:shape style="position:absolute;left:7839;top:8988;width:948;height:2" coordorigin="7839,8988" coordsize="948,0" path="m7839,8988l8786,8988e" filled="false" stroked="true" strokeweight=".48pt" strokecolor="#000000">
                <v:path arrowok="t"/>
              </v:shape>
            </v:group>
            <v:group style="position:absolute;left:8796;top:8988;width:948;height:2" coordorigin="8796,8988" coordsize="948,2">
              <v:shape style="position:absolute;left:8796;top:8988;width:948;height:2" coordorigin="8796,8988" coordsize="948,0" path="m8796,8988l9744,8988e" filled="false" stroked="true" strokeweight=".48pt" strokecolor="#000000">
                <v:path arrowok="t"/>
              </v:shape>
            </v:group>
            <v:group style="position:absolute;left:9754;top:8988;width:947;height:2" coordorigin="9754,8988" coordsize="947,2">
              <v:shape style="position:absolute;left:9754;top:8988;width:947;height:2" coordorigin="9754,8988" coordsize="947,0" path="m9754,8988l10700,8988e" filled="false" stroked="true" strokeweight=".48pt" strokecolor="#000000">
                <v:path arrowok="t"/>
              </v:shape>
            </v:group>
            <v:group style="position:absolute;left:1150;top:9706;width:2;height:705" coordorigin="1150,9706" coordsize="2,705">
              <v:shape style="position:absolute;left:1150;top:9706;width:2;height:705" coordorigin="1150,9706" coordsize="0,705" path="m1150,9706l1150,10411e" filled="false" stroked="true" strokeweight="1.140pt" strokecolor="#d2d2d2">
                <v:path arrowok="t"/>
              </v:shape>
            </v:group>
            <v:group style="position:absolute;left:2075;top:9706;width:2;height:705" coordorigin="2075,9706" coordsize="2,705">
              <v:shape style="position:absolute;left:2075;top:9706;width:2;height:705" coordorigin="2075,9706" coordsize="0,705" path="m2075,9706l2075,10411e" filled="false" stroked="true" strokeweight="1.140pt" strokecolor="#d2d2d2">
                <v:path arrowok="t"/>
              </v:shape>
            </v:group>
            <v:group style="position:absolute;left:1162;top:9706;width:902;height:353" coordorigin="1162,9706" coordsize="902,353">
              <v:shape style="position:absolute;left:1162;top:9706;width:902;height:353" coordorigin="1162,9706" coordsize="902,353" path="m1162,10059l2063,10059,2063,9706,1162,9706,1162,10059xe" filled="true" fillcolor="#d2d2d2" stroked="false">
                <v:path arrowok="t"/>
                <v:fill type="solid"/>
              </v:shape>
            </v:group>
            <v:group style="position:absolute;left:1162;top:10059;width:902;height:352" coordorigin="1162,10059" coordsize="902,352">
              <v:shape style="position:absolute;left:1162;top:10059;width:902;height:352" coordorigin="1162,10059" coordsize="902,352" path="m1162,10411l2063,10411,2063,10059,1162,10059,1162,10411xe" filled="true" fillcolor="#d2d2d2" stroked="false">
                <v:path arrowok="t"/>
                <v:fill type="solid"/>
              </v:shape>
            </v:group>
            <v:group style="position:absolute;left:1139;top:9702;width:949;height:2" coordorigin="1139,9702" coordsize="949,2">
              <v:shape style="position:absolute;left:1139;top:9702;width:949;height:2" coordorigin="1139,9702" coordsize="949,0" path="m1139,9702l2087,9702e" filled="false" stroked="true" strokeweight=".48pt" strokecolor="#000000">
                <v:path arrowok="t"/>
              </v:shape>
            </v:group>
            <v:group style="position:absolute;left:2097;top:9702;width:947;height:2" coordorigin="2097,9702" coordsize="947,2">
              <v:shape style="position:absolute;left:2097;top:9702;width:947;height:2" coordorigin="2097,9702" coordsize="947,0" path="m2097,9702l3044,9702e" filled="false" stroked="true" strokeweight=".48pt" strokecolor="#000000">
                <v:path arrowok="t"/>
              </v:shape>
            </v:group>
            <v:group style="position:absolute;left:3053;top:9702;width:948;height:2" coordorigin="3053,9702" coordsize="948,2">
              <v:shape style="position:absolute;left:3053;top:9702;width:948;height:2" coordorigin="3053,9702" coordsize="948,0" path="m3053,9702l4001,9702e" filled="false" stroked="true" strokeweight=".48pt" strokecolor="#000000">
                <v:path arrowok="t"/>
              </v:shape>
            </v:group>
            <v:group style="position:absolute;left:4011;top:9702;width:948;height:2" coordorigin="4011,9702" coordsize="948,2">
              <v:shape style="position:absolute;left:4011;top:9702;width:948;height:2" coordorigin="4011,9702" coordsize="948,0" path="m4011,9702l4958,9702e" filled="false" stroked="true" strokeweight=".48pt" strokecolor="#000000">
                <v:path arrowok="t"/>
              </v:shape>
            </v:group>
            <v:group style="position:absolute;left:4968;top:9702;width:948;height:2" coordorigin="4968,9702" coordsize="948,2">
              <v:shape style="position:absolute;left:4968;top:9702;width:948;height:2" coordorigin="4968,9702" coordsize="948,0" path="m4968,9702l5916,9702e" filled="false" stroked="true" strokeweight=".48pt" strokecolor="#000000">
                <v:path arrowok="t"/>
              </v:shape>
            </v:group>
            <v:group style="position:absolute;left:5925;top:9702;width:947;height:2" coordorigin="5925,9702" coordsize="947,2">
              <v:shape style="position:absolute;left:5925;top:9702;width:947;height:2" coordorigin="5925,9702" coordsize="947,0" path="m5925,9702l6872,9702e" filled="false" stroked="true" strokeweight=".48pt" strokecolor="#000000">
                <v:path arrowok="t"/>
              </v:shape>
            </v:group>
            <v:group style="position:absolute;left:6882;top:9702;width:948;height:2" coordorigin="6882,9702" coordsize="948,2">
              <v:shape style="position:absolute;left:6882;top:9702;width:948;height:2" coordorigin="6882,9702" coordsize="948,0" path="m6882,9702l7830,9702e" filled="false" stroked="true" strokeweight=".48pt" strokecolor="#000000">
                <v:path arrowok="t"/>
              </v:shape>
            </v:group>
            <v:group style="position:absolute;left:7839;top:9702;width:948;height:2" coordorigin="7839,9702" coordsize="948,2">
              <v:shape style="position:absolute;left:7839;top:9702;width:948;height:2" coordorigin="7839,9702" coordsize="948,0" path="m7839,9702l8786,9702e" filled="false" stroked="true" strokeweight=".48pt" strokecolor="#000000">
                <v:path arrowok="t"/>
              </v:shape>
            </v:group>
            <v:group style="position:absolute;left:8796;top:9702;width:948;height:2" coordorigin="8796,9702" coordsize="948,2">
              <v:shape style="position:absolute;left:8796;top:9702;width:948;height:2" coordorigin="8796,9702" coordsize="948,0" path="m8796,9702l9744,9702e" filled="false" stroked="true" strokeweight=".48pt" strokecolor="#000000">
                <v:path arrowok="t"/>
              </v:shape>
            </v:group>
            <v:group style="position:absolute;left:9754;top:9702;width:947;height:2" coordorigin="9754,9702" coordsize="947,2">
              <v:shape style="position:absolute;left:9754;top:9702;width:947;height:2" coordorigin="9754,9702" coordsize="947,0" path="m9754,9702l10700,9702e" filled="false" stroked="true" strokeweight=".48pt" strokecolor="#000000">
                <v:path arrowok="t"/>
              </v:shape>
            </v:group>
            <v:group style="position:absolute;left:1150;top:10420;width:2;height:705" coordorigin="1150,10420" coordsize="2,705">
              <v:shape style="position:absolute;left:1150;top:10420;width:2;height:705" coordorigin="1150,10420" coordsize="0,705" path="m1150,10420l1150,11125e" filled="false" stroked="true" strokeweight="1.140pt" strokecolor="#d2d2d2">
                <v:path arrowok="t"/>
              </v:shape>
            </v:group>
            <v:group style="position:absolute;left:2075;top:10420;width:2;height:705" coordorigin="2075,10420" coordsize="2,705">
              <v:shape style="position:absolute;left:2075;top:10420;width:2;height:705" coordorigin="2075,10420" coordsize="0,705" path="m2075,10420l2075,11125e" filled="false" stroked="true" strokeweight="1.140pt" strokecolor="#d2d2d2">
                <v:path arrowok="t"/>
              </v:shape>
            </v:group>
            <v:group style="position:absolute;left:1162;top:10420;width:902;height:353" coordorigin="1162,10420" coordsize="902,353">
              <v:shape style="position:absolute;left:1162;top:10420;width:902;height:353" coordorigin="1162,10420" coordsize="902,353" path="m1162,10773l2063,10773,2063,10420,1162,10420,1162,10773xe" filled="true" fillcolor="#d2d2d2" stroked="false">
                <v:path arrowok="t"/>
                <v:fill type="solid"/>
              </v:shape>
            </v:group>
            <v:group style="position:absolute;left:1162;top:10773;width:902;height:352" coordorigin="1162,10773" coordsize="902,352">
              <v:shape style="position:absolute;left:1162;top:10773;width:902;height:352" coordorigin="1162,10773" coordsize="902,352" path="m1162,11125l2063,11125,2063,10773,1162,10773,1162,11125xe" filled="true" fillcolor="#d2d2d2" stroked="false">
                <v:path arrowok="t"/>
                <v:fill type="solid"/>
              </v:shape>
            </v:group>
            <v:group style="position:absolute;left:1139;top:10416;width:949;height:2" coordorigin="1139,10416" coordsize="949,2">
              <v:shape style="position:absolute;left:1139;top:10416;width:949;height:2" coordorigin="1139,10416" coordsize="949,0" path="m1139,10416l2087,10416e" filled="false" stroked="true" strokeweight=".48pt" strokecolor="#000000">
                <v:path arrowok="t"/>
              </v:shape>
            </v:group>
            <v:group style="position:absolute;left:2097;top:10416;width:947;height:2" coordorigin="2097,10416" coordsize="947,2">
              <v:shape style="position:absolute;left:2097;top:10416;width:947;height:2" coordorigin="2097,10416" coordsize="947,0" path="m2097,10416l3044,10416e" filled="false" stroked="true" strokeweight=".48pt" strokecolor="#000000">
                <v:path arrowok="t"/>
              </v:shape>
            </v:group>
            <v:group style="position:absolute;left:3053;top:10416;width:948;height:2" coordorigin="3053,10416" coordsize="948,2">
              <v:shape style="position:absolute;left:3053;top:10416;width:948;height:2" coordorigin="3053,10416" coordsize="948,0" path="m3053,10416l4001,10416e" filled="false" stroked="true" strokeweight=".48pt" strokecolor="#000000">
                <v:path arrowok="t"/>
              </v:shape>
            </v:group>
            <v:group style="position:absolute;left:4011;top:10416;width:948;height:2" coordorigin="4011,10416" coordsize="948,2">
              <v:shape style="position:absolute;left:4011;top:10416;width:948;height:2" coordorigin="4011,10416" coordsize="948,0" path="m4011,10416l4958,10416e" filled="false" stroked="true" strokeweight=".48pt" strokecolor="#000000">
                <v:path arrowok="t"/>
              </v:shape>
            </v:group>
            <v:group style="position:absolute;left:4968;top:10416;width:948;height:2" coordorigin="4968,10416" coordsize="948,2">
              <v:shape style="position:absolute;left:4968;top:10416;width:948;height:2" coordorigin="4968,10416" coordsize="948,0" path="m4968,10416l5916,10416e" filled="false" stroked="true" strokeweight=".48pt" strokecolor="#000000">
                <v:path arrowok="t"/>
              </v:shape>
            </v:group>
            <v:group style="position:absolute;left:5925;top:10416;width:947;height:2" coordorigin="5925,10416" coordsize="947,2">
              <v:shape style="position:absolute;left:5925;top:10416;width:947;height:2" coordorigin="5925,10416" coordsize="947,0" path="m5925,10416l6872,10416e" filled="false" stroked="true" strokeweight=".48pt" strokecolor="#000000">
                <v:path arrowok="t"/>
              </v:shape>
            </v:group>
            <v:group style="position:absolute;left:6882;top:10416;width:948;height:2" coordorigin="6882,10416" coordsize="948,2">
              <v:shape style="position:absolute;left:6882;top:10416;width:948;height:2" coordorigin="6882,10416" coordsize="948,0" path="m6882,10416l7830,10416e" filled="false" stroked="true" strokeweight=".48pt" strokecolor="#000000">
                <v:path arrowok="t"/>
              </v:shape>
            </v:group>
            <v:group style="position:absolute;left:7839;top:10416;width:948;height:2" coordorigin="7839,10416" coordsize="948,2">
              <v:shape style="position:absolute;left:7839;top:10416;width:948;height:2" coordorigin="7839,10416" coordsize="948,0" path="m7839,10416l8786,10416e" filled="false" stroked="true" strokeweight=".48pt" strokecolor="#000000">
                <v:path arrowok="t"/>
              </v:shape>
            </v:group>
            <v:group style="position:absolute;left:8796;top:10416;width:948;height:2" coordorigin="8796,10416" coordsize="948,2">
              <v:shape style="position:absolute;left:8796;top:10416;width:948;height:2" coordorigin="8796,10416" coordsize="948,0" path="m8796,10416l9744,10416e" filled="false" stroked="true" strokeweight=".48pt" strokecolor="#000000">
                <v:path arrowok="t"/>
              </v:shape>
            </v:group>
            <v:group style="position:absolute;left:9754;top:10416;width:947;height:2" coordorigin="9754,10416" coordsize="947,2">
              <v:shape style="position:absolute;left:9754;top:10416;width:947;height:2" coordorigin="9754,10416" coordsize="947,0" path="m9754,10416l10700,10416e" filled="false" stroked="true" strokeweight=".48pt" strokecolor="#000000">
                <v:path arrowok="t"/>
              </v:shape>
            </v:group>
            <v:group style="position:absolute;left:1150;top:11134;width:2;height:705" coordorigin="1150,11134" coordsize="2,705">
              <v:shape style="position:absolute;left:1150;top:11134;width:2;height:705" coordorigin="1150,11134" coordsize="0,705" path="m1150,11134l1150,11839e" filled="false" stroked="true" strokeweight="1.140pt" strokecolor="#d2d2d2">
                <v:path arrowok="t"/>
              </v:shape>
            </v:group>
            <v:group style="position:absolute;left:2075;top:11134;width:2;height:705" coordorigin="2075,11134" coordsize="2,705">
              <v:shape style="position:absolute;left:2075;top:11134;width:2;height:705" coordorigin="2075,11134" coordsize="0,705" path="m2075,11134l2075,11839e" filled="false" stroked="true" strokeweight="1.140pt" strokecolor="#d2d2d2">
                <v:path arrowok="t"/>
              </v:shape>
            </v:group>
            <v:group style="position:absolute;left:1162;top:11134;width:902;height:353" coordorigin="1162,11134" coordsize="902,353">
              <v:shape style="position:absolute;left:1162;top:11134;width:902;height:353" coordorigin="1162,11134" coordsize="902,353" path="m1162,11487l2063,11487,2063,11134,1162,11134,1162,11487xe" filled="true" fillcolor="#d2d2d2" stroked="false">
                <v:path arrowok="t"/>
                <v:fill type="solid"/>
              </v:shape>
            </v:group>
            <v:group style="position:absolute;left:1162;top:11487;width:902;height:352" coordorigin="1162,11487" coordsize="902,352">
              <v:shape style="position:absolute;left:1162;top:11487;width:902;height:352" coordorigin="1162,11487" coordsize="902,352" path="m1162,11839l2063,11839,2063,11487,1162,11487,1162,11839xe" filled="true" fillcolor="#d2d2d2" stroked="false">
                <v:path arrowok="t"/>
                <v:fill type="solid"/>
              </v:shape>
            </v:group>
            <v:group style="position:absolute;left:2097;top:11134;width:947;height:156" coordorigin="2097,11134" coordsize="947,156">
              <v:shape style="position:absolute;left:2097;top:11134;width:947;height:156" coordorigin="2097,11134" coordsize="947,156" path="m2097,11290l3044,11290,3044,11134,2097,11134,2097,11290xe" filled="true" fillcolor="#ffffff" stroked="false">
                <v:path arrowok="t"/>
                <v:fill type="solid"/>
              </v:shape>
            </v:group>
            <v:group style="position:absolute;left:2108;top:11290;width:2;height:393" coordorigin="2108,11290" coordsize="2,393">
              <v:shape style="position:absolute;left:2108;top:11290;width:2;height:393" coordorigin="2108,11290" coordsize="0,393" path="m2108,11290l2108,11683e" filled="false" stroked="true" strokeweight="1.140pt" strokecolor="#ffffff">
                <v:path arrowok="t"/>
              </v:shape>
            </v:group>
            <v:group style="position:absolute;left:2120;top:11290;width:902;height:393" coordorigin="2120,11290" coordsize="902,393">
              <v:shape style="position:absolute;left:2120;top:11290;width:902;height:393" coordorigin="2120,11290" coordsize="902,393" path="m2120,11683l3021,11683,3021,11290,2120,11290,2120,11683xe" filled="true" fillcolor="#ffffff" stroked="false">
                <v:path arrowok="t"/>
                <v:fill type="solid"/>
              </v:shape>
            </v:group>
            <v:group style="position:absolute;left:1139;top:11130;width:949;height:2" coordorigin="1139,11130" coordsize="949,2">
              <v:shape style="position:absolute;left:1139;top:11130;width:949;height:2" coordorigin="1139,11130" coordsize="949,0" path="m1139,11130l2087,11130e" filled="false" stroked="true" strokeweight=".48pt" strokecolor="#000000">
                <v:path arrowok="t"/>
              </v:shape>
            </v:group>
            <v:group style="position:absolute;left:2097;top:11130;width:947;height:2" coordorigin="2097,11130" coordsize="947,2">
              <v:shape style="position:absolute;left:2097;top:11130;width:947;height:2" coordorigin="2097,11130" coordsize="947,0" path="m2097,11130l3044,11130e" filled="false" stroked="true" strokeweight=".48pt" strokecolor="#000000">
                <v:path arrowok="t"/>
              </v:shape>
            </v:group>
            <v:group style="position:absolute;left:3053;top:11130;width:948;height:2" coordorigin="3053,11130" coordsize="948,2">
              <v:shape style="position:absolute;left:3053;top:11130;width:948;height:2" coordorigin="3053,11130" coordsize="948,0" path="m3053,11130l4001,11130e" filled="false" stroked="true" strokeweight=".48pt" strokecolor="#000000">
                <v:path arrowok="t"/>
              </v:shape>
            </v:group>
            <v:group style="position:absolute;left:4011;top:11130;width:948;height:2" coordorigin="4011,11130" coordsize="948,2">
              <v:shape style="position:absolute;left:4011;top:11130;width:948;height:2" coordorigin="4011,11130" coordsize="948,0" path="m4011,11130l4958,11130e" filled="false" stroked="true" strokeweight=".48pt" strokecolor="#000000">
                <v:path arrowok="t"/>
              </v:shape>
            </v:group>
            <v:group style="position:absolute;left:4968;top:11130;width:948;height:2" coordorigin="4968,11130" coordsize="948,2">
              <v:shape style="position:absolute;left:4968;top:11130;width:948;height:2" coordorigin="4968,11130" coordsize="948,0" path="m4968,11130l5916,11130e" filled="false" stroked="true" strokeweight=".48pt" strokecolor="#000000">
                <v:path arrowok="t"/>
              </v:shape>
            </v:group>
            <v:group style="position:absolute;left:5925;top:11130;width:947;height:2" coordorigin="5925,11130" coordsize="947,2">
              <v:shape style="position:absolute;left:5925;top:11130;width:947;height:2" coordorigin="5925,11130" coordsize="947,0" path="m5925,11130l6872,11130e" filled="false" stroked="true" strokeweight=".48pt" strokecolor="#000000">
                <v:path arrowok="t"/>
              </v:shape>
            </v:group>
            <v:group style="position:absolute;left:6882;top:11130;width:948;height:2" coordorigin="6882,11130" coordsize="948,2">
              <v:shape style="position:absolute;left:6882;top:11130;width:948;height:2" coordorigin="6882,11130" coordsize="948,0" path="m6882,11130l7830,11130e" filled="false" stroked="true" strokeweight=".48pt" strokecolor="#000000">
                <v:path arrowok="t"/>
              </v:shape>
            </v:group>
            <v:group style="position:absolute;left:7839;top:11130;width:948;height:2" coordorigin="7839,11130" coordsize="948,2">
              <v:shape style="position:absolute;left:7839;top:11130;width:948;height:2" coordorigin="7839,11130" coordsize="948,0" path="m7839,11130l8786,11130e" filled="false" stroked="true" strokeweight=".48pt" strokecolor="#000000">
                <v:path arrowok="t"/>
              </v:shape>
            </v:group>
            <v:group style="position:absolute;left:8796;top:11130;width:948;height:2" coordorigin="8796,11130" coordsize="948,2">
              <v:shape style="position:absolute;left:8796;top:11130;width:948;height:2" coordorigin="8796,11130" coordsize="948,0" path="m8796,11130l9744,11130e" filled="false" stroked="true" strokeweight=".48pt" strokecolor="#000000">
                <v:path arrowok="t"/>
              </v:shape>
            </v:group>
            <v:group style="position:absolute;left:9754;top:11130;width:947;height:2" coordorigin="9754,11130" coordsize="947,2">
              <v:shape style="position:absolute;left:9754;top:11130;width:947;height:2" coordorigin="9754,11130" coordsize="947,0" path="m9754,11130l10700,11130e" filled="false" stroked="true" strokeweight=".48pt" strokecolor="#000000">
                <v:path arrowok="t"/>
              </v:shape>
            </v:group>
            <v:group style="position:absolute;left:1150;top:11848;width:2;height:393" coordorigin="1150,11848" coordsize="2,393">
              <v:shape style="position:absolute;left:1150;top:11848;width:2;height:393" coordorigin="1150,11848" coordsize="0,393" path="m1150,11848l1150,12241e" filled="false" stroked="true" strokeweight="1.140pt" strokecolor="#e0ffff">
                <v:path arrowok="t"/>
              </v:shape>
            </v:group>
            <v:group style="position:absolute;left:2075;top:11848;width:2;height:393" coordorigin="2075,11848" coordsize="2,393">
              <v:shape style="position:absolute;left:2075;top:11848;width:2;height:393" coordorigin="2075,11848" coordsize="0,393" path="m2075,11848l2075,12241e" filled="false" stroked="true" strokeweight="1.140pt" strokecolor="#e0ffff">
                <v:path arrowok="t"/>
              </v:shape>
            </v:group>
            <v:group style="position:absolute;left:1162;top:11848;width:902;height:393" coordorigin="1162,11848" coordsize="902,393">
              <v:shape style="position:absolute;left:1162;top:11848;width:902;height:393" coordorigin="1162,11848" coordsize="902,393" path="m1162,12241l2063,12241,2063,11848,1162,11848,1162,12241xe" filled="true" fillcolor="#e0ffff" stroked="false">
                <v:path arrowok="t"/>
                <v:fill type="solid"/>
              </v:shape>
            </v:group>
            <v:group style="position:absolute;left:1139;top:11844;width:949;height:2" coordorigin="1139,11844" coordsize="949,2">
              <v:shape style="position:absolute;left:1139;top:11844;width:949;height:2" coordorigin="1139,11844" coordsize="949,0" path="m1139,11844l2087,11844e" filled="false" stroked="true" strokeweight=".48pt" strokecolor="#000000">
                <v:path arrowok="t"/>
              </v:shape>
            </v:group>
            <v:group style="position:absolute;left:2097;top:11844;width:947;height:2" coordorigin="2097,11844" coordsize="947,2">
              <v:shape style="position:absolute;left:2097;top:11844;width:947;height:2" coordorigin="2097,11844" coordsize="947,0" path="m2097,11844l3044,11844e" filled="false" stroked="true" strokeweight=".48pt" strokecolor="#000000">
                <v:path arrowok="t"/>
              </v:shape>
            </v:group>
            <v:group style="position:absolute;left:3053;top:11844;width:948;height:2" coordorigin="3053,11844" coordsize="948,2">
              <v:shape style="position:absolute;left:3053;top:11844;width:948;height:2" coordorigin="3053,11844" coordsize="948,0" path="m3053,11844l4001,11844e" filled="false" stroked="true" strokeweight=".48pt" strokecolor="#000000">
                <v:path arrowok="t"/>
              </v:shape>
            </v:group>
            <v:group style="position:absolute;left:4011;top:11844;width:948;height:2" coordorigin="4011,11844" coordsize="948,2">
              <v:shape style="position:absolute;left:4011;top:11844;width:948;height:2" coordorigin="4011,11844" coordsize="948,0" path="m4011,11844l4958,11844e" filled="false" stroked="true" strokeweight=".48pt" strokecolor="#000000">
                <v:path arrowok="t"/>
              </v:shape>
            </v:group>
            <v:group style="position:absolute;left:4968;top:11844;width:948;height:2" coordorigin="4968,11844" coordsize="948,2">
              <v:shape style="position:absolute;left:4968;top:11844;width:948;height:2" coordorigin="4968,11844" coordsize="948,0" path="m4968,11844l5916,11844e" filled="false" stroked="true" strokeweight=".48pt" strokecolor="#000000">
                <v:path arrowok="t"/>
              </v:shape>
            </v:group>
            <v:group style="position:absolute;left:5925;top:11844;width:947;height:2" coordorigin="5925,11844" coordsize="947,2">
              <v:shape style="position:absolute;left:5925;top:11844;width:947;height:2" coordorigin="5925,11844" coordsize="947,0" path="m5925,11844l6872,11844e" filled="false" stroked="true" strokeweight=".48pt" strokecolor="#000000">
                <v:path arrowok="t"/>
              </v:shape>
            </v:group>
            <v:group style="position:absolute;left:6882;top:11844;width:948;height:2" coordorigin="6882,11844" coordsize="948,2">
              <v:shape style="position:absolute;left:6882;top:11844;width:948;height:2" coordorigin="6882,11844" coordsize="948,0" path="m6882,11844l7830,11844e" filled="false" stroked="true" strokeweight=".48pt" strokecolor="#000000">
                <v:path arrowok="t"/>
              </v:shape>
            </v:group>
            <v:group style="position:absolute;left:7839;top:11844;width:948;height:2" coordorigin="7839,11844" coordsize="948,2">
              <v:shape style="position:absolute;left:7839;top:11844;width:948;height:2" coordorigin="7839,11844" coordsize="948,0" path="m7839,11844l8786,11844e" filled="false" stroked="true" strokeweight=".48pt" strokecolor="#000000">
                <v:path arrowok="t"/>
              </v:shape>
            </v:group>
            <v:group style="position:absolute;left:8796;top:11844;width:948;height:2" coordorigin="8796,11844" coordsize="948,2">
              <v:shape style="position:absolute;left:8796;top:11844;width:948;height:2" coordorigin="8796,11844" coordsize="948,0" path="m8796,11844l9744,11844e" filled="false" stroked="true" strokeweight=".48pt" strokecolor="#000000">
                <v:path arrowok="t"/>
              </v:shape>
            </v:group>
            <v:group style="position:absolute;left:9754;top:11844;width:947;height:2" coordorigin="9754,11844" coordsize="947,2">
              <v:shape style="position:absolute;left:9754;top:11844;width:947;height:2" coordorigin="9754,11844" coordsize="947,0" path="m9754,11844l10700,11844e" filled="false" stroked="true" strokeweight=".48pt" strokecolor="#000000">
                <v:path arrowok="t"/>
              </v:shape>
            </v:group>
            <v:group style="position:absolute;left:1150;top:12250;width:2;height:705" coordorigin="1150,12250" coordsize="2,705">
              <v:shape style="position:absolute;left:1150;top:12250;width:2;height:705" coordorigin="1150,12250" coordsize="0,705" path="m1150,12250l1150,12955e" filled="false" stroked="true" strokeweight="1.140pt" strokecolor="#d2d2d2">
                <v:path arrowok="t"/>
              </v:shape>
            </v:group>
            <v:group style="position:absolute;left:2075;top:12250;width:2;height:705" coordorigin="2075,12250" coordsize="2,705">
              <v:shape style="position:absolute;left:2075;top:12250;width:2;height:705" coordorigin="2075,12250" coordsize="0,705" path="m2075,12250l2075,12955e" filled="false" stroked="true" strokeweight="1.140pt" strokecolor="#d2d2d2">
                <v:path arrowok="t"/>
              </v:shape>
            </v:group>
            <v:group style="position:absolute;left:1162;top:12250;width:902;height:353" coordorigin="1162,12250" coordsize="902,353">
              <v:shape style="position:absolute;left:1162;top:12250;width:902;height:353" coordorigin="1162,12250" coordsize="902,353" path="m1162,12603l2063,12603,2063,12250,1162,12250,1162,12603xe" filled="true" fillcolor="#d2d2d2" stroked="false">
                <v:path arrowok="t"/>
                <v:fill type="solid"/>
              </v:shape>
            </v:group>
            <v:group style="position:absolute;left:1162;top:12603;width:902;height:352" coordorigin="1162,12603" coordsize="902,352">
              <v:shape style="position:absolute;left:1162;top:12603;width:902;height:352" coordorigin="1162,12603" coordsize="902,352" path="m1162,12955l2063,12955,2063,12603,1162,12603,1162,12955xe" filled="true" fillcolor="#d2d2d2" stroked="false">
                <v:path arrowok="t"/>
                <v:fill type="solid"/>
              </v:shape>
            </v:group>
            <v:group style="position:absolute;left:1139;top:12246;width:949;height:2" coordorigin="1139,12246" coordsize="949,2">
              <v:shape style="position:absolute;left:1139;top:12246;width:949;height:2" coordorigin="1139,12246" coordsize="949,0" path="m1139,12246l2087,12246e" filled="false" stroked="true" strokeweight=".48pt" strokecolor="#000000">
                <v:path arrowok="t"/>
              </v:shape>
            </v:group>
            <v:group style="position:absolute;left:2097;top:12246;width:947;height:2" coordorigin="2097,12246" coordsize="947,2">
              <v:shape style="position:absolute;left:2097;top:12246;width:947;height:2" coordorigin="2097,12246" coordsize="947,0" path="m2097,12246l3044,12246e" filled="false" stroked="true" strokeweight=".48pt" strokecolor="#000000">
                <v:path arrowok="t"/>
              </v:shape>
            </v:group>
            <v:group style="position:absolute;left:3053;top:12246;width:948;height:2" coordorigin="3053,12246" coordsize="948,2">
              <v:shape style="position:absolute;left:3053;top:12246;width:948;height:2" coordorigin="3053,12246" coordsize="948,0" path="m3053,12246l4001,12246e" filled="false" stroked="true" strokeweight=".48pt" strokecolor="#000000">
                <v:path arrowok="t"/>
              </v:shape>
            </v:group>
            <v:group style="position:absolute;left:4011;top:12246;width:948;height:2" coordorigin="4011,12246" coordsize="948,2">
              <v:shape style="position:absolute;left:4011;top:12246;width:948;height:2" coordorigin="4011,12246" coordsize="948,0" path="m4011,12246l4958,12246e" filled="false" stroked="true" strokeweight=".48pt" strokecolor="#000000">
                <v:path arrowok="t"/>
              </v:shape>
            </v:group>
            <v:group style="position:absolute;left:4968;top:12246;width:948;height:2" coordorigin="4968,12246" coordsize="948,2">
              <v:shape style="position:absolute;left:4968;top:12246;width:948;height:2" coordorigin="4968,12246" coordsize="948,0" path="m4968,12246l5916,12246e" filled="false" stroked="true" strokeweight=".48pt" strokecolor="#000000">
                <v:path arrowok="t"/>
              </v:shape>
            </v:group>
            <v:group style="position:absolute;left:5925;top:12246;width:947;height:2" coordorigin="5925,12246" coordsize="947,2">
              <v:shape style="position:absolute;left:5925;top:12246;width:947;height:2" coordorigin="5925,12246" coordsize="947,0" path="m5925,12246l6872,12246e" filled="false" stroked="true" strokeweight=".48pt" strokecolor="#000000">
                <v:path arrowok="t"/>
              </v:shape>
            </v:group>
            <v:group style="position:absolute;left:6882;top:12246;width:948;height:2" coordorigin="6882,12246" coordsize="948,2">
              <v:shape style="position:absolute;left:6882;top:12246;width:948;height:2" coordorigin="6882,12246" coordsize="948,0" path="m6882,12246l7830,12246e" filled="false" stroked="true" strokeweight=".48pt" strokecolor="#000000">
                <v:path arrowok="t"/>
              </v:shape>
            </v:group>
            <v:group style="position:absolute;left:7839;top:12246;width:948;height:2" coordorigin="7839,12246" coordsize="948,2">
              <v:shape style="position:absolute;left:7839;top:12246;width:948;height:2" coordorigin="7839,12246" coordsize="948,0" path="m7839,12246l8786,12246e" filled="false" stroked="true" strokeweight=".48pt" strokecolor="#000000">
                <v:path arrowok="t"/>
              </v:shape>
            </v:group>
            <v:group style="position:absolute;left:8796;top:12246;width:948;height:2" coordorigin="8796,12246" coordsize="948,2">
              <v:shape style="position:absolute;left:8796;top:12246;width:948;height:2" coordorigin="8796,12246" coordsize="948,0" path="m8796,12246l9744,12246e" filled="false" stroked="true" strokeweight=".48pt" strokecolor="#000000">
                <v:path arrowok="t"/>
              </v:shape>
            </v:group>
            <v:group style="position:absolute;left:9754;top:12246;width:947;height:2" coordorigin="9754,12246" coordsize="947,2">
              <v:shape style="position:absolute;left:9754;top:12246;width:947;height:2" coordorigin="9754,12246" coordsize="947,0" path="m9754,12246l10700,12246e" filled="false" stroked="true" strokeweight=".48pt" strokecolor="#000000">
                <v:path arrowok="t"/>
              </v:shape>
            </v:group>
            <v:group style="position:absolute;left:1150;top:12964;width:2;height:705" coordorigin="1150,12964" coordsize="2,705">
              <v:shape style="position:absolute;left:1150;top:12964;width:2;height:705" coordorigin="1150,12964" coordsize="0,705" path="m1150,12964l1150,13669e" filled="false" stroked="true" strokeweight="1.140pt" strokecolor="#d2d2d2">
                <v:path arrowok="t"/>
              </v:shape>
            </v:group>
            <v:group style="position:absolute;left:2075;top:12964;width:2;height:705" coordorigin="2075,12964" coordsize="2,705">
              <v:shape style="position:absolute;left:2075;top:12964;width:2;height:705" coordorigin="2075,12964" coordsize="0,705" path="m2075,12964l2075,13669e" filled="false" stroked="true" strokeweight="1.140pt" strokecolor="#d2d2d2">
                <v:path arrowok="t"/>
              </v:shape>
            </v:group>
            <v:group style="position:absolute;left:1162;top:12964;width:902;height:353" coordorigin="1162,12964" coordsize="902,353">
              <v:shape style="position:absolute;left:1162;top:12964;width:902;height:353" coordorigin="1162,12964" coordsize="902,353" path="m1162,13317l2063,13317,2063,12964,1162,12964,1162,13317xe" filled="true" fillcolor="#d2d2d2" stroked="false">
                <v:path arrowok="t"/>
                <v:fill type="solid"/>
              </v:shape>
            </v:group>
            <v:group style="position:absolute;left:1162;top:13317;width:902;height:352" coordorigin="1162,13317" coordsize="902,352">
              <v:shape style="position:absolute;left:1162;top:13317;width:902;height:352" coordorigin="1162,13317" coordsize="902,352" path="m1162,13669l2063,13669,2063,13317,1162,13317,1162,13669xe" filled="true" fillcolor="#d2d2d2" stroked="false">
                <v:path arrowok="t"/>
                <v:fill type="solid"/>
              </v:shape>
            </v:group>
            <v:group style="position:absolute;left:2097;top:12964;width:947;height:156" coordorigin="2097,12964" coordsize="947,156">
              <v:shape style="position:absolute;left:2097;top:12964;width:947;height:156" coordorigin="2097,12964" coordsize="947,156" path="m2097,13120l3044,13120,3044,12964,2097,12964,2097,13120xe" filled="true" fillcolor="#ffffff" stroked="false">
                <v:path arrowok="t"/>
                <v:fill type="solid"/>
              </v:shape>
            </v:group>
            <v:group style="position:absolute;left:2108;top:13120;width:2;height:393" coordorigin="2108,13120" coordsize="2,393">
              <v:shape style="position:absolute;left:2108;top:13120;width:2;height:393" coordorigin="2108,13120" coordsize="0,393" path="m2108,13120l2108,13513e" filled="false" stroked="true" strokeweight="1.140pt" strokecolor="#ffffff">
                <v:path arrowok="t"/>
              </v:shape>
            </v:group>
            <v:group style="position:absolute;left:2120;top:13120;width:902;height:393" coordorigin="2120,13120" coordsize="902,393">
              <v:shape style="position:absolute;left:2120;top:13120;width:902;height:393" coordorigin="2120,13120" coordsize="902,393" path="m2120,13513l3021,13513,3021,13120,2120,13120,2120,13513xe" filled="true" fillcolor="#ffffff" stroked="false">
                <v:path arrowok="t"/>
                <v:fill type="solid"/>
              </v:shape>
            </v:group>
            <v:group style="position:absolute;left:1139;top:12960;width:949;height:2" coordorigin="1139,12960" coordsize="949,2">
              <v:shape style="position:absolute;left:1139;top:12960;width:949;height:2" coordorigin="1139,12960" coordsize="949,0" path="m1139,12960l2087,12960e" filled="false" stroked="true" strokeweight=".48pt" strokecolor="#000000">
                <v:path arrowok="t"/>
              </v:shape>
            </v:group>
            <v:group style="position:absolute;left:2097;top:12960;width:947;height:2" coordorigin="2097,12960" coordsize="947,2">
              <v:shape style="position:absolute;left:2097;top:12960;width:947;height:2" coordorigin="2097,12960" coordsize="947,0" path="m2097,12960l3044,12960e" filled="false" stroked="true" strokeweight=".48pt" strokecolor="#000000">
                <v:path arrowok="t"/>
              </v:shape>
            </v:group>
            <v:group style="position:absolute;left:3053;top:12960;width:948;height:2" coordorigin="3053,12960" coordsize="948,2">
              <v:shape style="position:absolute;left:3053;top:12960;width:948;height:2" coordorigin="3053,12960" coordsize="948,0" path="m3053,12960l4001,12960e" filled="false" stroked="true" strokeweight=".48pt" strokecolor="#000000">
                <v:path arrowok="t"/>
              </v:shape>
            </v:group>
            <v:group style="position:absolute;left:4011;top:12960;width:948;height:2" coordorigin="4011,12960" coordsize="948,2">
              <v:shape style="position:absolute;left:4011;top:12960;width:948;height:2" coordorigin="4011,12960" coordsize="948,0" path="m4011,12960l4958,12960e" filled="false" stroked="true" strokeweight=".48pt" strokecolor="#000000">
                <v:path arrowok="t"/>
              </v:shape>
            </v:group>
            <v:group style="position:absolute;left:4968;top:12960;width:948;height:2" coordorigin="4968,12960" coordsize="948,2">
              <v:shape style="position:absolute;left:4968;top:12960;width:948;height:2" coordorigin="4968,12960" coordsize="948,0" path="m4968,12960l5916,12960e" filled="false" stroked="true" strokeweight=".48pt" strokecolor="#000000">
                <v:path arrowok="t"/>
              </v:shape>
            </v:group>
            <v:group style="position:absolute;left:5925;top:12960;width:947;height:2" coordorigin="5925,12960" coordsize="947,2">
              <v:shape style="position:absolute;left:5925;top:12960;width:947;height:2" coordorigin="5925,12960" coordsize="947,0" path="m5925,12960l6872,12960e" filled="false" stroked="true" strokeweight=".48pt" strokecolor="#000000">
                <v:path arrowok="t"/>
              </v:shape>
            </v:group>
            <v:group style="position:absolute;left:6882;top:12960;width:948;height:2" coordorigin="6882,12960" coordsize="948,2">
              <v:shape style="position:absolute;left:6882;top:12960;width:948;height:2" coordorigin="6882,12960" coordsize="948,0" path="m6882,12960l7830,12960e" filled="false" stroked="true" strokeweight=".48pt" strokecolor="#000000">
                <v:path arrowok="t"/>
              </v:shape>
            </v:group>
            <v:group style="position:absolute;left:7839;top:12960;width:948;height:2" coordorigin="7839,12960" coordsize="948,2">
              <v:shape style="position:absolute;left:7839;top:12960;width:948;height:2" coordorigin="7839,12960" coordsize="948,0" path="m7839,12960l8786,12960e" filled="false" stroked="true" strokeweight=".48pt" strokecolor="#000000">
                <v:path arrowok="t"/>
              </v:shape>
            </v:group>
            <v:group style="position:absolute;left:8796;top:12960;width:948;height:2" coordorigin="8796,12960" coordsize="948,2">
              <v:shape style="position:absolute;left:8796;top:12960;width:948;height:2" coordorigin="8796,12960" coordsize="948,0" path="m8796,12960l9744,12960e" filled="false" stroked="true" strokeweight=".48pt" strokecolor="#000000">
                <v:path arrowok="t"/>
              </v:shape>
            </v:group>
            <v:group style="position:absolute;left:9754;top:12960;width:947;height:2" coordorigin="9754,12960" coordsize="947,2">
              <v:shape style="position:absolute;left:9754;top:12960;width:947;height:2" coordorigin="9754,12960" coordsize="947,0" path="m9754,12960l10700,12960e" filled="false" stroked="true" strokeweight=".48pt" strokecolor="#000000">
                <v:path arrowok="t"/>
              </v:shape>
            </v:group>
            <v:group style="position:absolute;left:1150;top:13678;width:2;height:393" coordorigin="1150,13678" coordsize="2,393">
              <v:shape style="position:absolute;left:1150;top:13678;width:2;height:393" coordorigin="1150,13678" coordsize="0,393" path="m1150,13678l1150,14071e" filled="false" stroked="true" strokeweight="1.140pt" strokecolor="#e0ffff">
                <v:path arrowok="t"/>
              </v:shape>
            </v:group>
            <v:group style="position:absolute;left:2075;top:13678;width:2;height:393" coordorigin="2075,13678" coordsize="2,393">
              <v:shape style="position:absolute;left:2075;top:13678;width:2;height:393" coordorigin="2075,13678" coordsize="0,393" path="m2075,13678l2075,14071e" filled="false" stroked="true" strokeweight="1.140pt" strokecolor="#e0ffff">
                <v:path arrowok="t"/>
              </v:shape>
            </v:group>
            <v:group style="position:absolute;left:1162;top:13678;width:902;height:393" coordorigin="1162,13678" coordsize="902,393">
              <v:shape style="position:absolute;left:1162;top:13678;width:902;height:393" coordorigin="1162,13678" coordsize="902,393" path="m1162,14071l2063,14071,2063,13678,1162,13678,1162,14071xe" filled="true" fillcolor="#e0ffff" stroked="false">
                <v:path arrowok="t"/>
                <v:fill type="solid"/>
              </v:shape>
            </v:group>
            <v:group style="position:absolute;left:1139;top:13674;width:949;height:2" coordorigin="1139,13674" coordsize="949,2">
              <v:shape style="position:absolute;left:1139;top:13674;width:949;height:2" coordorigin="1139,13674" coordsize="949,0" path="m1139,13674l2087,13674e" filled="false" stroked="true" strokeweight=".48pt" strokecolor="#000000">
                <v:path arrowok="t"/>
              </v:shape>
            </v:group>
            <v:group style="position:absolute;left:2097;top:13674;width:947;height:2" coordorigin="2097,13674" coordsize="947,2">
              <v:shape style="position:absolute;left:2097;top:13674;width:947;height:2" coordorigin="2097,13674" coordsize="947,0" path="m2097,13674l3044,13674e" filled="false" stroked="true" strokeweight=".48pt" strokecolor="#000000">
                <v:path arrowok="t"/>
              </v:shape>
            </v:group>
            <v:group style="position:absolute;left:3053;top:13674;width:948;height:2" coordorigin="3053,13674" coordsize="948,2">
              <v:shape style="position:absolute;left:3053;top:13674;width:948;height:2" coordorigin="3053,13674" coordsize="948,0" path="m3053,13674l4001,13674e" filled="false" stroked="true" strokeweight=".48pt" strokecolor="#000000">
                <v:path arrowok="t"/>
              </v:shape>
            </v:group>
            <v:group style="position:absolute;left:4011;top:13674;width:948;height:2" coordorigin="4011,13674" coordsize="948,2">
              <v:shape style="position:absolute;left:4011;top:13674;width:948;height:2" coordorigin="4011,13674" coordsize="948,0" path="m4011,13674l4958,13674e" filled="false" stroked="true" strokeweight=".48pt" strokecolor="#000000">
                <v:path arrowok="t"/>
              </v:shape>
            </v:group>
            <v:group style="position:absolute;left:4968;top:13674;width:948;height:2" coordorigin="4968,13674" coordsize="948,2">
              <v:shape style="position:absolute;left:4968;top:13674;width:948;height:2" coordorigin="4968,13674" coordsize="948,0" path="m4968,13674l5916,13674e" filled="false" stroked="true" strokeweight=".48pt" strokecolor="#000000">
                <v:path arrowok="t"/>
              </v:shape>
            </v:group>
            <v:group style="position:absolute;left:5925;top:13674;width:947;height:2" coordorigin="5925,13674" coordsize="947,2">
              <v:shape style="position:absolute;left:5925;top:13674;width:947;height:2" coordorigin="5925,13674" coordsize="947,0" path="m5925,13674l6872,13674e" filled="false" stroked="true" strokeweight=".48pt" strokecolor="#000000">
                <v:path arrowok="t"/>
              </v:shape>
            </v:group>
            <v:group style="position:absolute;left:6882;top:13674;width:948;height:2" coordorigin="6882,13674" coordsize="948,2">
              <v:shape style="position:absolute;left:6882;top:13674;width:948;height:2" coordorigin="6882,13674" coordsize="948,0" path="m6882,13674l7830,13674e" filled="false" stroked="true" strokeweight=".48pt" strokecolor="#000000">
                <v:path arrowok="t"/>
              </v:shape>
            </v:group>
            <v:group style="position:absolute;left:7839;top:13674;width:948;height:2" coordorigin="7839,13674" coordsize="948,2">
              <v:shape style="position:absolute;left:7839;top:13674;width:948;height:2" coordorigin="7839,13674" coordsize="948,0" path="m7839,13674l8786,13674e" filled="false" stroked="true" strokeweight=".48pt" strokecolor="#000000">
                <v:path arrowok="t"/>
              </v:shape>
            </v:group>
            <v:group style="position:absolute;left:8796;top:13674;width:948;height:2" coordorigin="8796,13674" coordsize="948,2">
              <v:shape style="position:absolute;left:8796;top:13674;width:948;height:2" coordorigin="8796,13674" coordsize="948,0" path="m8796,13674l9744,13674e" filled="false" stroked="true" strokeweight=".48pt" strokecolor="#000000">
                <v:path arrowok="t"/>
              </v:shape>
            </v:group>
            <v:group style="position:absolute;left:9754;top:13674;width:947;height:2" coordorigin="9754,13674" coordsize="947,2">
              <v:shape style="position:absolute;left:9754;top:13674;width:947;height:2" coordorigin="9754,13674" coordsize="947,0" path="m9754,13674l10700,13674e" filled="false" stroked="true" strokeweight=".48pt" strokecolor="#000000">
                <v:path arrowok="t"/>
              </v:shape>
            </v:group>
            <v:group style="position:absolute;left:1150;top:14081;width:2;height:705" coordorigin="1150,14081" coordsize="2,705">
              <v:shape style="position:absolute;left:1150;top:14081;width:2;height:705" coordorigin="1150,14081" coordsize="0,705" path="m1150,14081l1150,14785e" filled="false" stroked="true" strokeweight="1.140pt" strokecolor="#d2d2d2">
                <v:path arrowok="t"/>
              </v:shape>
            </v:group>
            <v:group style="position:absolute;left:2075;top:14081;width:2;height:705" coordorigin="2075,14081" coordsize="2,705">
              <v:shape style="position:absolute;left:2075;top:14081;width:2;height:705" coordorigin="2075,14081" coordsize="0,705" path="m2075,14081l2075,14785e" filled="false" stroked="true" strokeweight="1.140pt" strokecolor="#d2d2d2">
                <v:path arrowok="t"/>
              </v:shape>
            </v:group>
            <v:group style="position:absolute;left:1162;top:14081;width:902;height:353" coordorigin="1162,14081" coordsize="902,353">
              <v:shape style="position:absolute;left:1162;top:14081;width:902;height:353" coordorigin="1162,14081" coordsize="902,353" path="m1162,14434l2063,14434,2063,14081,1162,14081,1162,14434xe" filled="true" fillcolor="#d2d2d2" stroked="false">
                <v:path arrowok="t"/>
                <v:fill type="solid"/>
              </v:shape>
            </v:group>
            <v:group style="position:absolute;left:1162;top:14434;width:902;height:352" coordorigin="1162,14434" coordsize="902,352">
              <v:shape style="position:absolute;left:1162;top:14434;width:902;height:352" coordorigin="1162,14434" coordsize="902,352" path="m1162,14785l2063,14785,2063,14434,1162,14434,1162,14785xe" filled="true" fillcolor="#d2d2d2" stroked="false">
                <v:path arrowok="t"/>
                <v:fill type="solid"/>
              </v:shape>
            </v:group>
            <v:group style="position:absolute;left:1139;top:14076;width:949;height:2" coordorigin="1139,14076" coordsize="949,2">
              <v:shape style="position:absolute;left:1139;top:14076;width:949;height:2" coordorigin="1139,14076" coordsize="949,0" path="m1139,14076l2087,14076e" filled="false" stroked="true" strokeweight=".48pt" strokecolor="#000000">
                <v:path arrowok="t"/>
              </v:shape>
            </v:group>
            <v:group style="position:absolute;left:2097;top:14076;width:947;height:2" coordorigin="2097,14076" coordsize="947,2">
              <v:shape style="position:absolute;left:2097;top:14076;width:947;height:2" coordorigin="2097,14076" coordsize="947,0" path="m2097,14076l3044,14076e" filled="false" stroked="true" strokeweight=".48pt" strokecolor="#000000">
                <v:path arrowok="t"/>
              </v:shape>
            </v:group>
            <v:group style="position:absolute;left:3053;top:14076;width:948;height:2" coordorigin="3053,14076" coordsize="948,2">
              <v:shape style="position:absolute;left:3053;top:14076;width:948;height:2" coordorigin="3053,14076" coordsize="948,0" path="m3053,14076l4001,14076e" filled="false" stroked="true" strokeweight=".48pt" strokecolor="#000000">
                <v:path arrowok="t"/>
              </v:shape>
            </v:group>
            <v:group style="position:absolute;left:4011;top:14076;width:948;height:2" coordorigin="4011,14076" coordsize="948,2">
              <v:shape style="position:absolute;left:4011;top:14076;width:948;height:2" coordorigin="4011,14076" coordsize="948,0" path="m4011,14076l4958,14076e" filled="false" stroked="true" strokeweight=".48pt" strokecolor="#000000">
                <v:path arrowok="t"/>
              </v:shape>
            </v:group>
            <v:group style="position:absolute;left:4968;top:14076;width:948;height:2" coordorigin="4968,14076" coordsize="948,2">
              <v:shape style="position:absolute;left:4968;top:14076;width:948;height:2" coordorigin="4968,14076" coordsize="948,0" path="m4968,14076l5916,14076e" filled="false" stroked="true" strokeweight=".48pt" strokecolor="#000000">
                <v:path arrowok="t"/>
              </v:shape>
            </v:group>
            <v:group style="position:absolute;left:5925;top:14076;width:947;height:2" coordorigin="5925,14076" coordsize="947,2">
              <v:shape style="position:absolute;left:5925;top:14076;width:947;height:2" coordorigin="5925,14076" coordsize="947,0" path="m5925,14076l6872,14076e" filled="false" stroked="true" strokeweight=".48pt" strokecolor="#000000">
                <v:path arrowok="t"/>
              </v:shape>
            </v:group>
            <v:group style="position:absolute;left:6882;top:14076;width:948;height:2" coordorigin="6882,14076" coordsize="948,2">
              <v:shape style="position:absolute;left:6882;top:14076;width:948;height:2" coordorigin="6882,14076" coordsize="948,0" path="m6882,14076l7830,14076e" filled="false" stroked="true" strokeweight=".48pt" strokecolor="#000000">
                <v:path arrowok="t"/>
              </v:shape>
            </v:group>
            <v:group style="position:absolute;left:7839;top:14076;width:948;height:2" coordorigin="7839,14076" coordsize="948,2">
              <v:shape style="position:absolute;left:7839;top:14076;width:948;height:2" coordorigin="7839,14076" coordsize="948,0" path="m7839,14076l8786,14076e" filled="false" stroked="true" strokeweight=".48pt" strokecolor="#000000">
                <v:path arrowok="t"/>
              </v:shape>
            </v:group>
            <v:group style="position:absolute;left:8796;top:14076;width:948;height:2" coordorigin="8796,14076" coordsize="948,2">
              <v:shape style="position:absolute;left:8796;top:14076;width:948;height:2" coordorigin="8796,14076" coordsize="948,0" path="m8796,14076l9744,14076e" filled="false" stroked="true" strokeweight=".48pt" strokecolor="#000000">
                <v:path arrowok="t"/>
              </v:shape>
            </v:group>
            <v:group style="position:absolute;left:9754;top:14076;width:947;height:2" coordorigin="9754,14076" coordsize="947,2">
              <v:shape style="position:absolute;left:9754;top:14076;width:947;height:2" coordorigin="9754,14076" coordsize="947,0" path="m9754,14076l10700,14076e" filled="false" stroked="true" strokeweight=".48pt" strokecolor="#000000">
                <v:path arrowok="t"/>
              </v:shape>
            </v:group>
            <v:group style="position:absolute;left:1139;top:14805;width:948;height:2" coordorigin="1139,14805" coordsize="948,2">
              <v:shape style="position:absolute;left:1139;top:14805;width:948;height:2" coordorigin="1139,14805" coordsize="948,0" path="m1139,14805l2086,14805e" filled="false" stroked="true" strokeweight="1.02pt" strokecolor="#d2d2d2">
                <v:path arrowok="t"/>
              </v:shape>
            </v:group>
            <v:group style="position:absolute;left:1150;top:14815;width:2;height:352" coordorigin="1150,14815" coordsize="2,352">
              <v:shape style="position:absolute;left:1150;top:14815;width:2;height:352" coordorigin="1150,14815" coordsize="0,352" path="m1150,14815l1150,15167e" filled="false" stroked="true" strokeweight="1.140pt" strokecolor="#d2d2d2">
                <v:path arrowok="t"/>
              </v:shape>
            </v:group>
            <v:group style="position:absolute;left:2075;top:14815;width:2;height:352" coordorigin="2075,14815" coordsize="2,352">
              <v:shape style="position:absolute;left:2075;top:14815;width:2;height:352" coordorigin="2075,14815" coordsize="0,352" path="m2075,14815l2075,15167e" filled="false" stroked="true" strokeweight="1.140pt" strokecolor="#d2d2d2">
                <v:path arrowok="t"/>
              </v:shape>
            </v:group>
            <v:group style="position:absolute;left:1139;top:15177;width:948;height:2" coordorigin="1139,15177" coordsize="948,2">
              <v:shape style="position:absolute;left:1139;top:15177;width:948;height:2" coordorigin="1139,15177" coordsize="948,0" path="m1139,15177l2086,15177e" filled="false" stroked="true" strokeweight="1.02pt" strokecolor="#d2d2d2">
                <v:path arrowok="t"/>
              </v:shape>
            </v:group>
            <v:group style="position:absolute;left:1162;top:14815;width:902;height:352" coordorigin="1162,14815" coordsize="902,352">
              <v:shape style="position:absolute;left:1162;top:14815;width:902;height:352" coordorigin="1162,14815" coordsize="902,352" path="m1162,15167l2063,15167,2063,14815,1162,14815,1162,15167xe" filled="true" fillcolor="#d2d2d2" stroked="false">
                <v:path arrowok="t"/>
                <v:fill type="solid"/>
              </v:shape>
            </v:group>
            <v:group style="position:absolute;left:1139;top:14790;width:949;height:2" coordorigin="1139,14790" coordsize="949,2">
              <v:shape style="position:absolute;left:1139;top:14790;width:949;height:2" coordorigin="1139,14790" coordsize="949,0" path="m1139,14790l2087,14790e" filled="false" stroked="true" strokeweight=".48pt" strokecolor="#000000">
                <v:path arrowok="t"/>
              </v:shape>
            </v:group>
            <v:group style="position:absolute;left:2097;top:14790;width:947;height:2" coordorigin="2097,14790" coordsize="947,2">
              <v:shape style="position:absolute;left:2097;top:14790;width:947;height:2" coordorigin="2097,14790" coordsize="947,0" path="m2097,14790l3044,14790e" filled="false" stroked="true" strokeweight=".48pt" strokecolor="#000000">
                <v:path arrowok="t"/>
              </v:shape>
            </v:group>
            <v:group style="position:absolute;left:3053;top:14790;width:948;height:2" coordorigin="3053,14790" coordsize="948,2">
              <v:shape style="position:absolute;left:3053;top:14790;width:948;height:2" coordorigin="3053,14790" coordsize="948,0" path="m3053,14790l4001,14790e" filled="false" stroked="true" strokeweight=".48pt" strokecolor="#000000">
                <v:path arrowok="t"/>
              </v:shape>
            </v:group>
            <v:group style="position:absolute;left:4011;top:14790;width:948;height:2" coordorigin="4011,14790" coordsize="948,2">
              <v:shape style="position:absolute;left:4011;top:14790;width:948;height:2" coordorigin="4011,14790" coordsize="948,0" path="m4011,14790l4958,14790e" filled="false" stroked="true" strokeweight=".48pt" strokecolor="#000000">
                <v:path arrowok="t"/>
              </v:shape>
            </v:group>
            <v:group style="position:absolute;left:4968;top:14790;width:948;height:2" coordorigin="4968,14790" coordsize="948,2">
              <v:shape style="position:absolute;left:4968;top:14790;width:948;height:2" coordorigin="4968,14790" coordsize="948,0" path="m4968,14790l5916,14790e" filled="false" stroked="true" strokeweight=".48pt" strokecolor="#000000">
                <v:path arrowok="t"/>
              </v:shape>
            </v:group>
            <v:group style="position:absolute;left:5925;top:14790;width:947;height:2" coordorigin="5925,14790" coordsize="947,2">
              <v:shape style="position:absolute;left:5925;top:14790;width:947;height:2" coordorigin="5925,14790" coordsize="947,0" path="m5925,14790l6872,14790e" filled="false" stroked="true" strokeweight=".48pt" strokecolor="#000000">
                <v:path arrowok="t"/>
              </v:shape>
            </v:group>
            <v:group style="position:absolute;left:6882;top:14790;width:948;height:2" coordorigin="6882,14790" coordsize="948,2">
              <v:shape style="position:absolute;left:6882;top:14790;width:948;height:2" coordorigin="6882,14790" coordsize="948,0" path="m6882,14790l7830,14790e" filled="false" stroked="true" strokeweight=".48pt" strokecolor="#000000">
                <v:path arrowok="t"/>
              </v:shape>
            </v:group>
            <v:group style="position:absolute;left:7839;top:14790;width:948;height:2" coordorigin="7839,14790" coordsize="948,2">
              <v:shape style="position:absolute;left:7839;top:14790;width:948;height:2" coordorigin="7839,14790" coordsize="948,0" path="m7839,14790l8786,14790e" filled="false" stroked="true" strokeweight=".48pt" strokecolor="#000000">
                <v:path arrowok="t"/>
              </v:shape>
            </v:group>
            <v:group style="position:absolute;left:8796;top:14790;width:948;height:2" coordorigin="8796,14790" coordsize="948,2">
              <v:shape style="position:absolute;left:8796;top:14790;width:948;height:2" coordorigin="8796,14790" coordsize="948,0" path="m8796,14790l9744,14790e" filled="false" stroked="true" strokeweight=".48pt" strokecolor="#000000">
                <v:path arrowok="t"/>
              </v:shape>
            </v:group>
            <v:group style="position:absolute;left:9754;top:14790;width:947;height:2" coordorigin="9754,14790" coordsize="947,2">
              <v:shape style="position:absolute;left:9754;top:14790;width:947;height:2" coordorigin="9754,14790" coordsize="947,0" path="m9754,14790l10700,14790e" filled="false" stroked="true" strokeweight=".48pt" strokecolor="#000000">
                <v:path arrowok="t"/>
              </v:shape>
            </v:group>
            <v:group style="position:absolute;left:1134;top:1440;width:2;height:13757" coordorigin="1134,1440" coordsize="2,13757">
              <v:shape style="position:absolute;left:1134;top:1440;width:2;height:13757" coordorigin="1134,1440" coordsize="0,13757" path="m1134,1440l1134,15197e" filled="false" stroked="true" strokeweight=".48pt" strokecolor="#000000">
                <v:path arrowok="t"/>
              </v:shape>
            </v:group>
            <v:group style="position:absolute;left:1139;top:15192;width:949;height:2" coordorigin="1139,15192" coordsize="949,2">
              <v:shape style="position:absolute;left:1139;top:15192;width:949;height:2" coordorigin="1139,15192" coordsize="949,0" path="m1139,15192l2087,15192e" filled="false" stroked="true" strokeweight=".48pt" strokecolor="#000000">
                <v:path arrowok="t"/>
              </v:shape>
            </v:group>
            <v:group style="position:absolute;left:2092;top:1440;width:2;height:13757" coordorigin="2092,1440" coordsize="2,13757">
              <v:shape style="position:absolute;left:2092;top:1440;width:2;height:13757" coordorigin="2092,1440" coordsize="0,13757" path="m2092,1440l2092,15197e" filled="false" stroked="true" strokeweight=".48pt" strokecolor="#000000">
                <v:path arrowok="t"/>
              </v:shape>
            </v:group>
            <v:group style="position:absolute;left:2097;top:15192;width:947;height:2" coordorigin="2097,15192" coordsize="947,2">
              <v:shape style="position:absolute;left:2097;top:15192;width:947;height:2" coordorigin="2097,15192" coordsize="947,0" path="m2097,15192l3044,15192e" filled="false" stroked="true" strokeweight=".48pt" strokecolor="#000000">
                <v:path arrowok="t"/>
              </v:shape>
            </v:group>
            <v:group style="position:absolute;left:3048;top:1440;width:2;height:13757" coordorigin="3048,1440" coordsize="2,13757">
              <v:shape style="position:absolute;left:3048;top:1440;width:2;height:13757" coordorigin="3048,1440" coordsize="0,13757" path="m3048,1440l3048,15197e" filled="false" stroked="true" strokeweight=".48pt" strokecolor="#000000">
                <v:path arrowok="t"/>
              </v:shape>
            </v:group>
            <v:group style="position:absolute;left:3053;top:15192;width:948;height:2" coordorigin="3053,15192" coordsize="948,2">
              <v:shape style="position:absolute;left:3053;top:15192;width:948;height:2" coordorigin="3053,15192" coordsize="948,0" path="m3053,15192l4001,15192e" filled="false" stroked="true" strokeweight=".48pt" strokecolor="#000000">
                <v:path arrowok="t"/>
              </v:shape>
            </v:group>
            <v:group style="position:absolute;left:4006;top:1440;width:2;height:13757" coordorigin="4006,1440" coordsize="2,13757">
              <v:shape style="position:absolute;left:4006;top:1440;width:2;height:13757" coordorigin="4006,1440" coordsize="0,13757" path="m4006,1440l4006,15197e" filled="false" stroked="true" strokeweight=".48pt" strokecolor="#000000">
                <v:path arrowok="t"/>
              </v:shape>
            </v:group>
            <v:group style="position:absolute;left:4011;top:15192;width:948;height:2" coordorigin="4011,15192" coordsize="948,2">
              <v:shape style="position:absolute;left:4011;top:15192;width:948;height:2" coordorigin="4011,15192" coordsize="948,0" path="m4011,15192l4958,15192e" filled="false" stroked="true" strokeweight=".48pt" strokecolor="#000000">
                <v:path arrowok="t"/>
              </v:shape>
            </v:group>
            <v:group style="position:absolute;left:4963;top:1440;width:2;height:13757" coordorigin="4963,1440" coordsize="2,13757">
              <v:shape style="position:absolute;left:4963;top:1440;width:2;height:13757" coordorigin="4963,1440" coordsize="0,13757" path="m4963,1440l4963,15197e" filled="false" stroked="true" strokeweight=".48pt" strokecolor="#000000">
                <v:path arrowok="t"/>
              </v:shape>
            </v:group>
            <v:group style="position:absolute;left:4968;top:15192;width:948;height:2" coordorigin="4968,15192" coordsize="948,2">
              <v:shape style="position:absolute;left:4968;top:15192;width:948;height:2" coordorigin="4968,15192" coordsize="948,0" path="m4968,15192l5916,15192e" filled="false" stroked="true" strokeweight=".48pt" strokecolor="#000000">
                <v:path arrowok="t"/>
              </v:shape>
            </v:group>
            <v:group style="position:absolute;left:5920;top:1440;width:2;height:13757" coordorigin="5920,1440" coordsize="2,13757">
              <v:shape style="position:absolute;left:5920;top:1440;width:2;height:13757" coordorigin="5920,1440" coordsize="0,13757" path="m5920,1440l5920,15197e" filled="false" stroked="true" strokeweight=".48pt" strokecolor="#000000">
                <v:path arrowok="t"/>
              </v:shape>
            </v:group>
            <v:group style="position:absolute;left:5925;top:15192;width:947;height:2" coordorigin="5925,15192" coordsize="947,2">
              <v:shape style="position:absolute;left:5925;top:15192;width:947;height:2" coordorigin="5925,15192" coordsize="947,0" path="m5925,15192l6872,15192e" filled="false" stroked="true" strokeweight=".48pt" strokecolor="#000000">
                <v:path arrowok="t"/>
              </v:shape>
            </v:group>
            <v:group style="position:absolute;left:6877;top:1440;width:2;height:13757" coordorigin="6877,1440" coordsize="2,13757">
              <v:shape style="position:absolute;left:6877;top:1440;width:2;height:13757" coordorigin="6877,1440" coordsize="0,13757" path="m6877,1440l6877,15197e" filled="false" stroked="true" strokeweight=".48pt" strokecolor="#000000">
                <v:path arrowok="t"/>
              </v:shape>
            </v:group>
            <v:group style="position:absolute;left:6882;top:15192;width:948;height:2" coordorigin="6882,15192" coordsize="948,2">
              <v:shape style="position:absolute;left:6882;top:15192;width:948;height:2" coordorigin="6882,15192" coordsize="948,0" path="m6882,15192l7830,15192e" filled="false" stroked="true" strokeweight=".48pt" strokecolor="#000000">
                <v:path arrowok="t"/>
              </v:shape>
            </v:group>
            <v:group style="position:absolute;left:7834;top:1440;width:2;height:13757" coordorigin="7834,1440" coordsize="2,13757">
              <v:shape style="position:absolute;left:7834;top:1440;width:2;height:13757" coordorigin="7834,1440" coordsize="0,13757" path="m7834,1440l7834,15197e" filled="false" stroked="true" strokeweight=".48pt" strokecolor="#000000">
                <v:path arrowok="t"/>
              </v:shape>
            </v:group>
            <v:group style="position:absolute;left:7839;top:15192;width:948;height:2" coordorigin="7839,15192" coordsize="948,2">
              <v:shape style="position:absolute;left:7839;top:15192;width:948;height:2" coordorigin="7839,15192" coordsize="948,0" path="m7839,15192l8786,15192e" filled="false" stroked="true" strokeweight=".48pt" strokecolor="#000000">
                <v:path arrowok="t"/>
              </v:shape>
            </v:group>
            <v:group style="position:absolute;left:8791;top:1440;width:2;height:13757" coordorigin="8791,1440" coordsize="2,13757">
              <v:shape style="position:absolute;left:8791;top:1440;width:2;height:13757" coordorigin="8791,1440" coordsize="0,13757" path="m8791,1440l8791,15197e" filled="false" stroked="true" strokeweight=".48pt" strokecolor="#000000">
                <v:path arrowok="t"/>
              </v:shape>
            </v:group>
            <v:group style="position:absolute;left:8796;top:15192;width:948;height:2" coordorigin="8796,15192" coordsize="948,2">
              <v:shape style="position:absolute;left:8796;top:15192;width:948;height:2" coordorigin="8796,15192" coordsize="948,0" path="m8796,15192l9744,15192e" filled="false" stroked="true" strokeweight=".48pt" strokecolor="#000000">
                <v:path arrowok="t"/>
              </v:shape>
            </v:group>
            <v:group style="position:absolute;left:9749;top:1440;width:2;height:13757" coordorigin="9749,1440" coordsize="2,13757">
              <v:shape style="position:absolute;left:9749;top:1440;width:2;height:13757" coordorigin="9749,1440" coordsize="0,13757" path="m9749,1440l9749,15197e" filled="false" stroked="true" strokeweight=".48pt" strokecolor="#000000">
                <v:path arrowok="t"/>
              </v:shape>
            </v:group>
            <v:group style="position:absolute;left:9754;top:15192;width:947;height:2" coordorigin="9754,15192" coordsize="947,2">
              <v:shape style="position:absolute;left:9754;top:15192;width:947;height:2" coordorigin="9754,15192" coordsize="947,0" path="m9754,15192l10700,15192e" filled="false" stroked="true" strokeweight=".48pt" strokecolor="#000000">
                <v:path arrowok="t"/>
              </v:shape>
            </v:group>
            <v:group style="position:absolute;left:10705;top:1440;width:2;height:13757" coordorigin="10705,1440" coordsize="2,13757">
              <v:shape style="position:absolute;left:10705;top:1440;width:2;height:13757" coordorigin="10705,1440" coordsize="0,13757" path="m10705,1440l10705,15197e" filled="false" stroked="true" strokeweight=".48pt" strokecolor="#000000">
                <v:path arrowok="t"/>
              </v:shape>
            </v:group>
            <w10:wrap type="none"/>
          </v:group>
        </w:pict>
      </w:r>
      <w:r>
        <w:rPr/>
        <w:pict>
          <v:shape style="position:absolute;margin-left:56.700001pt;margin-top:72.239983pt;width:479.75pt;height:692.4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6"/>
                    <w:gridCol w:w="958"/>
                    <w:gridCol w:w="957"/>
                    <w:gridCol w:w="958"/>
                    <w:gridCol w:w="956"/>
                    <w:gridCol w:w="958"/>
                    <w:gridCol w:w="957"/>
                    <w:gridCol w:w="958"/>
                    <w:gridCol w:w="980"/>
                  </w:tblGrid>
                  <w:tr>
                    <w:trPr>
                      <w:trHeight w:val="1077" w:hRule="exact"/>
                    </w:trPr>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319" w:lineRule="auto" w:before="56"/>
                          <w:ind w:left="27" w:right="28"/>
                          <w:jc w:val="left"/>
                          <w:rPr>
                            <w:rFonts w:ascii="宋体" w:hAnsi="宋体" w:cs="宋体" w:eastAsia="宋体" w:hint="default"/>
                            <w:sz w:val="18"/>
                            <w:szCs w:val="18"/>
                          </w:rPr>
                        </w:pPr>
                        <w:r>
                          <w:rPr>
                            <w:rFonts w:ascii="宋体" w:hAnsi="宋体" w:cs="宋体" w:eastAsia="宋体" w:hint="default"/>
                            <w:sz w:val="18"/>
                            <w:szCs w:val="18"/>
                          </w:rPr>
                          <w:t>一、账面原 值</w:t>
                        </w:r>
                      </w:p>
                      <w:p>
                        <w:pPr>
                          <w:pStyle w:val="TableParagraph"/>
                          <w:spacing w:line="240" w:lineRule="auto" w:before="106"/>
                          <w:ind w:left="3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r>
                      </w:p>
                    </w:tc>
                    <w:tc>
                      <w:tcPr>
                        <w:tcW w:w="9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10,084,422.</w:t>
                        </w:r>
                      </w:p>
                    </w:tc>
                    <w:tc>
                      <w:tcPr>
                        <w:tcW w:w="9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1,456,373.2</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1,552,337.1</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32,135,833.</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45,228,966.</w:t>
                        </w:r>
                      </w:p>
                    </w:tc>
                  </w:tr>
                  <w:tr>
                    <w:trPr>
                      <w:trHeight w:val="249" w:hRule="exact"/>
                    </w:trPr>
                    <w:tc>
                      <w:tcPr>
                        <w:tcW w:w="958" w:type="dxa"/>
                        <w:tcBorders>
                          <w:top w:val="nil" w:sz="6" w:space="0" w:color="auto"/>
                          <w:left w:val="nil" w:sz="6" w:space="0" w:color="auto"/>
                          <w:bottom w:val="nil" w:sz="6" w:space="0" w:color="auto"/>
                          <w:right w:val="nil" w:sz="6" w:space="0" w:color="auto"/>
                        </w:tcBorders>
                        <w:shd w:val="clear" w:color="auto" w:fill="D2D2D2"/>
                      </w:tcPr>
                      <w:p>
                        <w:pPr>
                          <w:pStyle w:val="TableParagraph"/>
                          <w:spacing w:line="240" w:lineRule="auto" w:before="6"/>
                          <w:ind w:left="27"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9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Times New Roman" w:hAnsi="Times New Roman" w:cs="Times New Roman" w:eastAsia="Times New Roman" w:hint="default"/>
                            <w:sz w:val="18"/>
                            <w:szCs w:val="18"/>
                          </w:rPr>
                        </w:pPr>
                        <w:r>
                          <w:rPr>
                            <w:rFonts w:ascii="Times New Roman"/>
                            <w:sz w:val="18"/>
                          </w:rPr>
                          <w:t>40</w:t>
                        </w:r>
                      </w:p>
                    </w:tc>
                    <w:tc>
                      <w:tcPr>
                        <w:tcW w:w="956"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Times New Roman" w:hAnsi="Times New Roman" w:cs="Times New Roman" w:eastAsia="Times New Roman" w:hint="default"/>
                            <w:sz w:val="18"/>
                            <w:szCs w:val="18"/>
                          </w:rPr>
                        </w:pPr>
                        <w:r>
                          <w:rPr>
                            <w:rFonts w:ascii="Times New Roman"/>
                            <w:sz w:val="18"/>
                          </w:rPr>
                          <w:t>7</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5"/>
                          <w:jc w:val="right"/>
                          <w:rPr>
                            <w:rFonts w:ascii="Times New Roman" w:hAnsi="Times New Roman" w:cs="Times New Roman" w:eastAsia="Times New Roman" w:hint="default"/>
                            <w:sz w:val="18"/>
                            <w:szCs w:val="18"/>
                          </w:rPr>
                        </w:pPr>
                        <w:r>
                          <w:rPr>
                            <w:rFonts w:ascii="Times New Roman"/>
                            <w:sz w:val="18"/>
                          </w:rPr>
                          <w:t>4</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6"/>
                          <w:jc w:val="right"/>
                          <w:rPr>
                            <w:rFonts w:ascii="Times New Roman" w:hAnsi="Times New Roman" w:cs="Times New Roman" w:eastAsia="Times New Roman" w:hint="default"/>
                            <w:sz w:val="18"/>
                            <w:szCs w:val="18"/>
                          </w:rPr>
                        </w:pPr>
                        <w:r>
                          <w:rPr>
                            <w:rFonts w:ascii="Times New Roman"/>
                            <w:sz w:val="18"/>
                          </w:rPr>
                          <w:t>64</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49"/>
                          <w:jc w:val="right"/>
                          <w:rPr>
                            <w:rFonts w:ascii="Times New Roman" w:hAnsi="Times New Roman" w:cs="Times New Roman" w:eastAsia="Times New Roman" w:hint="default"/>
                            <w:sz w:val="18"/>
                            <w:szCs w:val="18"/>
                          </w:rPr>
                        </w:pPr>
                        <w:r>
                          <w:rPr>
                            <w:rFonts w:ascii="Times New Roman"/>
                            <w:sz w:val="18"/>
                          </w:rPr>
                          <w:t>45</w:t>
                        </w:r>
                      </w:p>
                    </w:tc>
                  </w:tr>
                  <w:tr>
                    <w:trPr>
                      <w:trHeight w:val="5622" w:hRule="exact"/>
                    </w:trPr>
                    <w:tc>
                      <w:tcPr>
                        <w:tcW w:w="1914" w:type="dxa"/>
                        <w:gridSpan w:val="2"/>
                        <w:tcBorders>
                          <w:top w:val="nil" w:sz="6" w:space="0" w:color="auto"/>
                          <w:left w:val="nil" w:sz="6" w:space="0" w:color="auto"/>
                          <w:bottom w:val="nil" w:sz="6" w:space="0" w:color="auto"/>
                          <w:right w:val="nil" w:sz="6" w:space="0" w:color="auto"/>
                        </w:tcBorders>
                        <w:shd w:val="clear" w:color="auto" w:fill="D2D2D2"/>
                      </w:tcPr>
                      <w:p>
                        <w:pPr>
                          <w:pStyle w:val="TableParagraph"/>
                          <w:spacing w:line="302" w:lineRule="auto" w:before="158"/>
                          <w:ind w:left="27" w:right="102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p>
                        <w:pPr>
                          <w:pStyle w:val="TableParagraph"/>
                          <w:spacing w:line="240" w:lineRule="auto" w:before="118"/>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购置</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02" w:lineRule="auto"/>
                          <w:ind w:left="27" w:right="894"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p>
                        <w:pPr>
                          <w:pStyle w:val="TableParagraph"/>
                          <w:spacing w:line="309" w:lineRule="auto" w:before="118"/>
                          <w:ind w:left="27" w:right="984"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企业合并增 加</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02" w:lineRule="auto"/>
                          <w:ind w:left="27" w:right="1029"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p>
                        <w:pPr>
                          <w:pStyle w:val="TableParagraph"/>
                          <w:spacing w:line="240" w:lineRule="auto" w:before="118"/>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958" w:type="dxa"/>
                        <w:tcBorders>
                          <w:top w:val="nil" w:sz="6" w:space="0" w:color="auto"/>
                          <w:left w:val="nil" w:sz="6" w:space="0" w:color="auto"/>
                          <w:bottom w:val="nil" w:sz="6" w:space="0" w:color="auto"/>
                          <w:right w:val="nil" w:sz="6" w:space="0" w:color="auto"/>
                        </w:tcBorders>
                      </w:tcPr>
                      <w:p>
                        <w:pPr/>
                      </w:p>
                    </w:tc>
                    <w:tc>
                      <w:tcPr>
                        <w:tcW w:w="957"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6,398,924.4</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9</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6,398,924.4</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9</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98" w:right="0"/>
                          <w:jc w:val="lef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4,000.00</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08" w:right="0"/>
                          <w:jc w:val="left"/>
                          <w:rPr>
                            <w:rFonts w:ascii="Times New Roman" w:hAnsi="Times New Roman" w:cs="Times New Roman" w:eastAsia="Times New Roman" w:hint="default"/>
                            <w:sz w:val="18"/>
                            <w:szCs w:val="18"/>
                          </w:rPr>
                        </w:pPr>
                        <w:r>
                          <w:rPr>
                            <w:rFonts w:ascii="Times New Roman"/>
                            <w:sz w:val="18"/>
                          </w:rPr>
                          <w:t>20,316.75</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20,316.75</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08" w:right="0"/>
                          <w:jc w:val="left"/>
                          <w:rPr>
                            <w:rFonts w:ascii="Times New Roman" w:hAnsi="Times New Roman" w:cs="Times New Roman" w:eastAsia="Times New Roman" w:hint="default"/>
                            <w:sz w:val="18"/>
                            <w:szCs w:val="18"/>
                          </w:rPr>
                        </w:pPr>
                        <w:r>
                          <w:rPr>
                            <w:rFonts w:ascii="Times New Roman"/>
                            <w:sz w:val="18"/>
                          </w:rPr>
                          <w:t>87,008.54</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87,008.54</w:t>
                        </w:r>
                      </w:p>
                    </w:tc>
                    <w:tc>
                      <w:tcPr>
                        <w:tcW w:w="958" w:type="dxa"/>
                        <w:tcBorders>
                          <w:top w:val="nil" w:sz="6" w:space="0" w:color="auto"/>
                          <w:left w:val="nil" w:sz="6" w:space="0" w:color="auto"/>
                          <w:bottom w:val="nil" w:sz="6" w:space="0" w:color="auto"/>
                          <w:right w:val="nil" w:sz="6" w:space="0" w:color="auto"/>
                        </w:tcBorders>
                      </w:tcPr>
                      <w:p>
                        <w:pP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6,510,249.7</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8</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49"/>
                          <w:jc w:val="right"/>
                          <w:rPr>
                            <w:rFonts w:ascii="Times New Roman" w:hAnsi="Times New Roman" w:cs="Times New Roman" w:eastAsia="Times New Roman" w:hint="default"/>
                            <w:sz w:val="18"/>
                            <w:szCs w:val="18"/>
                          </w:rPr>
                        </w:pPr>
                        <w:r>
                          <w:rPr>
                            <w:rFonts w:ascii="Times New Roman"/>
                            <w:spacing w:val="-2"/>
                            <w:sz w:val="18"/>
                          </w:rPr>
                          <w:t>111,325.29</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48"/>
                          <w:jc w:val="right"/>
                          <w:rPr>
                            <w:rFonts w:ascii="Times New Roman" w:hAnsi="Times New Roman" w:cs="Times New Roman" w:eastAsia="Times New Roman" w:hint="default"/>
                            <w:sz w:val="18"/>
                            <w:szCs w:val="18"/>
                          </w:rPr>
                        </w:pPr>
                        <w:r>
                          <w:rPr>
                            <w:rFonts w:ascii="Times New Roman"/>
                            <w:spacing w:val="-1"/>
                            <w:sz w:val="18"/>
                          </w:rPr>
                          <w:t>6,398,924.4</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9</w:t>
                        </w:r>
                      </w:p>
                    </w:tc>
                  </w:tr>
                  <w:tr>
                    <w:trPr>
                      <w:trHeight w:val="247" w:hRule="exact"/>
                    </w:trPr>
                    <w:tc>
                      <w:tcPr>
                        <w:tcW w:w="6700" w:type="dxa"/>
                        <w:gridSpan w:val="7"/>
                        <w:tcBorders>
                          <w:top w:val="nil" w:sz="6" w:space="0" w:color="auto"/>
                          <w:left w:val="nil" w:sz="6" w:space="0" w:color="auto"/>
                          <w:bottom w:val="nil" w:sz="6" w:space="0" w:color="auto"/>
                          <w:right w:val="nil" w:sz="6" w:space="0" w:color="auto"/>
                        </w:tcBorders>
                      </w:tcPr>
                      <w:p>
                        <w:pPr>
                          <w:pStyle w:val="TableParagraph"/>
                          <w:tabs>
                            <w:tab w:pos="3903" w:val="left" w:leader="none"/>
                            <w:tab w:pos="5817" w:val="left" w:leader="none"/>
                          </w:tabs>
                          <w:spacing w:line="186" w:lineRule="exact"/>
                          <w:ind w:left="38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tab/>
                        </w:r>
                        <w:r>
                          <w:rPr>
                            <w:rFonts w:ascii="Times New Roman" w:hAnsi="Times New Roman" w:cs="Times New Roman" w:eastAsia="Times New Roman" w:hint="default"/>
                            <w:spacing w:val="-1"/>
                            <w:sz w:val="18"/>
                            <w:szCs w:val="18"/>
                          </w:rPr>
                          <w:t>16,483,346.</w:t>
                          <w:tab/>
                          <w:t>1,476,690.0</w:t>
                        </w:r>
                      </w:p>
                    </w:tc>
                    <w:tc>
                      <w:tcPr>
                        <w:tcW w:w="957" w:type="dxa"/>
                        <w:tcBorders>
                          <w:top w:val="nil" w:sz="6" w:space="0" w:color="auto"/>
                          <w:left w:val="nil" w:sz="6" w:space="0" w:color="auto"/>
                          <w:bottom w:val="nil" w:sz="6" w:space="0" w:color="auto"/>
                          <w:right w:val="nil" w:sz="6" w:space="0" w:color="auto"/>
                        </w:tcBorders>
                      </w:tcPr>
                      <w:p>
                        <w:pPr>
                          <w:pStyle w:val="TableParagraph"/>
                          <w:spacing w:line="184" w:lineRule="exact"/>
                          <w:ind w:right="25"/>
                          <w:jc w:val="right"/>
                          <w:rPr>
                            <w:rFonts w:ascii="Times New Roman" w:hAnsi="Times New Roman" w:cs="Times New Roman" w:eastAsia="Times New Roman" w:hint="default"/>
                            <w:sz w:val="18"/>
                            <w:szCs w:val="18"/>
                          </w:rPr>
                        </w:pPr>
                        <w:r>
                          <w:rPr>
                            <w:rFonts w:ascii="Times New Roman"/>
                            <w:spacing w:val="-1"/>
                            <w:sz w:val="18"/>
                          </w:rPr>
                          <w:t>1,639,345.6</w:t>
                        </w:r>
                      </w:p>
                    </w:tc>
                    <w:tc>
                      <w:tcPr>
                        <w:tcW w:w="958" w:type="dxa"/>
                        <w:tcBorders>
                          <w:top w:val="nil" w:sz="6" w:space="0" w:color="auto"/>
                          <w:left w:val="nil" w:sz="6" w:space="0" w:color="auto"/>
                          <w:bottom w:val="nil" w:sz="6" w:space="0" w:color="auto"/>
                          <w:right w:val="nil" w:sz="6" w:space="0" w:color="auto"/>
                        </w:tcBorders>
                      </w:tcPr>
                      <w:p>
                        <w:pPr>
                          <w:pStyle w:val="TableParagraph"/>
                          <w:spacing w:line="184" w:lineRule="exact"/>
                          <w:ind w:right="26"/>
                          <w:jc w:val="right"/>
                          <w:rPr>
                            <w:rFonts w:ascii="Times New Roman" w:hAnsi="Times New Roman" w:cs="Times New Roman" w:eastAsia="Times New Roman" w:hint="default"/>
                            <w:sz w:val="18"/>
                            <w:szCs w:val="18"/>
                          </w:rPr>
                        </w:pPr>
                        <w:r>
                          <w:rPr>
                            <w:rFonts w:ascii="Times New Roman"/>
                            <w:spacing w:val="-1"/>
                            <w:sz w:val="18"/>
                          </w:rPr>
                          <w:t>32,135,833.</w:t>
                        </w:r>
                      </w:p>
                    </w:tc>
                    <w:tc>
                      <w:tcPr>
                        <w:tcW w:w="980" w:type="dxa"/>
                        <w:tcBorders>
                          <w:top w:val="nil" w:sz="6" w:space="0" w:color="auto"/>
                          <w:left w:val="nil" w:sz="6" w:space="0" w:color="auto"/>
                          <w:bottom w:val="nil" w:sz="6" w:space="0" w:color="auto"/>
                          <w:right w:val="nil" w:sz="6" w:space="0" w:color="auto"/>
                        </w:tcBorders>
                      </w:tcPr>
                      <w:p>
                        <w:pPr>
                          <w:pStyle w:val="TableParagraph"/>
                          <w:spacing w:line="184" w:lineRule="exact"/>
                          <w:ind w:right="49"/>
                          <w:jc w:val="right"/>
                          <w:rPr>
                            <w:rFonts w:ascii="Times New Roman" w:hAnsi="Times New Roman" w:cs="Times New Roman" w:eastAsia="Times New Roman" w:hint="default"/>
                            <w:sz w:val="18"/>
                            <w:szCs w:val="18"/>
                          </w:rPr>
                        </w:pPr>
                        <w:r>
                          <w:rPr>
                            <w:rFonts w:ascii="Times New Roman"/>
                            <w:spacing w:val="-1"/>
                            <w:sz w:val="18"/>
                          </w:rPr>
                          <w:t>51,739,216.</w:t>
                        </w:r>
                      </w:p>
                    </w:tc>
                  </w:tr>
                  <w:tr>
                    <w:trPr>
                      <w:trHeight w:val="247" w:hRule="exact"/>
                    </w:trPr>
                    <w:tc>
                      <w:tcPr>
                        <w:tcW w:w="6700" w:type="dxa"/>
                        <w:gridSpan w:val="7"/>
                        <w:tcBorders>
                          <w:top w:val="nil" w:sz="6" w:space="0" w:color="auto"/>
                          <w:left w:val="nil" w:sz="6" w:space="0" w:color="auto"/>
                          <w:bottom w:val="nil" w:sz="6" w:space="0" w:color="auto"/>
                          <w:right w:val="nil" w:sz="6" w:space="0" w:color="auto"/>
                        </w:tcBorders>
                      </w:tcPr>
                      <w:p>
                        <w:pPr>
                          <w:pStyle w:val="TableParagraph"/>
                          <w:tabs>
                            <w:tab w:pos="4577" w:val="left" w:leader="none"/>
                            <w:tab w:pos="6671" w:val="right" w:leader="none"/>
                          </w:tabs>
                          <w:spacing w:line="240" w:lineRule="auto" w:before="3"/>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余额</w:t>
                          <w:tab/>
                        </w:r>
                        <w:r>
                          <w:rPr>
                            <w:rFonts w:ascii="Times New Roman" w:hAnsi="Times New Roman" w:cs="Times New Roman" w:eastAsia="Times New Roman" w:hint="default"/>
                            <w:sz w:val="18"/>
                            <w:szCs w:val="18"/>
                          </w:rPr>
                          <w:t>89</w:t>
                          <w:tab/>
                          <w:t>2</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5"/>
                          <w:jc w:val="right"/>
                          <w:rPr>
                            <w:rFonts w:ascii="Times New Roman" w:hAnsi="Times New Roman" w:cs="Times New Roman" w:eastAsia="Times New Roman" w:hint="default"/>
                            <w:sz w:val="18"/>
                            <w:szCs w:val="18"/>
                          </w:rPr>
                        </w:pPr>
                        <w:r>
                          <w:rPr>
                            <w:rFonts w:ascii="Times New Roman"/>
                            <w:sz w:val="18"/>
                          </w:rPr>
                          <w:t>8</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6"/>
                          <w:jc w:val="right"/>
                          <w:rPr>
                            <w:rFonts w:ascii="Times New Roman" w:hAnsi="Times New Roman" w:cs="Times New Roman" w:eastAsia="Times New Roman" w:hint="default"/>
                            <w:sz w:val="18"/>
                            <w:szCs w:val="18"/>
                          </w:rPr>
                        </w:pPr>
                        <w:r>
                          <w:rPr>
                            <w:rFonts w:ascii="Times New Roman"/>
                            <w:sz w:val="18"/>
                          </w:rPr>
                          <w:t>64</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49"/>
                          <w:jc w:val="right"/>
                          <w:rPr>
                            <w:rFonts w:ascii="Times New Roman" w:hAnsi="Times New Roman" w:cs="Times New Roman" w:eastAsia="Times New Roman" w:hint="default"/>
                            <w:sz w:val="18"/>
                            <w:szCs w:val="18"/>
                          </w:rPr>
                        </w:pPr>
                        <w:r>
                          <w:rPr>
                            <w:rFonts w:ascii="Times New Roman"/>
                            <w:sz w:val="18"/>
                          </w:rPr>
                          <w:t>23</w:t>
                        </w:r>
                      </w:p>
                    </w:tc>
                  </w:tr>
                  <w:tr>
                    <w:trPr>
                      <w:trHeight w:val="6406" w:hRule="exact"/>
                    </w:trPr>
                    <w:tc>
                      <w:tcPr>
                        <w:tcW w:w="6700" w:type="dxa"/>
                        <w:gridSpan w:val="7"/>
                        <w:tcBorders>
                          <w:top w:val="nil" w:sz="6" w:space="0" w:color="auto"/>
                          <w:left w:val="nil" w:sz="6" w:space="0" w:color="auto"/>
                          <w:bottom w:val="nil" w:sz="6" w:space="0" w:color="auto"/>
                          <w:right w:val="nil" w:sz="6" w:space="0" w:color="auto"/>
                        </w:tcBorders>
                      </w:tcPr>
                      <w:p>
                        <w:pPr>
                          <w:pStyle w:val="TableParagraph"/>
                          <w:spacing w:line="319" w:lineRule="auto" w:before="158"/>
                          <w:ind w:left="27" w:right="5770"/>
                          <w:jc w:val="left"/>
                          <w:rPr>
                            <w:rFonts w:ascii="宋体" w:hAnsi="宋体" w:cs="宋体" w:eastAsia="宋体" w:hint="default"/>
                            <w:sz w:val="18"/>
                            <w:szCs w:val="18"/>
                          </w:rPr>
                        </w:pPr>
                        <w:r>
                          <w:rPr>
                            <w:rFonts w:ascii="宋体" w:hAnsi="宋体" w:cs="宋体" w:eastAsia="宋体" w:hint="default"/>
                            <w:sz w:val="18"/>
                            <w:szCs w:val="18"/>
                          </w:rPr>
                          <w:t>二、累计摊 销</w:t>
                        </w:r>
                      </w:p>
                      <w:p>
                        <w:pPr>
                          <w:pStyle w:val="TableParagraph"/>
                          <w:tabs>
                            <w:tab w:pos="3916" w:val="left" w:leader="none"/>
                            <w:tab w:pos="5817" w:val="left" w:leader="none"/>
                          </w:tabs>
                          <w:spacing w:line="240" w:lineRule="auto" w:before="106"/>
                          <w:ind w:left="38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w:t>
                          <w:tab/>
                        </w:r>
                        <w:r>
                          <w:rPr>
                            <w:rFonts w:ascii="Times New Roman" w:hAnsi="Times New Roman" w:cs="Times New Roman" w:eastAsia="Times New Roman" w:hint="default"/>
                            <w:spacing w:val="-1"/>
                            <w:sz w:val="18"/>
                            <w:szCs w:val="18"/>
                          </w:rPr>
                          <w:t>1,163,611.1</w:t>
                          <w:tab/>
                          <w:t>1,156,789.1</w:t>
                        </w:r>
                      </w:p>
                      <w:p>
                        <w:pPr>
                          <w:pStyle w:val="TableParagraph"/>
                          <w:tabs>
                            <w:tab w:pos="4667" w:val="left" w:leader="none"/>
                            <w:tab w:pos="6581" w:val="left" w:leader="none"/>
                          </w:tabs>
                          <w:spacing w:line="240" w:lineRule="auto" w:before="64"/>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余额</w:t>
                          <w:tab/>
                        </w:r>
                        <w:r>
                          <w:rPr>
                            <w:rFonts w:ascii="Times New Roman" w:hAnsi="Times New Roman" w:cs="Times New Roman" w:eastAsia="Times New Roman" w:hint="default"/>
                            <w:sz w:val="18"/>
                            <w:szCs w:val="18"/>
                          </w:rPr>
                          <w:t>1</w:t>
                          <w:tab/>
                          <w:t>6</w:t>
                        </w:r>
                      </w:p>
                      <w:p>
                        <w:pPr>
                          <w:pStyle w:val="TableParagraph"/>
                          <w:tabs>
                            <w:tab w:pos="3903" w:val="left" w:leader="none"/>
                          </w:tabs>
                          <w:spacing w:line="222" w:lineRule="exact" w:before="151"/>
                          <w:ind w:left="38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w:t>
                          <w:tab/>
                        </w:r>
                        <w:r>
                          <w:rPr>
                            <w:rFonts w:ascii="Times New Roman" w:hAnsi="Times New Roman" w:cs="Times New Roman" w:eastAsia="Times New Roman" w:hint="default"/>
                            <w:sz w:val="18"/>
                            <w:szCs w:val="18"/>
                          </w:rPr>
                          <w:t>1,327,512.0</w:t>
                        </w:r>
                      </w:p>
                      <w:p>
                        <w:pPr>
                          <w:pStyle w:val="TableParagraph"/>
                          <w:tabs>
                            <w:tab w:pos="730" w:val="left" w:leader="none"/>
                          </w:tabs>
                          <w:spacing w:line="136" w:lineRule="exact"/>
                          <w:ind w:right="26"/>
                          <w:jc w:val="right"/>
                          <w:rPr>
                            <w:rFonts w:ascii="Times New Roman" w:hAnsi="Times New Roman" w:cs="Times New Roman" w:eastAsia="Times New Roman" w:hint="default"/>
                            <w:sz w:val="18"/>
                            <w:szCs w:val="18"/>
                          </w:rPr>
                        </w:pPr>
                        <w:r>
                          <w:rPr>
                            <w:rFonts w:ascii="Times New Roman"/>
                            <w:sz w:val="18"/>
                          </w:rPr>
                          <w:t>466.62</w:t>
                          <w:tab/>
                          <w:t>57,256.30</w:t>
                        </w:r>
                      </w:p>
                      <w:p>
                        <w:pPr>
                          <w:pStyle w:val="TableParagraph"/>
                          <w:tabs>
                            <w:tab w:pos="4667" w:val="left" w:leader="none"/>
                          </w:tabs>
                          <w:spacing w:line="204"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增加金额</w:t>
                        </w:r>
                        <w:r>
                          <w:rPr>
                            <w:rFonts w:ascii="Times New Roman" w:hAnsi="Times New Roman" w:cs="Times New Roman" w:eastAsia="Times New Roman" w:hint="default"/>
                            <w:sz w:val="18"/>
                            <w:szCs w:val="18"/>
                          </w:rPr>
                          <w:tab/>
                          <w:t>2</w:t>
                        </w:r>
                      </w:p>
                      <w:p>
                        <w:pPr>
                          <w:pStyle w:val="TableParagraph"/>
                          <w:tabs>
                            <w:tab w:pos="3903" w:val="left" w:leader="none"/>
                          </w:tabs>
                          <w:spacing w:line="222" w:lineRule="exact" w:before="151"/>
                          <w:ind w:left="56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tab/>
                        </w:r>
                        <w:r>
                          <w:rPr>
                            <w:rFonts w:ascii="Times New Roman" w:hAnsi="Times New Roman" w:cs="Times New Roman" w:eastAsia="Times New Roman" w:hint="default"/>
                            <w:sz w:val="18"/>
                            <w:szCs w:val="18"/>
                          </w:rPr>
                          <w:t>1,327,512.0</w:t>
                        </w:r>
                      </w:p>
                      <w:p>
                        <w:pPr>
                          <w:pStyle w:val="TableParagraph"/>
                          <w:tabs>
                            <w:tab w:pos="730" w:val="left" w:leader="none"/>
                          </w:tabs>
                          <w:spacing w:line="136" w:lineRule="exact"/>
                          <w:ind w:right="26"/>
                          <w:jc w:val="right"/>
                          <w:rPr>
                            <w:rFonts w:ascii="Times New Roman" w:hAnsi="Times New Roman" w:cs="Times New Roman" w:eastAsia="Times New Roman" w:hint="default"/>
                            <w:sz w:val="18"/>
                            <w:szCs w:val="18"/>
                          </w:rPr>
                        </w:pPr>
                        <w:r>
                          <w:rPr>
                            <w:rFonts w:ascii="Times New Roman"/>
                            <w:sz w:val="18"/>
                          </w:rPr>
                          <w:t>466.62</w:t>
                          <w:tab/>
                          <w:t>57,256.30</w:t>
                        </w:r>
                      </w:p>
                      <w:p>
                        <w:pPr>
                          <w:pStyle w:val="TableParagraph"/>
                          <w:tabs>
                            <w:tab w:pos="4667" w:val="left" w:leader="none"/>
                          </w:tabs>
                          <w:spacing w:line="204"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w:t>
                        </w:r>
                        <w:r>
                          <w:rPr>
                            <w:rFonts w:ascii="Times New Roman" w:hAnsi="Times New Roman" w:cs="Times New Roman" w:eastAsia="Times New Roman" w:hint="default"/>
                            <w:sz w:val="18"/>
                            <w:szCs w:val="18"/>
                          </w:rPr>
                          <w:tab/>
                          <w:t>2</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2" w:lineRule="auto" w:before="139"/>
                          <w:ind w:left="27" w:right="58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p>
                        <w:pPr>
                          <w:pStyle w:val="TableParagraph"/>
                          <w:spacing w:line="240" w:lineRule="auto" w:before="118"/>
                          <w:ind w:left="5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pStyle w:val="TableParagraph"/>
                          <w:spacing w:line="240" w:lineRule="auto" w:before="64"/>
                          <w:ind w:left="27" w:right="0"/>
                          <w:jc w:val="left"/>
                          <w:rPr>
                            <w:rFonts w:ascii="宋体" w:hAnsi="宋体" w:cs="宋体" w:eastAsia="宋体" w:hint="default"/>
                            <w:sz w:val="18"/>
                            <w:szCs w:val="18"/>
                          </w:rPr>
                        </w:pPr>
                        <w:r>
                          <w:rPr>
                            <w:rFonts w:ascii="宋体" w:hAnsi="宋体" w:cs="宋体" w:eastAsia="宋体" w:hint="default"/>
                            <w:sz w:val="18"/>
                            <w:szCs w:val="18"/>
                          </w:rPr>
                          <w:t>处置</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tabs>
                            <w:tab w:pos="3903" w:val="left" w:leader="none"/>
                            <w:tab w:pos="5817" w:val="left" w:leader="none"/>
                          </w:tabs>
                          <w:spacing w:line="222" w:lineRule="exact" w:before="153"/>
                          <w:ind w:left="38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w:t>
                          <w:tab/>
                        </w:r>
                        <w:r>
                          <w:rPr>
                            <w:rFonts w:ascii="Times New Roman" w:hAnsi="Times New Roman" w:cs="Times New Roman" w:eastAsia="Times New Roman" w:hint="default"/>
                            <w:spacing w:val="-1"/>
                            <w:sz w:val="18"/>
                            <w:szCs w:val="18"/>
                          </w:rPr>
                          <w:t>2,491,123.1</w:t>
                          <w:tab/>
                          <w:t>1,214,045.4</w:t>
                        </w:r>
                      </w:p>
                      <w:p>
                        <w:pPr>
                          <w:pStyle w:val="TableParagraph"/>
                          <w:spacing w:line="136" w:lineRule="exact"/>
                          <w:ind w:right="982"/>
                          <w:jc w:val="right"/>
                          <w:rPr>
                            <w:rFonts w:ascii="Times New Roman" w:hAnsi="Times New Roman" w:cs="Times New Roman" w:eastAsia="Times New Roman" w:hint="default"/>
                            <w:sz w:val="18"/>
                            <w:szCs w:val="18"/>
                          </w:rPr>
                        </w:pPr>
                        <w:r>
                          <w:rPr>
                            <w:rFonts w:ascii="Times New Roman"/>
                            <w:sz w:val="18"/>
                          </w:rPr>
                          <w:t>466.62</w:t>
                        </w:r>
                      </w:p>
                      <w:p>
                        <w:pPr>
                          <w:pStyle w:val="TableParagraph"/>
                          <w:tabs>
                            <w:tab w:pos="4667" w:val="left" w:leader="none"/>
                            <w:tab w:pos="6581" w:val="left" w:leader="none"/>
                          </w:tabs>
                          <w:spacing w:line="204" w:lineRule="exact"/>
                          <w:ind w:left="2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余额</w:t>
                          <w:tab/>
                        </w:r>
                        <w:r>
                          <w:rPr>
                            <w:rFonts w:ascii="Times New Roman" w:hAnsi="Times New Roman" w:cs="Times New Roman" w:eastAsia="Times New Roman" w:hint="default"/>
                            <w:sz w:val="18"/>
                            <w:szCs w:val="18"/>
                          </w:rPr>
                          <w:t>3</w:t>
                          <w:tab/>
                          <w:t>6</w:t>
                        </w: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三、减值准</w:t>
                        </w:r>
                      </w:p>
                    </w:tc>
                    <w:tc>
                      <w:tcPr>
                        <w:tcW w:w="9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271,293.82</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162,202.47</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162,202.47</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433,496.29</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8,569,555.6</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4</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6,427,166.7</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6,427,166.7</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6</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26"/>
                          <w:jc w:val="right"/>
                          <w:rPr>
                            <w:rFonts w:ascii="Times New Roman" w:hAnsi="Times New Roman" w:cs="Times New Roman" w:eastAsia="Times New Roman" w:hint="default"/>
                            <w:sz w:val="18"/>
                            <w:szCs w:val="18"/>
                          </w:rPr>
                        </w:pPr>
                        <w:r>
                          <w:rPr>
                            <w:rFonts w:ascii="Times New Roman"/>
                            <w:spacing w:val="-1"/>
                            <w:sz w:val="18"/>
                          </w:rPr>
                          <w:t>14,996,722.</w:t>
                        </w:r>
                      </w:p>
                      <w:p>
                        <w:pPr>
                          <w:pStyle w:val="TableParagraph"/>
                          <w:spacing w:line="240" w:lineRule="auto" w:before="106"/>
                          <w:ind w:right="26"/>
                          <w:jc w:val="right"/>
                          <w:rPr>
                            <w:rFonts w:ascii="Times New Roman" w:hAnsi="Times New Roman" w:cs="Times New Roman" w:eastAsia="Times New Roman" w:hint="default"/>
                            <w:sz w:val="18"/>
                            <w:szCs w:val="18"/>
                          </w:rPr>
                        </w:pPr>
                        <w:r>
                          <w:rPr>
                            <w:rFonts w:ascii="Times New Roman"/>
                            <w:sz w:val="18"/>
                          </w:rPr>
                          <w:t>40</w:t>
                        </w:r>
                      </w:p>
                    </w:tc>
                    <w:tc>
                      <w:tcPr>
                        <w:tcW w:w="9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pacing w:val="-1"/>
                            <w:sz w:val="18"/>
                          </w:rPr>
                          <w:t>11,161,249.</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73</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7,974,604.1</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48"/>
                          <w:jc w:val="right"/>
                          <w:rPr>
                            <w:rFonts w:ascii="Times New Roman" w:hAnsi="Times New Roman" w:cs="Times New Roman" w:eastAsia="Times New Roman" w:hint="default"/>
                            <w:sz w:val="18"/>
                            <w:szCs w:val="18"/>
                          </w:rPr>
                        </w:pPr>
                        <w:r>
                          <w:rPr>
                            <w:rFonts w:ascii="Times New Roman"/>
                            <w:spacing w:val="-1"/>
                            <w:sz w:val="18"/>
                          </w:rPr>
                          <w:t>7,974,604.1</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7</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right="49"/>
                          <w:jc w:val="right"/>
                          <w:rPr>
                            <w:rFonts w:ascii="Times New Roman" w:hAnsi="Times New Roman" w:cs="Times New Roman" w:eastAsia="Times New Roman" w:hint="default"/>
                            <w:sz w:val="18"/>
                            <w:szCs w:val="18"/>
                          </w:rPr>
                        </w:pPr>
                        <w:r>
                          <w:rPr>
                            <w:rFonts w:ascii="Times New Roman"/>
                            <w:spacing w:val="-1"/>
                            <w:sz w:val="18"/>
                          </w:rPr>
                          <w:t>19,135,853.</w:t>
                        </w:r>
                      </w:p>
                      <w:p>
                        <w:pPr>
                          <w:pStyle w:val="TableParagraph"/>
                          <w:spacing w:line="240" w:lineRule="auto" w:before="106"/>
                          <w:ind w:right="49"/>
                          <w:jc w:val="right"/>
                          <w:rPr>
                            <w:rFonts w:ascii="Times New Roman" w:hAnsi="Times New Roman" w:cs="Times New Roman" w:eastAsia="Times New Roman" w:hint="default"/>
                            <w:sz w:val="18"/>
                            <w:szCs w:val="18"/>
                          </w:rPr>
                        </w:pPr>
                        <w:r>
                          <w:rPr>
                            <w:rFonts w:ascii="Times New Roman"/>
                            <w:sz w:val="18"/>
                          </w:rPr>
                          <w:t>90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76"/>
        <w:ind w:left="850" w:right="668"/>
        <w:jc w:val="center"/>
        <w:rPr>
          <w:rFonts w:ascii="Times New Roman" w:hAnsi="Times New Roman" w:cs="Times New Roman" w:eastAsia="Times New Roman" w:hint="default"/>
        </w:rPr>
      </w:pPr>
      <w:r>
        <w:rPr>
          <w:rFonts w:ascii="Times New Roman"/>
        </w:rPr>
        <w:t>4,000.00</w:t>
      </w:r>
    </w:p>
    <w:p>
      <w:pPr>
        <w:spacing w:after="0" w:line="240" w:lineRule="auto"/>
        <w:jc w:val="center"/>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04.839996pt;margin-top:162.019989pt;width:47.35pt;height:28pt;mso-position-horizontal-relative:page;mso-position-vertical-relative:page;z-index:-860104" coordorigin="2097,3240" coordsize="947,560">
            <v:group style="position:absolute;left:2097;top:3240;width:947;height:156" coordorigin="2097,3240" coordsize="947,156">
              <v:shape style="position:absolute;left:2097;top:3240;width:947;height:156" coordorigin="2097,3240" coordsize="947,156" path="m2097,3396l3044,3396,3044,3240,2097,3240,2097,3396xe" filled="true" fillcolor="#ffffff" stroked="false">
                <v:path arrowok="t"/>
                <v:fill type="solid"/>
              </v:shape>
            </v:group>
            <v:group style="position:absolute;left:2108;top:3396;width:2;height:393" coordorigin="2108,3396" coordsize="2,393">
              <v:shape style="position:absolute;left:2108;top:3396;width:2;height:393" coordorigin="2108,3396" coordsize="0,393" path="m2108,3396l2108,3789e" filled="false" stroked="true" strokeweight="1.140pt" strokecolor="#ffffff">
                <v:path arrowok="t"/>
              </v:shape>
            </v:group>
            <v:group style="position:absolute;left:2120;top:3396;width:902;height:393" coordorigin="2120,3396" coordsize="902,393">
              <v:shape style="position:absolute;left:2120;top:3396;width:902;height:393" coordorigin="2120,3396" coordsize="902,393" path="m2120,3789l3021,3789,3021,3396,2120,3396,2120,378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8"/>
        <w:gridCol w:w="956"/>
        <w:gridCol w:w="958"/>
        <w:gridCol w:w="957"/>
        <w:gridCol w:w="958"/>
        <w:gridCol w:w="956"/>
        <w:gridCol w:w="958"/>
        <w:gridCol w:w="957"/>
        <w:gridCol w:w="958"/>
        <w:gridCol w:w="956"/>
      </w:tblGrid>
      <w:tr>
        <w:trPr>
          <w:trHeight w:val="36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24,010.21</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24,010.21</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pacing w:val="-23"/>
                <w:sz w:val="18"/>
                <w:szCs w:val="18"/>
              </w:rPr>
              <w:t>（</w:t>
            </w:r>
            <w:r>
              <w:rPr>
                <w:rFonts w:ascii="Times New Roman" w:hAnsi="Times New Roman" w:cs="Times New Roman" w:eastAsia="Times New Roman" w:hint="default"/>
                <w:spacing w:val="-23"/>
                <w:sz w:val="18"/>
                <w:szCs w:val="18"/>
              </w:rPr>
              <w:t>1</w:t>
            </w:r>
            <w:r>
              <w:rPr>
                <w:rFonts w:ascii="宋体" w:hAnsi="宋体" w:cs="宋体" w:eastAsia="宋体" w:hint="default"/>
                <w:spacing w:val="-23"/>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24,010.21</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24,010.21</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四、账面价 值</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13,968,213.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3" w:right="0"/>
              <w:jc w:val="left"/>
              <w:rPr>
                <w:rFonts w:ascii="Times New Roman" w:hAnsi="Times New Roman" w:cs="Times New Roman" w:eastAsia="Times New Roman" w:hint="default"/>
                <w:sz w:val="18"/>
                <w:szCs w:val="18"/>
              </w:rPr>
            </w:pPr>
            <w:r>
              <w:rPr>
                <w:rFonts w:ascii="Times New Roman"/>
                <w:sz w:val="18"/>
              </w:rPr>
              <w:t>3,533.38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262,644.56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1,205,849.3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17,139,111.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32,579,352.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12</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67"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8,896,801.0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299,584.11</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1,281,043.3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23,566,278.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34,043,706.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r>
    </w:tbl>
    <w:p>
      <w:pPr>
        <w:pStyle w:val="BodyText"/>
        <w:spacing w:line="240" w:lineRule="auto" w:before="51"/>
        <w:ind w:left="154"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31.86%</w:t>
      </w:r>
      <w:r>
        <w:rPr/>
        <w:t>。</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未办妥产权证书的土地使用权情况" w:id="299"/>
      <w:bookmarkEnd w:id="29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26、开发支出" w:id="300"/>
      <w:bookmarkEnd w:id="300"/>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276"/>
        <w:gridCol w:w="850"/>
        <w:gridCol w:w="852"/>
        <w:gridCol w:w="1417"/>
        <w:gridCol w:w="1277"/>
        <w:gridCol w:w="425"/>
        <w:gridCol w:w="1345"/>
      </w:tblGrid>
      <w:tr>
        <w:trPr>
          <w:trHeight w:val="206" w:hRule="exact"/>
        </w:trPr>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297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4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01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978" w:type="dxa"/>
            <w:gridSpan w:val="3"/>
            <w:vMerge/>
            <w:tcBorders>
              <w:left w:val="single" w:sz="4" w:space="0" w:color="000000"/>
              <w:bottom w:val="single" w:sz="4" w:space="0" w:color="000000"/>
              <w:right w:val="single" w:sz="4" w:space="0" w:color="000000"/>
            </w:tcBorders>
            <w:shd w:val="clear" w:color="auto" w:fill="D2D2D2"/>
          </w:tcPr>
          <w:p>
            <w:pPr/>
          </w:p>
        </w:tc>
        <w:tc>
          <w:tcPr>
            <w:tcW w:w="3119" w:type="dxa"/>
            <w:gridSpan w:val="3"/>
            <w:vMerge/>
            <w:tcBorders>
              <w:left w:val="single" w:sz="4" w:space="0" w:color="000000"/>
              <w:bottom w:val="single" w:sz="4" w:space="0" w:color="000000"/>
              <w:right w:val="single" w:sz="4" w:space="0" w:color="000000"/>
            </w:tcBorders>
            <w:shd w:val="clear" w:color="auto" w:fill="D2D2D2"/>
          </w:tcPr>
          <w:p>
            <w:pPr/>
          </w:p>
        </w:tc>
        <w:tc>
          <w:tcPr>
            <w:tcW w:w="1345" w:type="dxa"/>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0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vMerge w:val="restart"/>
            <w:tcBorders>
              <w:top w:val="single" w:sz="4" w:space="0" w:color="000000"/>
              <w:left w:val="single" w:sz="4" w:space="0" w:color="000000"/>
              <w:right w:val="single" w:sz="4" w:space="0" w:color="000000"/>
            </w:tcBorders>
          </w:tcPr>
          <w:p>
            <w:pP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425" w:type="dxa"/>
            <w:vMerge w:val="restart"/>
            <w:tcBorders>
              <w:top w:val="single" w:sz="4" w:space="0" w:color="000000"/>
              <w:left w:val="single" w:sz="4" w:space="0" w:color="000000"/>
              <w:right w:val="single" w:sz="4" w:space="0" w:color="000000"/>
            </w:tcBorders>
          </w:tcPr>
          <w:p>
            <w:pPr/>
          </w:p>
        </w:tc>
        <w:tc>
          <w:tcPr>
            <w:tcW w:w="1345" w:type="dxa"/>
            <w:vMerge w:val="restart"/>
            <w:tcBorders>
              <w:top w:val="single" w:sz="4" w:space="0" w:color="000000"/>
              <w:left w:val="single" w:sz="4" w:space="0" w:color="000000"/>
              <w:right w:val="single" w:sz="4" w:space="0" w:color="000000"/>
            </w:tcBorders>
          </w:tcPr>
          <w:p>
            <w:pPr/>
          </w:p>
        </w:tc>
      </w:tr>
      <w:tr>
        <w:trPr>
          <w:trHeight w:val="205" w:hRule="exact"/>
        </w:trPr>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25" w:type="dxa"/>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1299"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城乡一体化 人力资源和 社会保障软 件产品升级</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2,589,268.69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5,138,600.50</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440" w:right="0"/>
              <w:jc w:val="left"/>
              <w:rPr>
                <w:rFonts w:ascii="Times New Roman" w:hAnsi="Times New Roman" w:cs="Times New Roman" w:eastAsia="Times New Roman" w:hint="default"/>
                <w:sz w:val="18"/>
                <w:szCs w:val="18"/>
              </w:rPr>
            </w:pPr>
            <w:r>
              <w:rPr>
                <w:rFonts w:ascii="Times New Roman"/>
                <w:sz w:val="18"/>
              </w:rPr>
              <w:t>2,646,474.16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4,434,503.28</w:t>
            </w:r>
          </w:p>
        </w:tc>
        <w:tc>
          <w:tcPr>
            <w:tcW w:w="425"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3"/>
                <w:szCs w:val="23"/>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Times New Roman"/>
                <w:sz w:val="18"/>
              </w:rPr>
              <w:t>646,891.75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276"/>
        <w:gridCol w:w="850"/>
        <w:gridCol w:w="852"/>
        <w:gridCol w:w="1417"/>
        <w:gridCol w:w="1277"/>
        <w:gridCol w:w="425"/>
        <w:gridCol w:w="1345"/>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与产业化项 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医疗融合应 用软件产品 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1,495,050.19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862,151.28</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1,019,948.43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530,280.70</w:t>
            </w:r>
          </w:p>
        </w:tc>
        <w:tc>
          <w:tcPr>
            <w:tcW w:w="425"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806,972.34</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运维服务中 心建设项目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123,100.39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121,643.04</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123,900.39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120,843.04</w:t>
            </w:r>
          </w:p>
        </w:tc>
        <w:tc>
          <w:tcPr>
            <w:tcW w:w="425"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民生领域软 件研发平台 升级项目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1,302,682.98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5,829,819.31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1,096,651.97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2,560,299.52</w:t>
            </w:r>
          </w:p>
        </w:tc>
        <w:tc>
          <w:tcPr>
            <w:tcW w:w="425"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3,475,550.80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综合研发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16,616,078.28</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1,511,949.54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10,314,093.64</w:t>
            </w:r>
          </w:p>
        </w:tc>
        <w:tc>
          <w:tcPr>
            <w:tcW w:w="425"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4,790,035.10</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5,510,102.25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28,568,292.41</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6,398,924.49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17,960,020.18</w:t>
            </w:r>
          </w:p>
        </w:tc>
        <w:tc>
          <w:tcPr>
            <w:tcW w:w="425"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9,719,449.99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7、商誉" w:id="301"/>
      <w:bookmarkEnd w:id="301"/>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商誉账面原值" w:id="302"/>
      <w:bookmarkEnd w:id="30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商誉减值准备" w:id="303"/>
      <w:bookmarkEnd w:id="30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left="154" w:right="6072"/>
        <w:jc w:val="left"/>
      </w:pPr>
      <w:r>
        <w:rPr/>
        <w:t>说明商誉减值测试过程、参数及商誉减值损失的确认方法： 无</w:t>
      </w:r>
    </w:p>
    <w:p>
      <w:pPr>
        <w:pStyle w:val="BodyText"/>
        <w:spacing w:line="240" w:lineRule="auto" w:before="29"/>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8、长期待摊费用" w:id="304"/>
      <w:bookmarkEnd w:id="304"/>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9"/>
              <w:jc w:val="left"/>
              <w:rPr>
                <w:rFonts w:ascii="宋体" w:hAnsi="宋体" w:cs="宋体" w:eastAsia="宋体" w:hint="default"/>
                <w:sz w:val="18"/>
                <w:szCs w:val="18"/>
              </w:rPr>
            </w:pPr>
            <w:r>
              <w:rPr>
                <w:rFonts w:ascii="宋体" w:hAnsi="宋体" w:cs="宋体" w:eastAsia="宋体" w:hint="default"/>
                <w:sz w:val="18"/>
                <w:szCs w:val="18"/>
              </w:rPr>
              <w:t>租入固定资产改良 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632,858.39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256,283.00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218,801.74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670,339.65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632,858.39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256,283.00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218,801.74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670,339.65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ind w:right="1003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29、递延所得税资产/递延所得税负债" w:id="305"/>
      <w:bookmarkEnd w:id="305"/>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未经抵销的递延所得税资产" w:id="306"/>
      <w:bookmarkEnd w:id="30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33,083,514.03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2,739,018.93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28,243,523.37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1,901,412.41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33,083,514.03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2,739,018.93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28,243,523.37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1,901,412.41</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未经抵销的递延所得税负债" w:id="307"/>
      <w:bookmarkEnd w:id="30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以抵销后净额列示的递延所得税资产或负债" w:id="308"/>
      <w:bookmarkEnd w:id="30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2,739,018.93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1,901,412.41</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4）未确认递延所得税资产明细" w:id="309"/>
      <w:bookmarkEnd w:id="30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5）未确认递延所得税资产的可抵扣亏损将于以下年度到期" w:id="310"/>
      <w:bookmarkEnd w:id="31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57" w:lineRule="auto" w:before="51"/>
        <w:ind w:right="9853"/>
        <w:jc w:val="left"/>
      </w:pPr>
      <w:r>
        <w:rPr/>
        <w:t>其他说明：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0、其他非流动资产" w:id="311"/>
      <w:bookmarkEnd w:id="311"/>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1、短期借款" w:id="312"/>
      <w:bookmarkEnd w:id="312"/>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短期借款分类" w:id="313"/>
      <w:bookmarkEnd w:id="31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r>
    </w:tbl>
    <w:p>
      <w:pPr>
        <w:pStyle w:val="BodyText"/>
        <w:spacing w:line="240" w:lineRule="auto" w:before="51"/>
        <w:ind w:left="154" w:right="0"/>
        <w:jc w:val="left"/>
      </w:pPr>
      <w:r>
        <w:rPr/>
        <w:t>短期借款分类的说明：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2）已逾期未偿还的短期借款情况" w:id="314"/>
      <w:bookmarkEnd w:id="31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2、以公允价值计量且其变动计入当期损益的金融负债" w:id="315"/>
      <w:bookmarkEnd w:id="315"/>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3、衍生金融负债" w:id="316"/>
      <w:bookmarkEnd w:id="316"/>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4、应付票据" w:id="317"/>
      <w:bookmarkEnd w:id="317"/>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本期末已到期未支付的应付票据总额为元。</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5、应付账款" w:id="318"/>
      <w:bookmarkEnd w:id="318"/>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应付账款列示" w:id="319"/>
      <w:bookmarkEnd w:id="31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32,206,803.90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23,918,959.17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5,791,930.99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8,891,876.88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37,998,734.89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32,810,836.05</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账龄超过1年的重要应付账款" w:id="320"/>
      <w:bookmarkEnd w:id="32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安世亚太科技股份有限公司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1,712,900.00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1,712,900.00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6、预收款项" w:id="321"/>
      <w:bookmarkEnd w:id="321"/>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预收款项列示" w:id="322"/>
      <w:bookmarkEnd w:id="32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239,427,904.22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193,351,197.76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117,899,078.88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111,929,493.75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357,326,983.10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305,280,691.51</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账龄超过1年的重要预收款项" w:id="323"/>
      <w:bookmarkEnd w:id="32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中物院及其下属单位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43,760,190.24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广东省社会保险基金管理局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7,648,960.59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中国核电工程有限公司郑州分公司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4,739,246.40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中核兰州铀浓缩公司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8,552,618.58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云南省民政厅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5,881,393.15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梧州市人力资源和社会保障局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6,205,113.70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太原市卫生局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5,312,583.93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北京高亮典科技发展有限责任公司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德阳市人力资源和社会保障局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3,751,963.01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重庆望江工业有限公司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6,403,911.06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重庆红宇精密工业有限责任公司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6,890,302.28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成都市交通委员会</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3,186,733.45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贵州省人力资源和社会保障信息中心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中国工商银行股份有限公司梧州分行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3,119,658.12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鄂州市人力资源和社会保障局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2,742,910.48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新疆维吾尔自治区人力资源和社会保障 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15,367,396.64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云南省人力资源和社会保障厅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2,624,266.96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云南省医疗保险基金管理中心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3,225,965.82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四川省人力资源和社会保障厅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3,181,768.39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重庆市人力资源和社会保障信息中心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重庆市大渡口区卫生局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1,222,692.31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武汉滨湖电子有限责任公司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1,170,266.56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业务进行中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144,853,941.67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期末建造合同形成的已结算未完工项目情况" w:id="324"/>
      <w:bookmarkEnd w:id="32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5"/>
        <w:spacing w:line="240" w:lineRule="auto"/>
        <w:ind w:left="154" w:right="0"/>
        <w:jc w:val="left"/>
        <w:rPr>
          <w:b w:val="0"/>
          <w:bCs w:val="0"/>
        </w:rPr>
      </w:pPr>
      <w:bookmarkStart w:name="37、应付职工薪酬" w:id="325"/>
      <w:bookmarkEnd w:id="325"/>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应付职工薪酬列示" w:id="326"/>
      <w:bookmarkEnd w:id="32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20,023,377.63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142,751,555.84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138,484,415.46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24,290,518.01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9,574,447.49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9,581,157.90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2,238.02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20,032,326.06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152,326,003.33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148,065,573.36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24,292,756.03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短期薪酬列示" w:id="327"/>
      <w:bookmarkEnd w:id="32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19,790,205.82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129,662,695.52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126,419,791.27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23,033,110.07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3,060,494.14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3,060,494.14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4,460,000.50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4,463,496.21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1,707.42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4,608.46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3,946,226.95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3,949,324.41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w w:val="95"/>
                <w:sz w:val="18"/>
              </w:rPr>
              <w:t>1,511.00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292.20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222,752.34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222,968.99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302.47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291,021.21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291,202.81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3,730,078.00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3,732,326.00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13,600.00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212,120.68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1,838,287.68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808,307.84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1,242,100.52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20,023,377.63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142,751,555.84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138,484,415.46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24,290,518.01</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设定提存计划列示" w:id="328"/>
      <w:bookmarkEnd w:id="32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8,907,308.25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8,913,397.14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2,137.30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667,139.24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667,760.76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100.72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8,948.43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9,574,447.49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9,581,157.90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2,238.02</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8、应交税费" w:id="329"/>
      <w:bookmarkEnd w:id="329"/>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5,610,549.48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5,943,925.89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209,710.21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342,727.94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7,498,354.05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4,296,442.34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1,037,218.86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559,042.07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411,558.85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446,164.61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292,790.91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317,883.83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21,802.10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46,386.35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159,246.26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81,212.18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防洪基金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5,908.51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1,523.36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副调基金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155,035.36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127,965.81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15,402,174.59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12,163,274.38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9、应付利息" w:id="330"/>
      <w:bookmarkEnd w:id="330"/>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17,901.41</w:t>
            </w:r>
          </w:p>
        </w:tc>
      </w:tr>
    </w:tbl>
    <w:p>
      <w:pPr>
        <w:pStyle w:val="BodyText"/>
        <w:spacing w:line="240" w:lineRule="auto" w:before="51"/>
        <w:ind w:left="154" w:right="0"/>
        <w:jc w:val="left"/>
      </w:pPr>
      <w:r>
        <w:rPr/>
        <w:t>重要的已逾期未支付的利息情况：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0、应付股利" w:id="331"/>
      <w:bookmarkEnd w:id="331"/>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41、其他应付款" w:id="332"/>
      <w:bookmarkEnd w:id="332"/>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按款项性质列示其他应付款" w:id="333"/>
      <w:bookmarkEnd w:id="33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11,316,664.53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2,670,024.71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1,305,691.83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1,424,821.82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12,622,356.36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4,094,846.53</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账龄超过1年的重要其他应付款" w:id="334"/>
      <w:bookmarkEnd w:id="33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四川德成佳际实业有限公司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612,251.00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612,251.00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42、划分为持有待售的负债" w:id="335"/>
      <w:bookmarkEnd w:id="335"/>
      <w:r>
        <w:rPr>
          <w:b w:val="0"/>
          <w:bCs w:val="0"/>
        </w:rPr>
      </w:r>
      <w:r>
        <w:rPr>
          <w:rFonts w:ascii="Times New Roman" w:hAnsi="Times New Roman" w:cs="Times New Roman" w:eastAsia="Times New Roman" w:hint="default"/>
        </w:rPr>
        <w:t>42</w:t>
      </w:r>
      <w:r>
        <w:rPr/>
        <w:t>、划分为持有待售的负债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3、一年内到期的非流动负债" w:id="336"/>
      <w:bookmarkEnd w:id="336"/>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4、其他流动负债" w:id="337"/>
      <w:bookmarkEnd w:id="337"/>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短期应付债券的增减变动：</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5、长期借款" w:id="338"/>
      <w:bookmarkEnd w:id="338"/>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长期借款分类" w:id="339"/>
      <w:bookmarkEnd w:id="339"/>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left="154" w:right="8592"/>
        <w:jc w:val="left"/>
      </w:pPr>
      <w:r>
        <w:rPr/>
        <w:t>长期借款分类的说明： 其他说明，包括利率区间：</w:t>
      </w:r>
    </w:p>
    <w:p>
      <w:pPr>
        <w:spacing w:line="240" w:lineRule="auto" w:before="11"/>
        <w:rPr>
          <w:rFonts w:ascii="宋体" w:hAnsi="宋体" w:cs="宋体" w:eastAsia="宋体" w:hint="default"/>
          <w:sz w:val="19"/>
          <w:szCs w:val="19"/>
        </w:rPr>
      </w:pPr>
    </w:p>
    <w:p>
      <w:pPr>
        <w:pStyle w:val="Heading5"/>
        <w:spacing w:line="240" w:lineRule="auto"/>
        <w:ind w:left="154" w:right="0"/>
        <w:jc w:val="left"/>
        <w:rPr>
          <w:b w:val="0"/>
          <w:bCs w:val="0"/>
        </w:rPr>
      </w:pPr>
      <w:bookmarkStart w:name="46、应付债券" w:id="340"/>
      <w:bookmarkEnd w:id="340"/>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应付债券" w:id="341"/>
      <w:bookmarkEnd w:id="341"/>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2）应付债券的增减变动（不包括划分为金融负债的优先股、永续债等其他金融工具）" w:id="342"/>
      <w:bookmarkEnd w:id="342"/>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可转换公司债券的转股条件、转股时间说明" w:id="343"/>
      <w:bookmarkEnd w:id="343"/>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4）划分为金融负债的其他金融工具说明" w:id="344"/>
      <w:bookmarkEnd w:id="344"/>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4" w:right="7512"/>
        <w:jc w:val="left"/>
      </w:pPr>
      <w:r>
        <w:rPr/>
        <w:t>其他金融工具划分为金融负债的依据说明 其他说明</w:t>
      </w:r>
    </w:p>
    <w:p>
      <w:pPr>
        <w:spacing w:line="240" w:lineRule="auto" w:before="11"/>
        <w:rPr>
          <w:rFonts w:ascii="宋体" w:hAnsi="宋体" w:cs="宋体" w:eastAsia="宋体" w:hint="default"/>
          <w:sz w:val="19"/>
          <w:szCs w:val="19"/>
        </w:rPr>
      </w:pPr>
    </w:p>
    <w:p>
      <w:pPr>
        <w:pStyle w:val="Heading5"/>
        <w:spacing w:line="240" w:lineRule="auto"/>
        <w:ind w:left="154" w:right="0"/>
        <w:jc w:val="left"/>
        <w:rPr>
          <w:b w:val="0"/>
          <w:bCs w:val="0"/>
        </w:rPr>
      </w:pPr>
      <w:bookmarkStart w:name="47、长期应付款" w:id="345"/>
      <w:bookmarkEnd w:id="345"/>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按款项性质列示长期应付款" w:id="346"/>
      <w:bookmarkEnd w:id="346"/>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8、长期应付职工薪酬" w:id="347"/>
      <w:bookmarkEnd w:id="347"/>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长期应付职工薪酬表" w:id="348"/>
      <w:bookmarkEnd w:id="34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设定受益计划变动情况" w:id="349"/>
      <w:bookmarkEnd w:id="34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设定受益计划义务现值：</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计划资产：</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设定受益计划净负债（净资产）</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3"/>
        <w:jc w:val="left"/>
      </w:pPr>
      <w:r>
        <w:rPr/>
        <w:t>设定受益计划的内容及与之相关风险、对公司未来现金流量、时间和不确定性的影响说明： 设定受益计划重大精算假设及敏感性分析结果说明：</w:t>
      </w:r>
    </w:p>
    <w:p>
      <w:pPr>
        <w:spacing w:after="0" w:line="36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49、专项应付款" w:id="350"/>
      <w:bookmarkEnd w:id="350"/>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0、预计负债" w:id="351"/>
      <w:bookmarkEnd w:id="351"/>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left="154" w:right="0"/>
        <w:jc w:val="left"/>
      </w:pPr>
      <w:r>
        <w:rPr/>
        <w:t>其他说明，包括重要预计负债的相关重要假设、估计说明：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51、递延收益" w:id="352"/>
      <w:bookmarkEnd w:id="352"/>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3"/>
        <w:gridCol w:w="1595"/>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61" w:hRule="exact"/>
        </w:trPr>
        <w:tc>
          <w:tcPr>
            <w:tcW w:w="15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17,140,000.00</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7,200,000.00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3,000,000.00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6" w:right="0"/>
              <w:jc w:val="left"/>
              <w:rPr>
                <w:rFonts w:ascii="Times New Roman" w:hAnsi="Times New Roman" w:cs="Times New Roman" w:eastAsia="Times New Roman" w:hint="default"/>
                <w:sz w:val="18"/>
                <w:szCs w:val="18"/>
              </w:rPr>
            </w:pPr>
            <w:r>
              <w:rPr>
                <w:rFonts w:ascii="Times New Roman"/>
                <w:sz w:val="18"/>
              </w:rPr>
              <w:t>21,340,000.00</w:t>
            </w:r>
          </w:p>
        </w:tc>
        <w:tc>
          <w:tcPr>
            <w:tcW w:w="1595"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10"/>
                <w:sz w:val="18"/>
                <w:szCs w:val="18"/>
              </w:rPr>
              <w:t>收到补助，项目尚未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验收</w:t>
            </w:r>
          </w:p>
        </w:tc>
      </w:tr>
      <w:tr>
        <w:trPr>
          <w:trHeight w:val="392" w:hRule="exact"/>
        </w:trPr>
        <w:tc>
          <w:tcPr>
            <w:tcW w:w="15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5"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522" w:right="0"/>
              <w:jc w:val="left"/>
              <w:rPr>
                <w:rFonts w:ascii="Times New Roman" w:hAnsi="Times New Roman" w:cs="Times New Roman" w:eastAsia="Times New Roman" w:hint="default"/>
                <w:sz w:val="18"/>
                <w:szCs w:val="18"/>
              </w:rPr>
            </w:pPr>
            <w:r>
              <w:rPr>
                <w:rFonts w:ascii="Times New Roman"/>
                <w:sz w:val="18"/>
              </w:rPr>
              <w:t>17,140,000.00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8" w:right="0"/>
              <w:jc w:val="left"/>
              <w:rPr>
                <w:rFonts w:ascii="Times New Roman" w:hAnsi="Times New Roman" w:cs="Times New Roman" w:eastAsia="Times New Roman" w:hint="default"/>
                <w:sz w:val="18"/>
                <w:szCs w:val="18"/>
              </w:rPr>
            </w:pPr>
            <w:r>
              <w:rPr>
                <w:rFonts w:ascii="Times New Roman"/>
                <w:sz w:val="18"/>
              </w:rPr>
              <w:t>7,200,000.00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3,000,000.00</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21,340,000.00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面向军工离散制 造业产品创新研 发过程管理信息 化软件研发及产 业化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复杂信息系统一 体化运营维护中 心技术改造项目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基于云端融合的 政务信息集成服 务平台研发及产 业化项目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基于云端融合的 政务信息集成服 务平台研发及产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业化项目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久远银海生产流 程再造技改项目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3,000,000.00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军工制造业产品 研发管理软件升 级及产业化项目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2,360,000.00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成都市锦江区三 圣社区综合信息 化项目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年应用软件产值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亿元以上的软 件生产线技改项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430,000.00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创建高新技术企 业项目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科技型中小企业 技术创新基金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年软件发展 专项资金银海政 务大数据决策支 持平台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"4+3"</w:t>
            </w:r>
            <w:r>
              <w:rPr>
                <w:rFonts w:ascii="宋体" w:hAnsi="宋体" w:cs="宋体" w:eastAsia="宋体" w:hint="default"/>
                <w:sz w:val="18"/>
                <w:szCs w:val="18"/>
              </w:rPr>
              <w:t>高端成长 型产业领军人才 发展专项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复杂信息系统一 体化运营维护软 件开发和服务创 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财政局</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年四 川省第一批科技 计划项目养老云 平台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宋体" w:hAnsi="宋体" w:cs="宋体" w:eastAsia="宋体" w:hint="default"/>
                <w:sz w:val="18"/>
                <w:szCs w:val="18"/>
              </w:rPr>
              <w:t>成都高新经贸局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年重大产业 技术创新专项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年高新重大 科技成果转化制 造业数字化融合 平台项目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年创新驱动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及新兴产业发展 专项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9" w:right="0"/>
              <w:jc w:val="left"/>
              <w:rPr>
                <w:rFonts w:ascii="Times New Roman" w:hAnsi="Times New Roman" w:cs="Times New Roman" w:eastAsia="Times New Roman" w:hint="default"/>
                <w:sz w:val="18"/>
                <w:szCs w:val="18"/>
              </w:rPr>
            </w:pPr>
            <w:r>
              <w:rPr>
                <w:rFonts w:ascii="Times New Roman"/>
                <w:sz w:val="18"/>
              </w:rPr>
              <w:t>17,140,000.00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7,200,000.00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3,000,000.00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21,340,000.00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2、其他非流动负债" w:id="353"/>
      <w:bookmarkEnd w:id="353"/>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3、股本" w:id="354"/>
      <w:bookmarkEnd w:id="354"/>
      <w:r>
        <w:rPr>
          <w:b w:val="0"/>
          <w:bCs w:val="0"/>
        </w:rPr>
      </w:r>
      <w:r>
        <w:rPr>
          <w:rFonts w:ascii="Times New Roman" w:hAnsi="Times New Roman" w:cs="Times New Roman" w:eastAsia="Times New Roman" w:hint="default"/>
        </w:rPr>
        <w:t>53</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60,000,000.00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20,000,000.00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20,000,000.00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0" w:right="0"/>
              <w:jc w:val="left"/>
              <w:rPr>
                <w:rFonts w:ascii="Times New Roman" w:hAnsi="Times New Roman" w:cs="Times New Roman" w:eastAsia="Times New Roman" w:hint="default"/>
                <w:sz w:val="18"/>
                <w:szCs w:val="18"/>
              </w:rPr>
            </w:pPr>
            <w:r>
              <w:rPr>
                <w:rFonts w:ascii="Times New Roman"/>
                <w:sz w:val="18"/>
              </w:rPr>
              <w:t>80,000,000.00</w:t>
            </w:r>
          </w:p>
        </w:tc>
      </w:tr>
    </w:tbl>
    <w:p>
      <w:pPr>
        <w:pStyle w:val="BodyText"/>
        <w:spacing w:line="240" w:lineRule="auto" w:before="51"/>
        <w:ind w:left="154" w:right="0"/>
        <w:jc w:val="left"/>
      </w:pPr>
      <w:r>
        <w:rPr/>
        <w:t>其他说明：</w:t>
      </w:r>
    </w:p>
    <w:p>
      <w:pPr>
        <w:pStyle w:val="Heading6"/>
        <w:spacing w:line="256" w:lineRule="auto" w:before="90"/>
        <w:ind w:left="262" w:right="1129" w:firstLine="252"/>
        <w:jc w:val="both"/>
      </w:pPr>
      <w:r>
        <w:rPr>
          <w:spacing w:val="2"/>
        </w:rPr>
        <w:t>注</w:t>
      </w:r>
      <w:r>
        <w:rPr>
          <w:rFonts w:ascii="Times New Roman" w:hAnsi="Times New Roman" w:cs="Times New Roman" w:eastAsia="Times New Roman" w:hint="default"/>
          <w:spacing w:val="2"/>
        </w:rPr>
        <w:t>1</w:t>
      </w:r>
      <w:r>
        <w:rPr>
          <w:spacing w:val="2"/>
        </w:rPr>
        <w:t>：根据贵公司股东大会决议和修改后章程的规定，并经中国证券监督管理委员会</w:t>
      </w:r>
      <w:r>
        <w:rPr>
          <w:rFonts w:ascii="Times New Roman" w:hAnsi="Times New Roman" w:cs="Times New Roman" w:eastAsia="Times New Roman" w:hint="default"/>
          <w:spacing w:val="2"/>
        </w:rPr>
        <w:t>“</w:t>
      </w:r>
      <w:r>
        <w:rPr>
          <w:spacing w:val="2"/>
        </w:rPr>
        <w:t>证监许可</w:t>
      </w:r>
      <w:r>
        <w:rPr>
          <w:rFonts w:ascii="Times New Roman" w:hAnsi="Times New Roman" w:cs="Times New Roman" w:eastAsia="Times New Roman" w:hint="default"/>
          <w:spacing w:val="2"/>
        </w:rPr>
        <w:t>[2015]</w:t>
      </w:r>
      <w:r>
        <w:rPr>
          <w:rFonts w:ascii="Times New Roman" w:hAnsi="Times New Roman" w:cs="Times New Roman" w:eastAsia="Times New Roman" w:hint="default"/>
        </w:rPr>
        <w:t> </w:t>
      </w:r>
      <w:r>
        <w:rPr>
          <w:rFonts w:ascii="Times New Roman" w:hAnsi="Times New Roman" w:cs="Times New Roman" w:eastAsia="Times New Roman" w:hint="default"/>
          <w:spacing w:val="-1"/>
        </w:rPr>
        <w:t>1374</w:t>
      </w:r>
      <w:r>
        <w:rPr>
          <w:spacing w:val="-1"/>
        </w:rPr>
        <w:t>号</w:t>
      </w:r>
      <w:r>
        <w:rPr>
          <w:rFonts w:ascii="Times New Roman" w:hAnsi="Times New Roman" w:cs="Times New Roman" w:eastAsia="Times New Roman" w:hint="default"/>
          <w:spacing w:val="-1"/>
        </w:rPr>
        <w:t>”</w:t>
      </w:r>
      <w:r>
        <w:rPr>
          <w:spacing w:val="-1"/>
        </w:rPr>
        <w:t>文《关于核准四川久远银海软件股份有限公司首次公开发行股票的批复》核准，贵公司向社会公</w:t>
      </w:r>
      <w:r>
        <w:rPr>
          <w:spacing w:val="-73"/>
        </w:rPr>
        <w:t> </w:t>
      </w:r>
      <w:r>
        <w:rPr>
          <w:spacing w:val="-73"/>
        </w:rPr>
      </w:r>
      <w:r>
        <w:rPr>
          <w:spacing w:val="-4"/>
        </w:rPr>
        <w:t>开发行人民币普通股（</w:t>
      </w:r>
      <w:r>
        <w:rPr>
          <w:rFonts w:ascii="Times New Roman" w:hAnsi="Times New Roman" w:cs="Times New Roman" w:eastAsia="Times New Roman" w:hint="default"/>
          <w:spacing w:val="-4"/>
        </w:rPr>
        <w:t>A</w:t>
      </w:r>
      <w:r>
        <w:rPr>
          <w:spacing w:val="-4"/>
        </w:rPr>
        <w:t>股）股票</w:t>
      </w:r>
      <w:r>
        <w:rPr>
          <w:rFonts w:ascii="Times New Roman" w:hAnsi="Times New Roman" w:cs="Times New Roman" w:eastAsia="Times New Roman" w:hint="default"/>
          <w:spacing w:val="-4"/>
        </w:rPr>
        <w:t>2,000.00</w:t>
      </w:r>
      <w:r>
        <w:rPr>
          <w:spacing w:val="-4"/>
        </w:rPr>
        <w:t>万股，增加注册资本</w:t>
      </w:r>
      <w:r>
        <w:rPr>
          <w:rFonts w:ascii="Times New Roman" w:hAnsi="Times New Roman" w:cs="Times New Roman" w:eastAsia="Times New Roman" w:hint="default"/>
          <w:spacing w:val="-4"/>
        </w:rPr>
        <w:t>2,000.00</w:t>
      </w:r>
      <w:r>
        <w:rPr>
          <w:spacing w:val="-4"/>
        </w:rPr>
        <w:t>万元。变更后的注册资本为</w:t>
      </w:r>
      <w:r>
        <w:rPr>
          <w:rFonts w:ascii="Times New Roman" w:hAnsi="Times New Roman" w:cs="Times New Roman" w:eastAsia="Times New Roman" w:hint="default"/>
          <w:spacing w:val="-4"/>
        </w:rPr>
        <w:t>8,000.00</w:t>
      </w:r>
      <w:r>
        <w:rPr>
          <w:rFonts w:ascii="Times New Roman" w:hAnsi="Times New Roman" w:cs="Times New Roman" w:eastAsia="Times New Roman" w:hint="default"/>
        </w:rPr>
        <w:t> </w:t>
      </w:r>
      <w:r>
        <w:rPr>
          <w:rFonts w:ascii="Times New Roman" w:hAnsi="Times New Roman" w:cs="Times New Roman" w:eastAsia="Times New Roman" w:hint="default"/>
        </w:rPr>
      </w:r>
      <w:r>
        <w:rPr>
          <w:spacing w:val="-1"/>
        </w:rPr>
        <w:t>万元，股本为</w:t>
      </w:r>
      <w:r>
        <w:rPr>
          <w:rFonts w:ascii="Times New Roman" w:hAnsi="Times New Roman" w:cs="Times New Roman" w:eastAsia="Times New Roman" w:hint="default"/>
          <w:spacing w:val="-1"/>
        </w:rPr>
        <w:t>8,000.00</w:t>
      </w:r>
      <w:r>
        <w:rPr>
          <w:spacing w:val="-1"/>
        </w:rPr>
        <w:t>万元。上述资金到位情况业经立信会计师事务所（特殊普通合伙）验证，并由其出</w:t>
      </w:r>
      <w:r>
        <w:rPr>
          <w:spacing w:val="-83"/>
        </w:rPr>
        <w:t> </w:t>
      </w:r>
      <w:r>
        <w:rPr>
          <w:spacing w:val="-83"/>
        </w:rPr>
      </w:r>
      <w:r>
        <w:rPr/>
        <w:t>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115808</w:t>
      </w:r>
      <w:r>
        <w:rPr/>
        <w:t>号验资报告。</w:t>
      </w:r>
    </w:p>
    <w:p>
      <w:pPr>
        <w:pStyle w:val="Heading6"/>
        <w:spacing w:line="261" w:lineRule="auto" w:before="5"/>
        <w:ind w:left="261" w:right="0" w:firstLine="252"/>
        <w:jc w:val="left"/>
      </w:pPr>
      <w:r>
        <w:rPr/>
        <w:t>注</w:t>
      </w:r>
      <w:r>
        <w:rPr>
          <w:rFonts w:ascii="Times New Roman" w:hAnsi="Times New Roman" w:cs="Times New Roman" w:eastAsia="Times New Roman" w:hint="default"/>
        </w:rPr>
        <w:t>2</w:t>
      </w:r>
      <w:r>
        <w:rPr/>
        <w:t>：根据财政部、国资委、证监会、社保基金会联合下发的《境内证券市场转持分国有股充实全国社 </w:t>
      </w:r>
      <w:r>
        <w:rPr>
          <w:spacing w:val="-3"/>
        </w:rPr>
        <w:t>会保障实施办法》（财企</w:t>
      </w:r>
      <w:r>
        <w:rPr>
          <w:rFonts w:ascii="Times New Roman" w:hAnsi="Times New Roman" w:cs="Times New Roman" w:eastAsia="Times New Roman" w:hint="default"/>
          <w:spacing w:val="-3"/>
        </w:rPr>
        <w:t>[2009]94</w:t>
      </w:r>
      <w:r>
        <w:rPr>
          <w:spacing w:val="-3"/>
        </w:rPr>
        <w:t>号）的有关规定，</w:t>
      </w:r>
      <w:r>
        <w:rPr>
          <w:spacing w:val="-39"/>
        </w:rPr>
        <w:t> </w:t>
      </w:r>
      <w:r>
        <w:rPr/>
        <w:t>四川久远银海软件股份有限公司在境内发行</w:t>
      </w:r>
      <w:r>
        <w:rPr>
          <w:rFonts w:ascii="Times New Roman" w:hAnsi="Times New Roman" w:cs="Times New Roman" w:eastAsia="Times New Roman" w:hint="default"/>
        </w:rPr>
        <w:t>A</w:t>
      </w:r>
      <w:r>
        <w:rPr/>
        <w:t>股并上</w:t>
      </w:r>
      <w:r>
        <w:rPr>
          <w:spacing w:val="-96"/>
        </w:rPr>
        <w:t> </w:t>
      </w:r>
      <w:r>
        <w:rPr>
          <w:spacing w:val="-1"/>
        </w:rPr>
        <w:t>市后，将四川久远投资控股集团有限公司、四川科学城锐锋集团有限责任公司持有的部分久远银海股份，</w:t>
      </w:r>
      <w:r>
        <w:rPr>
          <w:spacing w:val="-83"/>
        </w:rPr>
        <w:t> </w:t>
      </w:r>
      <w:r>
        <w:rPr>
          <w:spacing w:val="-83"/>
        </w:rPr>
      </w:r>
      <w:r>
        <w:rPr/>
        <w:t>共计</w:t>
      </w:r>
      <w:r>
        <w:rPr>
          <w:rFonts w:ascii="Times New Roman" w:hAnsi="Times New Roman" w:cs="Times New Roman" w:eastAsia="Times New Roman" w:hint="default"/>
        </w:rPr>
        <w:t>200</w:t>
      </w:r>
      <w:r>
        <w:rPr/>
        <w:t>万股，划转给全国社会保障理事会持有。</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pStyle w:val="Heading5"/>
        <w:spacing w:line="240" w:lineRule="auto"/>
        <w:ind w:left="154" w:right="0"/>
        <w:jc w:val="left"/>
        <w:rPr>
          <w:b w:val="0"/>
          <w:bCs w:val="0"/>
        </w:rPr>
      </w:pPr>
      <w:bookmarkStart w:name="54、其他权益工具" w:id="355"/>
      <w:bookmarkEnd w:id="355"/>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期末发行在外的优先股、永续债等其他金融工具基本情况" w:id="356"/>
      <w:bookmarkEnd w:id="356"/>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2）期末发行在外的优先股、永续债等金融工具变动情况表" w:id="357"/>
      <w:bookmarkEnd w:id="357"/>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4633"/>
        <w:jc w:val="left"/>
      </w:pPr>
      <w:r>
        <w:rPr/>
        <w:t>其他权益工具本期增减变动情况、变动原因说明，以及相关会计处理的依据： 其他说明：</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55、资本公积" w:id="358"/>
      <w:bookmarkEnd w:id="35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23,999,000.00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169,050,027.70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193,049,027.70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9,003,444.87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9,003,444.87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33,002,444.87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169,050,027.70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202,052,472.57</w:t>
            </w:r>
          </w:p>
        </w:tc>
      </w:tr>
    </w:tbl>
    <w:p>
      <w:pPr>
        <w:pStyle w:val="BodyText"/>
        <w:spacing w:line="240" w:lineRule="auto" w:before="51"/>
        <w:ind w:left="154" w:right="0"/>
        <w:jc w:val="left"/>
      </w:pPr>
      <w:r>
        <w:rPr/>
        <w:t>其他说明，包括本期增减变动情况、变动原因说明：</w:t>
      </w:r>
    </w:p>
    <w:p>
      <w:pPr>
        <w:pStyle w:val="Heading6"/>
        <w:spacing w:line="261" w:lineRule="auto" w:before="89"/>
        <w:ind w:left="153" w:right="1129" w:firstLine="168"/>
        <w:jc w:val="both"/>
      </w:pPr>
      <w:r>
        <w:rPr/>
        <w:t>根据贵公司股东大会决议和修改后章程的规定，并经中国证券监督管理委员会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rFonts w:ascii="Times New Roman" w:hAnsi="Times New Roman" w:cs="Times New Roman" w:eastAsia="Times New Roman" w:hint="default"/>
        </w:rPr>
        <w:t>1374</w:t>
      </w:r>
      <w:r>
        <w:rPr/>
        <w:t>号</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文《关于核准四川久远银海软件股份有限公司首次公开发行股票的批复》核准，贵公司向社会公开发行人</w:t>
      </w:r>
      <w:r>
        <w:rPr>
          <w:spacing w:val="-83"/>
        </w:rPr>
        <w:t> </w:t>
      </w:r>
      <w:r>
        <w:rPr>
          <w:spacing w:val="-83"/>
        </w:rPr>
      </w:r>
      <w:r>
        <w:rPr>
          <w:spacing w:val="-2"/>
        </w:rPr>
        <w:t>民币普通股（</w:t>
      </w:r>
      <w:r>
        <w:rPr>
          <w:rFonts w:ascii="Times New Roman" w:hAnsi="Times New Roman" w:cs="Times New Roman" w:eastAsia="Times New Roman" w:hint="default"/>
          <w:spacing w:val="-2"/>
        </w:rPr>
        <w:t>A</w:t>
      </w:r>
      <w:r>
        <w:rPr>
          <w:spacing w:val="-2"/>
        </w:rPr>
        <w:t>股）股票</w:t>
      </w:r>
      <w:r>
        <w:rPr>
          <w:rFonts w:ascii="Times New Roman" w:hAnsi="Times New Roman" w:cs="Times New Roman" w:eastAsia="Times New Roman" w:hint="default"/>
          <w:spacing w:val="-2"/>
        </w:rPr>
        <w:t>20,000,000</w:t>
      </w:r>
      <w:r>
        <w:rPr>
          <w:spacing w:val="-2"/>
        </w:rPr>
        <w:t>股，每股面值</w:t>
      </w:r>
      <w:r>
        <w:rPr>
          <w:rFonts w:ascii="Times New Roman" w:hAnsi="Times New Roman" w:cs="Times New Roman" w:eastAsia="Times New Roman" w:hint="default"/>
          <w:spacing w:val="-2"/>
        </w:rPr>
        <w:t>1.00</w:t>
      </w:r>
      <w:r>
        <w:rPr>
          <w:spacing w:val="-2"/>
        </w:rPr>
        <w:t>元，每股发行价格为</w:t>
      </w:r>
      <w:r>
        <w:rPr>
          <w:rFonts w:ascii="Times New Roman" w:hAnsi="Times New Roman" w:cs="Times New Roman" w:eastAsia="Times New Roman" w:hint="default"/>
          <w:spacing w:val="-2"/>
        </w:rPr>
        <w:t>11.46</w:t>
      </w:r>
      <w:r>
        <w:rPr>
          <w:spacing w:val="-2"/>
        </w:rPr>
        <w:t>元，募集资金总额为人民币</w:t>
      </w:r>
      <w:r>
        <w:rPr>
          <w:spacing w:val="-71"/>
        </w:rPr>
        <w:t> </w:t>
      </w:r>
      <w:r>
        <w:rPr>
          <w:spacing w:val="-71"/>
        </w:rPr>
      </w:r>
      <w:r>
        <w:rPr>
          <w:rFonts w:ascii="Times New Roman" w:hAnsi="Times New Roman" w:cs="Times New Roman" w:eastAsia="Times New Roman" w:hint="default"/>
          <w:spacing w:val="-2"/>
        </w:rPr>
        <w:t>229,200,000.00</w:t>
      </w:r>
      <w:r>
        <w:rPr>
          <w:spacing w:val="-2"/>
        </w:rPr>
        <w:t>元，扣除发行费用人民币</w:t>
      </w:r>
      <w:r>
        <w:rPr>
          <w:rFonts w:ascii="Times New Roman" w:hAnsi="Times New Roman" w:cs="Times New Roman" w:eastAsia="Times New Roman" w:hint="default"/>
          <w:spacing w:val="-2"/>
        </w:rPr>
        <w:t>40,149,972.30</w:t>
      </w:r>
      <w:r>
        <w:rPr>
          <w:spacing w:val="-2"/>
        </w:rPr>
        <w:t>元，实际募集资金净额为人民币</w:t>
      </w:r>
      <w:r>
        <w:rPr>
          <w:rFonts w:ascii="Times New Roman" w:hAnsi="Times New Roman" w:cs="Times New Roman" w:eastAsia="Times New Roman" w:hint="default"/>
          <w:spacing w:val="-2"/>
        </w:rPr>
        <w:t>189,050,027.70</w:t>
      </w:r>
      <w:r>
        <w:rPr>
          <w:spacing w:val="-2"/>
        </w:rPr>
        <w:t>元，其</w:t>
      </w:r>
      <w:r>
        <w:rPr>
          <w:spacing w:val="-46"/>
        </w:rPr>
        <w:t> </w:t>
      </w:r>
      <w:r>
        <w:rPr>
          <w:spacing w:val="-46"/>
        </w:rPr>
      </w:r>
      <w:r>
        <w:rPr>
          <w:spacing w:val="-1"/>
        </w:rPr>
        <w:t>中新增股本</w:t>
      </w:r>
      <w:r>
        <w:rPr>
          <w:rFonts w:ascii="Times New Roman" w:hAnsi="Times New Roman" w:cs="Times New Roman" w:eastAsia="Times New Roman" w:hint="default"/>
          <w:spacing w:val="-1"/>
        </w:rPr>
        <w:t>20,000,000.00</w:t>
      </w:r>
      <w:r>
        <w:rPr>
          <w:spacing w:val="-1"/>
        </w:rPr>
        <w:t>元，股本溢价</w:t>
      </w:r>
      <w:r>
        <w:rPr>
          <w:rFonts w:ascii="Times New Roman" w:hAnsi="Times New Roman" w:cs="Times New Roman" w:eastAsia="Times New Roman" w:hint="default"/>
          <w:spacing w:val="-1"/>
        </w:rPr>
        <w:t>169,050,027.70</w:t>
      </w:r>
      <w:r>
        <w:rPr>
          <w:spacing w:val="-1"/>
        </w:rPr>
        <w:t>元。上述资金到位情况业经立信会计师事务所（特殊</w:t>
      </w:r>
      <w:r>
        <w:rPr>
          <w:spacing w:val="-72"/>
        </w:rPr>
        <w:t> </w:t>
      </w:r>
      <w:r>
        <w:rPr>
          <w:spacing w:val="-72"/>
        </w:rPr>
      </w:r>
      <w:r>
        <w:rPr/>
        <w:t>普通合伙）验证，并由其出具信会师报字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115808</w:t>
      </w:r>
      <w:r>
        <w:rPr/>
        <w:t>号验资报告。</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pStyle w:val="Heading5"/>
        <w:spacing w:line="240" w:lineRule="auto"/>
        <w:ind w:right="0"/>
        <w:jc w:val="left"/>
        <w:rPr>
          <w:b w:val="0"/>
          <w:bCs w:val="0"/>
        </w:rPr>
      </w:pPr>
      <w:bookmarkStart w:name="56、库存股" w:id="359"/>
      <w:bookmarkEnd w:id="35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57、其他综合收益" w:id="360"/>
      <w:bookmarkEnd w:id="36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left="154"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8、专项储备" w:id="361"/>
      <w:bookmarkEnd w:id="36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left="154"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59、盈余公积" w:id="362"/>
      <w:bookmarkEnd w:id="36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25,325,704.49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4,915,857.19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30,241,561.68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25,325,704.49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4,915,857.19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30,241,561.68</w:t>
            </w:r>
          </w:p>
        </w:tc>
      </w:tr>
    </w:tbl>
    <w:p>
      <w:pPr>
        <w:pStyle w:val="BodyText"/>
        <w:spacing w:line="240" w:lineRule="auto" w:before="51"/>
        <w:ind w:left="154" w:right="0"/>
        <w:jc w:val="left"/>
      </w:pPr>
      <w:r>
        <w:rPr/>
        <w:t>盈余公积说明，包括本期增减变动情况、变动原因说明：</w:t>
      </w:r>
    </w:p>
    <w:p>
      <w:pPr>
        <w:pStyle w:val="Heading6"/>
        <w:spacing w:line="240" w:lineRule="auto" w:before="91"/>
        <w:ind w:left="154" w:right="0"/>
        <w:jc w:val="left"/>
      </w:pPr>
      <w:r>
        <w:rPr/>
        <w:t>本期增加原因：根据税后利润提取法定盈余公积。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left="154" w:right="0"/>
        <w:jc w:val="left"/>
        <w:rPr>
          <w:b w:val="0"/>
          <w:bCs w:val="0"/>
        </w:rPr>
      </w:pPr>
      <w:bookmarkStart w:name="60、未分配利润" w:id="363"/>
      <w:bookmarkEnd w:id="36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115,358,257.46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105,022,688.01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57,222,712.49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55,768,580.55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4,915,857.19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5,433,011.10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107,665,112.76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115,358,257.46</w:t>
            </w:r>
          </w:p>
        </w:tc>
      </w:tr>
    </w:tbl>
    <w:p>
      <w:pPr>
        <w:pStyle w:val="BodyText"/>
        <w:spacing w:line="240" w:lineRule="auto" w:before="51"/>
        <w:ind w:left="154" w:right="0"/>
        <w:jc w:val="left"/>
      </w:pPr>
      <w:r>
        <w:rPr/>
        <w:t>调整期初未分配利润明细：</w:t>
      </w:r>
    </w:p>
    <w:p>
      <w:pPr>
        <w:pStyle w:val="BodyText"/>
        <w:spacing w:line="240" w:lineRule="auto" w:before="116"/>
        <w:ind w:left="154"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5"/>
        <w:spacing w:line="240" w:lineRule="auto"/>
        <w:ind w:left="154" w:right="0"/>
        <w:jc w:val="left"/>
        <w:rPr>
          <w:b w:val="0"/>
          <w:bCs w:val="0"/>
        </w:rPr>
      </w:pPr>
      <w:bookmarkStart w:name="61、营业收入和营业成本" w:id="364"/>
      <w:bookmarkEnd w:id="36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447,727,934.02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255,312,986.37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362,940,168.62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196,758,185.64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2,089,963.68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509,915.96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2,770,194.52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654,178.61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449,817,897.70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255,822,902.33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365,710,363.14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197,412,364.25</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62、营业税金及附加" w:id="365"/>
      <w:bookmarkEnd w:id="365"/>
      <w:r>
        <w:rPr>
          <w:b w:val="0"/>
          <w:bCs w:val="0"/>
        </w:rPr>
      </w:r>
      <w:r>
        <w:rPr>
          <w:rFonts w:ascii="Times New Roman" w:hAnsi="Times New Roman" w:cs="Times New Roman" w:eastAsia="Times New Roman" w:hint="default"/>
        </w:rPr>
        <w:t>62</w:t>
      </w:r>
      <w:r>
        <w:rPr/>
        <w:t>、营业税金及附加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328,346.55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365,878.17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1,371,705.83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1,084,106.81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983,715.00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777,638.86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副调基金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327,584.13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256,036.86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3,011,351.51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2,483,660.70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3、销售费用" w:id="366"/>
      <w:bookmarkEnd w:id="36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14,036,704.95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9,838,576.11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10,199,439.34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9,956,672.64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4,237,481.02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4,019,896.72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耗材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2,845,668.21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3,150,481.21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1,723,914.63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1,198,332.63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2,217,222.65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3,332,390.49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1,872,873.68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708,789.22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1,096,170.86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715,076.13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2,956,113.08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3,179,001.52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41,185,588.42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36,099,216.67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4、管理费用" w:id="367"/>
      <w:bookmarkEnd w:id="36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17,960,020.18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12,489,417.46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17,417,286.33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16,885,526.45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9,409,245.25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7,367,249.33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3,355,098.89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3,209,710.73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2,843,049.20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2,919,282.37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水电物管费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2,831,831.83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1,827,930.36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2,687,728.00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2,150,500.00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1,934,532.29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1,473,429.40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1,876,211.39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1,341,680.36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工会经费、职工教育经费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1,599,071.02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1,318,448.46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1,223,978.70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1,285,793.31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9,504,156.51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9,067,047.44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72,642,209.59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61,336,015.67</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5、财务费用" w:id="368"/>
      <w:bookmarkEnd w:id="368"/>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762,720.20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896,119.18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2,612,562.60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1,458,444.84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132,201.38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79,822.86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-1,717,641.02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-482,502.80</w:t>
            </w:r>
            <w:r>
              <w:rPr>
                <w:rFonts w:ascii="Times New Roman"/>
                <w:sz w:val="18"/>
              </w:rPr>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6、资产减值损失" w:id="369"/>
      <w:bookmarkEnd w:id="369"/>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4,839,990.66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6,988,947.98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24,010.21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4,839,990.66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7,012,958.19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7、公允价值变动收益" w:id="370"/>
      <w:bookmarkEnd w:id="370"/>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8、投资收益" w:id="371"/>
      <w:bookmarkEnd w:id="37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-2,072,502.82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1,148,314.15</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-2,072,502.82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1,148,314.15</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9、营业外收入" w:id="372"/>
      <w:bookmarkEnd w:id="372"/>
      <w:r>
        <w:rPr>
          <w:b w:val="0"/>
          <w:bCs w:val="0"/>
        </w:rPr>
      </w:r>
      <w:r>
        <w:rPr>
          <w:rFonts w:ascii="Times New Roman" w:hAnsi="Times New Roman" w:cs="Times New Roman" w:eastAsia="Times New Roman" w:hint="default"/>
        </w:rPr>
        <w:t>69</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32,899.35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32,899.35</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32,899.35</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32,899.35</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3,413,441.89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4,809,290.58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3,413,441.89</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190,243.01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103,975.17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190,243.01</w:t>
            </w: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3,636,584.25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4,913,265.75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3,636,584.25</w:t>
            </w:r>
          </w:p>
        </w:tc>
      </w:tr>
    </w:tbl>
    <w:p>
      <w:pPr>
        <w:pStyle w:val="BodyText"/>
        <w:spacing w:line="240" w:lineRule="auto" w:before="51"/>
        <w:ind w:left="154"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64"/>
              <w:jc w:val="righ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支撑人力资 源和社会保 障行业核心 业务的集成 创新</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成都市科学 技术局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民生保障云 云计算平台 研究及应用 示范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left"/>
              <w:rPr>
                <w:rFonts w:ascii="宋体" w:hAnsi="宋体" w:cs="宋体" w:eastAsia="宋体" w:hint="default"/>
                <w:sz w:val="18"/>
                <w:szCs w:val="18"/>
              </w:rPr>
            </w:pPr>
            <w:r>
              <w:rPr>
                <w:rFonts w:ascii="宋体" w:hAnsi="宋体" w:cs="宋体" w:eastAsia="宋体" w:hint="default"/>
                <w:sz w:val="18"/>
                <w:szCs w:val="18"/>
              </w:rPr>
              <w:t>成都高新区 经贸发展局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高新区经发 局战略性新 兴产业发展 资金基于云 平台研发产 业</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成都高新区 经贸发展局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780" w:lineRule="exact"/>
              <w:ind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52.7pt;height:39pt;mso-position-horizontal-relative:char;mso-position-vertical-relative:line" coordorigin="0,0" coordsize="1054,780">
                  <v:group style="position:absolute;left:0;top:0;width:1054;height:780" coordorigin="0,0" coordsize="1054,780">
                    <v:shape style="position:absolute;left:0;top:0;width:1054;height:780" coordorigin="0,0" coordsize="1054,780" path="m0,780l1054,780,1054,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1"/>
              <w:jc w:val="both"/>
              <w:rPr>
                <w:rFonts w:ascii="宋体" w:hAnsi="宋体" w:cs="宋体" w:eastAsia="宋体" w:hint="default"/>
                <w:sz w:val="18"/>
                <w:szCs w:val="18"/>
              </w:rPr>
            </w:pPr>
            <w:r>
              <w:rPr>
                <w:rFonts w:ascii="宋体" w:hAnsi="宋体" w:cs="宋体" w:eastAsia="宋体" w:hint="default"/>
                <w:sz w:val="18"/>
                <w:szCs w:val="18"/>
              </w:rPr>
              <w:t>面向军工制 造业产品研 发过程管理 信息化软件 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成都高新区 经贸发展局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0"/>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宋体" w:hAnsi="宋体" w:cs="宋体" w:eastAsia="宋体" w:hint="default"/>
                <w:sz w:val="20"/>
                <w:szCs w:val="20"/>
              </w:rPr>
            </w:pPr>
            <w:r>
              <w:rPr>
                <w:rFonts w:ascii="宋体" w:hAnsi="宋体" w:cs="宋体" w:eastAsia="宋体"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宋体" w:hAnsi="宋体" w:cs="宋体" w:eastAsia="宋体"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2"/>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年自治 区特色餐饮 业发展专项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新疆自治区 </w:t>
            </w:r>
            <w:r>
              <w:rPr>
                <w:rFonts w:ascii="宋体" w:hAnsi="宋体" w:cs="宋体" w:eastAsia="宋体" w:hint="default"/>
                <w:spacing w:val="-13"/>
                <w:sz w:val="18"/>
                <w:szCs w:val="18"/>
              </w:rPr>
              <w:t>商务厅、财政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厅</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1"/>
              <w:jc w:val="left"/>
              <w:rPr>
                <w:rFonts w:ascii="宋体" w:hAnsi="宋体" w:cs="宋体" w:eastAsia="宋体" w:hint="default"/>
                <w:sz w:val="18"/>
                <w:szCs w:val="18"/>
              </w:rPr>
            </w:pPr>
            <w:r>
              <w:rPr>
                <w:rFonts w:ascii="宋体" w:hAnsi="宋体" w:cs="宋体" w:eastAsia="宋体" w:hint="default"/>
                <w:sz w:val="18"/>
                <w:szCs w:val="18"/>
              </w:rPr>
              <w:t>科技创新奖 励</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27"/>
              <w:jc w:val="left"/>
              <w:rPr>
                <w:rFonts w:ascii="宋体" w:hAnsi="宋体" w:cs="宋体" w:eastAsia="宋体" w:hint="default"/>
                <w:sz w:val="18"/>
                <w:szCs w:val="18"/>
              </w:rPr>
            </w:pPr>
            <w:r>
              <w:rPr>
                <w:rFonts w:ascii="宋体" w:hAnsi="宋体" w:cs="宋体" w:eastAsia="宋体" w:hint="default"/>
                <w:sz w:val="18"/>
                <w:szCs w:val="18"/>
              </w:rPr>
              <w:t>重庆市大渡 口区区科委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52.7pt;height:23.45pt;mso-position-horizontal-relative:char;mso-position-vertical-relative:line" coordorigin="0,0" coordsize="1054,469">
                  <v:group style="position:absolute;left:0;top:0;width:1054;height:469" coordorigin="0,0" coordsize="1054,469">
                    <v:shape style="position:absolute;left:0;top:0;width:1054;height:469" coordorigin="0,0" coordsize="1054,469" path="m0,468l1054,468,1054,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1"/>
              <w:jc w:val="right"/>
              <w:rPr>
                <w:rFonts w:ascii="宋体" w:hAnsi="宋体" w:cs="宋体" w:eastAsia="宋体" w:hint="default"/>
                <w:sz w:val="18"/>
                <w:szCs w:val="18"/>
              </w:rPr>
            </w:pPr>
            <w:r>
              <w:rPr>
                <w:rFonts w:ascii="宋体" w:hAnsi="宋体" w:cs="宋体" w:eastAsia="宋体" w:hint="default"/>
                <w:sz w:val="18"/>
                <w:szCs w:val="18"/>
              </w:rPr>
              <w:t>成都市软件</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7"/>
              <w:jc w:val="right"/>
              <w:rPr>
                <w:rFonts w:ascii="宋体" w:hAnsi="宋体" w:cs="宋体" w:eastAsia="宋体" w:hint="default"/>
                <w:sz w:val="18"/>
                <w:szCs w:val="18"/>
              </w:rPr>
            </w:pPr>
            <w:r>
              <w:rPr>
                <w:rFonts w:ascii="宋体" w:hAnsi="宋体" w:cs="宋体" w:eastAsia="宋体" w:hint="default"/>
                <w:sz w:val="18"/>
                <w:szCs w:val="18"/>
              </w:rPr>
              <w:t>成都信息化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71"/>
              <w:ind w:left="22" w:right="-61"/>
              <w:jc w:val="center"/>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192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59"/>
              <w:jc w:val="left"/>
              <w:rPr>
                <w:rFonts w:ascii="宋体" w:hAnsi="宋体" w:cs="宋体" w:eastAsia="宋体" w:hint="default"/>
                <w:sz w:val="18"/>
                <w:szCs w:val="18"/>
              </w:rPr>
            </w:pPr>
            <w:r>
              <w:rPr>
                <w:rFonts w:ascii="宋体" w:hAnsi="宋体" w:cs="宋体" w:eastAsia="宋体" w:hint="default"/>
                <w:sz w:val="18"/>
                <w:szCs w:val="18"/>
              </w:rPr>
              <w:t>服务企业</w:t>
            </w:r>
            <w:r>
              <w:rPr>
                <w:rFonts w:ascii="Times New Roman" w:hAnsi="Times New Roman" w:cs="Times New Roman" w:eastAsia="Times New Roman" w:hint="default"/>
                <w:sz w:val="18"/>
                <w:szCs w:val="18"/>
              </w:rPr>
              <w:t>"</w:t>
            </w:r>
            <w:r>
              <w:rPr>
                <w:rFonts w:ascii="宋体" w:hAnsi="宋体" w:cs="宋体" w:eastAsia="宋体" w:hint="default"/>
                <w:sz w:val="18"/>
                <w:szCs w:val="18"/>
              </w:rPr>
              <w:t>软 件能力和系 统能力评价 体系</w:t>
            </w:r>
            <w:r>
              <w:rPr>
                <w:rFonts w:ascii="Times New Roman" w:hAnsi="Times New Roman" w:cs="Times New Roman" w:eastAsia="Times New Roman" w:hint="default"/>
                <w:sz w:val="18"/>
                <w:szCs w:val="18"/>
              </w:rPr>
              <w:t>"</w:t>
            </w:r>
            <w:r>
              <w:rPr>
                <w:rFonts w:ascii="宋体" w:hAnsi="宋体" w:cs="宋体" w:eastAsia="宋体" w:hint="default"/>
                <w:sz w:val="18"/>
                <w:szCs w:val="18"/>
              </w:rPr>
              <w:t>验证及 试点工作经 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7"/>
              <w:jc w:val="left"/>
              <w:rPr>
                <w:rFonts w:ascii="宋体" w:hAnsi="宋体" w:cs="宋体" w:eastAsia="宋体" w:hint="default"/>
                <w:sz w:val="18"/>
                <w:szCs w:val="18"/>
              </w:rPr>
            </w:pPr>
            <w:r>
              <w:rPr>
                <w:rFonts w:ascii="宋体" w:hAnsi="宋体" w:cs="宋体" w:eastAsia="宋体" w:hint="default"/>
                <w:sz w:val="18"/>
                <w:szCs w:val="18"/>
              </w:rPr>
              <w:t>发展技术应 用发展中心</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计算机软件 著作权登记 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成都市版权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15,200.00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成都市广播 电视和新闻 出版局软件 登记资助款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成都市广播 电视和新闻 出版局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成都高新技 术产业开发 区科技局补 助经费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区科技局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计算机软件 著作权登记 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成都市版权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高新区科技 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p>
          <w:p>
            <w:pPr>
              <w:pStyle w:val="TableParagraph"/>
              <w:spacing w:line="302" w:lineRule="auto"/>
              <w:ind w:left="22" w:right="17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批知识产 权资助金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高新区科技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久远银海生 产流程再造 技改项目</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中物院应用 技术研究发 展中心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成都市文化 广电新闻出 版局计算机 软件著作权 补助款</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both"/>
              <w:rPr>
                <w:rFonts w:ascii="宋体" w:hAnsi="宋体" w:cs="宋体" w:eastAsia="宋体" w:hint="default"/>
                <w:sz w:val="18"/>
                <w:szCs w:val="18"/>
              </w:rPr>
            </w:pPr>
            <w:r>
              <w:rPr>
                <w:rFonts w:ascii="宋体" w:hAnsi="宋体" w:cs="宋体" w:eastAsia="宋体" w:hint="default"/>
                <w:sz w:val="18"/>
                <w:szCs w:val="18"/>
              </w:rPr>
              <w:t>成都市文化 广电新闻出 版局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52.7pt;height:31.2pt;mso-position-horizontal-relative:char;mso-position-vertical-relative:line" coordorigin="0,0" coordsize="1054,624">
                  <v:group style="position:absolute;left:0;top:0;width:1054;height:624" coordorigin="0,0" coordsize="1054,624">
                    <v:shape style="position:absolute;left:0;top:0;width:1054;height:624" coordorigin="0,0" coordsize="1054,624" path="m0,624l1054,624,1054,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科技创新平 台建设专项</w:t>
            </w:r>
            <w:r>
              <w:rPr>
                <w:rFonts w:ascii="Times New Roman" w:hAnsi="Times New Roman" w:cs="Times New Roman" w:eastAsia="Times New Roman" w:hint="default"/>
                <w:sz w:val="18"/>
                <w:szCs w:val="18"/>
              </w:rPr>
              <w:t>- </w:t>
            </w:r>
            <w:r>
              <w:rPr>
                <w:rFonts w:ascii="宋体" w:hAnsi="宋体" w:cs="宋体" w:eastAsia="宋体" w:hint="default"/>
                <w:sz w:val="18"/>
                <w:szCs w:val="18"/>
              </w:rPr>
              <w:t>第一批平台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区技术创新 服务中心</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4,850.00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9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科学城财政 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科技</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27"/>
              <w:jc w:val="left"/>
              <w:rPr>
                <w:rFonts w:ascii="宋体" w:hAnsi="宋体" w:cs="宋体" w:eastAsia="宋体" w:hint="default"/>
                <w:sz w:val="18"/>
                <w:szCs w:val="18"/>
              </w:rPr>
            </w:pPr>
            <w:r>
              <w:rPr>
                <w:rFonts w:ascii="宋体" w:hAnsi="宋体" w:cs="宋体" w:eastAsia="宋体" w:hint="default"/>
                <w:sz w:val="18"/>
                <w:szCs w:val="18"/>
              </w:rPr>
              <w:t>绵阳科学城 财政局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91"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52.7pt;height:14.6pt;mso-position-horizontal-relative:char;mso-position-vertical-relative:line" coordorigin="0,0" coordsize="1054,292">
                  <v:group style="position:absolute;left:0;top:0;width:1054;height:292" coordorigin="0,0" coordsize="1054,292">
                    <v:shape style="position:absolute;left:0;top:0;width:1054;height:292" coordorigin="0,0" coordsize="1054,292" path="m0,292l1054,292,1054,0,0,0,0,29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63.339996pt;margin-top:224.419983pt;width:52.7pt;height:23.4pt;mso-position-horizontal-relative:page;mso-position-vertical-relative:page;z-index:-859576" coordorigin="3267,4488" coordsize="1054,468">
            <v:shape style="position:absolute;left:3267;top:4488;width:1054;height:468" coordorigin="3267,4488" coordsize="1054,468" path="m3267,4956l4320,4956,4320,4488,3267,4488,3267,495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项目匹配款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489"/>
              <w:jc w:val="righ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财政稳岗补 贴费</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重庆市国家 就业局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23,168.00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区科委重品 补贴</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重庆市大渡 口区区科委</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1"/>
              <w:jc w:val="left"/>
              <w:rPr>
                <w:rFonts w:ascii="宋体" w:hAnsi="宋体" w:cs="宋体" w:eastAsia="宋体" w:hint="default"/>
                <w:sz w:val="18"/>
                <w:szCs w:val="18"/>
              </w:rPr>
            </w:pPr>
            <w:r>
              <w:rPr>
                <w:rFonts w:ascii="宋体" w:hAnsi="宋体" w:cs="宋体" w:eastAsia="宋体" w:hint="default"/>
                <w:sz w:val="18"/>
                <w:szCs w:val="18"/>
              </w:rPr>
              <w:t>增值税即征 即退</w:t>
            </w:r>
          </w:p>
        </w:tc>
        <w:tc>
          <w:tcPr>
            <w:tcW w:w="1062"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重庆市大渡 口区国税局 北京市海淀 区国税局</w:t>
            </w:r>
          </w:p>
        </w:tc>
        <w:tc>
          <w:tcPr>
            <w:tcW w:w="106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96" w:lineRule="exact" w:before="155"/>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147,023.89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598,290.58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成都高新技 术产业开发 区经贸发展 局项目补助 资金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成都高新技 术产业开发 区经贸发展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基金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27"/>
              <w:jc w:val="left"/>
              <w:rPr>
                <w:rFonts w:ascii="宋体" w:hAnsi="宋体" w:cs="宋体" w:eastAsia="宋体" w:hint="default"/>
                <w:sz w:val="18"/>
                <w:szCs w:val="18"/>
              </w:rPr>
            </w:pPr>
            <w:r>
              <w:rPr>
                <w:rFonts w:ascii="宋体" w:hAnsi="宋体" w:cs="宋体" w:eastAsia="宋体" w:hint="default"/>
                <w:sz w:val="18"/>
                <w:szCs w:val="18"/>
              </w:rPr>
              <w:t>成都高新区 经贸发展局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 型中小企业 认定资助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绵阳市涪城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2.7pt;height:23.4pt;mso-position-horizontal-relative:char;mso-position-vertical-relative:line" coordorigin="0,0" coordsize="1054,468">
                  <v:group style="position:absolute;left:0;top:0;width:1054;height:468" coordorigin="0,0" coordsize="1054,468">
                    <v:shape style="position:absolute;left:0;top:0;width:1054;height:468" coordorigin="0,0" coordsize="1054,468" path="m0,468l1054,468,1054,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绵阳市市级 财政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关于获得</w:t>
            </w:r>
          </w:p>
          <w:p>
            <w:pPr>
              <w:pStyle w:val="TableParagraph"/>
              <w:spacing w:line="316" w:lineRule="auto" w:before="64"/>
              <w:ind w:left="22" w:right="50"/>
              <w:jc w:val="left"/>
              <w:rPr>
                <w:rFonts w:ascii="宋体" w:hAnsi="宋体" w:cs="宋体" w:eastAsia="宋体" w:hint="default"/>
                <w:sz w:val="18"/>
                <w:szCs w:val="18"/>
              </w:rPr>
            </w:pPr>
            <w:r>
              <w:rPr>
                <w:rFonts w:ascii="Times New Roman" w:hAnsi="Times New Roman" w:cs="Times New Roman" w:eastAsia="Times New Roman" w:hint="default"/>
                <w:sz w:val="18"/>
                <w:szCs w:val="18"/>
              </w:rPr>
              <w:t>GB/T19000-I</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S09000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系列</w:t>
            </w: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质量管理体 系认证的资 金扶持</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27"/>
              <w:jc w:val="left"/>
              <w:rPr>
                <w:rFonts w:ascii="宋体" w:hAnsi="宋体" w:cs="宋体" w:eastAsia="宋体" w:hint="default"/>
                <w:sz w:val="18"/>
                <w:szCs w:val="18"/>
              </w:rPr>
            </w:pPr>
            <w:r>
              <w:rPr>
                <w:rFonts w:ascii="宋体" w:hAnsi="宋体" w:cs="宋体" w:eastAsia="宋体" w:hint="default"/>
                <w:sz w:val="18"/>
                <w:szCs w:val="18"/>
              </w:rPr>
              <w:t>绵阳市财政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49"/>
              <w:jc w:val="left"/>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2.7pt;height:54.6pt;mso-position-horizontal-relative:char;mso-position-vertical-relative:line" coordorigin="0,0" coordsize="1054,1092">
                  <v:group style="position:absolute;left:0;top:0;width:1054;height:1092" coordorigin="0,0" coordsize="1054,1092">
                    <v:shape style="position:absolute;left:0;top:0;width:1054;height:1092" coordorigin="0,0" coordsize="1054,1092" path="m0,1092l1054,1092,1054,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66"/>
              <w:jc w:val="righ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3,413,441.89</w:t>
            </w:r>
          </w:p>
        </w:tc>
        <w:tc>
          <w:tcPr>
            <w:tcW w:w="10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4,809,290.58</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70、营业外支出" w:id="373"/>
      <w:bookmarkEnd w:id="373"/>
      <w:r>
        <w:rPr>
          <w:b w:val="0"/>
          <w:bCs w:val="0"/>
        </w:rPr>
      </w:r>
      <w:r>
        <w:rPr>
          <w:rFonts w:ascii="Times New Roman" w:hAnsi="Times New Roman" w:cs="Times New Roman" w:eastAsia="Times New Roman" w:hint="default"/>
        </w:rPr>
        <w:t>70</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0"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36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9,535.40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9,535.40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9,535.40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9,535.40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29,535.40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29,535.40</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71、所得税费用" w:id="374"/>
      <w:bookmarkEnd w:id="374"/>
      <w:r>
        <w:rPr>
          <w:b w:val="0"/>
          <w:bCs w:val="0"/>
        </w:rPr>
      </w:r>
      <w:r>
        <w:rPr>
          <w:rFonts w:ascii="Times New Roman" w:hAnsi="Times New Roman" w:cs="Times New Roman" w:eastAsia="Times New Roman" w:hint="default"/>
        </w:rPr>
        <w:t>71</w:t>
      </w:r>
      <w:r>
        <w:rPr/>
        <w:t>、所得税费用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所得税费用表" w:id="375"/>
      <w:bookmarkEnd w:id="375"/>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13,229,877.28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9,081,610.22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-837,606.52</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-249,551.77</w:t>
            </w:r>
            <w:r>
              <w:rPr>
                <w:rFonts w:ascii="Times New Roman"/>
                <w:sz w:val="18"/>
              </w:rPr>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12,392,270.76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8,832,058.45</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会计利润与所得税费用调整过程" w:id="376"/>
      <w:bookmarkEnd w:id="376"/>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75,568,042.24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11,335,206.33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-309,817.51</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-730,297.86</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3,117,764.16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-196,226.45</w:t>
            </w:r>
            <w:r>
              <w:rPr>
                <w:rFonts w:ascii="Times New Roman"/>
                <w:sz w:val="18"/>
              </w:rPr>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-1,172,722.49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子公司亏损的影响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541,836.49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内部交易未实现利润的影响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-164,433.41</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-29,038.50</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12,392,270.76</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72、其他综合收益" w:id="377"/>
      <w:bookmarkEnd w:id="377"/>
      <w:r>
        <w:rPr>
          <w:b w:val="0"/>
          <w:bCs w:val="0"/>
        </w:rPr>
      </w:r>
      <w:r>
        <w:rPr>
          <w:rFonts w:ascii="Times New Roman" w:hAnsi="Times New Roman" w:cs="Times New Roman" w:eastAsia="Times New Roman" w:hint="default"/>
        </w:rPr>
        <w:t>72</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详见附注。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73、现金流量表项目" w:id="378"/>
      <w:bookmarkEnd w:id="378"/>
      <w:r>
        <w:rPr>
          <w:b w:val="0"/>
          <w:bCs w:val="0"/>
        </w:rPr>
      </w:r>
      <w:r>
        <w:rPr>
          <w:rFonts w:ascii="Times New Roman" w:hAnsi="Times New Roman" w:cs="Times New Roman" w:eastAsia="Times New Roman" w:hint="default"/>
        </w:rPr>
        <w:t>73</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收到的其他与经营活动有关的现金" w:id="379"/>
      <w:bookmarkEnd w:id="379"/>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2,631,968.08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1,237,929.77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1,857,619.54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2,731,915.67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7,803,684.90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2,813,265.75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12,293,272.52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6,783,111.19</w:t>
            </w:r>
          </w:p>
        </w:tc>
      </w:tr>
    </w:tbl>
    <w:p>
      <w:pPr>
        <w:pStyle w:val="BodyText"/>
        <w:spacing w:line="240" w:lineRule="auto" w:before="51"/>
        <w:ind w:left="154" w:right="0"/>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2）支付的其他与经营活动有关的现金" w:id="380"/>
      <w:bookmarkEnd w:id="380"/>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管理费用、销售费用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61,126,759.68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44,940,806.71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132,201.38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79,822.86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企业间往来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9,313,062.37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15,536,670.36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租金支出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573,537.12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71,165,560.55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60,557,299.93</w:t>
            </w:r>
          </w:p>
        </w:tc>
      </w:tr>
    </w:tbl>
    <w:p>
      <w:pPr>
        <w:pStyle w:val="BodyText"/>
        <w:spacing w:line="240" w:lineRule="auto" w:before="51"/>
        <w:ind w:left="154"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3）收到的其他与投资活动有关的现金" w:id="381"/>
      <w:bookmarkEnd w:id="381"/>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4）支付的其他与投资活动有关的现金" w:id="382"/>
      <w:bookmarkEnd w:id="382"/>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5）收到的其他与筹资活动有关的现金" w:id="383"/>
      <w:bookmarkEnd w:id="383"/>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537.789978pt;width:151.25pt;height:20.7pt;mso-position-horizontal-relative:page;mso-position-vertical-relative:page;z-index:-859552" coordorigin="4467,10756" coordsize="3025,414">
            <v:group style="position:absolute;left:4478;top:10767;width:2;height:392" coordorigin="4478,10767" coordsize="2,392">
              <v:shape style="position:absolute;left:4478;top:10767;width:2;height:392" coordorigin="4478,10767" coordsize="0,392" path="m4478,10767l4478,11158e" filled="false" stroked="true" strokeweight="1.140pt" strokecolor="#ffffff">
                <v:path arrowok="t"/>
              </v:shape>
            </v:group>
            <v:group style="position:absolute;left:4490;top:10767;width:3002;height:392" coordorigin="4490,10767" coordsize="3002,392">
              <v:shape style="position:absolute;left:4490;top:10767;width:3002;height:392" coordorigin="4490,10767" coordsize="3002,392" path="m4490,11158l7491,11158,7491,10767,4490,10767,4490,1115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6）支付的其他与筹资活动有关的现金" w:id="384"/>
      <w:bookmarkEnd w:id="384"/>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74、现金流量表补充资料" w:id="385"/>
      <w:bookmarkEnd w:id="385"/>
      <w:r>
        <w:rPr>
          <w:b w:val="0"/>
          <w:bCs w:val="0"/>
        </w:rPr>
      </w:r>
      <w:r>
        <w:rPr>
          <w:rFonts w:ascii="Times New Roman" w:hAnsi="Times New Roman" w:cs="Times New Roman" w:eastAsia="Times New Roman" w:hint="default"/>
        </w:rPr>
        <w:t>74</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现金流量表补充资料" w:id="386"/>
      <w:bookmarkEnd w:id="386"/>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22"/>
        <w:gridCol w:w="194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63,175,771.48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59,078,171.91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4,839,990.66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7,012,958.19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4,114,387.94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4,083,456.72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7,974,604.17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7,312,488.88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218,801.74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212,482.00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-23,363.95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762,720.20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896,119.18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2,072,502.82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-1,148,314.15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2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4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048" w:right="0"/>
              <w:jc w:val="left"/>
              <w:rPr>
                <w:rFonts w:ascii="Times New Roman" w:hAnsi="Times New Roman" w:cs="Times New Roman" w:eastAsia="Times New Roman" w:hint="default"/>
                <w:sz w:val="18"/>
                <w:szCs w:val="18"/>
              </w:rPr>
            </w:pPr>
            <w:r>
              <w:rPr>
                <w:rFonts w:ascii="Times New Roman"/>
                <w:sz w:val="18"/>
              </w:rPr>
              <w:t>-837,606.52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-249,551.77</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-26,198,029.67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-38,533,668.98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-28,539,372.89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-11,850,395.00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67,349,753.91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62,146,396.45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94,910,159.89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88,960,143.43</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2"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467,481,035.38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260,746,546.38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260,746,546.38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225,182,991.76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0" w:right="0"/>
              <w:jc w:val="left"/>
              <w:rPr>
                <w:rFonts w:ascii="Times New Roman" w:hAnsi="Times New Roman" w:cs="Times New Roman" w:eastAsia="Times New Roman" w:hint="default"/>
                <w:sz w:val="18"/>
                <w:szCs w:val="18"/>
              </w:rPr>
            </w:pPr>
            <w:r>
              <w:rPr>
                <w:rFonts w:ascii="Times New Roman"/>
                <w:sz w:val="18"/>
              </w:rPr>
              <w:t>206,734,489.00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35,563,554.62</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本期支付的取得子公司的现金净额" w:id="387"/>
      <w:bookmarkEnd w:id="387"/>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本期收到的处置子公司的现金净额" w:id="388"/>
      <w:bookmarkEnd w:id="388"/>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现金和现金等价物的构成" w:id="389"/>
      <w:bookmarkEnd w:id="389"/>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467,481,035.38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260,746,546.38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96,117.18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152,535.05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467,384,918.20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260,594,011.33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467,481,035.38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260,746,546.38</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3" w:right="5373" w:firstLine="0"/>
        <w:jc w:val="left"/>
        <w:rPr>
          <w:rFonts w:ascii="宋体" w:hAnsi="宋体" w:cs="宋体" w:eastAsia="宋体" w:hint="default"/>
          <w:sz w:val="21"/>
          <w:szCs w:val="21"/>
        </w:rPr>
      </w:pPr>
      <w:bookmarkStart w:name="75、所有者权益变动表项目注释" w:id="390"/>
      <w:bookmarkEnd w:id="390"/>
      <w:r>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6、所有权或使用权受到限制的资产" w:id="391"/>
      <w:bookmarkEnd w:id="391"/>
      <w:r>
        <w:rPr>
          <w:rFonts w:ascii="宋体" w:hAnsi="宋体" w:cs="宋体" w:eastAsia="宋体" w:hint="default"/>
          <w:sz w:val="18"/>
          <w:szCs w:val="18"/>
        </w:rPr>
      </w:r>
      <w:r>
        <w:rPr>
          <w:rFonts w:ascii="Times New Roman" w:hAnsi="Times New Roman" w:cs="Times New Roman" w:eastAsia="Times New Roman" w:hint="default"/>
          <w:b/>
          <w:bCs/>
          <w:sz w:val="21"/>
          <w:szCs w:val="21"/>
        </w:rPr>
        <w:t>76</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6"/>
        <w:gridCol w:w="3057"/>
        <w:gridCol w:w="3184"/>
      </w:tblGrid>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883,476.40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30"/>
        <w:gridCol w:w="3057"/>
        <w:gridCol w:w="3184"/>
      </w:tblGrid>
      <w:tr>
        <w:trPr>
          <w:trHeight w:val="402" w:hRule="exact"/>
        </w:trPr>
        <w:tc>
          <w:tcPr>
            <w:tcW w:w="3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883,476.40</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77、外币货币性项目" w:id="392"/>
      <w:bookmarkEnd w:id="392"/>
      <w:r>
        <w:rPr>
          <w:b w:val="0"/>
          <w:bCs w:val="0"/>
        </w:rPr>
      </w:r>
      <w:r>
        <w:rPr>
          <w:rFonts w:ascii="Times New Roman" w:hAnsi="Times New Roman" w:cs="Times New Roman" w:eastAsia="Times New Roman" w:hint="default"/>
        </w:rPr>
        <w:t>77</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外币货币性项目" w:id="393"/>
      <w:bookmarkEnd w:id="393"/>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59" w:lineRule="auto"/>
        <w:ind w:right="0"/>
        <w:jc w:val="left"/>
        <w:rPr>
          <w:b w:val="0"/>
          <w:bCs w:val="0"/>
        </w:rPr>
      </w:pPr>
      <w:bookmarkStart w:name="（2）境外经营实体说明，包括对于重要的境外经营实体，应披露其境外主要经营地、记账" w:id="394"/>
      <w:bookmarkEnd w:id="394"/>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78、套期" w:id="395"/>
      <w:bookmarkEnd w:id="395"/>
      <w:r>
        <w:rPr>
          <w:b w:val="0"/>
          <w:bCs w:val="0"/>
        </w:rPr>
      </w:r>
      <w:r>
        <w:rPr>
          <w:rFonts w:ascii="Times New Roman" w:hAnsi="Times New Roman" w:cs="Times New Roman" w:eastAsia="Times New Roman" w:hint="default"/>
        </w:rPr>
        <w:t>78</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79、其他" w:id="396"/>
      <w:bookmarkEnd w:id="396"/>
      <w:r>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97"/>
      <w:bookmarkEnd w:id="397"/>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98"/>
      <w:bookmarkEnd w:id="39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5"/>
        <w:spacing w:line="240" w:lineRule="auto" w:before="83"/>
        <w:ind w:right="0"/>
        <w:jc w:val="left"/>
        <w:rPr>
          <w:b w:val="0"/>
          <w:bCs w:val="0"/>
        </w:rPr>
      </w:pPr>
      <w:bookmarkStart w:name="（1）本期发生的非同一控制下企业合并" w:id="399"/>
      <w:bookmarkEnd w:id="399"/>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合并成本及商誉" w:id="400"/>
      <w:bookmarkEnd w:id="400"/>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7"/>
        <w:ind w:left="154" w:right="6072"/>
        <w:jc w:val="left"/>
      </w:pPr>
      <w:r>
        <w:rPr/>
        <w:t>合并成本公允价值的确定方法、或有对价及其变动的说明： 大额商誉形成的主要原因：</w:t>
      </w:r>
    </w:p>
    <w:p>
      <w:pPr>
        <w:pStyle w:val="BodyText"/>
        <w:spacing w:line="240" w:lineRule="auto" w:before="26"/>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被购买方于购买日可辨认资产、负债" w:id="401"/>
      <w:bookmarkEnd w:id="401"/>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1" w:type="dxa"/>
            <w:gridSpan w:val="2"/>
            <w:tcBorders>
              <w:top w:val="single" w:sz="4" w:space="0" w:color="000000"/>
              <w:left w:val="single" w:sz="13" w:space="0" w:color="D2D2D2"/>
              <w:bottom w:val="single" w:sz="4" w:space="0" w:color="000000"/>
              <w:right w:val="single" w:sz="4" w:space="0" w:color="000000"/>
            </w:tcBorders>
            <w:shd w:val="clear" w:color="auto" w:fill="E0FFFF"/>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left="154"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5"/>
        <w:spacing w:line="240" w:lineRule="auto"/>
        <w:ind w:right="0"/>
        <w:jc w:val="both"/>
        <w:rPr>
          <w:b w:val="0"/>
          <w:bCs w:val="0"/>
        </w:rPr>
      </w:pPr>
      <w:bookmarkStart w:name="（4）购买日之前持有的股权按照公允价值重新计量产生的利得或损失" w:id="402"/>
      <w:bookmarkEnd w:id="402"/>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both"/>
      </w:pPr>
      <w:r>
        <w:rPr/>
        <w:t>是否存在通过多次交易分步实现企业合并且在报告期内取得控制权的交易</w:t>
      </w:r>
    </w:p>
    <w:p>
      <w:pPr>
        <w:pStyle w:val="BodyText"/>
        <w:spacing w:line="240" w:lineRule="auto" w:before="116"/>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5"/>
        <w:spacing w:line="240" w:lineRule="auto"/>
        <w:ind w:right="0"/>
        <w:jc w:val="both"/>
        <w:rPr>
          <w:b w:val="0"/>
          <w:bCs w:val="0"/>
        </w:rPr>
      </w:pPr>
      <w:bookmarkStart w:name="（5）购买日或合并当期期末无法合理确定合并对价或被购买方可辨认资产、负债公允价值" w:id="403"/>
      <w:bookmarkEnd w:id="403"/>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bookmarkStart w:name="（6）其他说明" w:id="404"/>
      <w:bookmarkEnd w:id="404"/>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2、同一控制下企业合并" w:id="405"/>
      <w:bookmarkEnd w:id="405"/>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both"/>
        <w:rPr>
          <w:b w:val="0"/>
          <w:bCs w:val="0"/>
        </w:rPr>
      </w:pPr>
      <w:bookmarkStart w:name="（1）本期发生的同一控制下企业合并" w:id="406"/>
      <w:bookmarkEnd w:id="406"/>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2）合并成本" w:id="407"/>
      <w:bookmarkEnd w:id="407"/>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e0ffff">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e0ffff">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pt" strokecolor="#000000">
                <v:path arrowok="t"/>
              </v:shape>
              <v:shape style="position:absolute;left:5;top:10;width:4785;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4"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5"/>
        <w:spacing w:line="240" w:lineRule="auto"/>
        <w:ind w:right="0"/>
        <w:jc w:val="left"/>
        <w:rPr>
          <w:b w:val="0"/>
          <w:bCs w:val="0"/>
        </w:rPr>
      </w:pPr>
      <w:bookmarkStart w:name="（3）合并日被合并方资产、负债的账面价值" w:id="408"/>
      <w:bookmarkEnd w:id="408"/>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824"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5pt;mso-position-horizontal-relative:char;mso-position-vertical-relative:line" coordorigin="0,0" coordsize="9581,825">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3179;top:16;width:2;height:392" coordorigin="3179,16" coordsize="2,392">
              <v:shape style="position:absolute;left:3179;top:16;width:2;height:392" coordorigin="3179,16" coordsize="0,392" path="m3179,16l3179,407e" filled="false" stroked="true" strokeweight="1.140pt" strokecolor="#d2d2d2">
                <v:path arrowok="t"/>
              </v:shape>
            </v:group>
            <v:group style="position:absolute;left:32;top:16;width:3135;height:392" coordorigin="32,16" coordsize="3135,392">
              <v:shape style="position:absolute;left:32;top:16;width:3135;height:392" coordorigin="32,16" coordsize="3135,392" path="m32,407l3167,407,3167,16,32,16,32,407xe" filled="true" fillcolor="#d2d2d2" stroked="false">
                <v:path arrowok="t"/>
                <v:fill type="solid"/>
              </v:shape>
            </v:group>
            <v:group style="position:absolute;left:3212;top:16;width:2;height:392" coordorigin="3212,16" coordsize="2,392">
              <v:shape style="position:absolute;left:3212;top:16;width:2;height:392" coordorigin="3212,16" coordsize="0,392" path="m3212,16l3212,407e" filled="false" stroked="true" strokeweight="1.2pt" strokecolor="#e0ffff">
                <v:path arrowok="t"/>
              </v:shape>
            </v:group>
            <v:group style="position:absolute;left:9560;top:16;width:2;height:392" coordorigin="9560,16" coordsize="2,392">
              <v:shape style="position:absolute;left:9560;top:16;width:2;height:392" coordorigin="9560,16" coordsize="0,392" path="m9560,16l9560,407e" filled="false" stroked="true" strokeweight="1.140pt" strokecolor="#e0ffff">
                <v:path arrowok="t"/>
              </v:shape>
            </v:group>
            <v:group style="position:absolute;left:3224;top:16;width:6325;height:392" coordorigin="3224,16" coordsize="6325,392">
              <v:shape style="position:absolute;left:3224;top:16;width:6325;height:392" coordorigin="3224,16" coordsize="6325,392" path="m3224,407l9548,407,9548,16,3224,16,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8pt" strokecolor="#000000">
                <v:path arrowok="t"/>
              </v:shape>
            </v:group>
            <v:group style="position:absolute;left:21;top:418;width:2;height:392" coordorigin="21,418" coordsize="2,392">
              <v:shape style="position:absolute;left:21;top:418;width:2;height:392" coordorigin="21,418" coordsize="0,392" path="m21,418l21,809e" filled="false" stroked="true" strokeweight="1.140pt" strokecolor="#d2d2d2">
                <v:path arrowok="t"/>
              </v:shape>
            </v:group>
            <v:group style="position:absolute;left:3179;top:418;width:2;height:392" coordorigin="3179,418" coordsize="2,392">
              <v:shape style="position:absolute;left:3179;top:418;width:2;height:392" coordorigin="3179,418" coordsize="0,392" path="m3179,418l3179,809e" filled="false" stroked="true" strokeweight="1.140pt" strokecolor="#d2d2d2">
                <v:path arrowok="t"/>
              </v:shape>
            </v:group>
            <v:group style="position:absolute;left:32;top:418;width:3135;height:392" coordorigin="32,418" coordsize="3135,392">
              <v:shape style="position:absolute;left:32;top:418;width:3135;height:392" coordorigin="32,418" coordsize="3135,392" path="m32,809l3167,809,3167,418,32,418,32,809xe" filled="true" fillcolor="#d2d2d2" stroked="false">
                <v:path arrowok="t"/>
                <v:fill type="solid"/>
              </v:shape>
            </v:group>
            <v:group style="position:absolute;left:3212;top:418;width:2;height:392" coordorigin="3212,418" coordsize="2,392">
              <v:shape style="position:absolute;left:3212;top:418;width:2;height:392" coordorigin="3212,418" coordsize="0,392" path="m3212,418l3212,809e" filled="false" stroked="true" strokeweight="1.2pt" strokecolor="#d2d2d2">
                <v:path arrowok="t"/>
              </v:shape>
            </v:group>
            <v:group style="position:absolute;left:6369;top:418;width:2;height:392" coordorigin="6369,418" coordsize="2,392">
              <v:shape style="position:absolute;left:6369;top:418;width:2;height:392" coordorigin="6369,418" coordsize="0,392" path="m6369,418l6369,809e" filled="false" stroked="true" strokeweight="1.140pt" strokecolor="#d2d2d2">
                <v:path arrowok="t"/>
              </v:shape>
            </v:group>
            <v:group style="position:absolute;left:3224;top:418;width:3134;height:392" coordorigin="3224,418" coordsize="3134,392">
              <v:shape style="position:absolute;left:3224;top:418;width:3134;height:392" coordorigin="3224,418" coordsize="3134,392" path="m3224,809l6357,809,6357,418,3224,418,3224,809xe" filled="true" fillcolor="#d2d2d2" stroked="false">
                <v:path arrowok="t"/>
                <v:fill type="solid"/>
              </v:shape>
            </v:group>
            <v:group style="position:absolute;left:6402;top:418;width:2;height:392" coordorigin="6402,418" coordsize="2,392">
              <v:shape style="position:absolute;left:6402;top:418;width:2;height:392" coordorigin="6402,418" coordsize="0,392" path="m6402,418l6402,809e" filled="false" stroked="true" strokeweight="1.140pt" strokecolor="#d2d2d2">
                <v:path arrowok="t"/>
              </v:shape>
            </v:group>
            <v:group style="position:absolute;left:9560;top:418;width:2;height:392" coordorigin="9560,418" coordsize="2,392">
              <v:shape style="position:absolute;left:9560;top:418;width:2;height:392" coordorigin="9560,418" coordsize="0,392" path="m9560,418l9560,809e" filled="false" stroked="true" strokeweight="1.140pt" strokecolor="#d2d2d2">
                <v:path arrowok="t"/>
              </v:shape>
            </v:group>
            <v:group style="position:absolute;left:6414;top:418;width:3135;height:392" coordorigin="6414,418" coordsize="3135,392">
              <v:shape style="position:absolute;left:6414;top:418;width:3135;height:392" coordorigin="6414,418" coordsize="3135,392" path="m6414,809l9548,809,9548,418,6414,418,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8pt" strokecolor="#000000">
                <v:path arrowok="t"/>
              </v:shape>
            </v:group>
            <v:group style="position:absolute;left:5;top:5;width:2;height:815" coordorigin="5,5" coordsize="2,815">
              <v:shape style="position:absolute;left:5;top:5;width:2;height:815" coordorigin="5,5" coordsize="0,815" path="m5,5l5,820e" filled="false" stroked="true" strokeweight=".48pt" strokecolor="#000000">
                <v:path arrowok="t"/>
              </v:shape>
            </v:group>
            <v:group style="position:absolute;left:10;top:815;width:3181;height:2" coordorigin="10,815" coordsize="3181,2">
              <v:shape style="position:absolute;left:10;top:815;width:3181;height:2" coordorigin="10,815" coordsize="3181,0" path="m10,815l3190,815e" filled="false" stroked="true" strokeweight=".48pt" strokecolor="#000000">
                <v:path arrowok="t"/>
              </v:shape>
            </v:group>
            <v:group style="position:absolute;left:3195;top:5;width:2;height:815" coordorigin="3195,5" coordsize="2,815">
              <v:shape style="position:absolute;left:3195;top:5;width:2;height:815" coordorigin="3195,5" coordsize="0,815" path="m3195,5l3195,820e" filled="false" stroked="true" strokeweight=".48pt" strokecolor="#000000">
                <v:path arrowok="t"/>
              </v:shape>
            </v:group>
            <v:group style="position:absolute;left:3200;top:815;width:3182;height:2" coordorigin="3200,815" coordsize="3182,2">
              <v:shape style="position:absolute;left:3200;top:815;width:3182;height:2" coordorigin="3200,815" coordsize="3182,0" path="m3200,815l6381,815e" filled="false" stroked="true" strokeweight=".48pt" strokecolor="#000000">
                <v:path arrowok="t"/>
              </v:shape>
            </v:group>
            <v:group style="position:absolute;left:6386;top:407;width:2;height:413" coordorigin="6386,407" coordsize="2,413">
              <v:shape style="position:absolute;left:6386;top:407;width:2;height:413" coordorigin="6386,407" coordsize="0,413" path="m6386,407l6386,820e" filled="false" stroked="true" strokeweight=".48pt" strokecolor="#000000">
                <v:path arrowok="t"/>
              </v:shape>
            </v:group>
            <v:group style="position:absolute;left:6391;top:815;width:3181;height:2" coordorigin="6391,815" coordsize="3181,2">
              <v:shape style="position:absolute;left:6391;top:815;width:3181;height:2" coordorigin="6391,815" coordsize="3181,0" path="m6391,815l9571,815e" filled="false" stroked="true" strokeweight=".48pt" strokecolor="#000000">
                <v:path arrowok="t"/>
              </v:shape>
            </v:group>
            <v:group style="position:absolute;left:9576;top:5;width:2;height:815" coordorigin="9576,5" coordsize="2,815">
              <v:shape style="position:absolute;left:9576;top:5;width:2;height:815" coordorigin="9576,5" coordsize="0,815" path="m9576,5l9576,820e" filled="false" stroked="true" strokeweight=".48pt" strokecolor="#000000">
                <v:path arrowok="t"/>
              </v:shape>
              <v:shape style="position:absolute;left:3183;top:412;width:3202;height:403"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after="0" w:line="824"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ind w:right="7513"/>
        <w:jc w:val="left"/>
      </w:pPr>
      <w:r>
        <w:rPr/>
        <w:t>企业合并中承担的被合并方的或有负债： 其他说明：</w:t>
      </w:r>
    </w:p>
    <w:p>
      <w:pPr>
        <w:spacing w:line="240" w:lineRule="auto" w:before="1"/>
        <w:rPr>
          <w:rFonts w:ascii="宋体" w:hAnsi="宋体" w:cs="宋体" w:eastAsia="宋体" w:hint="default"/>
          <w:sz w:val="20"/>
          <w:szCs w:val="20"/>
        </w:rPr>
      </w:pPr>
    </w:p>
    <w:p>
      <w:pPr>
        <w:pStyle w:val="Heading5"/>
        <w:spacing w:line="240" w:lineRule="auto"/>
        <w:ind w:right="0"/>
        <w:jc w:val="left"/>
        <w:rPr>
          <w:b w:val="0"/>
          <w:bCs w:val="0"/>
        </w:rPr>
      </w:pPr>
      <w:bookmarkStart w:name="3、反向购买" w:id="409"/>
      <w:bookmarkEnd w:id="409"/>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4、处置子公司" w:id="410"/>
      <w:bookmarkEnd w:id="410"/>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是否存在单次处置对子公司投资即丧失控制权的情形</w:t>
      </w:r>
    </w:p>
    <w:p>
      <w:pPr>
        <w:pStyle w:val="BodyText"/>
        <w:spacing w:line="338" w:lineRule="auto" w:before="117"/>
        <w:ind w:right="49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5、其他原因的合并范围变动" w:id="411"/>
      <w:bookmarkEnd w:id="411"/>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说明其他原因导致的合并范围变动（如，新设子公司、清算子公司等）及其相关情况：</w:t>
      </w:r>
    </w:p>
    <w:p>
      <w:pPr>
        <w:pStyle w:val="Heading6"/>
        <w:spacing w:line="256" w:lineRule="auto" w:before="89"/>
        <w:ind w:left="154" w:right="1092"/>
        <w:jc w:val="left"/>
      </w:pPr>
      <w:r>
        <w:rPr/>
        <w:t>与</w:t>
      </w:r>
      <w:r>
        <w:rPr>
          <w:rFonts w:ascii="Times New Roman" w:hAnsi="Times New Roman" w:cs="Times New Roman" w:eastAsia="Times New Roman" w:hint="default"/>
        </w:rPr>
        <w:t>2014</w:t>
      </w:r>
      <w:r>
        <w:rPr/>
        <w:t>年度相比，</w:t>
      </w:r>
      <w:r>
        <w:rPr>
          <w:rFonts w:ascii="Times New Roman" w:hAnsi="Times New Roman" w:cs="Times New Roman" w:eastAsia="Times New Roman" w:hint="default"/>
        </w:rPr>
        <w:t>2015</w:t>
      </w:r>
      <w:r>
        <w:rPr/>
        <w:t>年度新增合并单位</w:t>
      </w:r>
      <w:r>
        <w:rPr>
          <w:rFonts w:ascii="Times New Roman" w:hAnsi="Times New Roman" w:cs="Times New Roman" w:eastAsia="Times New Roman" w:hint="default"/>
        </w:rPr>
        <w:t>1</w:t>
      </w:r>
      <w:r>
        <w:rPr/>
        <w:t>家。</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月通过新设方式设立四川久远国基科技有限公司， 持股比例</w:t>
      </w:r>
      <w:r>
        <w:rPr>
          <w:rFonts w:ascii="Times New Roman" w:hAnsi="Times New Roman" w:cs="Times New Roman" w:eastAsia="Times New Roman" w:hint="default"/>
        </w:rPr>
        <w:t>100%</w:t>
      </w:r>
      <w:r>
        <w:rPr/>
        <w:t>，表决权比例</w:t>
      </w:r>
      <w:r>
        <w:rPr>
          <w:rFonts w:ascii="Times New Roman" w:hAnsi="Times New Roman" w:cs="Times New Roman" w:eastAsia="Times New Roman" w:hint="default"/>
        </w:rPr>
        <w:t>100%</w:t>
      </w:r>
      <w:r>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spacing w:line="487" w:lineRule="auto" w:before="0"/>
        <w:ind w:left="153" w:right="7693" w:firstLine="0"/>
        <w:jc w:val="left"/>
        <w:rPr>
          <w:rFonts w:ascii="宋体" w:hAnsi="宋体" w:cs="宋体" w:eastAsia="宋体" w:hint="default"/>
          <w:sz w:val="21"/>
          <w:szCs w:val="21"/>
        </w:rPr>
      </w:pPr>
      <w:bookmarkStart w:name="6、其他" w:id="412"/>
      <w:bookmarkEnd w:id="412"/>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13"/>
      <w:bookmarkEnd w:id="413"/>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14"/>
      <w:bookmarkEnd w:id="414"/>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5"/>
        <w:spacing w:line="240" w:lineRule="auto" w:before="83"/>
        <w:ind w:right="0"/>
        <w:jc w:val="left"/>
        <w:rPr>
          <w:b w:val="0"/>
          <w:bCs w:val="0"/>
        </w:rPr>
      </w:pPr>
      <w:bookmarkStart w:name="（1）企业集团的构成" w:id="415"/>
      <w:bookmarkEnd w:id="415"/>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重庆久远银海软 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北京久远银海技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北京银海奥尼思 特咨询有限公司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both"/>
              <w:rPr>
                <w:rFonts w:ascii="宋体" w:hAnsi="宋体" w:cs="宋体" w:eastAsia="宋体" w:hint="default"/>
                <w:sz w:val="18"/>
                <w:szCs w:val="18"/>
              </w:rPr>
            </w:pPr>
            <w:r>
              <w:rPr>
                <w:rFonts w:ascii="宋体" w:hAnsi="宋体" w:cs="宋体" w:eastAsia="宋体" w:hint="default"/>
                <w:sz w:val="18"/>
                <w:szCs w:val="18"/>
              </w:rPr>
              <w:t>成都兴政电子政 务运营服务有限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山西久远爱思普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计算机应用服务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软件股份有限公 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新疆银海鼎峰软 </w:t>
            </w:r>
            <w:r>
              <w:rPr>
                <w:rFonts w:ascii="宋体" w:hAnsi="宋体" w:cs="宋体" w:eastAsia="宋体" w:hint="default"/>
                <w:spacing w:val="-5"/>
                <w:sz w:val="18"/>
                <w:szCs w:val="18"/>
              </w:rPr>
              <w:t>件有限公司（注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
              <w:ind w:right="0"/>
              <w:jc w:val="left"/>
              <w:rPr>
                <w:rFonts w:ascii="宋体" w:hAnsi="宋体" w:cs="宋体" w:eastAsia="宋体" w:hint="default"/>
                <w:b/>
                <w:bCs/>
                <w:sz w:val="11"/>
                <w:szCs w:val="11"/>
              </w:rPr>
            </w:pPr>
          </w:p>
          <w:p>
            <w:pPr>
              <w:pStyle w:val="TableParagraph"/>
              <w:spacing w:line="560"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8.05pt;mso-position-horizontal-relative:char;mso-position-vertical-relative:line" coordorigin="0,0" coordsize="1358,561">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0;top:404;width:1358;height:157" coordorigin="0,404" coordsize="1358,157">
                    <v:shape style="position:absolute;left:0;top:404;width:1358;height:157" coordorigin="0,404" coordsize="1358,157" path="m0,560l1357,560,1357,404,0,404,0,560xe" filled="true" fillcolor="#ffffff" stroked="false">
                      <v:path arrowok="t"/>
                      <v:fill type="solid"/>
                    </v:shape>
                  </v:group>
                  <v:group style="position:absolute;left:23;top:11;width:1311;height:393" coordorigin="23,11" coordsize="1311,393">
                    <v:shape style="position:absolute;left:23;top:11;width:1311;height:393" coordorigin="23,11" coordsize="1311,393" path="m23,404l1333,404,1333,11,23,11,23,404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四川久远银海畅 辉软件有限公司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天津银海环球信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四川银海软件有 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同一控制下合并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四川久远国基科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计算机应用服务 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57" w:lineRule="auto" w:before="51"/>
        <w:ind w:left="479" w:right="1120" w:hanging="326"/>
        <w:jc w:val="left"/>
      </w:pPr>
      <w:r>
        <w:rPr/>
        <w:t>在子公司的持股比例不同于表决权比例的说明： </w:t>
      </w:r>
      <w:r>
        <w:rPr>
          <w:spacing w:val="-1"/>
        </w:rPr>
        <w:t>注：新疆银海鼎峰软件有限公司董事会共设</w:t>
      </w:r>
      <w:r>
        <w:rPr>
          <w:rFonts w:ascii="Times New Roman" w:hAnsi="Times New Roman" w:cs="Times New Roman" w:eastAsia="Times New Roman" w:hint="default"/>
          <w:spacing w:val="-1"/>
        </w:rPr>
        <w:t>5</w:t>
      </w:r>
      <w:r>
        <w:rPr>
          <w:spacing w:val="-1"/>
        </w:rPr>
        <w:t>名成员，其中</w:t>
      </w:r>
      <w:r>
        <w:rPr>
          <w:rFonts w:ascii="Times New Roman" w:hAnsi="Times New Roman" w:cs="Times New Roman" w:eastAsia="Times New Roman" w:hint="default"/>
          <w:spacing w:val="-1"/>
        </w:rPr>
        <w:t>3</w:t>
      </w:r>
      <w:r>
        <w:rPr>
          <w:spacing w:val="-1"/>
        </w:rPr>
        <w:t>名为四川久远银海软件股份有限公司派出人员，分别为李慧</w:t>
      </w:r>
    </w:p>
    <w:p>
      <w:pPr>
        <w:pStyle w:val="BodyText"/>
        <w:spacing w:line="214" w:lineRule="exact" w:before="0"/>
        <w:ind w:left="261" w:right="0"/>
        <w:jc w:val="left"/>
      </w:pPr>
      <w:r>
        <w:rPr/>
        <w:t>霞、杨成文、陈兵。且李慧霞任公司董事长。根据公司章程第二十条规定：</w:t>
      </w:r>
      <w:r>
        <w:rPr>
          <w:rFonts w:ascii="Times New Roman" w:hAnsi="Times New Roman" w:cs="Times New Roman" w:eastAsia="Times New Roman" w:hint="default"/>
        </w:rPr>
        <w:t>“</w:t>
      </w:r>
      <w:r>
        <w:rPr/>
        <w:t>董事会对所议事项作出决定应由占全体董事二</w:t>
      </w:r>
    </w:p>
    <w:p>
      <w:pPr>
        <w:pStyle w:val="BodyText"/>
        <w:spacing w:line="240" w:lineRule="auto" w:before="63"/>
        <w:ind w:left="261" w:right="0"/>
        <w:jc w:val="left"/>
      </w:pPr>
      <w:r>
        <w:rPr/>
        <w:t>分之一以上的董事表决通过方为有效。</w:t>
      </w:r>
      <w:r>
        <w:rPr>
          <w:rFonts w:ascii="Times New Roman" w:hAnsi="Times New Roman" w:cs="Times New Roman" w:eastAsia="Times New Roman" w:hint="default"/>
        </w:rPr>
        <w:t>”</w:t>
      </w:r>
      <w:r>
        <w:rPr/>
        <w:t>因此，公司虽持股比例为</w:t>
      </w:r>
      <w:r>
        <w:rPr>
          <w:rFonts w:ascii="Times New Roman" w:hAnsi="Times New Roman" w:cs="Times New Roman" w:eastAsia="Times New Roman" w:hint="default"/>
        </w:rPr>
        <w:t>45%</w:t>
      </w:r>
      <w:r>
        <w:rPr/>
        <w:t>，但上述事项表明公司对新疆银海拥有实际控制权。</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357" w:lineRule="auto" w:before="0"/>
        <w:ind w:right="2833"/>
        <w:jc w:val="left"/>
      </w:pPr>
      <w:r>
        <w:rPr/>
        <w:t>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7693"/>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5"/>
        <w:spacing w:line="240" w:lineRule="auto"/>
        <w:ind w:right="0"/>
        <w:jc w:val="left"/>
        <w:rPr>
          <w:b w:val="0"/>
          <w:bCs w:val="0"/>
        </w:rPr>
      </w:pPr>
      <w:bookmarkStart w:name="（2）重要的非全资子公司" w:id="416"/>
      <w:bookmarkEnd w:id="416"/>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成都兴政电子政务运营 服务有限公司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1,856,093.42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25,775,639.91</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天津银海环球信息技术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3,045,745.73</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16,659,491.75</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5"/>
        <w:spacing w:line="240" w:lineRule="auto"/>
        <w:ind w:left="154" w:right="0"/>
        <w:jc w:val="left"/>
        <w:rPr>
          <w:b w:val="0"/>
          <w:bCs w:val="0"/>
        </w:rPr>
      </w:pPr>
      <w:bookmarkStart w:name="（3）重要非全资子公司的主要财务信息" w:id="417"/>
      <w:bookmarkEnd w:id="417"/>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24"/>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0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80"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19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成都兴 政电子 政务运 营服务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39,213,8</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32.16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17,913,3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91.81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57,127,2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23.97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4,523,87</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7.20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4,523,87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7.20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27,912,2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51.36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24,111,6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03.58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52,023,8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54.94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3,208,45</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3.92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3,208,45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3.92</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天津银 海环球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48,958,1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41.40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423,330.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49,381,4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71.56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15,382,5</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08.81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15,382,5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08.81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39,962,2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65.36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198,017.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40,160,2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83.31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12,377,1</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28.20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12,377,1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28.20</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成都兴政电 子政务运营 服务有限公 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19,893,496.6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3,787,945.75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3,787,945.75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8,635,441.79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15,272,172.3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785,826.82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785,826.82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5,363,599.86</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天津银海环 球信息技术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28,087,009.8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6,215,807.64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6,215,807.64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-4,536,653.88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30,941,638.9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5,942,384.26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5,942,384.26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9,873,862.69</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使用企业集团资产和清偿企业集团债务的重大限制" w:id="418"/>
      <w:bookmarkEnd w:id="418"/>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5）向纳入合并财务报表范围的结构化主体提供的财务支持或其他支持" w:id="419"/>
      <w:bookmarkEnd w:id="419"/>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2、在子公司的所有者权益份额发生变化且仍控制子公司的交易" w:id="420"/>
      <w:bookmarkEnd w:id="420"/>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在子公司所有者权益份额发生变化的情况说明" w:id="421"/>
      <w:bookmarkEnd w:id="421"/>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2）交易对于少数股东权益及归属于母公司所有者权益的影响" w:id="422"/>
      <w:bookmarkEnd w:id="422"/>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e0ffff">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e0ffff">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e0ffff"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4" coordorigin="4790,5" coordsize="2,414">
              <v:shape style="position:absolute;left:4790;top:5;width:2;height:414" coordorigin="4790,5" coordsize="0,414"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4" coordorigin="9574,5" coordsize="2,414">
              <v:shape style="position:absolute;left:9574;top:5;width:2;height:414" coordorigin="9574,5" coordsize="0,414" path="m9574,5l9574,418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7"/>
        <w:ind w:left="154"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3、在合营安排或联营企业中的权益" w:id="423"/>
      <w:bookmarkEnd w:id="423"/>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1）重要的合营企业或联营企业" w:id="424"/>
      <w:bookmarkEnd w:id="424"/>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北京利博赛社保 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四川银海天怡信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54" w:right="0"/>
        <w:jc w:val="left"/>
      </w:pPr>
      <w:r>
        <w:rPr/>
        <w:t>在合营企业或联营企业的持股比例不同于表决权比例的说明：</w:t>
      </w:r>
    </w:p>
    <w:p>
      <w:pPr>
        <w:pStyle w:val="BodyText"/>
        <w:spacing w:line="240" w:lineRule="auto" w:before="117"/>
        <w:ind w:left="154"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5"/>
        <w:spacing w:line="240" w:lineRule="auto"/>
        <w:ind w:left="154" w:right="0"/>
        <w:jc w:val="left"/>
        <w:rPr>
          <w:b w:val="0"/>
          <w:bCs w:val="0"/>
        </w:rPr>
      </w:pPr>
      <w:bookmarkStart w:name="（2）重要合营企业的主要财务信息" w:id="425"/>
      <w:bookmarkEnd w:id="425"/>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重要联营企业的主要财务信息" w:id="426"/>
      <w:bookmarkEnd w:id="426"/>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8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892" w:type="dxa"/>
            <w:tcBorders>
              <w:top w:val="single" w:sz="4" w:space="0" w:color="000000"/>
              <w:left w:val="single" w:sz="4" w:space="0" w:color="000000"/>
              <w:bottom w:val="nil" w:sz="6" w:space="0" w:color="auto"/>
              <w:right w:val="single" w:sz="9" w:space="0" w:color="E0FFFF"/>
            </w:tcBorders>
            <w:shd w:val="clear" w:color="auto" w:fill="D2D2D2"/>
          </w:tcPr>
          <w:p>
            <w:pPr/>
          </w:p>
        </w:tc>
        <w:tc>
          <w:tcPr>
            <w:tcW w:w="1926" w:type="dxa"/>
            <w:vMerge w:val="restart"/>
            <w:tcBorders>
              <w:top w:val="single" w:sz="4" w:space="0" w:color="000000"/>
              <w:left w:val="single" w:sz="9" w:space="0" w:color="D2D2D2"/>
              <w:right w:val="single" w:sz="4" w:space="0" w:color="000000"/>
            </w:tcBorders>
            <w:shd w:val="clear" w:color="auto" w:fill="E0FFFF"/>
          </w:tcPr>
          <w:p>
            <w:pPr>
              <w:pStyle w:val="TableParagraph"/>
              <w:spacing w:line="316" w:lineRule="auto" w:before="51"/>
              <w:ind w:left="506" w:right="51" w:hanging="450"/>
              <w:jc w:val="left"/>
              <w:rPr>
                <w:rFonts w:ascii="宋体" w:hAnsi="宋体" w:cs="宋体" w:eastAsia="宋体" w:hint="default"/>
                <w:sz w:val="18"/>
                <w:szCs w:val="18"/>
              </w:rPr>
            </w:pPr>
            <w:r>
              <w:rPr>
                <w:rFonts w:ascii="宋体" w:hAnsi="宋体" w:cs="宋体" w:eastAsia="宋体" w:hint="default"/>
                <w:sz w:val="18"/>
                <w:szCs w:val="18"/>
              </w:rPr>
              <w:t>北京利博赛社保信息技 术有限公司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四川银海天怡信息技术 有限公司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501" w:right="51" w:hanging="450"/>
              <w:jc w:val="left"/>
              <w:rPr>
                <w:rFonts w:ascii="宋体" w:hAnsi="宋体" w:cs="宋体" w:eastAsia="宋体" w:hint="default"/>
                <w:sz w:val="18"/>
                <w:szCs w:val="18"/>
              </w:rPr>
            </w:pPr>
            <w:r>
              <w:rPr>
                <w:rFonts w:ascii="宋体" w:hAnsi="宋体" w:cs="宋体" w:eastAsia="宋体" w:hint="default"/>
                <w:sz w:val="18"/>
                <w:szCs w:val="18"/>
              </w:rPr>
              <w:t>北京利博赛社保信息技 术有限公司</w:t>
            </w:r>
          </w:p>
        </w:tc>
        <w:tc>
          <w:tcPr>
            <w:tcW w:w="1914"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四川银海天怡信息技术 有限公司</w:t>
            </w:r>
          </w:p>
        </w:tc>
      </w:tr>
      <w:tr>
        <w:trPr>
          <w:trHeight w:val="392" w:hRule="exact"/>
        </w:trPr>
        <w:tc>
          <w:tcPr>
            <w:tcW w:w="1892" w:type="dxa"/>
            <w:tcBorders>
              <w:top w:val="nil" w:sz="6" w:space="0" w:color="auto"/>
              <w:left w:val="single" w:sz="4" w:space="0" w:color="000000"/>
              <w:bottom w:val="nil" w:sz="6" w:space="0" w:color="auto"/>
              <w:right w:val="single" w:sz="9" w:space="0" w:color="E0FFFF"/>
            </w:tcBorders>
            <w:shd w:val="clear" w:color="auto" w:fill="D2D2D2"/>
          </w:tcPr>
          <w:p>
            <w:pPr/>
          </w:p>
        </w:tc>
        <w:tc>
          <w:tcPr>
            <w:tcW w:w="1926" w:type="dxa"/>
            <w:vMerge/>
            <w:tcBorders>
              <w:left w:val="single" w:sz="9" w:space="0" w:color="D2D2D2"/>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c>
          <w:tcPr>
            <w:tcW w:w="1914" w:type="dxa"/>
            <w:vMerge/>
            <w:tcBorders>
              <w:left w:val="single" w:sz="4" w:space="0" w:color="000000"/>
              <w:right w:val="single" w:sz="4" w:space="0" w:color="000000"/>
            </w:tcBorders>
            <w:shd w:val="clear" w:color="auto" w:fill="E0FFFF"/>
          </w:tcPr>
          <w:p>
            <w:pPr/>
          </w:p>
        </w:tc>
      </w:tr>
      <w:tr>
        <w:trPr>
          <w:trHeight w:val="161" w:hRule="exact"/>
        </w:trPr>
        <w:tc>
          <w:tcPr>
            <w:tcW w:w="1892" w:type="dxa"/>
            <w:tcBorders>
              <w:top w:val="nil" w:sz="6" w:space="0" w:color="auto"/>
              <w:left w:val="single" w:sz="4" w:space="0" w:color="000000"/>
              <w:bottom w:val="single" w:sz="4" w:space="0" w:color="000000"/>
              <w:right w:val="single" w:sz="9" w:space="0" w:color="E0FFFF"/>
            </w:tcBorders>
            <w:shd w:val="clear" w:color="auto" w:fill="D2D2D2"/>
          </w:tcPr>
          <w:p>
            <w:pPr/>
          </w:p>
        </w:tc>
        <w:tc>
          <w:tcPr>
            <w:tcW w:w="1926" w:type="dxa"/>
            <w:vMerge/>
            <w:tcBorders>
              <w:left w:val="single" w:sz="9" w:space="0" w:color="D2D2D2"/>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c>
          <w:tcPr>
            <w:tcW w:w="1914"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6,514,682.27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12,624,405.24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8,215,052.38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14,398,627.66</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598,589.79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1,775,988.40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844,924.04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1,978,374.79</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7,113,272.06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14,400,393.64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9,059,976.42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16,377,002.45</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3,079,089.48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3,327,731.00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1,189,987.30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3,304,426.43</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26"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17,812.33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3,079,089.48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3,327,731.00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1,207,799.63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3,304,426.43</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4,034,182.58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11,072,662.64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7,852,176.79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13,072,576.02</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1,344,593.05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4,429,065.06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2,617,130.52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5,229,030.41</w:t>
            </w:r>
          </w:p>
        </w:tc>
      </w:tr>
      <w:tr>
        <w:trPr>
          <w:trHeight w:val="714"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68"/>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1,344,593.05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4,429,065.06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2,617,130.52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5,229,030.41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6,812,752.15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7,624,360.94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10,955,231.00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13,383,738.23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-3,817,994.21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-1,999,913.38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35,893.11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2,840,877.45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-3,817,994.21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-1,999,913.38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35,893.11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2,840,877.45</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4）不重要的合营企业和联营企业的汇总财务信息" w:id="427"/>
      <w:bookmarkEnd w:id="427"/>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合营企业或联营企业向本公司转移资金的能力存在重大限制的说明" w:id="428"/>
      <w:bookmarkEnd w:id="428"/>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6）合营企业或联营企业发生的超额亏损" w:id="429"/>
      <w:bookmarkEnd w:id="429"/>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2"/>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7）与合营企业投资相关的未确认承诺" w:id="430"/>
      <w:bookmarkEnd w:id="430"/>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bookmarkStart w:name="（8）与合营企业或联营企业投资相关的或有负债" w:id="431"/>
      <w:bookmarkEnd w:id="431"/>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重要的共同经营" w:id="432"/>
      <w:bookmarkEnd w:id="432"/>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5、在未纳入合并财务报表范围的结构化主体中的权益" w:id="433"/>
      <w:bookmarkEnd w:id="433"/>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t>未纳入合并财务报表范围的结构化主体的相关说明：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5"/>
        <w:spacing w:line="240" w:lineRule="auto" w:before="35"/>
        <w:ind w:right="0"/>
        <w:jc w:val="left"/>
        <w:rPr>
          <w:b w:val="0"/>
          <w:bCs w:val="0"/>
        </w:rPr>
      </w:pPr>
      <w:bookmarkStart w:name="6、其他" w:id="434"/>
      <w:bookmarkEnd w:id="434"/>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3"/>
        <w:spacing w:line="240" w:lineRule="auto"/>
        <w:ind w:right="0"/>
        <w:jc w:val="left"/>
        <w:rPr>
          <w:b w:val="0"/>
          <w:bCs w:val="0"/>
        </w:rPr>
      </w:pPr>
      <w:bookmarkStart w:name="十、与金融工具相关的风险" w:id="435"/>
      <w:bookmarkEnd w:id="435"/>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Heading6"/>
        <w:spacing w:line="268" w:lineRule="auto" w:before="0"/>
        <w:ind w:left="871" w:right="1122" w:firstLine="38"/>
        <w:jc w:val="left"/>
      </w:pPr>
      <w:r>
        <w:rPr>
          <w:rFonts w:ascii="宋体" w:hAnsi="宋体" w:cs="宋体" w:eastAsia="宋体" w:hint="default"/>
          <w:b/>
          <w:bCs/>
        </w:rPr>
        <w:t>（一）信用风险</w:t>
      </w:r>
      <w:r>
        <w:rPr>
          <w:rFonts w:ascii="宋体" w:hAnsi="宋体" w:cs="宋体" w:eastAsia="宋体" w:hint="default"/>
          <w:b/>
          <w:bCs/>
          <w:w w:val="99"/>
        </w:rPr>
        <w:t> </w:t>
      </w:r>
      <w:r>
        <w:rPr/>
        <w:t>信用风险是指金融工具的一方不履行义务，造成另一方发生财务损失的风险。本公司主要面临赊</w:t>
      </w:r>
      <w:r>
        <w:rPr>
          <w:spacing w:val="-23"/>
        </w:rPr>
        <w:t> </w:t>
      </w:r>
      <w:r>
        <w:rPr>
          <w:spacing w:val="-23"/>
        </w:rPr>
      </w:r>
      <w:r>
        <w:rPr/>
        <w:t>销导致的客户信用风险。在签订新合同之前，本公司会对新客户的信用风险进行评估，包括外部</w:t>
      </w:r>
      <w:r>
        <w:rPr>
          <w:spacing w:val="-23"/>
        </w:rPr>
        <w:t> </w:t>
      </w:r>
      <w:r>
        <w:rPr>
          <w:spacing w:val="-23"/>
        </w:rPr>
      </w:r>
      <w:r>
        <w:rPr/>
        <w:t>信用评级和在某些情况下的银行资信证明（当此信息可获取时）。 公司通过对已有客户信用评级的季度监控以及应收账款账龄分析的月度审核来确保公司的整体信</w:t>
      </w:r>
      <w:r>
        <w:rPr>
          <w:spacing w:val="-23"/>
        </w:rPr>
        <w:t> </w:t>
      </w:r>
      <w:r>
        <w:rPr>
          <w:spacing w:val="-23"/>
        </w:rPr>
      </w:r>
      <w:r>
        <w:rPr/>
        <w:t>用风险在可控的范围内。在监控客户的信用风险时，按照客户的信用特征对其分组。被评为</w:t>
      </w:r>
      <w:r>
        <w:rPr>
          <w:rFonts w:ascii="Times New Roman" w:hAnsi="Times New Roman" w:cs="Times New Roman" w:eastAsia="Times New Roman" w:hint="default"/>
        </w:rPr>
        <w:t>“</w:t>
      </w:r>
      <w:r>
        <w:rPr/>
        <w:t>高风</w:t>
      </w:r>
      <w:r>
        <w:rPr>
          <w:spacing w:val="-97"/>
        </w:rPr>
        <w:t> </w:t>
      </w:r>
      <w:r>
        <w:rPr/>
        <w:t>险</w:t>
      </w:r>
      <w:r>
        <w:rPr>
          <w:rFonts w:ascii="Times New Roman" w:hAnsi="Times New Roman" w:cs="Times New Roman" w:eastAsia="Times New Roman" w:hint="default"/>
        </w:rPr>
        <w:t>”</w:t>
      </w:r>
      <w:r>
        <w:rPr/>
        <w:t>级别的客户会放在受限制客户名单里，并且只有在额外批准的前提下，公司才可在未来期间内</w:t>
      </w:r>
      <w:r>
        <w:rPr>
          <w:spacing w:val="-98"/>
        </w:rPr>
        <w:t> </w:t>
      </w:r>
      <w:r>
        <w:rPr>
          <w:spacing w:val="-98"/>
        </w:rPr>
      </w:r>
      <w:r>
        <w:rPr/>
        <w:t>对其赊销，否则必须要求其提前支付相应款项。</w:t>
      </w:r>
    </w:p>
    <w:p>
      <w:pPr>
        <w:pStyle w:val="Heading6"/>
        <w:spacing w:line="273" w:lineRule="auto" w:before="12"/>
        <w:ind w:left="871" w:right="0"/>
        <w:jc w:val="left"/>
      </w:pPr>
      <w:r>
        <w:rPr>
          <w:rFonts w:ascii="宋体" w:hAnsi="宋体" w:cs="宋体" w:eastAsia="宋体" w:hint="default"/>
          <w:b/>
          <w:bCs/>
        </w:rPr>
        <w:t>（二）市场风险</w:t>
      </w:r>
      <w:r>
        <w:rPr>
          <w:rFonts w:ascii="宋体" w:hAnsi="宋体" w:cs="宋体" w:eastAsia="宋体" w:hint="default"/>
          <w:b/>
          <w:bCs/>
          <w:w w:val="99"/>
        </w:rPr>
        <w:t> </w:t>
      </w:r>
      <w:r>
        <w:rPr/>
        <w:t>利率风险，是指金融工具的公允价值或未来现金流量因市场利率变动而发生波动的风险。本公司</w:t>
      </w:r>
      <w:r>
        <w:rPr>
          <w:spacing w:val="-23"/>
        </w:rPr>
        <w:t> </w:t>
      </w:r>
      <w:r>
        <w:rPr>
          <w:spacing w:val="-23"/>
        </w:rPr>
      </w:r>
      <w:r>
        <w:rPr>
          <w:spacing w:val="-1"/>
        </w:rPr>
        <w:t>面临的利率风险主要来源于银行长期借款以及应付债券。期末公司无对外借款，不存在利率风险。</w:t>
      </w:r>
    </w:p>
    <w:p>
      <w:pPr>
        <w:pStyle w:val="Heading6"/>
        <w:spacing w:line="268" w:lineRule="auto"/>
        <w:ind w:left="871" w:right="0"/>
        <w:jc w:val="left"/>
      </w:pPr>
      <w:r>
        <w:rPr>
          <w:rFonts w:ascii="宋体" w:hAnsi="宋体" w:cs="宋体" w:eastAsia="宋体" w:hint="default"/>
          <w:b/>
          <w:bCs/>
        </w:rPr>
        <w:t>（三）流动性风险</w:t>
      </w:r>
      <w:r>
        <w:rPr>
          <w:rFonts w:ascii="宋体" w:hAnsi="宋体" w:cs="宋体" w:eastAsia="宋体" w:hint="default"/>
          <w:b/>
          <w:bCs/>
          <w:w w:val="99"/>
        </w:rPr>
        <w:t> </w:t>
      </w:r>
      <w:r>
        <w:rPr>
          <w:spacing w:val="-1"/>
        </w:rPr>
        <w:t>流动风险，是指企业在履行以交付现金或其他金融资产的方式结算的义务时发生资金短缺的风险。</w:t>
      </w:r>
      <w:r>
        <w:rPr>
          <w:spacing w:val="-67"/>
        </w:rPr>
        <w:t> </w:t>
      </w:r>
      <w:r>
        <w:rPr>
          <w:spacing w:val="-67"/>
        </w:rPr>
      </w:r>
      <w:r>
        <w:rPr>
          <w:spacing w:val="-1"/>
        </w:rPr>
        <w:t>本公司的政策是确保拥有充足的现金以偿还到期债务。流动性风险由本公司的财务部门集中控制。</w:t>
      </w:r>
      <w:r>
        <w:rPr>
          <w:spacing w:val="-67"/>
        </w:rPr>
        <w:t> </w:t>
      </w:r>
      <w:r>
        <w:rPr>
          <w:spacing w:val="-67"/>
        </w:rPr>
      </w:r>
      <w:r>
        <w:rPr/>
        <w:t>财务部门通过监控现金余额、可随时变现的有价证券以及对未来</w:t>
      </w:r>
      <w:r>
        <w:rPr>
          <w:rFonts w:ascii="Times New Roman" w:hAnsi="Times New Roman" w:cs="Times New Roman" w:eastAsia="Times New Roman" w:hint="default"/>
        </w:rPr>
        <w:t>12</w:t>
      </w:r>
      <w:r>
        <w:rPr/>
        <w:t>个月现金流量的滚动预测，确</w:t>
      </w:r>
      <w:r>
        <w:rPr>
          <w:spacing w:val="-23"/>
        </w:rPr>
        <w:t> </w:t>
      </w:r>
      <w:r>
        <w:rPr>
          <w:spacing w:val="-23"/>
        </w:rPr>
      </w:r>
      <w:r>
        <w:rPr/>
        <w:t>保公司在所有合理预测的情况下拥有充足的资金偿还债务。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9"/>
          <w:szCs w:val="29"/>
        </w:rPr>
      </w:pPr>
    </w:p>
    <w:p>
      <w:pPr>
        <w:pStyle w:val="Heading3"/>
        <w:spacing w:line="240" w:lineRule="auto"/>
        <w:ind w:left="154" w:right="0"/>
        <w:jc w:val="left"/>
        <w:rPr>
          <w:b w:val="0"/>
          <w:bCs w:val="0"/>
        </w:rPr>
      </w:pPr>
      <w:bookmarkStart w:name="十一、公允价值的披露" w:id="436"/>
      <w:bookmarkEnd w:id="436"/>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以公允价值计量的资产和负债的期末公允价值" w:id="437"/>
      <w:bookmarkEnd w:id="437"/>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持续和非持续第一层次公允价值计量项目市价的确定依据" w:id="438"/>
      <w:bookmarkEnd w:id="438"/>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持续和非持续第二层次公允价值计量项目，采用的估值技术和重要参数的定性及定量信" w:id="439"/>
      <w:bookmarkEnd w:id="439"/>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4、持续和非持续第三层次公允价值计量项目，采用的估值技术和重要参数的定性及定量信" w:id="440"/>
      <w:bookmarkEnd w:id="440"/>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5、持续的第三层次公允价值计量项目，期初与期末账面价值间的调节信息及不可观察参数" w:id="441"/>
      <w:bookmarkEnd w:id="441"/>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6、持续的公允价值计量项目，本期内发生各层级之间转换的，转换的原因及确定转换时点" w:id="442"/>
      <w:bookmarkEnd w:id="442"/>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7、本期内发生的估值技术变更及变更原因" w:id="443"/>
      <w:bookmarkEnd w:id="443"/>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8、不以公允价值计量的金融资产和金融负债的公允价值情况" w:id="444"/>
      <w:bookmarkEnd w:id="444"/>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3" w:firstLine="0"/>
        <w:jc w:val="left"/>
        <w:rPr>
          <w:rFonts w:ascii="宋体" w:hAnsi="宋体" w:cs="宋体" w:eastAsia="宋体" w:hint="default"/>
          <w:sz w:val="21"/>
          <w:szCs w:val="21"/>
        </w:rPr>
      </w:pPr>
      <w:bookmarkStart w:name="9、其他" w:id="445"/>
      <w:bookmarkEnd w:id="445"/>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46"/>
      <w:bookmarkEnd w:id="44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十二、关联方及关联交易</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本企业的母公司情况" w:id="447"/>
      <w:bookmarkEnd w:id="447"/>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21"/>
              <w:jc w:val="righ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四川久远投资控股 集团有限公司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80"/>
              <w:jc w:val="right"/>
              <w:rPr>
                <w:rFonts w:ascii="宋体" w:hAnsi="宋体" w:cs="宋体" w:eastAsia="宋体" w:hint="default"/>
                <w:sz w:val="18"/>
                <w:szCs w:val="18"/>
              </w:rPr>
            </w:pPr>
            <w:r>
              <w:rPr>
                <w:rFonts w:ascii="宋体" w:hAnsi="宋体" w:cs="宋体" w:eastAsia="宋体" w:hint="default"/>
                <w:sz w:val="18"/>
                <w:szCs w:val="18"/>
              </w:rPr>
              <w:t>四川省绵阳市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28.35%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28.35%</w:t>
            </w:r>
          </w:p>
        </w:tc>
      </w:tr>
    </w:tbl>
    <w:p>
      <w:pPr>
        <w:pStyle w:val="BodyText"/>
        <w:spacing w:line="338" w:lineRule="auto" w:before="51"/>
        <w:ind w:left="154" w:right="1118"/>
        <w:jc w:val="left"/>
      </w:pPr>
      <w:r>
        <w:rPr/>
        <w:t>本企业的母公司情况的说明 </w:t>
      </w:r>
      <w:r>
        <w:rPr>
          <w:spacing w:val="-2"/>
        </w:rPr>
        <w:t>本企业第一大股东久远集团系中物院的全资子公司，主要经营范围为股权投资、房地产投资、经济担保、咨询和批准的其他</w:t>
      </w:r>
      <w:r>
        <w:rPr>
          <w:spacing w:val="-66"/>
        </w:rPr>
        <w:t> </w:t>
      </w:r>
      <w:r>
        <w:rPr>
          <w:spacing w:val="-66"/>
        </w:rPr>
      </w:r>
      <w:r>
        <w:rPr/>
        <w:t>业务。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BodyText"/>
        <w:spacing w:line="357" w:lineRule="auto" w:before="0"/>
        <w:ind w:left="154" w:right="7332"/>
        <w:jc w:val="left"/>
      </w:pPr>
      <w:r>
        <w:rPr/>
        <w:t>本企业最终控制方是中国工程物理研究院。 其他说明：</w:t>
      </w:r>
    </w:p>
    <w:p>
      <w:pPr>
        <w:pStyle w:val="Heading6"/>
        <w:spacing w:line="256" w:lineRule="auto" w:before="2"/>
        <w:ind w:left="154" w:right="1022" w:firstLine="168"/>
        <w:jc w:val="left"/>
      </w:pPr>
      <w:r>
        <w:rPr/>
        <w:t>公司第一大股东四川久远投资控股集团有限公司持有本公司</w:t>
      </w:r>
      <w:r>
        <w:rPr>
          <w:rFonts w:ascii="Times New Roman" w:hAnsi="Times New Roman" w:cs="Times New Roman" w:eastAsia="Times New Roman" w:hint="default"/>
        </w:rPr>
        <w:t>28.35%</w:t>
      </w:r>
      <w:r>
        <w:rPr/>
        <w:t>股权，中国工程物理研究院持有四川 久远投资控股集团有限公司</w:t>
      </w:r>
      <w:r>
        <w:rPr>
          <w:rFonts w:ascii="Times New Roman" w:hAnsi="Times New Roman" w:cs="Times New Roman" w:eastAsia="Times New Roman" w:hint="default"/>
        </w:rPr>
        <w:t>100%</w:t>
      </w:r>
      <w:r>
        <w:rPr/>
        <w:t>股权，通过控制四川久远投资控股集团有限公司，最终达到控制本公司。</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27"/>
          <w:szCs w:val="27"/>
        </w:rPr>
      </w:pPr>
    </w:p>
    <w:p>
      <w:pPr>
        <w:spacing w:line="544" w:lineRule="auto" w:before="0"/>
        <w:ind w:left="153" w:right="2653" w:firstLine="0"/>
        <w:jc w:val="left"/>
        <w:rPr>
          <w:rFonts w:ascii="宋体" w:hAnsi="宋体" w:cs="宋体" w:eastAsia="宋体" w:hint="default"/>
          <w:sz w:val="21"/>
          <w:szCs w:val="21"/>
        </w:rPr>
      </w:pPr>
      <w:bookmarkStart w:name="2、本企业的子公司情况" w:id="448"/>
      <w:bookmarkEnd w:id="448"/>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pacing w:val="-3"/>
          <w:sz w:val="18"/>
          <w:szCs w:val="18"/>
        </w:rPr>
        <w:t>本企业子公司的情况详见附注第十节、九（</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）在子公司中的权益的相关内容。。</w:t>
      </w:r>
      <w:r>
        <w:rPr>
          <w:rFonts w:ascii="宋体" w:hAnsi="宋体" w:cs="宋体" w:eastAsia="宋体" w:hint="default"/>
          <w:spacing w:val="-72"/>
          <w:sz w:val="18"/>
          <w:szCs w:val="18"/>
        </w:rPr>
        <w:t> </w:t>
      </w:r>
      <w:r>
        <w:rPr>
          <w:rFonts w:ascii="宋体" w:hAnsi="宋体" w:cs="宋体" w:eastAsia="宋体" w:hint="default"/>
          <w:spacing w:val="-72"/>
          <w:sz w:val="18"/>
          <w:szCs w:val="18"/>
        </w:rPr>
      </w:r>
      <w:bookmarkStart w:name="3、本企业合营和联营企业情况" w:id="449"/>
      <w:bookmarkEnd w:id="449"/>
      <w:r>
        <w:rPr>
          <w:rFonts w:ascii="宋体" w:hAnsi="宋体" w:cs="宋体" w:eastAsia="宋体" w:hint="default"/>
          <w:spacing w:val="-72"/>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240" w:lineRule="auto" w:before="53"/>
        <w:ind w:right="0"/>
        <w:jc w:val="left"/>
      </w:pPr>
      <w:r>
        <w:rPr/>
        <w:t>本企业重要的合营或联营企业详见附注第十节、九（</w:t>
      </w:r>
      <w:r>
        <w:rPr>
          <w:rFonts w:ascii="Times New Roman" w:hAnsi="Times New Roman" w:cs="Times New Roman" w:eastAsia="Times New Roman" w:hint="default"/>
        </w:rPr>
        <w:t>3</w:t>
      </w:r>
      <w:r>
        <w:rPr/>
        <w:t>）在联营企业中的权益</w:t>
      </w:r>
      <w:r>
        <w:rPr>
          <w:spacing w:val="-90"/>
        </w:rPr>
        <w:t>。</w:t>
      </w:r>
      <w:r>
        <w:rPr/>
        <w:t>。</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本期与本公司发生关联方交易，或前期与本公司发生关联方交易形成余额的其他合营或联营企业情况如下：</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北京利博赛社保信息技术有限公司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357" w:lineRule="auto" w:before="51"/>
        <w:ind w:right="2698"/>
        <w:jc w:val="left"/>
      </w:pPr>
      <w:r>
        <w:rPr/>
        <w:t>其他说明 本期与北京利博赛社保信息技术有限公司关联交易金额为</w:t>
      </w:r>
      <w:r>
        <w:rPr>
          <w:rFonts w:ascii="Times New Roman" w:hAnsi="Times New Roman" w:cs="Times New Roman" w:eastAsia="Times New Roman" w:hint="default"/>
        </w:rPr>
        <w:t>0</w:t>
      </w:r>
      <w:r>
        <w:rPr/>
        <w:t>，上年交易额</w:t>
      </w:r>
      <w:r>
        <w:rPr>
          <w:rFonts w:ascii="Times New Roman" w:hAnsi="Times New Roman" w:cs="Times New Roman" w:eastAsia="Times New Roman" w:hint="default"/>
        </w:rPr>
        <w:t>1,669,291.45</w:t>
      </w:r>
      <w:r>
        <w:rPr/>
        <w:t>元，期末无余额。</w:t>
      </w:r>
    </w:p>
    <w:p>
      <w:pPr>
        <w:spacing w:line="240" w:lineRule="auto" w:before="5"/>
        <w:rPr>
          <w:rFonts w:ascii="宋体" w:hAnsi="宋体" w:cs="宋体" w:eastAsia="宋体" w:hint="default"/>
          <w:sz w:val="18"/>
          <w:szCs w:val="18"/>
        </w:rPr>
      </w:pPr>
    </w:p>
    <w:p>
      <w:pPr>
        <w:pStyle w:val="Heading5"/>
        <w:spacing w:line="240" w:lineRule="auto"/>
        <w:ind w:left="154" w:right="0"/>
        <w:jc w:val="left"/>
        <w:rPr>
          <w:b w:val="0"/>
          <w:bCs w:val="0"/>
        </w:rPr>
      </w:pPr>
      <w:bookmarkStart w:name="4、其他关联方情况" w:id="450"/>
      <w:bookmarkEnd w:id="450"/>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天津环球磁卡股份有限公司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控股子公司天津银海少数股股东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天津市逸网高新技术发展中心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控股子公司天津银海少数股股东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四川久远智能监控有限责任公司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控股股东联营企业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年内持股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以上股东的母公司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成都久信网络咨询监理有限公司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母公司控制的其他子公司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成都正觉科技有限责任公司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控股子公司成都兴政少数股东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成都太科光电技术有限责任公司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母公司控制的其他子公司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中物院及其下属单位</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实际控制人及其下属单位</w:t>
            </w:r>
          </w:p>
        </w:tc>
      </w:tr>
    </w:tbl>
    <w:p>
      <w:pPr>
        <w:pStyle w:val="BodyText"/>
        <w:spacing w:line="240" w:lineRule="auto" w:before="51"/>
        <w:ind w:left="154" w:right="0"/>
        <w:jc w:val="left"/>
      </w:pPr>
      <w:r>
        <w:rPr/>
        <w:t>其他说明</w:t>
      </w:r>
    </w:p>
    <w:p>
      <w:pPr>
        <w:pStyle w:val="BodyText"/>
        <w:tabs>
          <w:tab w:pos="2808" w:val="left" w:leader="none"/>
        </w:tabs>
        <w:spacing w:line="304" w:lineRule="auto" w:before="115"/>
        <w:ind w:right="1102" w:firstLine="217"/>
        <w:jc w:val="left"/>
      </w:pPr>
      <w:r>
        <w:rPr>
          <w:rFonts w:ascii="Times New Roman" w:hAnsi="Times New Roman" w:cs="Times New Roman" w:eastAsia="Times New Roman" w:hint="default"/>
        </w:rPr>
        <w:t>1</w:t>
      </w:r>
      <w:r>
        <w:rPr/>
        <w:t>、本期为成都太科光电技术有限责任公司提供劳务</w:t>
      </w:r>
      <w:r>
        <w:rPr>
          <w:rFonts w:ascii="Times New Roman" w:hAnsi="Times New Roman" w:cs="Times New Roman" w:eastAsia="Times New Roman" w:hint="default"/>
        </w:rPr>
        <w:t>10,000.00</w:t>
      </w:r>
      <w:r>
        <w:rPr/>
        <w:t>元，接受劳务成都久信网络咨询监理有限公司</w:t>
      </w:r>
      <w:r>
        <w:rPr>
          <w:rFonts w:ascii="Times New Roman" w:hAnsi="Times New Roman" w:cs="Times New Roman" w:eastAsia="Times New Roman" w:hint="default"/>
        </w:rPr>
        <w:t>28,301.89</w:t>
      </w:r>
      <w:r>
        <w:rPr/>
        <w:t>元，</w:t>
      </w:r>
      <w:r>
        <w:rPr>
          <w:spacing w:val="1"/>
        </w:rPr>
        <w:t> </w:t>
      </w:r>
      <w:r>
        <w:rPr/>
        <w:t>出租房屋给广发证券股份有限公司</w:t>
      </w:r>
      <w:r>
        <w:rPr>
          <w:rFonts w:ascii="Times New Roman" w:hAnsi="Times New Roman" w:cs="Times New Roman" w:eastAsia="Times New Roman" w:hint="default"/>
        </w:rPr>
        <w:t>297,144.00</w:t>
      </w:r>
      <w:r>
        <w:rPr/>
        <w:t>元，与中物院及其下属单位发生关联交易有销售商品、提供劳务、提供劳务及 </w:t>
      </w:r>
      <w:r>
        <w:rPr>
          <w:spacing w:val="-1"/>
        </w:rPr>
        <w:t>房屋承租共计</w:t>
      </w:r>
      <w:r>
        <w:rPr>
          <w:rFonts w:ascii="Times New Roman" w:hAnsi="Times New Roman" w:cs="Times New Roman" w:eastAsia="Times New Roman" w:hint="default"/>
          <w:spacing w:val="-1"/>
        </w:rPr>
        <w:t>2,214,423.31</w:t>
      </w:r>
      <w:r>
        <w:rPr>
          <w:spacing w:val="-1"/>
        </w:rPr>
        <w:t>元。</w:t>
        <w:tab/>
      </w:r>
      <w:r>
        <w:rPr>
          <w:rFonts w:ascii="宋体" w:hAnsi="宋体" w:cs="宋体" w:eastAsia="宋体" w:hint="default"/>
        </w:rPr>
        <w:t>2</w:t>
      </w:r>
      <w:r>
        <w:rPr/>
        <w:t>、本公司与中物院及其下属单位签订的合同属于军工保密事项，根据《军工企业对外融 </w:t>
      </w:r>
      <w:r>
        <w:rPr>
          <w:spacing w:val="-3"/>
        </w:rPr>
        <w:t>资特殊财务信息披露管理暂行办法》（科工财审</w:t>
      </w:r>
      <w:r>
        <w:rPr>
          <w:rFonts w:ascii="宋体" w:hAnsi="宋体" w:cs="宋体" w:eastAsia="宋体" w:hint="default"/>
          <w:spacing w:val="-3"/>
        </w:rPr>
        <w:t>[2008]702</w:t>
      </w:r>
      <w:r>
        <w:rPr>
          <w:spacing w:val="-3"/>
        </w:rPr>
        <w:t>号）的相关规定，并经国家国防科技工业局（科工财审</w:t>
      </w:r>
      <w:r>
        <w:rPr>
          <w:rFonts w:ascii="宋体" w:hAnsi="宋体" w:cs="宋体" w:eastAsia="宋体" w:hint="default"/>
          <w:spacing w:val="-3"/>
        </w:rPr>
        <w:t>[2012]1662</w:t>
      </w:r>
      <w:r>
        <w:rPr>
          <w:rFonts w:ascii="宋体" w:hAnsi="宋体" w:cs="宋体" w:eastAsia="宋体" w:hint="default"/>
          <w:spacing w:val="-72"/>
        </w:rPr>
        <w:t> </w:t>
      </w:r>
      <w:r>
        <w:rPr/>
        <w:t>号、科工财审</w:t>
      </w:r>
      <w:r>
        <w:rPr>
          <w:rFonts w:ascii="Times New Roman" w:hAnsi="Times New Roman" w:cs="Times New Roman" w:eastAsia="Times New Roman" w:hint="default"/>
        </w:rPr>
        <w:t>[2014]407</w:t>
      </w:r>
      <w:r>
        <w:rPr/>
        <w:t>号）文批准，对报告期内本公司与中物院及其下属单位发生的关联交易事项豁免披露。</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Heading5"/>
        <w:spacing w:line="240" w:lineRule="auto"/>
        <w:ind w:right="0"/>
        <w:jc w:val="left"/>
        <w:rPr>
          <w:b w:val="0"/>
          <w:bCs w:val="0"/>
        </w:rPr>
      </w:pPr>
      <w:bookmarkStart w:name="5、关联交易情况" w:id="451"/>
      <w:bookmarkEnd w:id="451"/>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购销商品、提供和接受劳务的关联交易" w:id="452"/>
      <w:bookmarkEnd w:id="452"/>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154"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成都久信网络咨询 监理有限公司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28,301.89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中物院及其下属单 位</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230,000.00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0"/>
        <w:jc w:val="left"/>
      </w:pPr>
      <w:r>
        <w:rPr/>
        <w:t>出售商品</w:t>
      </w:r>
      <w:r>
        <w:rPr>
          <w:rFonts w:ascii="Times New Roman" w:hAnsi="Times New Roman" w:cs="Times New Roman" w:eastAsia="Times New Roman" w:hint="default"/>
        </w:rPr>
        <w:t>/</w:t>
      </w:r>
      <w:r>
        <w:rPr/>
        <w:t>提供劳务情况表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成都太科光电技术有限责任公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中物院及其下属单位</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509,401.71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213,675.21</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中物院及其下属单位</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1,055,554.64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1,100,596.22</w:t>
            </w:r>
          </w:p>
        </w:tc>
      </w:tr>
    </w:tbl>
    <w:p>
      <w:pPr>
        <w:pStyle w:val="BodyText"/>
        <w:spacing w:line="240" w:lineRule="auto" w:before="51"/>
        <w:ind w:left="154" w:right="0"/>
        <w:jc w:val="left"/>
      </w:pPr>
      <w:r>
        <w:rPr/>
        <w:t>购销商品、提供和接受劳务的关联交易说明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5"/>
        <w:spacing w:line="240" w:lineRule="auto"/>
        <w:ind w:left="154" w:right="0"/>
        <w:jc w:val="left"/>
        <w:rPr>
          <w:b w:val="0"/>
          <w:bCs w:val="0"/>
        </w:rPr>
      </w:pPr>
      <w:bookmarkStart w:name="（2）关联受托管理/承包及委托管理/出包情况" w:id="453"/>
      <w:bookmarkEnd w:id="453"/>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left="154" w:right="0"/>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5"/>
        <w:spacing w:line="240" w:lineRule="auto"/>
        <w:ind w:left="154" w:right="0"/>
        <w:jc w:val="left"/>
        <w:rPr>
          <w:b w:val="0"/>
          <w:bCs w:val="0"/>
        </w:rPr>
      </w:pPr>
      <w:bookmarkStart w:name="（3）关联租赁情况" w:id="454"/>
      <w:bookmarkEnd w:id="454"/>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154" w:right="0"/>
        <w:jc w:val="left"/>
      </w:pPr>
      <w:r>
        <w:rPr/>
        <w:t>本公司作为出租方：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房屋出租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297,144.00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0" w:right="0"/>
              <w:jc w:val="left"/>
              <w:rPr>
                <w:rFonts w:ascii="Times New Roman" w:hAnsi="Times New Roman" w:cs="Times New Roman" w:eastAsia="Times New Roman" w:hint="default"/>
                <w:sz w:val="18"/>
                <w:szCs w:val="18"/>
              </w:rPr>
            </w:pPr>
            <w:r>
              <w:rPr>
                <w:rFonts w:ascii="Times New Roman"/>
                <w:sz w:val="18"/>
              </w:rPr>
              <w:t>297,144.00</w:t>
            </w:r>
          </w:p>
        </w:tc>
      </w:tr>
    </w:tbl>
    <w:p>
      <w:pPr>
        <w:pStyle w:val="BodyText"/>
        <w:spacing w:line="240" w:lineRule="auto" w:before="51"/>
        <w:ind w:left="154" w:right="0"/>
        <w:jc w:val="left"/>
      </w:pPr>
      <w:r>
        <w:rPr/>
        <w:t>本公司作为承租方：</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39"/>
              <w:jc w:val="righ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37"/>
              <w:jc w:val="right"/>
              <w:rPr>
                <w:rFonts w:ascii="宋体" w:hAnsi="宋体" w:cs="宋体" w:eastAsia="宋体" w:hint="default"/>
                <w:sz w:val="18"/>
                <w:szCs w:val="18"/>
              </w:rPr>
            </w:pPr>
            <w:r>
              <w:rPr>
                <w:rFonts w:ascii="宋体" w:hAnsi="宋体" w:cs="宋体" w:eastAsia="宋体" w:hint="default"/>
                <w:sz w:val="18"/>
                <w:szCs w:val="18"/>
              </w:rPr>
              <w:t>中物院及其下属单位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房屋承租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419,466.96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419,466.96</w:t>
            </w:r>
          </w:p>
        </w:tc>
      </w:tr>
    </w:tbl>
    <w:p>
      <w:pPr>
        <w:pStyle w:val="BodyText"/>
        <w:spacing w:line="240" w:lineRule="auto" w:before="51"/>
        <w:ind w:left="154" w:right="0"/>
        <w:jc w:val="left"/>
      </w:pPr>
      <w:r>
        <w:rPr/>
        <w:t>关联租赁情况说明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5"/>
        <w:spacing w:line="240" w:lineRule="auto"/>
        <w:ind w:right="0"/>
        <w:jc w:val="left"/>
        <w:rPr>
          <w:b w:val="0"/>
          <w:bCs w:val="0"/>
        </w:rPr>
      </w:pPr>
      <w:bookmarkStart w:name="（4）关联担保情况" w:id="455"/>
      <w:bookmarkEnd w:id="455"/>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t>本公司作为担保方</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2"/>
        <w:ind w:left="154"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left="154" w:right="0"/>
        <w:jc w:val="left"/>
      </w:pPr>
      <w:r>
        <w:rPr/>
        <w:t>关联担保情况说明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5）关联方资金拆借" w:id="456"/>
      <w:bookmarkEnd w:id="456"/>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6）关联方资产转让、债务重组情况" w:id="457"/>
      <w:bookmarkEnd w:id="457"/>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成都正觉科技有限责任公司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委托代购家具</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217,998.00</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7）关键管理人员报酬" w:id="458"/>
      <w:bookmarkEnd w:id="458"/>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5,458,300.00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6,351,000.00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8）其他关联交易" w:id="459"/>
      <w:bookmarkEnd w:id="459"/>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6、关联方应收应付款项" w:id="460"/>
      <w:bookmarkEnd w:id="460"/>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应收项目" w:id="461"/>
      <w:bookmarkEnd w:id="461"/>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中物院及其下属单 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853,123.70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125,092.44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336,775.00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81,920.00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中物院及其下属单 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17,428.75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13,943.00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1,473,428.75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81,514.38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应付项目" w:id="462"/>
      <w:bookmarkEnd w:id="462"/>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天津环球磁卡股份有限公司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98,050.00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98,050.00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中物院及其下属单位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中物院及其下属单位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43,760,190.24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34,060,476.55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四川久信科诚信息技术有限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235,849.06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19,385.00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7、关联方承诺" w:id="463"/>
      <w:bookmarkEnd w:id="463"/>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8、其他" w:id="464"/>
      <w:bookmarkEnd w:id="464"/>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154"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left="154" w:right="0"/>
        <w:jc w:val="left"/>
        <w:rPr>
          <w:b w:val="0"/>
          <w:bCs w:val="0"/>
        </w:rPr>
      </w:pPr>
      <w:bookmarkStart w:name="十三、股份支付" w:id="465"/>
      <w:bookmarkEnd w:id="465"/>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股份支付总体情况" w:id="466"/>
      <w:bookmarkEnd w:id="466"/>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以权益结算的股份支付情况" w:id="467"/>
      <w:bookmarkEnd w:id="467"/>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以现金结算的股份支付情况" w:id="468"/>
      <w:bookmarkEnd w:id="468"/>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4、股份支付的修改、终止情况" w:id="469"/>
      <w:bookmarkEnd w:id="469"/>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344" w:firstLine="0"/>
        <w:jc w:val="left"/>
        <w:rPr>
          <w:rFonts w:ascii="宋体" w:hAnsi="宋体" w:cs="宋体" w:eastAsia="宋体" w:hint="default"/>
          <w:sz w:val="21"/>
          <w:szCs w:val="21"/>
        </w:rPr>
      </w:pPr>
      <w:bookmarkStart w:name="5、其他" w:id="470"/>
      <w:bookmarkEnd w:id="470"/>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71"/>
      <w:bookmarkEnd w:id="471"/>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72"/>
      <w:bookmarkEnd w:id="472"/>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9"/>
        <w:ind w:left="154" w:right="8412"/>
        <w:jc w:val="left"/>
      </w:pPr>
      <w:r>
        <w:rPr/>
        <w:t>资产负债表日存在的重要承诺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2、或有事项" w:id="473"/>
      <w:bookmarkEnd w:id="47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资产负债表日存在的重要或有事项" w:id="474"/>
      <w:bookmarkEnd w:id="47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2）公司没有需要披露的重要或有事项，也应予以说明" w:id="475"/>
      <w:bookmarkEnd w:id="47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3、其他" w:id="476"/>
      <w:bookmarkEnd w:id="476"/>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2"/>
        <w:rPr>
          <w:rFonts w:ascii="宋体" w:hAnsi="宋体" w:cs="宋体" w:eastAsia="宋体" w:hint="default"/>
          <w:sz w:val="25"/>
          <w:szCs w:val="25"/>
        </w:rPr>
      </w:pPr>
    </w:p>
    <w:p>
      <w:pPr>
        <w:pStyle w:val="Heading3"/>
        <w:spacing w:line="240" w:lineRule="auto"/>
        <w:ind w:left="154" w:right="0"/>
        <w:jc w:val="left"/>
        <w:rPr>
          <w:b w:val="0"/>
          <w:bCs w:val="0"/>
        </w:rPr>
      </w:pPr>
      <w:bookmarkStart w:name="十五、资产负债表日后事项" w:id="477"/>
      <w:bookmarkEnd w:id="477"/>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重要的非调整事项" w:id="478"/>
      <w:bookmarkEnd w:id="478"/>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2、利润分配情况" w:id="479"/>
      <w:bookmarkEnd w:id="47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销售退回" w:id="480"/>
      <w:bookmarkEnd w:id="48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4、其他资产负债表日后事项说明" w:id="481"/>
      <w:bookmarkEnd w:id="481"/>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4"/>
        <w:rPr>
          <w:rFonts w:ascii="宋体" w:hAnsi="宋体" w:cs="宋体" w:eastAsia="宋体" w:hint="default"/>
          <w:b/>
          <w:bCs/>
          <w:sz w:val="32"/>
          <w:szCs w:val="32"/>
        </w:rPr>
      </w:pPr>
    </w:p>
    <w:p>
      <w:pPr>
        <w:pStyle w:val="Heading7"/>
        <w:spacing w:line="357" w:lineRule="auto" w:before="0"/>
        <w:ind w:right="1130" w:hanging="360"/>
        <w:jc w:val="both"/>
      </w:pPr>
      <w:r>
        <w:rPr>
          <w:rFonts w:ascii="Times New Roman" w:hAnsi="Times New Roman" w:cs="Times New Roman" w:eastAsia="Times New Roman" w:hint="default"/>
        </w:rPr>
        <w:t>1</w:t>
      </w:r>
      <w:r>
        <w:rPr/>
        <w:t>、</w:t>
      </w:r>
      <w:r>
        <w:rPr>
          <w:spacing w:val="-43"/>
        </w:rPr>
        <w:t> </w:t>
      </w:r>
      <w:r>
        <w:rPr/>
        <w:t>公司于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44"/>
        </w:rPr>
        <w:t> </w:t>
      </w:r>
      <w:r>
        <w:rPr>
          <w:rFonts w:ascii="Times New Roman" w:hAnsi="Times New Roman" w:cs="Times New Roman" w:eastAsia="Times New Roman" w:hint="default"/>
        </w:rPr>
        <w:t>27</w:t>
      </w:r>
      <w:r>
        <w:rPr>
          <w:rFonts w:ascii="Times New Roman" w:hAnsi="Times New Roman" w:cs="Times New Roman" w:eastAsia="Times New Roman" w:hint="default"/>
          <w:spacing w:val="7"/>
        </w:rPr>
        <w:t> </w:t>
      </w:r>
      <w:r>
        <w:rPr/>
        <w:t>日召开的</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年第三届第二次临时董事会，会议审议通过了《关于四川久</w:t>
      </w:r>
      <w:r>
        <w:rPr>
          <w:w w:val="100"/>
        </w:rPr>
        <w:t> </w:t>
      </w:r>
      <w:r>
        <w:rPr>
          <w:spacing w:val="-2"/>
        </w:rPr>
        <w:t>远银海软件股份有限公司非公开发行股票预案的议案》。拟向平安养老保险股份有限公司、平安资</w:t>
      </w:r>
      <w:r>
        <w:rPr>
          <w:w w:val="100"/>
        </w:rPr>
        <w:t> </w:t>
      </w:r>
      <w:r>
        <w:rPr/>
        <w:t>产管理有限责任公司、广发证券资产管理（广东）有限公司设立的广发恒定 </w:t>
      </w:r>
      <w:r>
        <w:rPr>
          <w:rFonts w:ascii="Times New Roman" w:hAnsi="Times New Roman" w:cs="Times New Roman" w:eastAsia="Times New Roman" w:hint="default"/>
        </w:rPr>
        <w:t>24 </w:t>
      </w:r>
      <w:r>
        <w:rPr/>
        <w:t>号久远银海定向增</w:t>
      </w:r>
    </w:p>
    <w:p>
      <w:pPr>
        <w:pStyle w:val="Heading7"/>
        <w:spacing w:line="240" w:lineRule="auto" w:before="14"/>
        <w:ind w:right="0"/>
        <w:jc w:val="left"/>
      </w:pPr>
      <w:r>
        <w:rPr/>
        <w:t>发集合资产管理计划和广发证券资产管理（广东）有限公司设立的广发原驰</w:t>
      </w:r>
      <w:r>
        <w:rPr>
          <w:rFonts w:ascii="Times New Roman" w:hAnsi="Times New Roman" w:cs="Times New Roman" w:eastAsia="Times New Roman" w:hint="default"/>
        </w:rPr>
        <w:t>•</w:t>
      </w:r>
      <w:r>
        <w:rPr/>
        <w:t>久远银海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号定向资</w:t>
      </w:r>
    </w:p>
    <w:p>
      <w:pPr>
        <w:pStyle w:val="Heading7"/>
        <w:spacing w:line="240" w:lineRule="auto"/>
        <w:ind w:right="0"/>
        <w:jc w:val="left"/>
      </w:pPr>
      <w:r>
        <w:rPr/>
        <w:t>产管理计划等</w:t>
      </w:r>
      <w:r>
        <w:rPr>
          <w:spacing w:val="-39"/>
        </w:rPr>
        <w:t> </w:t>
      </w:r>
      <w:r>
        <w:rPr>
          <w:rFonts w:ascii="Times New Roman" w:hAnsi="Times New Roman" w:cs="Times New Roman" w:eastAsia="Times New Roman" w:hint="default"/>
        </w:rPr>
        <w:t>4</w:t>
      </w:r>
      <w:r>
        <w:rPr>
          <w:rFonts w:ascii="Times New Roman" w:hAnsi="Times New Roman" w:cs="Times New Roman" w:eastAsia="Times New Roman" w:hint="default"/>
          <w:spacing w:val="12"/>
        </w:rPr>
        <w:t> </w:t>
      </w:r>
      <w:r>
        <w:rPr/>
        <w:t>名特定对象非公开发行不超过</w:t>
      </w:r>
      <w:r>
        <w:rPr>
          <w:spacing w:val="-39"/>
        </w:rPr>
        <w:t> </w:t>
      </w:r>
      <w:r>
        <w:rPr>
          <w:rFonts w:ascii="Times New Roman" w:hAnsi="Times New Roman" w:cs="Times New Roman" w:eastAsia="Times New Roman" w:hint="default"/>
        </w:rPr>
        <w:t>6,902,262</w:t>
      </w:r>
      <w:r>
        <w:rPr>
          <w:rFonts w:ascii="Times New Roman" w:hAnsi="Times New Roman" w:cs="Times New Roman" w:eastAsia="Times New Roman" w:hint="default"/>
          <w:spacing w:val="12"/>
        </w:rPr>
        <w:t> </w:t>
      </w:r>
      <w:r>
        <w:rPr/>
        <w:t>股股票。其中：由平安养老险认购不超过</w:t>
      </w:r>
    </w:p>
    <w:p>
      <w:pPr>
        <w:pStyle w:val="Heading7"/>
        <w:spacing w:line="240" w:lineRule="auto" w:before="124"/>
        <w:ind w:right="0"/>
        <w:jc w:val="left"/>
        <w:rPr>
          <w:rFonts w:ascii="Times New Roman" w:hAnsi="Times New Roman" w:cs="Times New Roman" w:eastAsia="Times New Roman" w:hint="default"/>
        </w:rPr>
      </w:pPr>
      <w:r>
        <w:rPr>
          <w:rFonts w:ascii="Times New Roman" w:hAnsi="Times New Roman" w:cs="Times New Roman" w:eastAsia="Times New Roman" w:hint="default"/>
        </w:rPr>
        <w:t>1,104,362</w:t>
      </w:r>
      <w:r>
        <w:rPr>
          <w:rFonts w:ascii="Times New Roman" w:hAnsi="Times New Roman" w:cs="Times New Roman" w:eastAsia="Times New Roman" w:hint="default"/>
          <w:spacing w:val="-25"/>
        </w:rPr>
        <w:t> </w:t>
      </w:r>
      <w:r>
        <w:rPr/>
        <w:t>股，平安资管认购不超过</w:t>
      </w:r>
      <w:r>
        <w:rPr>
          <w:spacing w:val="-76"/>
        </w:rPr>
        <w:t> </w:t>
      </w:r>
      <w:r>
        <w:rPr>
          <w:rFonts w:ascii="Times New Roman" w:hAnsi="Times New Roman" w:cs="Times New Roman" w:eastAsia="Times New Roman" w:hint="default"/>
        </w:rPr>
        <w:t>3,210,571</w:t>
      </w:r>
      <w:r>
        <w:rPr>
          <w:rFonts w:ascii="Times New Roman" w:hAnsi="Times New Roman" w:cs="Times New Roman" w:eastAsia="Times New Roman" w:hint="default"/>
          <w:spacing w:val="-26"/>
        </w:rPr>
        <w:t> </w:t>
      </w:r>
      <w:r>
        <w:rPr/>
        <w:t>股，广发恒定</w:t>
      </w:r>
      <w:r>
        <w:rPr>
          <w:spacing w:val="-76"/>
        </w:rPr>
        <w:t> </w:t>
      </w:r>
      <w:r>
        <w:rPr>
          <w:rFonts w:ascii="Times New Roman" w:hAnsi="Times New Roman" w:cs="Times New Roman" w:eastAsia="Times New Roman" w:hint="default"/>
        </w:rPr>
        <w:t>24</w:t>
      </w:r>
      <w:r>
        <w:rPr>
          <w:rFonts w:ascii="Times New Roman" w:hAnsi="Times New Roman" w:cs="Times New Roman" w:eastAsia="Times New Roman" w:hint="default"/>
          <w:spacing w:val="-27"/>
        </w:rPr>
        <w:t> </w:t>
      </w:r>
      <w:r>
        <w:rPr/>
        <w:t>号集合资管计划认购不超过</w:t>
      </w:r>
      <w:r>
        <w:rPr>
          <w:spacing w:val="-76"/>
        </w:rPr>
        <w:t> </w:t>
      </w:r>
      <w:r>
        <w:rPr>
          <w:rFonts w:ascii="Times New Roman" w:hAnsi="Times New Roman" w:cs="Times New Roman" w:eastAsia="Times New Roman" w:hint="default"/>
        </w:rPr>
        <w:t>1,206,877</w:t>
      </w:r>
    </w:p>
    <w:p>
      <w:pPr>
        <w:pStyle w:val="Heading7"/>
        <w:spacing w:line="357" w:lineRule="auto" w:before="123"/>
        <w:ind w:left="1231" w:right="0"/>
        <w:jc w:val="left"/>
      </w:pPr>
      <w:r>
        <w:rPr/>
        <w:t>股，久远银海</w:t>
      </w:r>
      <w:r>
        <w:rPr>
          <w:spacing w:val="-52"/>
        </w:rPr>
        <w:t> </w:t>
      </w:r>
      <w:r>
        <w:rPr>
          <w:rFonts w:ascii="Times New Roman" w:hAnsi="Times New Roman" w:cs="Times New Roman" w:eastAsia="Times New Roman" w:hint="default"/>
        </w:rPr>
        <w:t>1 </w:t>
      </w:r>
      <w:r>
        <w:rPr/>
        <w:t>号定向资管计划认购不超过</w:t>
      </w:r>
      <w:r>
        <w:rPr>
          <w:spacing w:val="-52"/>
        </w:rPr>
        <w:t> </w:t>
      </w:r>
      <w:r>
        <w:rPr>
          <w:rFonts w:ascii="Times New Roman" w:hAnsi="Times New Roman" w:cs="Times New Roman" w:eastAsia="Times New Roman" w:hint="default"/>
        </w:rPr>
        <w:t>1,380,452</w:t>
      </w:r>
      <w:r>
        <w:rPr>
          <w:rFonts w:ascii="Times New Roman" w:hAnsi="Times New Roman" w:cs="Times New Roman" w:eastAsia="Times New Roman" w:hint="default"/>
          <w:spacing w:val="-1"/>
        </w:rPr>
        <w:t> </w:t>
      </w:r>
      <w:r>
        <w:rPr/>
        <w:t>股。</w:t>
      </w:r>
      <w:r>
        <w:rPr>
          <w:spacing w:val="-2"/>
          <w:w w:val="100"/>
        </w:rPr>
        <w:t> </w:t>
      </w:r>
      <w:r>
        <w:rPr>
          <w:spacing w:val="-1"/>
        </w:rPr>
        <w:t>本次非公开发行方案尚需国有资产管理部门批准、公司股东大会审议通过和中国证监会的核准。</w:t>
      </w:r>
      <w:r>
        <w:rPr>
          <w:spacing w:val="-68"/>
        </w:rPr>
        <w:t> </w:t>
      </w:r>
      <w:r>
        <w:rPr>
          <w:spacing w:val="-68"/>
        </w:rPr>
      </w:r>
      <w:r>
        <w:rPr/>
        <w:t>上述事项公司于</w:t>
      </w:r>
      <w:r>
        <w:rPr>
          <w:spacing w:val="-51"/>
        </w:rPr>
        <w:t> </w:t>
      </w:r>
      <w:r>
        <w:rPr>
          <w:rFonts w:ascii="Times New Roman" w:hAnsi="Times New Roman" w:cs="Times New Roman" w:eastAsia="Times New Roman" w:hint="default"/>
        </w:rPr>
        <w:t>2016 </w:t>
      </w:r>
      <w:r>
        <w:rPr/>
        <w:t>年</w:t>
      </w:r>
      <w:r>
        <w:rPr>
          <w:spacing w:val="-52"/>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日对外公告。</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6"/>
        <w:spacing w:line="240" w:lineRule="auto" w:before="35"/>
        <w:ind w:left="863" w:right="0"/>
        <w:jc w:val="left"/>
      </w:pPr>
      <w:r>
        <w:rPr>
          <w:rFonts w:ascii="Times New Roman" w:hAnsi="Times New Roman" w:cs="Times New Roman" w:eastAsia="Times New Roman" w:hint="default"/>
        </w:rPr>
        <w:t>2</w:t>
      </w:r>
      <w:r>
        <w:rPr/>
        <w:t>、利润分配情况</w:t>
      </w:r>
    </w:p>
    <w:p>
      <w:pPr>
        <w:pStyle w:val="Heading7"/>
        <w:spacing w:line="240" w:lineRule="auto" w:before="103"/>
        <w:ind w:left="1003" w:right="0"/>
        <w:jc w:val="both"/>
      </w:pPr>
      <w:r>
        <w:rPr>
          <w:rFonts w:ascii="Times New Roman" w:hAnsi="Times New Roman" w:cs="Times New Roman" w:eastAsia="Times New Roman" w:hint="default"/>
          <w:w w:val="100"/>
        </w:rPr>
        <w:t>2016</w:t>
      </w:r>
      <w:r>
        <w:rPr>
          <w:rFonts w:ascii="Times New Roman" w:hAnsi="Times New Roman" w:cs="Times New Roman" w:eastAsia="Times New Roman" w:hint="default"/>
          <w:spacing w:val="-19"/>
        </w:rPr>
        <w:t> </w:t>
      </w:r>
      <w:r>
        <w:rPr>
          <w:w w:val="100"/>
        </w:rPr>
        <w:t>年</w:t>
      </w:r>
      <w:r>
        <w:rPr>
          <w:spacing w:val="-69"/>
        </w:rPr>
        <w:t> </w:t>
      </w:r>
      <w:r>
        <w:rPr>
          <w:rFonts w:ascii="Times New Roman" w:hAnsi="Times New Roman" w:cs="Times New Roman" w:eastAsia="Times New Roman" w:hint="default"/>
          <w:w w:val="100"/>
        </w:rPr>
        <w:t>3</w:t>
      </w:r>
      <w:r>
        <w:rPr>
          <w:rFonts w:ascii="Times New Roman" w:hAnsi="Times New Roman" w:cs="Times New Roman" w:eastAsia="Times New Roman" w:hint="default"/>
          <w:spacing w:val="-17"/>
        </w:rPr>
        <w:t> </w:t>
      </w:r>
      <w:r>
        <w:rPr>
          <w:w w:val="100"/>
        </w:rPr>
        <w:t>月</w:t>
      </w:r>
      <w:r>
        <w:rPr>
          <w:spacing w:val="-69"/>
        </w:rPr>
        <w:t> </w:t>
      </w:r>
      <w:r>
        <w:rPr>
          <w:rFonts w:ascii="Times New Roman" w:hAnsi="Times New Roman" w:cs="Times New Roman" w:eastAsia="Times New Roman" w:hint="default"/>
          <w:spacing w:val="-1"/>
          <w:w w:val="100"/>
        </w:rPr>
        <w:t>3</w:t>
      </w:r>
      <w:r>
        <w:rPr>
          <w:rFonts w:ascii="Times New Roman" w:hAnsi="Times New Roman" w:cs="Times New Roman" w:eastAsia="Times New Roman" w:hint="default"/>
          <w:w w:val="100"/>
        </w:rPr>
        <w:t>0</w:t>
      </w:r>
      <w:r>
        <w:rPr>
          <w:rFonts w:ascii="Times New Roman" w:hAnsi="Times New Roman" w:cs="Times New Roman" w:eastAsia="Times New Roman" w:hint="default"/>
          <w:spacing w:val="-17"/>
        </w:rPr>
        <w:t> </w:t>
      </w:r>
      <w:r>
        <w:rPr>
          <w:spacing w:val="-2"/>
          <w:w w:val="100"/>
        </w:rPr>
        <w:t>日</w:t>
      </w:r>
      <w:r>
        <w:rPr>
          <w:w w:val="100"/>
        </w:rPr>
        <w:t>，经</w:t>
      </w:r>
      <w:r>
        <w:rPr>
          <w:spacing w:val="-2"/>
          <w:w w:val="100"/>
        </w:rPr>
        <w:t>公</w:t>
      </w:r>
      <w:r>
        <w:rPr>
          <w:w w:val="100"/>
        </w:rPr>
        <w:t>司</w:t>
      </w:r>
      <w:r>
        <w:rPr>
          <w:spacing w:val="-69"/>
        </w:rPr>
        <w:t> </w:t>
      </w:r>
      <w:r>
        <w:rPr>
          <w:rFonts w:ascii="Times New Roman" w:hAnsi="Times New Roman" w:cs="Times New Roman" w:eastAsia="Times New Roman" w:hint="default"/>
          <w:w w:val="100"/>
        </w:rPr>
        <w:t>2016</w:t>
      </w:r>
      <w:r>
        <w:rPr>
          <w:rFonts w:ascii="Times New Roman" w:hAnsi="Times New Roman" w:cs="Times New Roman" w:eastAsia="Times New Roman" w:hint="default"/>
          <w:spacing w:val="-18"/>
        </w:rPr>
        <w:t> </w:t>
      </w:r>
      <w:r>
        <w:rPr>
          <w:spacing w:val="-2"/>
          <w:w w:val="100"/>
        </w:rPr>
        <w:t>年</w:t>
      </w:r>
      <w:r>
        <w:rPr>
          <w:w w:val="100"/>
        </w:rPr>
        <w:t>第</w:t>
      </w:r>
      <w:r>
        <w:rPr>
          <w:spacing w:val="-2"/>
          <w:w w:val="100"/>
        </w:rPr>
        <w:t>三</w:t>
      </w:r>
      <w:r>
        <w:rPr>
          <w:w w:val="100"/>
        </w:rPr>
        <w:t>届董事</w:t>
      </w:r>
      <w:r>
        <w:rPr>
          <w:spacing w:val="-2"/>
          <w:w w:val="100"/>
        </w:rPr>
        <w:t>会</w:t>
      </w:r>
      <w:r>
        <w:rPr>
          <w:w w:val="100"/>
        </w:rPr>
        <w:t>第</w:t>
      </w:r>
      <w:r>
        <w:rPr>
          <w:spacing w:val="-2"/>
          <w:w w:val="100"/>
        </w:rPr>
        <w:t>三</w:t>
      </w:r>
      <w:r>
        <w:rPr>
          <w:w w:val="100"/>
        </w:rPr>
        <w:t>次会议</w:t>
      </w:r>
      <w:r>
        <w:rPr>
          <w:spacing w:val="-2"/>
          <w:w w:val="100"/>
        </w:rPr>
        <w:t>，</w:t>
      </w:r>
      <w:r>
        <w:rPr>
          <w:w w:val="100"/>
        </w:rPr>
        <w:t>审</w:t>
      </w:r>
      <w:r>
        <w:rPr>
          <w:spacing w:val="-2"/>
          <w:w w:val="100"/>
        </w:rPr>
        <w:t>议</w:t>
      </w:r>
      <w:r>
        <w:rPr>
          <w:w w:val="100"/>
        </w:rPr>
        <w:t>通</w:t>
      </w:r>
      <w:r>
        <w:rPr>
          <w:spacing w:val="-100"/>
          <w:w w:val="100"/>
        </w:rPr>
        <w:t>过</w:t>
      </w:r>
      <w:r>
        <w:rPr>
          <w:spacing w:val="-2"/>
          <w:w w:val="100"/>
        </w:rPr>
        <w:t>《</w:t>
      </w:r>
      <w:r>
        <w:rPr>
          <w:w w:val="100"/>
        </w:rPr>
        <w:t>公司</w:t>
      </w:r>
      <w:r>
        <w:rPr>
          <w:spacing w:val="-68"/>
        </w:rPr>
        <w:t> </w:t>
      </w:r>
      <w:r>
        <w:rPr>
          <w:rFonts w:ascii="Times New Roman" w:hAnsi="Times New Roman" w:cs="Times New Roman" w:eastAsia="Times New Roman" w:hint="default"/>
          <w:spacing w:val="-1"/>
          <w:w w:val="100"/>
        </w:rPr>
        <w:t>201</w:t>
      </w:r>
      <w:r>
        <w:rPr>
          <w:rFonts w:ascii="Times New Roman" w:hAnsi="Times New Roman" w:cs="Times New Roman" w:eastAsia="Times New Roman" w:hint="default"/>
          <w:w w:val="100"/>
        </w:rPr>
        <w:t>5</w:t>
      </w:r>
      <w:r>
        <w:rPr>
          <w:rFonts w:ascii="Times New Roman" w:hAnsi="Times New Roman" w:cs="Times New Roman" w:eastAsia="Times New Roman" w:hint="default"/>
          <w:spacing w:val="-17"/>
        </w:rPr>
        <w:t> </w:t>
      </w:r>
      <w:r>
        <w:rPr>
          <w:w w:val="100"/>
        </w:rPr>
        <w:t>年</w:t>
      </w:r>
      <w:r>
        <w:rPr>
          <w:spacing w:val="-2"/>
          <w:w w:val="100"/>
        </w:rPr>
        <w:t>度</w:t>
      </w:r>
      <w:r>
        <w:rPr>
          <w:w w:val="100"/>
        </w:rPr>
        <w:t>分</w:t>
      </w:r>
      <w:r>
        <w:rPr>
          <w:spacing w:val="-2"/>
          <w:w w:val="100"/>
        </w:rPr>
        <w:t>红</w:t>
      </w:r>
      <w:r>
        <w:rPr>
          <w:w w:val="100"/>
        </w:rPr>
        <w:t>的议</w:t>
      </w:r>
      <w:r>
        <w:rPr>
          <w:spacing w:val="-2"/>
          <w:w w:val="100"/>
        </w:rPr>
        <w:t>案</w:t>
      </w:r>
      <w:r>
        <w:rPr>
          <w:spacing w:val="-100"/>
          <w:w w:val="100"/>
        </w:rPr>
        <w:t>》</w:t>
      </w:r>
      <w:r>
        <w:rPr>
          <w:w w:val="100"/>
        </w:rPr>
        <w:t>。</w:t>
      </w:r>
    </w:p>
    <w:p>
      <w:pPr>
        <w:pStyle w:val="Heading7"/>
        <w:spacing w:line="240" w:lineRule="auto" w:before="123"/>
        <w:ind w:left="1003" w:right="0"/>
        <w:jc w:val="both"/>
      </w:pPr>
      <w:r>
        <w:rPr/>
        <w:t>以公司总股本</w:t>
      </w:r>
      <w:r>
        <w:rPr>
          <w:spacing w:val="-46"/>
        </w:rPr>
        <w:t> </w:t>
      </w:r>
      <w:r>
        <w:rPr>
          <w:rFonts w:ascii="Times New Roman" w:hAnsi="Times New Roman" w:cs="Times New Roman" w:eastAsia="Times New Roman" w:hint="default"/>
        </w:rPr>
        <w:t>80,000,000</w:t>
      </w:r>
      <w:r>
        <w:rPr>
          <w:rFonts w:ascii="Times New Roman" w:hAnsi="Times New Roman" w:cs="Times New Roman" w:eastAsia="Times New Roman" w:hint="default"/>
          <w:spacing w:val="4"/>
        </w:rPr>
        <w:t> </w:t>
      </w:r>
      <w:r>
        <w:rPr/>
        <w:t>股为基数，向全体股东每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股派发现金红利</w:t>
      </w:r>
      <w:r>
        <w:rPr>
          <w:spacing w:val="-46"/>
        </w:rPr>
        <w:t> </w:t>
      </w:r>
      <w:r>
        <w:rPr>
          <w:rFonts w:ascii="Times New Roman" w:hAnsi="Times New Roman" w:cs="Times New Roman" w:eastAsia="Times New Roman" w:hint="default"/>
        </w:rPr>
        <w:t>5.00</w:t>
      </w:r>
      <w:r>
        <w:rPr>
          <w:rFonts w:ascii="Times New Roman" w:hAnsi="Times New Roman" w:cs="Times New Roman" w:eastAsia="Times New Roman" w:hint="default"/>
          <w:spacing w:val="4"/>
        </w:rPr>
        <w:t> </w:t>
      </w:r>
      <w:r>
        <w:rPr/>
        <w:t>元（含税），共分配现金</w:t>
      </w:r>
    </w:p>
    <w:p>
      <w:pPr>
        <w:pStyle w:val="Heading7"/>
        <w:spacing w:line="357" w:lineRule="auto"/>
        <w:ind w:left="1004" w:right="1133"/>
        <w:jc w:val="both"/>
      </w:pPr>
      <w:r>
        <w:rPr/>
        <w:t>红利 </w:t>
      </w:r>
      <w:r>
        <w:rPr>
          <w:rFonts w:ascii="Times New Roman" w:hAnsi="Times New Roman" w:cs="Times New Roman" w:eastAsia="Times New Roman" w:hint="default"/>
        </w:rPr>
        <w:t>40,000,000.00</w:t>
      </w:r>
      <w:r>
        <w:rPr>
          <w:rFonts w:ascii="Times New Roman" w:hAnsi="Times New Roman" w:cs="Times New Roman" w:eastAsia="Times New Roman" w:hint="default"/>
          <w:spacing w:val="31"/>
        </w:rPr>
        <w:t> </w:t>
      </w:r>
      <w:r>
        <w:rPr/>
        <w:t>元；不以公积金转增股本；不送红股；剩余未分配利润结转以后年度。在本分配</w:t>
      </w:r>
      <w:r>
        <w:rPr>
          <w:w w:val="100"/>
        </w:rPr>
        <w:t> </w:t>
      </w:r>
      <w:r>
        <w:rPr>
          <w:spacing w:val="3"/>
        </w:rPr>
        <w:t>预案实施前，公司总股本由于股份回购等原因而发生变化的，分配比例将按分派总额不变的原则相</w:t>
      </w:r>
      <w:r>
        <w:rPr>
          <w:spacing w:val="-64"/>
        </w:rPr>
        <w:t> </w:t>
      </w:r>
      <w:r>
        <w:rPr>
          <w:spacing w:val="-64"/>
        </w:rPr>
      </w:r>
      <w:r>
        <w:rPr/>
        <w:t>应调整。</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6"/>
        <w:spacing w:line="240" w:lineRule="auto" w:before="0"/>
        <w:ind w:left="849" w:right="1117"/>
        <w:jc w:val="center"/>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60"/>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月</w:t>
      </w:r>
      <w:r>
        <w:rPr>
          <w:spacing w:val="-59"/>
        </w:rPr>
        <w:t> </w:t>
      </w:r>
      <w:r>
        <w:rPr>
          <w:rFonts w:ascii="Times New Roman" w:hAnsi="Times New Roman" w:cs="Times New Roman" w:eastAsia="Times New Roman" w:hint="default"/>
        </w:rPr>
        <w:t>30</w:t>
      </w:r>
      <w:r>
        <w:rPr>
          <w:rFonts w:ascii="Times New Roman" w:hAnsi="Times New Roman" w:cs="Times New Roman" w:eastAsia="Times New Roman" w:hint="default"/>
          <w:spacing w:val="-6"/>
        </w:rPr>
        <w:t> </w:t>
      </w:r>
      <w:r>
        <w:rPr>
          <w:spacing w:val="-3"/>
        </w:rPr>
        <w:t>日，经公司</w:t>
      </w:r>
      <w:r>
        <w:rPr>
          <w:spacing w:val="-59"/>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年第三届董事会第三次会议，审议通过《关于募集资金置换预</w:t>
      </w:r>
    </w:p>
    <w:p>
      <w:pPr>
        <w:pStyle w:val="Heading6"/>
        <w:spacing w:line="240" w:lineRule="auto" w:before="109"/>
        <w:ind w:left="850" w:right="838"/>
        <w:jc w:val="center"/>
      </w:pPr>
      <w:r>
        <w:rPr/>
        <w:t>先投入的自筹资金的议案</w:t>
      </w:r>
      <w:r>
        <w:rPr>
          <w:spacing w:val="-105"/>
        </w:rPr>
        <w:t>》</w:t>
      </w:r>
      <w:r>
        <w:rPr/>
        <w:t>。同意</w:t>
      </w:r>
      <w:r>
        <w:rPr>
          <w:spacing w:val="-2"/>
        </w:rPr>
        <w:t>置</w:t>
      </w:r>
      <w:r>
        <w:rPr/>
        <w:t>换截止</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48"/>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日，公司已使用自筹资金预先</w:t>
      </w:r>
      <w:r>
        <w:rPr>
          <w:spacing w:val="1"/>
        </w:rPr>
        <w:t>投</w:t>
      </w:r>
      <w:r>
        <w:rPr/>
        <w:t>入</w:t>
      </w:r>
    </w:p>
    <w:p>
      <w:pPr>
        <w:pStyle w:val="Heading6"/>
        <w:spacing w:line="240" w:lineRule="auto" w:before="109"/>
        <w:ind w:left="1146" w:right="0"/>
        <w:jc w:val="left"/>
      </w:pPr>
      <w:r>
        <w:rPr/>
        <w:t>金额</w:t>
      </w:r>
      <w:r>
        <w:rPr>
          <w:spacing w:val="-58"/>
        </w:rPr>
        <w:t> </w:t>
      </w:r>
      <w:r>
        <w:rPr>
          <w:rFonts w:ascii="Times New Roman" w:hAnsi="Times New Roman" w:cs="Times New Roman" w:eastAsia="Times New Roman" w:hint="default"/>
        </w:rPr>
        <w:t>36,511,632.14</w:t>
      </w:r>
      <w:r>
        <w:rPr>
          <w:rFonts w:ascii="Times New Roman" w:hAnsi="Times New Roman" w:cs="Times New Roman" w:eastAsia="Times New Roman" w:hint="default"/>
          <w:spacing w:val="-5"/>
        </w:rPr>
        <w:t> </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bookmarkStart w:name="十六、其他重要事项" w:id="482"/>
      <w:bookmarkEnd w:id="482"/>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前期会计差错更正" w:id="483"/>
      <w:bookmarkEnd w:id="48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追溯重述法" w:id="484"/>
      <w:bookmarkEnd w:id="48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2）未来适用法" w:id="485"/>
      <w:bookmarkEnd w:id="48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5"/>
        <w:spacing w:line="240" w:lineRule="auto" w:before="35"/>
        <w:ind w:right="0"/>
        <w:jc w:val="left"/>
        <w:rPr>
          <w:b w:val="0"/>
          <w:bCs w:val="0"/>
        </w:rPr>
      </w:pPr>
      <w:bookmarkStart w:name="2、债务重组" w:id="486"/>
      <w:bookmarkEnd w:id="48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3、资产置换" w:id="487"/>
      <w:bookmarkEnd w:id="48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bookmarkStart w:name="（1）非货币性资产交换" w:id="488"/>
      <w:bookmarkEnd w:id="48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2）其他资产置换" w:id="489"/>
      <w:bookmarkEnd w:id="48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4、年金计划" w:id="490"/>
      <w:bookmarkEnd w:id="49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5、终止经营" w:id="491"/>
      <w:bookmarkEnd w:id="49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0"/>
        <w:jc w:val="left"/>
      </w:pPr>
      <w:r>
        <w:rPr/>
        <w:t>其他说明</w:t>
      </w:r>
    </w:p>
    <w:p>
      <w:pPr>
        <w:spacing w:line="240" w:lineRule="auto" w:before="11"/>
        <w:rPr>
          <w:rFonts w:ascii="宋体" w:hAnsi="宋体" w:cs="宋体" w:eastAsia="宋体" w:hint="default"/>
          <w:sz w:val="26"/>
          <w:szCs w:val="26"/>
        </w:rPr>
      </w:pPr>
    </w:p>
    <w:p>
      <w:pPr>
        <w:pStyle w:val="Heading5"/>
        <w:spacing w:line="240" w:lineRule="auto"/>
        <w:ind w:right="0"/>
        <w:jc w:val="left"/>
        <w:rPr>
          <w:b w:val="0"/>
          <w:bCs w:val="0"/>
        </w:rPr>
      </w:pPr>
      <w:bookmarkStart w:name="6、分部信息" w:id="492"/>
      <w:bookmarkEnd w:id="49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报告分部的确定依据与会计政策" w:id="493"/>
      <w:bookmarkEnd w:id="49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left="154" w:right="0"/>
        <w:jc w:val="left"/>
        <w:rPr>
          <w:b w:val="0"/>
          <w:bCs w:val="0"/>
        </w:rPr>
      </w:pPr>
      <w:bookmarkStart w:name="（2）报告分部的财务信息" w:id="494"/>
      <w:bookmarkEnd w:id="49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3）公司无报告分部的，或者不能披露各报告分部的资产总额和负债总额的，应说明原因" w:id="495"/>
      <w:bookmarkEnd w:id="495"/>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4）其他说明" w:id="496"/>
      <w:bookmarkEnd w:id="496"/>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7、其他对投资者决策有影响的重要交易和事项" w:id="497"/>
      <w:bookmarkEnd w:id="497"/>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653" w:firstLine="0"/>
        <w:jc w:val="left"/>
        <w:rPr>
          <w:rFonts w:ascii="宋体" w:hAnsi="宋体" w:cs="宋体" w:eastAsia="宋体" w:hint="default"/>
          <w:sz w:val="21"/>
          <w:szCs w:val="21"/>
        </w:rPr>
      </w:pPr>
      <w:bookmarkStart w:name="8、其他" w:id="498"/>
      <w:bookmarkEnd w:id="498"/>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9"/>
      <w:bookmarkEnd w:id="49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0"/>
      <w:bookmarkEnd w:id="500"/>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5"/>
        <w:spacing w:line="240" w:lineRule="auto" w:before="83"/>
        <w:ind w:left="154" w:right="0"/>
        <w:jc w:val="left"/>
        <w:rPr>
          <w:b w:val="0"/>
          <w:bCs w:val="0"/>
        </w:rPr>
      </w:pPr>
      <w:bookmarkStart w:name="（1）应收账款分类披露" w:id="501"/>
      <w:bookmarkEnd w:id="501"/>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35"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35"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65,323,0</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18.32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9,909,64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55,413,36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8.91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45,605,</w:t>
            </w:r>
          </w:p>
          <w:p>
            <w:pPr>
              <w:pStyle w:val="TableParagraph"/>
              <w:spacing w:line="240" w:lineRule="auto" w:before="106"/>
              <w:ind w:left="131" w:right="0"/>
              <w:jc w:val="left"/>
              <w:rPr>
                <w:rFonts w:ascii="Times New Roman" w:hAnsi="Times New Roman" w:cs="Times New Roman" w:eastAsia="Times New Roman" w:hint="default"/>
                <w:sz w:val="18"/>
                <w:szCs w:val="18"/>
              </w:rPr>
            </w:pPr>
            <w:r>
              <w:rPr>
                <w:rFonts w:ascii="Times New Roman"/>
                <w:sz w:val="18"/>
              </w:rPr>
              <w:t>779.11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6,540,491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39,065,287.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65,323,0</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18.32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9,909,64</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9.41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15.17%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55,413,36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8.91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45,605,</w:t>
            </w:r>
          </w:p>
          <w:p>
            <w:pPr>
              <w:pStyle w:val="TableParagraph"/>
              <w:spacing w:line="240" w:lineRule="auto" w:before="106"/>
              <w:ind w:left="131" w:right="0"/>
              <w:jc w:val="left"/>
              <w:rPr>
                <w:rFonts w:ascii="Times New Roman" w:hAnsi="Times New Roman" w:cs="Times New Roman" w:eastAsia="Times New Roman" w:hint="default"/>
                <w:sz w:val="18"/>
                <w:szCs w:val="18"/>
              </w:rPr>
            </w:pPr>
            <w:r>
              <w:rPr>
                <w:rFonts w:ascii="Times New Roman"/>
                <w:sz w:val="18"/>
              </w:rPr>
              <w:t>779.11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6,540,491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14.34%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39,065,287.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2"/>
        <w:gridCol w:w="2295"/>
        <w:gridCol w:w="2391"/>
        <w:gridCol w:w="2390"/>
      </w:tblGrid>
      <w:tr>
        <w:trPr>
          <w:trHeight w:val="206" w:hRule="exact"/>
        </w:trPr>
        <w:tc>
          <w:tcPr>
            <w:tcW w:w="24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482"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82"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37,850,836.23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1,892,541.81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15,100,696.73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1,510,069.67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5,624,700.21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1,124,940.04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1,603,308.35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801,654.18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2,815,165.44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2,252,132.35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2,328,311.36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2,328,311.36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4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65,323,018.32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9,909,649.41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15.17%</w:t>
            </w:r>
          </w:p>
        </w:tc>
      </w:tr>
    </w:tbl>
    <w:p>
      <w:pPr>
        <w:pStyle w:val="BodyText"/>
        <w:spacing w:line="338" w:lineRule="auto" w:before="51"/>
        <w:ind w:left="154" w:right="0"/>
        <w:jc w:val="left"/>
      </w:pPr>
      <w:r>
        <w:rPr/>
        <w:t>确定该组合依据的说明： </w:t>
      </w:r>
      <w:r>
        <w:rPr>
          <w:spacing w:val="-2"/>
        </w:rPr>
        <w:t>公司根据以前年度与之相同或相类似的、按账龄段划分的具有类似信用风险特征的应收款项组合的实际损失率为基础，结合</w:t>
      </w:r>
      <w:r>
        <w:rPr>
          <w:spacing w:val="-64"/>
        </w:rPr>
        <w:t> </w:t>
      </w:r>
      <w:r>
        <w:rPr>
          <w:spacing w:val="-64"/>
        </w:rPr>
      </w:r>
      <w:r>
        <w:rPr/>
        <w:t>现时情况分析法确定坏账准备计提的比例。</w:t>
      </w:r>
    </w:p>
    <w:p>
      <w:pPr>
        <w:pStyle w:val="BodyText"/>
        <w:spacing w:line="240" w:lineRule="auto" w:before="43"/>
        <w:ind w:left="154" w:right="0"/>
        <w:jc w:val="left"/>
      </w:pPr>
      <w:r>
        <w:rPr/>
        <w:t>组合中，采用余额百分比法计提坏账准备的应收账款：</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本期计提、收回或转回的坏账准备情况" w:id="502"/>
      <w:bookmarkEnd w:id="502"/>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ind w:right="-12"/>
        <w:jc w:val="left"/>
      </w:pPr>
      <w:r>
        <w:rPr/>
        <w:t>本期计提坏账准备金额</w:t>
      </w:r>
      <w:r>
        <w:rPr>
          <w:spacing w:val="-47"/>
        </w:rPr>
        <w:t> </w:t>
      </w:r>
      <w:r>
        <w:rPr>
          <w:rFonts w:ascii="Times New Roman" w:hAnsi="Times New Roman" w:cs="Times New Roman" w:eastAsia="Times New Roman" w:hint="default"/>
        </w:rPr>
        <w:t>3,369,158.19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3）本期实际核销的应收账款情况" w:id="503"/>
      <w:bookmarkEnd w:id="503"/>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left="154"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0"/>
        <w:jc w:val="left"/>
      </w:pPr>
      <w:r>
        <w:rPr/>
        <w:t>应收账款核销说明：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4）按欠款方归集的期末余额前五名的应收账款情况" w:id="504"/>
      <w:bookmarkEnd w:id="504"/>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17" w:type="dxa"/>
        <w:tblLayout w:type="fixed"/>
        <w:tblCellMar>
          <w:top w:w="0" w:type="dxa"/>
          <w:left w:w="0" w:type="dxa"/>
          <w:bottom w:w="0" w:type="dxa"/>
          <w:right w:w="0" w:type="dxa"/>
        </w:tblCellMar>
        <w:tblLook w:val="01E0"/>
      </w:tblPr>
      <w:tblGrid>
        <w:gridCol w:w="3968"/>
        <w:gridCol w:w="1423"/>
        <w:gridCol w:w="1413"/>
        <w:gridCol w:w="1415"/>
      </w:tblGrid>
      <w:tr>
        <w:trPr>
          <w:trHeight w:val="342" w:hRule="exact"/>
        </w:trPr>
        <w:tc>
          <w:tcPr>
            <w:tcW w:w="3968"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42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4" w:hRule="exact"/>
        </w:trPr>
        <w:tc>
          <w:tcPr>
            <w:tcW w:w="3968" w:type="dxa"/>
            <w:vMerge/>
            <w:tcBorders>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3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 数的比例</w:t>
            </w:r>
            <w:r>
              <w:rPr>
                <w:rFonts w:ascii="Times New Roman" w:hAnsi="Times New Roman" w:cs="Times New Roman" w:eastAsia="Times New Roman" w:hint="default"/>
                <w:sz w:val="18"/>
                <w:szCs w:val="18"/>
              </w:rPr>
              <w:t>(%)</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4,000,000.00</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6.12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200,000.00</w:t>
            </w:r>
          </w:p>
        </w:tc>
      </w:tr>
      <w:tr>
        <w:trPr>
          <w:trHeight w:val="342"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3,182,000.02</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4.87</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7" w:right="0"/>
              <w:jc w:val="left"/>
              <w:rPr>
                <w:rFonts w:ascii="Times New Roman" w:hAnsi="Times New Roman" w:cs="Times New Roman" w:eastAsia="Times New Roman" w:hint="default"/>
                <w:sz w:val="18"/>
                <w:szCs w:val="18"/>
              </w:rPr>
            </w:pPr>
            <w:r>
              <w:rPr>
                <w:rFonts w:ascii="Times New Roman"/>
                <w:sz w:val="18"/>
              </w:rPr>
              <w:t>238,900.00</w:t>
            </w:r>
          </w:p>
        </w:tc>
      </w:tr>
      <w:tr>
        <w:trPr>
          <w:trHeight w:val="342"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2,820,720.01</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4.32</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7" w:right="0"/>
              <w:jc w:val="left"/>
              <w:rPr>
                <w:rFonts w:ascii="Times New Roman" w:hAnsi="Times New Roman" w:cs="Times New Roman" w:eastAsia="Times New Roman" w:hint="default"/>
                <w:sz w:val="18"/>
                <w:szCs w:val="18"/>
              </w:rPr>
            </w:pPr>
            <w:r>
              <w:rPr>
                <w:rFonts w:ascii="Times New Roman"/>
                <w:sz w:val="18"/>
              </w:rPr>
              <w:t>137,200.00</w:t>
            </w:r>
          </w:p>
        </w:tc>
      </w:tr>
      <w:tr>
        <w:trPr>
          <w:trHeight w:val="342"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2,175,899.96</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3.33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108,500.00</w:t>
            </w:r>
          </w:p>
        </w:tc>
      </w:tr>
      <w:tr>
        <w:trPr>
          <w:trHeight w:val="342"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2,082,661.67</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3.19</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1,468,422.83</w:t>
            </w:r>
          </w:p>
        </w:tc>
      </w:tr>
      <w:tr>
        <w:trPr>
          <w:trHeight w:val="344" w:hRule="exact"/>
        </w:trPr>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14,261,281.66</w:t>
            </w:r>
          </w:p>
        </w:tc>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21.83</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2,153,022.83</w:t>
            </w:r>
          </w:p>
        </w:tc>
      </w:tr>
    </w:tbl>
    <w:p>
      <w:pPr>
        <w:spacing w:line="240" w:lineRule="auto" w:before="2"/>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5）因金融资产转移而终止确认的应收账款" w:id="505"/>
      <w:bookmarkEnd w:id="505"/>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6）转移应收账款且继续涉入形成的资产、负债金额" w:id="506"/>
      <w:bookmarkEnd w:id="506"/>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left="154" w:right="0"/>
        <w:jc w:val="left"/>
        <w:rPr>
          <w:b w:val="0"/>
          <w:bCs w:val="0"/>
        </w:rPr>
      </w:pPr>
      <w:bookmarkStart w:name="2、其他应收款" w:id="507"/>
      <w:bookmarkEnd w:id="507"/>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54" w:right="0"/>
        <w:jc w:val="left"/>
        <w:rPr>
          <w:b w:val="0"/>
          <w:bCs w:val="0"/>
        </w:rPr>
      </w:pPr>
      <w:bookmarkStart w:name="（1）其他应收款分类披露" w:id="508"/>
      <w:bookmarkEnd w:id="508"/>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42,478,7</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70.02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7,532,29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9.22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34,946,47</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0.80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37,564,</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008.57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6,319,911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31,244,096.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7" w:right="0"/>
              <w:jc w:val="left"/>
              <w:rPr>
                <w:rFonts w:ascii="Times New Roman" w:hAnsi="Times New Roman" w:cs="Times New Roman" w:eastAsia="Times New Roman" w:hint="default"/>
                <w:sz w:val="18"/>
                <w:szCs w:val="18"/>
              </w:rPr>
            </w:pPr>
            <w:r>
              <w:rPr>
                <w:rFonts w:ascii="Times New Roman"/>
                <w:sz w:val="18"/>
              </w:rPr>
              <w:t>42,478,7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7,532,29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7" w:right="0"/>
              <w:jc w:val="left"/>
              <w:rPr>
                <w:rFonts w:ascii="Times New Roman" w:hAnsi="Times New Roman" w:cs="Times New Roman" w:eastAsia="Times New Roman" w:hint="default"/>
                <w:sz w:val="18"/>
                <w:szCs w:val="18"/>
              </w:rPr>
            </w:pPr>
            <w:r>
              <w:rPr>
                <w:rFonts w:ascii="Times New Roman"/>
                <w:sz w:val="18"/>
              </w:rPr>
              <w:t>34,946,47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0" w:right="0"/>
              <w:jc w:val="left"/>
              <w:rPr>
                <w:rFonts w:ascii="Times New Roman" w:hAnsi="Times New Roman" w:cs="Times New Roman" w:eastAsia="Times New Roman" w:hint="default"/>
                <w:sz w:val="18"/>
                <w:szCs w:val="18"/>
              </w:rPr>
            </w:pPr>
            <w:r>
              <w:rPr>
                <w:rFonts w:ascii="Times New Roman"/>
                <w:sz w:val="18"/>
              </w:rPr>
              <w:t>37,564,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67" w:right="0"/>
              <w:jc w:val="left"/>
              <w:rPr>
                <w:rFonts w:ascii="Times New Roman" w:hAnsi="Times New Roman" w:cs="Times New Roman" w:eastAsia="Times New Roman" w:hint="default"/>
                <w:sz w:val="18"/>
                <w:szCs w:val="18"/>
              </w:rPr>
            </w:pPr>
            <w:r>
              <w:rPr>
                <w:rFonts w:ascii="Times New Roman"/>
                <w:sz w:val="18"/>
              </w:rPr>
              <w:t>6,319,911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31,244,096.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5"/>
      </w:tblGrid>
      <w:tr>
        <w:trPr>
          <w:trHeight w:val="362"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5" w:right="0"/>
              <w:jc w:val="left"/>
              <w:rPr>
                <w:rFonts w:ascii="Times New Roman" w:hAnsi="Times New Roman" w:cs="Times New Roman" w:eastAsia="Times New Roman" w:hint="default"/>
                <w:sz w:val="18"/>
                <w:szCs w:val="18"/>
              </w:rPr>
            </w:pPr>
            <w:r>
              <w:rPr>
                <w:rFonts w:ascii="Times New Roman"/>
                <w:sz w:val="18"/>
              </w:rPr>
              <w:t>70.02</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9.22</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2" w:right="0"/>
              <w:jc w:val="left"/>
              <w:rPr>
                <w:rFonts w:ascii="Times New Roman" w:hAnsi="Times New Roman" w:cs="Times New Roman" w:eastAsia="Times New Roman" w:hint="default"/>
                <w:sz w:val="18"/>
                <w:szCs w:val="18"/>
              </w:rPr>
            </w:pPr>
            <w:r>
              <w:rPr>
                <w:rFonts w:ascii="Times New Roman"/>
                <w:sz w:val="18"/>
              </w:rPr>
              <w:t>0.80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5" w:right="0"/>
              <w:jc w:val="left"/>
              <w:rPr>
                <w:rFonts w:ascii="Times New Roman" w:hAnsi="Times New Roman" w:cs="Times New Roman" w:eastAsia="Times New Roman" w:hint="default"/>
                <w:sz w:val="18"/>
                <w:szCs w:val="18"/>
              </w:rPr>
            </w:pPr>
            <w:r>
              <w:rPr>
                <w:rFonts w:ascii="Times New Roman"/>
                <w:sz w:val="18"/>
              </w:rPr>
              <w:t>008.57</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.76</w:t>
            </w:r>
          </w:p>
        </w:tc>
        <w:tc>
          <w:tcPr>
            <w:tcW w:w="93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338" w:lineRule="auto" w:before="117"/>
        <w:ind w:right="1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1"/>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21,238,689.79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992,281.20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7,834,563.36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747,773.85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9.54%</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8,207,916.62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1,632,422.92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19.89%</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474,600.00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237,300.00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4,002,395.00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3,201,916.00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720,605.25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720,605.25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42,478,770.02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7,532,299.22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17.73%</w:t>
            </w:r>
          </w:p>
        </w:tc>
      </w:tr>
    </w:tbl>
    <w:p>
      <w:pPr>
        <w:pStyle w:val="BodyText"/>
        <w:spacing w:line="338" w:lineRule="auto" w:before="51"/>
        <w:ind w:left="154" w:right="0"/>
        <w:jc w:val="left"/>
      </w:pPr>
      <w:r>
        <w:rPr/>
        <w:t>确定该组合依据的说明： </w:t>
      </w:r>
      <w:r>
        <w:rPr>
          <w:spacing w:val="-2"/>
        </w:rPr>
        <w:t>公司根据以前年度与之相同或相类似的、按账龄段划分的具有类似信用风险特征的应收款项组合的实际损失率为基础，结合</w:t>
      </w:r>
      <w:r>
        <w:rPr>
          <w:spacing w:val="-64"/>
        </w:rPr>
        <w:t> </w:t>
      </w:r>
      <w:r>
        <w:rPr>
          <w:spacing w:val="-64"/>
        </w:rPr>
      </w:r>
      <w:r>
        <w:rPr/>
        <w:t>现时情况分析法确定坏账准备计提的比例。</w:t>
      </w:r>
    </w:p>
    <w:p>
      <w:pPr>
        <w:pStyle w:val="BodyText"/>
        <w:spacing w:line="240" w:lineRule="auto" w:before="43"/>
        <w:ind w:left="154" w:right="0"/>
        <w:jc w:val="left"/>
      </w:pPr>
      <w:r>
        <w:rPr/>
        <w:t>组合中，采用余额百分比法计提坏账准备的其他应收款：</w:t>
      </w:r>
    </w:p>
    <w:p>
      <w:pPr>
        <w:pStyle w:val="BodyText"/>
        <w:spacing w:line="338" w:lineRule="auto" w:before="117"/>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本期计提、收回或转回的坏账准备情况" w:id="509"/>
      <w:bookmarkEnd w:id="50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40" w:lineRule="auto"/>
        <w:ind w:right="-12"/>
        <w:jc w:val="left"/>
      </w:pPr>
      <w:r>
        <w:rPr/>
        <w:t>本期计提坏账准备金额</w:t>
      </w:r>
      <w:r>
        <w:rPr>
          <w:spacing w:val="-47"/>
        </w:rPr>
        <w:t> </w:t>
      </w:r>
      <w:r>
        <w:rPr>
          <w:rFonts w:ascii="Times New Roman" w:hAnsi="Times New Roman" w:cs="Times New Roman" w:eastAsia="Times New Roman" w:hint="default"/>
        </w:rPr>
        <w:t>1,212,387.46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3）本期实际核销的其他应收款情况" w:id="510"/>
      <w:bookmarkEnd w:id="510"/>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5"/>
        <w:gridCol w:w="1551"/>
        <w:gridCol w:w="1552"/>
        <w:gridCol w:w="1553"/>
        <w:gridCol w:w="1614"/>
        <w:gridCol w:w="1604"/>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2" w:right="0"/>
              <w:jc w:val="left"/>
              <w:rPr>
                <w:rFonts w:ascii="宋体" w:hAnsi="宋体" w:cs="宋体" w:eastAsia="宋体" w:hint="default"/>
                <w:sz w:val="18"/>
                <w:szCs w:val="18"/>
              </w:rPr>
            </w:pPr>
            <w:r>
              <w:rPr>
                <w:rFonts w:ascii="宋体" w:hAnsi="宋体" w:cs="宋体" w:eastAsia="宋体" w:hint="default"/>
                <w:sz w:val="18"/>
                <w:szCs w:val="18"/>
              </w:rPr>
              <w:t>款项是否由关联交</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532" w:right="0"/>
              <w:jc w:val="left"/>
              <w:rPr>
                <w:rFonts w:ascii="宋体" w:hAnsi="宋体" w:cs="宋体" w:eastAsia="宋体" w:hint="default"/>
                <w:sz w:val="18"/>
                <w:szCs w:val="18"/>
              </w:rPr>
            </w:pPr>
            <w:r>
              <w:rPr>
                <w:rFonts w:ascii="宋体" w:hAnsi="宋体" w:cs="宋体" w:eastAsia="宋体" w:hint="default"/>
                <w:sz w:val="18"/>
                <w:szCs w:val="18"/>
              </w:rPr>
              <w:t>易产生</w:t>
            </w:r>
          </w:p>
        </w:tc>
      </w:tr>
    </w:tbl>
    <w:p>
      <w:pPr>
        <w:pStyle w:val="BodyText"/>
        <w:spacing w:line="240" w:lineRule="auto" w:before="51"/>
        <w:ind w:left="154" w:right="0"/>
        <w:jc w:val="left"/>
      </w:pPr>
      <w:r>
        <w:rPr/>
        <w:t>其他应收款核销说明：</w:t>
      </w:r>
    </w:p>
    <w:p>
      <w:pPr>
        <w:spacing w:line="240" w:lineRule="auto" w:before="11"/>
        <w:rPr>
          <w:rFonts w:ascii="宋体" w:hAnsi="宋体" w:cs="宋体" w:eastAsia="宋体" w:hint="default"/>
          <w:sz w:val="26"/>
          <w:szCs w:val="26"/>
        </w:rPr>
      </w:pPr>
    </w:p>
    <w:p>
      <w:pPr>
        <w:pStyle w:val="Heading5"/>
        <w:spacing w:line="240" w:lineRule="auto"/>
        <w:ind w:left="154" w:right="0"/>
        <w:jc w:val="left"/>
        <w:rPr>
          <w:b w:val="0"/>
          <w:bCs w:val="0"/>
        </w:rPr>
      </w:pPr>
      <w:bookmarkStart w:name="（4）其他应收款按款项性质分类情况" w:id="511"/>
      <w:bookmarkEnd w:id="511"/>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30,326,202.70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20,425,958.95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往来款、债权债务转让</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8,796,389.59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9,971,654.89</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1,962,059.11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1,046,233.98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费用分摊</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785,775.00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1,120,438.47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608,343.62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789,722.28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上市中介费</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4,210,000.00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42,478,770.02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37,564,008.57</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5）按欠款方归集的期末余额前五名的其他应收款情况" w:id="512"/>
      <w:bookmarkEnd w:id="512"/>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7"/>
              <w:jc w:val="left"/>
              <w:rPr>
                <w:rFonts w:ascii="宋体" w:hAnsi="宋体" w:cs="宋体" w:eastAsia="宋体" w:hint="default"/>
                <w:sz w:val="18"/>
                <w:szCs w:val="18"/>
              </w:rPr>
            </w:pPr>
            <w:r>
              <w:rPr>
                <w:rFonts w:ascii="宋体" w:hAnsi="宋体" w:cs="宋体" w:eastAsia="宋体" w:hint="default"/>
                <w:sz w:val="18"/>
                <w:szCs w:val="18"/>
              </w:rPr>
              <w:t>往来款、债权债务 转让</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6,905,820.49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1,289,565.98</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3,974,245.00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2,639,441.00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2,852,000.00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142,600.00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2,663,049.00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6.27%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133,152.45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1,634,400.00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81,720.00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18,029,514.49</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42.45%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4,286,479.43</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6）涉及政府补助的应收款项" w:id="513"/>
      <w:bookmarkEnd w:id="513"/>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5"/>
        <w:spacing w:line="240" w:lineRule="auto" w:before="35"/>
        <w:ind w:right="0"/>
        <w:jc w:val="left"/>
        <w:rPr>
          <w:b w:val="0"/>
          <w:bCs w:val="0"/>
        </w:rPr>
      </w:pPr>
      <w:bookmarkStart w:name="（7）因金融资产转移而终止确认的其他应收款" w:id="514"/>
      <w:bookmarkEnd w:id="514"/>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8）转移其他应收款且继续涉入形成的资产、负债金额" w:id="515"/>
      <w:bookmarkEnd w:id="515"/>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3、长期股权投资" w:id="516"/>
      <w:bookmarkEnd w:id="51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5"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156,032,520.20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156,032,520.20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126,032,520.20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126,032,520.20</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156,032,520.20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156,032,520.20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126,032,520.20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126,032,520.20</w:t>
            </w: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1）对子公司投资" w:id="517"/>
      <w:bookmarkEnd w:id="51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天津银海环球信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4,484,029.11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4,484,029.11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四川银海软件有 限责任公司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76,628,491.09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76,628,491.09</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重庆久远银海软 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北京久远银海技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6,120,000.00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北京银海奥尼思 特咨询有限公司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成都兴政电子政 务运营服务有限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both"/>
              <w:rPr>
                <w:rFonts w:ascii="宋体" w:hAnsi="宋体" w:cs="宋体" w:eastAsia="宋体" w:hint="default"/>
                <w:sz w:val="18"/>
                <w:szCs w:val="18"/>
              </w:rPr>
            </w:pPr>
            <w:r>
              <w:rPr>
                <w:rFonts w:ascii="宋体" w:hAnsi="宋体" w:cs="宋体" w:eastAsia="宋体" w:hint="default"/>
                <w:sz w:val="18"/>
                <w:szCs w:val="18"/>
              </w:rPr>
              <w:t>山西久远爱思普 软件股份有限公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新疆银海鼎峰软 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四川久远银海畅 辉软件有限公司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四川久远国基科</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1" w:right="0"/>
              <w:jc w:val="left"/>
              <w:rPr>
                <w:rFonts w:ascii="Times New Roman" w:hAnsi="Times New Roman" w:cs="Times New Roman" w:eastAsia="Times New Roman" w:hint="default"/>
                <w:sz w:val="18"/>
                <w:szCs w:val="18"/>
              </w:rPr>
            </w:pPr>
            <w:r>
              <w:rPr>
                <w:rFonts w:ascii="Times New Roman"/>
                <w:sz w:val="18"/>
              </w:rPr>
              <w:t>126,032,520.20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7" w:right="0"/>
              <w:jc w:val="left"/>
              <w:rPr>
                <w:rFonts w:ascii="Times New Roman" w:hAnsi="Times New Roman" w:cs="Times New Roman" w:eastAsia="Times New Roman" w:hint="default"/>
                <w:sz w:val="18"/>
                <w:szCs w:val="18"/>
              </w:rPr>
            </w:pPr>
            <w:r>
              <w:rPr>
                <w:rFonts w:ascii="Times New Roman"/>
                <w:sz w:val="18"/>
              </w:rPr>
              <w:t>156,032,520.20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5"/>
        <w:spacing w:line="240" w:lineRule="auto" w:before="35"/>
        <w:ind w:left="154" w:right="0"/>
        <w:jc w:val="left"/>
        <w:rPr>
          <w:b w:val="0"/>
          <w:bCs w:val="0"/>
        </w:rPr>
      </w:pPr>
      <w:bookmarkStart w:name="（2）对联营、合营企业投资" w:id="518"/>
      <w:bookmarkEnd w:id="51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3）其他说明" w:id="519"/>
      <w:bookmarkEnd w:id="51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4、营业收入和营业成本" w:id="520"/>
      <w:bookmarkEnd w:id="52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362,861,437.36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220,476,389.25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283,390,636.09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152,695,352.42</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1,938,443.14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509,915.96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2,799,611.16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654,178.61</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364,799,880.50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220,986,305.21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286,190,247.25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153,349,531.03</w:t>
            </w:r>
          </w:p>
        </w:tc>
      </w:tr>
    </w:tbl>
    <w:p>
      <w:pPr>
        <w:pStyle w:val="BodyText"/>
        <w:spacing w:line="240" w:lineRule="auto" w:before="51"/>
        <w:ind w:left="154" w:right="0"/>
        <w:jc w:val="left"/>
      </w:pPr>
      <w:r>
        <w:rPr/>
        <w:t>其他说明：</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5、投资收益" w:id="521"/>
      <w:bookmarkEnd w:id="52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5"/>
        <w:ind w:left="154" w:right="0"/>
        <w:jc w:val="left"/>
        <w:rPr>
          <w:b w:val="0"/>
          <w:bCs w:val="0"/>
        </w:rPr>
      </w:pPr>
      <w:bookmarkStart w:name="6、其他" w:id="522"/>
      <w:bookmarkEnd w:id="52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3"/>
        <w:spacing w:line="240" w:lineRule="auto"/>
        <w:ind w:left="154" w:right="0"/>
        <w:jc w:val="left"/>
        <w:rPr>
          <w:b w:val="0"/>
          <w:bCs w:val="0"/>
        </w:rPr>
      </w:pPr>
      <w:bookmarkStart w:name="十八、补充资料" w:id="523"/>
      <w:bookmarkEnd w:id="523"/>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当期非经常性损益明细表" w:id="524"/>
      <w:bookmarkEnd w:id="52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23,363.95</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3,413,441.89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170,243.01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561,763.35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99,731.48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2,945,554.02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left="154"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净资产收益率及每股收益" w:id="525"/>
      <w:bookmarkEnd w:id="52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0.95</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0.90</w:t>
            </w:r>
          </w:p>
        </w:tc>
      </w:tr>
    </w:tbl>
    <w:p>
      <w:pPr>
        <w:spacing w:line="240" w:lineRule="auto" w:before="3"/>
        <w:rPr>
          <w:rFonts w:ascii="宋体" w:hAnsi="宋体" w:cs="宋体" w:eastAsia="宋体" w:hint="default"/>
          <w:b/>
          <w:bCs/>
          <w:sz w:val="19"/>
          <w:szCs w:val="19"/>
        </w:rPr>
      </w:pPr>
    </w:p>
    <w:p>
      <w:pPr>
        <w:pStyle w:val="Heading5"/>
        <w:spacing w:line="240" w:lineRule="auto" w:before="35"/>
        <w:ind w:left="154" w:right="0"/>
        <w:jc w:val="left"/>
        <w:rPr>
          <w:b w:val="0"/>
          <w:bCs w:val="0"/>
        </w:rPr>
      </w:pPr>
      <w:bookmarkStart w:name="3、境内外会计准则下会计数据差异" w:id="526"/>
      <w:bookmarkEnd w:id="52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left="154" w:right="0"/>
        <w:jc w:val="left"/>
        <w:rPr>
          <w:b w:val="0"/>
          <w:bCs w:val="0"/>
        </w:rPr>
      </w:pPr>
      <w:bookmarkStart w:name="（1）同时按照国际会计准则与按中国会计准则披露的财务报告中净利润和净资产差异情况" w:id="527"/>
      <w:bookmarkEnd w:id="52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2）同时按照境外会计准则与按中国会计准则披露的财务报告中净利润和净资产差异情况" w:id="528"/>
      <w:bookmarkEnd w:id="52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5"/>
        <w:spacing w:line="259" w:lineRule="auto"/>
        <w:ind w:right="0"/>
        <w:jc w:val="left"/>
        <w:rPr>
          <w:b w:val="0"/>
          <w:bCs w:val="0"/>
        </w:rPr>
      </w:pPr>
      <w:bookmarkStart w:name="（3）境内外会计准则下会计数据差异原因说明，对已经境外审计机构审计的数据进行差异" w:id="529"/>
      <w:bookmarkEnd w:id="52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0"/>
        <w:jc w:val="left"/>
      </w:pPr>
      <w:r>
        <w:rPr/>
        <w:t>无</w:t>
      </w:r>
    </w:p>
    <w:p>
      <w:pPr>
        <w:spacing w:line="240" w:lineRule="auto" w:before="12"/>
        <w:rPr>
          <w:rFonts w:ascii="宋体" w:hAnsi="宋体" w:cs="宋体" w:eastAsia="宋体" w:hint="default"/>
          <w:sz w:val="26"/>
          <w:szCs w:val="26"/>
        </w:rPr>
      </w:pPr>
    </w:p>
    <w:p>
      <w:pPr>
        <w:pStyle w:val="Heading5"/>
        <w:spacing w:line="240" w:lineRule="auto"/>
        <w:ind w:left="154" w:right="0"/>
        <w:jc w:val="left"/>
        <w:rPr>
          <w:b w:val="0"/>
          <w:bCs w:val="0"/>
        </w:rPr>
      </w:pPr>
      <w:bookmarkStart w:name="4、其他" w:id="530"/>
      <w:bookmarkEnd w:id="530"/>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p>
      <w:pPr>
        <w:spacing w:line="5474" w:lineRule="exact"/>
        <w:ind w:left="15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8"/>
          <w:sz w:val="20"/>
          <w:szCs w:val="20"/>
        </w:rPr>
        <w:drawing>
          <wp:inline distT="0" distB="0" distL="0" distR="0">
            <wp:extent cx="6080290" cy="3476434"/>
            <wp:effectExtent l="0" t="0" r="0" b="0"/>
            <wp:docPr id="7" name="image5.jpeg" descr=""/>
            <wp:cNvGraphicFramePr>
              <a:graphicFrameLocks noChangeAspect="1"/>
            </wp:cNvGraphicFramePr>
            <a:graphic>
              <a:graphicData uri="http://schemas.openxmlformats.org/drawingml/2006/picture">
                <pic:pic>
                  <pic:nvPicPr>
                    <pic:cNvPr id="8" name="image5.jpeg"/>
                    <pic:cNvPicPr/>
                  </pic:nvPicPr>
                  <pic:blipFill>
                    <a:blip r:embed="rId21" cstate="print"/>
                    <a:stretch>
                      <a:fillRect/>
                    </a:stretch>
                  </pic:blipFill>
                  <pic:spPr>
                    <a:xfrm>
                      <a:off x="0" y="0"/>
                      <a:ext cx="6080290" cy="3476434"/>
                    </a:xfrm>
                    <a:prstGeom prst="rect">
                      <a:avLst/>
                    </a:prstGeom>
                  </pic:spPr>
                </pic:pic>
              </a:graphicData>
            </a:graphic>
          </wp:inline>
        </w:drawing>
      </w:r>
      <w:r>
        <w:rPr>
          <w:rFonts w:ascii="Times New Roman" w:hAnsi="Times New Roman" w:cs="Times New Roman" w:eastAsia="Times New Roman" w:hint="default"/>
          <w:position w:val="-108"/>
          <w:sz w:val="20"/>
          <w:szCs w:val="20"/>
        </w:rPr>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0680" type="#_x0000_t75" stroked="false">
          <v:imagedata r:id="rId1" o:title=""/>
        </v:shape>
      </w:pict>
    </w:r>
    <w:r>
      <w:rPr/>
      <w:pict>
        <v:shape style="position:absolute;margin-left:533.179993pt;margin-top:795.517944pt;width:6.5pt;height:11pt;mso-position-horizontal-relative:page;mso-position-vertical-relative:page;z-index:-860656"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0632" type="#_x0000_t75" stroked="false">
          <v:imagedata r:id="rId1" o:title=""/>
        </v:shape>
      </w:pict>
    </w:r>
    <w:r>
      <w:rPr/>
      <w:pict>
        <v:shape style="position:absolute;margin-left:527.679993pt;margin-top:781.957947pt;width:13pt;height:11pt;mso-position-horizontal-relative:page;mso-position-vertical-relative:page;z-index:-86060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0584" type="#_x0000_t75" stroked="false">
          <v:imagedata r:id="rId1" o:title=""/>
        </v:shape>
      </w:pict>
    </w:r>
    <w:r>
      <w:rPr/>
      <w:pict>
        <v:shape style="position:absolute;margin-left:527.679993pt;margin-top:781.957947pt;width:13pt;height:11pt;mso-position-horizontal-relative:page;mso-position-vertical-relative:page;z-index:-8605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0536" type="#_x0000_t75" stroked="false">
          <v:imagedata r:id="rId1" o:title=""/>
        </v:shape>
      </w:pict>
    </w:r>
    <w:r>
      <w:rPr/>
      <w:pict>
        <v:shape style="position:absolute;margin-left:527.679993pt;margin-top:781.957947pt;width:13pt;height:11pt;mso-position-horizontal-relative:page;mso-position-vertical-relative:page;z-index:-8605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0488" type="#_x0000_t75" stroked="false">
          <v:imagedata r:id="rId1" o:title=""/>
        </v:shape>
      </w:pict>
    </w:r>
    <w:r>
      <w:rPr/>
      <w:pict>
        <v:shape style="position:absolute;margin-left:524.179993pt;margin-top:781.957947pt;width:15.5pt;height:11pt;mso-position-horizontal-relative:page;mso-position-vertical-relative:page;z-index:-86046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860440" type="#_x0000_t75" stroked="false">
          <v:imagedata r:id="rId1" o:title=""/>
        </v:shape>
      </w:pict>
    </w:r>
    <w:r>
      <w:rPr/>
      <w:pict>
        <v:shape style="position:absolute;margin-left:523.179993pt;margin-top:781.957947pt;width:17.5pt;height:11pt;mso-position-horizontal-relative:page;mso-position-vertical-relative:page;z-index:-86041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860704" type="#_x0000_t202" filled="false" stroked="false">
          <v:textbox inset="0,0,0,0">
            <w:txbxContent>
              <w:p>
                <w:pPr>
                  <w:pStyle w:val="BodyText"/>
                  <w:spacing w:line="214" w:lineRule="exact" w:before="0"/>
                  <w:ind w:left="20" w:right="0"/>
                  <w:jc w:val="left"/>
                </w:pPr>
                <w:r>
                  <w:rPr/>
                  <w:t>四川久远银海软件股份有限公司</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44"/>
      <w:ind w:left="153"/>
    </w:pPr>
    <w:rPr>
      <w:rFonts w:ascii="宋体" w:hAnsi="宋体" w:eastAsia="宋体"/>
      <w:sz w:val="18"/>
      <w:szCs w:val="18"/>
    </w:rPr>
  </w:style>
  <w:style w:styleId="Heading1" w:type="paragraph">
    <w:name w:val="Heading 1"/>
    <w:basedOn w:val="Normal"/>
    <w:uiPriority w:val="1"/>
    <w:qFormat/>
    <w:pPr>
      <w:spacing w:before="1"/>
      <w:ind w:left="139"/>
      <w:outlineLvl w:val="1"/>
    </w:pPr>
    <w:rPr>
      <w:rFonts w:ascii="宋体" w:hAnsi="宋体" w:eastAsia="宋体"/>
      <w:b/>
      <w:bCs/>
      <w:sz w:val="32"/>
      <w:szCs w:val="32"/>
    </w:rPr>
  </w:style>
  <w:style w:styleId="Heading2" w:type="paragraph">
    <w:name w:val="Heading 2"/>
    <w:basedOn w:val="Normal"/>
    <w:uiPriority w:val="1"/>
    <w:qFormat/>
    <w:pPr>
      <w:spacing w:before="61"/>
      <w:ind w:left="153"/>
      <w:outlineLvl w:val="2"/>
    </w:pPr>
    <w:rPr>
      <w:rFonts w:ascii="宋体" w:hAnsi="宋体" w:eastAsia="宋体"/>
      <w:sz w:val="28"/>
      <w:szCs w:val="28"/>
    </w:rPr>
  </w:style>
  <w:style w:styleId="Heading3" w:type="paragraph">
    <w:name w:val="Heading 3"/>
    <w:basedOn w:val="Normal"/>
    <w:uiPriority w:val="1"/>
    <w:qFormat/>
    <w:pPr>
      <w:ind w:left="153"/>
      <w:outlineLvl w:val="3"/>
    </w:pPr>
    <w:rPr>
      <w:rFonts w:ascii="宋体" w:hAnsi="宋体" w:eastAsia="宋体"/>
      <w:b/>
      <w:bCs/>
      <w:sz w:val="24"/>
      <w:szCs w:val="24"/>
    </w:rPr>
  </w:style>
  <w:style w:styleId="Heading4" w:type="paragraph">
    <w:name w:val="Heading 4"/>
    <w:basedOn w:val="Normal"/>
    <w:uiPriority w:val="1"/>
    <w:qFormat/>
    <w:pPr>
      <w:ind w:left="153"/>
      <w:outlineLvl w:val="4"/>
    </w:pPr>
    <w:rPr>
      <w:rFonts w:ascii="宋体" w:hAnsi="宋体" w:eastAsia="宋体"/>
      <w:sz w:val="24"/>
      <w:szCs w:val="24"/>
    </w:rPr>
  </w:style>
  <w:style w:styleId="Heading5" w:type="paragraph">
    <w:name w:val="Heading 5"/>
    <w:basedOn w:val="Normal"/>
    <w:uiPriority w:val="1"/>
    <w:qFormat/>
    <w:pPr>
      <w:ind w:left="153"/>
      <w:outlineLvl w:val="5"/>
    </w:pPr>
    <w:rPr>
      <w:rFonts w:ascii="宋体" w:hAnsi="宋体" w:eastAsia="宋体"/>
      <w:b/>
      <w:bCs/>
      <w:sz w:val="21"/>
      <w:szCs w:val="21"/>
    </w:rPr>
  </w:style>
  <w:style w:styleId="Heading6" w:type="paragraph">
    <w:name w:val="Heading 6"/>
    <w:basedOn w:val="Normal"/>
    <w:uiPriority w:val="1"/>
    <w:qFormat/>
    <w:pPr>
      <w:spacing w:before="7"/>
      <w:ind w:left="814"/>
      <w:outlineLvl w:val="6"/>
    </w:pPr>
    <w:rPr>
      <w:rFonts w:ascii="宋体" w:hAnsi="宋体" w:eastAsia="宋体"/>
      <w:sz w:val="21"/>
      <w:szCs w:val="21"/>
    </w:rPr>
  </w:style>
  <w:style w:styleId="Heading7" w:type="paragraph">
    <w:name w:val="Heading 7"/>
    <w:basedOn w:val="Normal"/>
    <w:uiPriority w:val="1"/>
    <w:qFormat/>
    <w:pPr>
      <w:spacing w:before="122"/>
      <w:ind w:left="1232"/>
      <w:outlineLvl w:val="7"/>
    </w:pPr>
    <w:rPr>
      <w:rFonts w:ascii="宋体" w:hAnsi="宋体" w:eastAsia="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yinhai.com/" TargetMode="External"/><Relationship Id="rId10" Type="http://schemas.openxmlformats.org/officeDocument/2006/relationships/hyperlink" Target="mailto:public@yinhai.com" TargetMode="External"/><Relationship Id="rId11" Type="http://schemas.openxmlformats.org/officeDocument/2006/relationships/hyperlink" Target="mailto:yangchengwen@yinhai.com" TargetMode="External"/><Relationship Id="rId12" Type="http://schemas.openxmlformats.org/officeDocument/2006/relationships/hyperlink" Target="mailto:youxin@yinhai.com"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image" Target="media/image3.png"/><Relationship Id="rId16" Type="http://schemas.openxmlformats.org/officeDocument/2006/relationships/footer" Target="footer4.xml"/><Relationship Id="rId17" Type="http://schemas.openxmlformats.org/officeDocument/2006/relationships/hyperlink" Target="http://disclosure.szse.cn/finalpage/2015-12-16/1201837019.PDF" TargetMode="External"/><Relationship Id="rId18" Type="http://schemas.openxmlformats.org/officeDocument/2006/relationships/image" Target="media/image4.png"/><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四川久远银海软件股份有限公司</dc:creator>
  <dc:title>四川久远银海软件股份有限公司2015年年度报告全文</dc:title>
  <dcterms:created xsi:type="dcterms:W3CDTF">2020-05-04T14:50:30Z</dcterms:created>
  <dcterms:modified xsi:type="dcterms:W3CDTF">2020-05-04T14:50:30Z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2016-04-01T00:00:00Z</vt:filetime>
  </property>
  <property fmtid="{D5CDD505-2E9C-101B-9397-08002B2CF9AE}" pid="3" name="Creator">
    <vt:lpwstr>Microsoft® Office Word 2007</vt:lpwstr>
  </property>
  <property fmtid="{D5CDD505-2E9C-101B-9397-08002B2CF9AE}" pid="4" name="LastSaved">
    <vt:filetime>2020-05-04T00:00:00Z</vt:filetime>
  </property>
</Properties>
</file>