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8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408930" cy="11620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8930" cy="1162050"/>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四川久远银海软件股份有限公司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2421" w:right="2421" w:firstLine="0"/>
        <w:jc w:val="center"/>
        <w:rPr>
          <w:rFonts w:ascii="Times New Roman" w:hAnsi="Times New Roman" w:cs="Times New Roman" w:eastAsia="Times New Roman" w:hint="default"/>
          <w:sz w:val="22"/>
          <w:szCs w:val="22"/>
        </w:rPr>
      </w:pPr>
      <w:r>
        <w:rPr>
          <w:rFonts w:ascii="Times New Roman"/>
          <w:b/>
          <w:sz w:val="22"/>
        </w:rPr>
        <w:t>2018-026</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06"/>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公司负责人连春华、主管会计工作负责人杨成文及会计机构负责人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张昕声明：保证年度报告中财务报告的真实、准确、完整。</w:t>
      </w:r>
      <w:r>
        <w:rPr>
          <w:rFonts w:ascii="宋体" w:hAnsi="宋体" w:cs="宋体" w:eastAsia="宋体" w:hint="default"/>
          <w:sz w:val="28"/>
          <w:szCs w:val="28"/>
        </w:rPr>
      </w:r>
    </w:p>
    <w:p>
      <w:pPr>
        <w:spacing w:before="148"/>
        <w:ind w:left="714" w:right="106"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靳建立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因公出差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张海</w:t>
            </w:r>
          </w:p>
        </w:tc>
      </w:tr>
    </w:tbl>
    <w:p>
      <w:pPr>
        <w:spacing w:line="240" w:lineRule="auto" w:before="3"/>
        <w:rPr>
          <w:rFonts w:ascii="宋体" w:hAnsi="宋体" w:cs="宋体" w:eastAsia="宋体" w:hint="default"/>
          <w:b/>
          <w:bCs/>
          <w:sz w:val="13"/>
          <w:szCs w:val="13"/>
        </w:rPr>
      </w:pPr>
    </w:p>
    <w:p>
      <w:pPr>
        <w:spacing w:line="408" w:lineRule="auto" w:before="14"/>
        <w:ind w:left="152" w:right="106" w:firstLine="562"/>
        <w:jc w:val="left"/>
        <w:rPr>
          <w:rFonts w:ascii="宋体" w:hAnsi="宋体" w:cs="宋体" w:eastAsia="宋体" w:hint="default"/>
          <w:sz w:val="28"/>
          <w:szCs w:val="28"/>
        </w:rPr>
      </w:pPr>
      <w:r>
        <w:rPr>
          <w:rFonts w:ascii="宋体" w:hAnsi="宋体" w:cs="宋体" w:eastAsia="宋体" w:hint="default"/>
          <w:b/>
          <w:bCs/>
          <w:spacing w:val="2"/>
          <w:sz w:val="28"/>
          <w:szCs w:val="28"/>
        </w:rPr>
        <w:t>本报告中所涉及未来的经营计划和经营目标，并不代表公司的盈利预测，</w:t>
      </w:r>
      <w:r>
        <w:rPr>
          <w:rFonts w:ascii="宋体" w:hAnsi="宋体" w:cs="宋体" w:eastAsia="宋体" w:hint="default"/>
          <w:b/>
          <w:bCs/>
          <w:w w:val="99"/>
          <w:sz w:val="28"/>
          <w:szCs w:val="28"/>
        </w:rPr>
        <w:t> </w:t>
      </w:r>
      <w:r>
        <w:rPr>
          <w:rFonts w:ascii="宋体" w:hAnsi="宋体" w:cs="宋体" w:eastAsia="宋体" w:hint="default"/>
          <w:b/>
          <w:bCs/>
          <w:spacing w:val="-2"/>
          <w:sz w:val="28"/>
          <w:szCs w:val="28"/>
        </w:rPr>
        <w:t>也不构成公司对投资者的实质承诺，能否实现取决于市场状况变化等多种因素，</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存在不确定性，请投资者注意投资风险。</w:t>
      </w:r>
      <w:r>
        <w:rPr>
          <w:rFonts w:ascii="宋体" w:hAnsi="宋体" w:cs="宋体" w:eastAsia="宋体" w:hint="default"/>
          <w:sz w:val="28"/>
          <w:szCs w:val="28"/>
        </w:rPr>
      </w:r>
    </w:p>
    <w:p>
      <w:pPr>
        <w:spacing w:line="386" w:lineRule="auto" w:before="162"/>
        <w:ind w:left="152" w:right="106" w:firstLine="562"/>
        <w:jc w:val="left"/>
        <w:rPr>
          <w:rFonts w:ascii="宋体" w:hAnsi="宋体" w:cs="宋体" w:eastAsia="宋体" w:hint="default"/>
          <w:sz w:val="28"/>
          <w:szCs w:val="28"/>
        </w:rPr>
      </w:pPr>
      <w:r>
        <w:rPr>
          <w:rFonts w:ascii="宋体" w:hAnsi="宋体" w:cs="宋体" w:eastAsia="宋体" w:hint="default"/>
          <w:b/>
          <w:bCs/>
          <w:spacing w:val="10"/>
          <w:sz w:val="28"/>
          <w:szCs w:val="28"/>
        </w:rPr>
        <w:t>公司在本报告第四节</w:t>
      </w:r>
      <w:r>
        <w:rPr>
          <w:rFonts w:ascii="Times New Roman" w:hAnsi="Times New Roman" w:cs="Times New Roman" w:eastAsia="Times New Roman" w:hint="default"/>
          <w:b/>
          <w:bCs/>
          <w:spacing w:val="10"/>
          <w:sz w:val="28"/>
          <w:szCs w:val="28"/>
        </w:rPr>
        <w:t>“</w:t>
      </w:r>
      <w:r>
        <w:rPr>
          <w:rFonts w:ascii="宋体" w:hAnsi="宋体" w:cs="宋体" w:eastAsia="宋体" w:hint="default"/>
          <w:b/>
          <w:bCs/>
          <w:spacing w:val="10"/>
          <w:sz w:val="28"/>
          <w:szCs w:val="28"/>
        </w:rPr>
        <w:t>经营情况讨论与分析</w:t>
      </w:r>
      <w:r>
        <w:rPr>
          <w:rFonts w:ascii="Times New Roman" w:hAnsi="Times New Roman" w:cs="Times New Roman" w:eastAsia="Times New Roman" w:hint="default"/>
          <w:b/>
          <w:bCs/>
          <w:spacing w:val="10"/>
          <w:sz w:val="28"/>
          <w:szCs w:val="28"/>
        </w:rPr>
        <w:t>”</w:t>
      </w:r>
      <w:r>
        <w:rPr>
          <w:rFonts w:ascii="宋体" w:hAnsi="宋体" w:cs="宋体" w:eastAsia="宋体" w:hint="default"/>
          <w:b/>
          <w:bCs/>
          <w:spacing w:val="10"/>
          <w:sz w:val="28"/>
          <w:szCs w:val="28"/>
        </w:rPr>
        <w:t>中</w:t>
      </w:r>
      <w:r>
        <w:rPr>
          <w:rFonts w:ascii="Times New Roman" w:hAnsi="Times New Roman" w:cs="Times New Roman" w:eastAsia="Times New Roman" w:hint="default"/>
          <w:b/>
          <w:bCs/>
          <w:spacing w:val="10"/>
          <w:sz w:val="28"/>
          <w:szCs w:val="28"/>
        </w:rPr>
        <w:t>“</w:t>
      </w:r>
      <w:r>
        <w:rPr>
          <w:rFonts w:ascii="宋体" w:hAnsi="宋体" w:cs="宋体" w:eastAsia="宋体" w:hint="default"/>
          <w:b/>
          <w:bCs/>
          <w:spacing w:val="10"/>
          <w:sz w:val="28"/>
          <w:szCs w:val="28"/>
        </w:rPr>
        <w:t>公司未来发展的展望</w:t>
      </w:r>
      <w:r>
        <w:rPr>
          <w:rFonts w:ascii="Times New Roman" w:hAnsi="Times New Roman" w:cs="Times New Roman" w:eastAsia="Times New Roman" w:hint="default"/>
          <w:b/>
          <w:bCs/>
          <w:spacing w:val="10"/>
          <w:sz w:val="28"/>
          <w:szCs w:val="28"/>
        </w:rPr>
        <w:t>”</w:t>
      </w:r>
      <w:r>
        <w:rPr>
          <w:rFonts w:ascii="宋体" w:hAnsi="宋体" w:cs="宋体" w:eastAsia="宋体" w:hint="default"/>
          <w:b/>
          <w:bCs/>
          <w:spacing w:val="10"/>
          <w:sz w:val="28"/>
          <w:szCs w:val="28"/>
        </w:rPr>
        <w:t>部</w:t>
      </w:r>
      <w:r>
        <w:rPr>
          <w:rFonts w:ascii="宋体" w:hAnsi="宋体" w:cs="宋体" w:eastAsia="宋体" w:hint="default"/>
          <w:b/>
          <w:bCs/>
          <w:w w:val="99"/>
          <w:sz w:val="28"/>
          <w:szCs w:val="28"/>
        </w:rPr>
        <w:t> </w:t>
      </w:r>
      <w:r>
        <w:rPr>
          <w:rFonts w:ascii="宋体" w:hAnsi="宋体" w:cs="宋体" w:eastAsia="宋体" w:hint="default"/>
          <w:b/>
          <w:bCs/>
          <w:sz w:val="28"/>
          <w:szCs w:val="28"/>
        </w:rPr>
        <w:t>分，描述了公司未来经营中可能面临的风险，敬请广大投资者注意查阅。</w:t>
      </w:r>
      <w:r>
        <w:rPr>
          <w:rFonts w:ascii="宋体" w:hAnsi="宋体" w:cs="宋体" w:eastAsia="宋体" w:hint="default"/>
          <w:sz w:val="28"/>
          <w:szCs w:val="28"/>
        </w:rPr>
      </w:r>
    </w:p>
    <w:p>
      <w:pPr>
        <w:spacing w:before="185"/>
        <w:ind w:left="714" w:right="10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172,540,592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line="386" w:lineRule="auto" w:before="236"/>
        <w:ind w:left="152" w:right="244" w:firstLine="0"/>
        <w:jc w:val="left"/>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2.50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spacing w:val="-23"/>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25</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45</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公司治理</w:t>
            </w:r>
            <w:r>
              <w:rPr>
                <w:rFonts w:ascii="Times New Roman" w:hAnsi="Times New Roman" w:cs="Times New Roman" w:eastAsia="Times New Roman" w:hint="default"/>
              </w:rPr>
              <w:tab/>
              <w:t>53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59</w:t>
            </w:r>
          </w:hyperlink>
        </w:p>
        <w:p>
          <w:pPr>
            <w:pStyle w:val="TOC1"/>
            <w:tabs>
              <w:tab w:pos="9785" w:val="right" w:leader="dot"/>
            </w:tabs>
            <w:spacing w:line="240" w:lineRule="auto" w:before="104"/>
            <w:ind w:right="0"/>
            <w:jc w:val="left"/>
            <w:rPr>
              <w:rFonts w:ascii="Times New Roman" w:hAnsi="Times New Roman" w:cs="Times New Roman" w:eastAsia="Times New Roman" w:hint="default"/>
            </w:rPr>
          </w:pPr>
          <w:hyperlink w:history="true" w:anchor="_bookmark10">
            <w:r>
              <w:rPr/>
              <w:t>第十一节</w:t>
            </w:r>
            <w:r>
              <w:rPr>
                <w:spacing w:val="1"/>
              </w:rPr>
              <w:t> </w:t>
            </w:r>
            <w:r>
              <w:rPr/>
              <w:t>财务报告</w:t>
            </w:r>
            <w:r>
              <w:rPr>
                <w:rFonts w:ascii="Times New Roman" w:hAnsi="Times New Roman" w:cs="Times New Roman" w:eastAsia="Times New Roman" w:hint="default"/>
              </w:rPr>
              <w:tab/>
              <w:t>60</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172</w:t>
            </w:r>
          </w:hyperlink>
        </w:p>
        <w:p>
          <w:pPr/>
          <w:r>
            <w:fldChar w:fldCharType="end"/>
          </w:r>
        </w:p>
      </w:sdtContent>
    </w:sdt>
    <w:p>
      <w:pPr>
        <w:spacing w:after="0"/>
        <w:sectPr>
          <w:pgSz w:w="11910" w:h="16840"/>
          <w:pgMar w:header="745" w:footer="979" w:top="1060" w:bottom="1160" w:left="980" w:right="980"/>
        </w:sectPr>
      </w:pPr>
    </w:p>
    <w:p>
      <w:pPr>
        <w:spacing w:before="945"/>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久远银海、公司、本公司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控股股东、久远集团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实际控制人、中物院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中国工程物理研究院</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锐锋集团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广发信德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广发信德投资管理有限公司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保荐机构、广发证券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北京国枫律师事务所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72.339996pt;margin-top:272.809998pt;width:361.55pt;height:19.6pt;mso-position-horizontal-relative:page;mso-position-vertical-relative:page;z-index:-917920"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002777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Sichuan Jiuyuan Yinhai</w:t>
            </w:r>
            <w:r>
              <w:rPr>
                <w:rFonts w:ascii="Times New Roman"/>
                <w:spacing w:val="-30"/>
                <w:sz w:val="18"/>
              </w:rPr>
              <w:t> </w:t>
            </w:r>
            <w:r>
              <w:rPr>
                <w:rFonts w:ascii="Times New Roman"/>
                <w:sz w:val="18"/>
              </w:rPr>
              <w:t>Software.Co.,Ltd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Jiuyuan</w:t>
            </w:r>
            <w:r>
              <w:rPr>
                <w:rFonts w:ascii="Times New Roman"/>
                <w:spacing w:val="-20"/>
                <w:sz w:val="18"/>
              </w:rPr>
              <w:t> </w:t>
            </w:r>
            <w:r>
              <w:rPr>
                <w:rFonts w:ascii="Times New Roman"/>
                <w:sz w:val="18"/>
              </w:rPr>
              <w:t>Yinhai</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连春华</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成都市高新区科园一路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610045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610063</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www.yinhai.com</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public@yinhai.com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游新</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028-65516146</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028-65516084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yangchengwen@yinhai.com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youxin@yinhai.com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上海市黄埔区南京东路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钱骁玲、周琪</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广东省广州市天河区天河北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号大都会广场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龚晓锋、王锋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340" w:lineRule="auto" w:before="49"/>
        <w:ind w:right="2964"/>
        <w:jc w:val="left"/>
      </w:pPr>
      <w:r>
        <w:rPr/>
        <w:t>截止本报告报出之前，保荐代表人变更为龚晓锋、马东林。相关公告索引：</w:t>
      </w:r>
      <w:r>
        <w:rPr>
          <w:rFonts w:ascii="Times New Roman" w:hAnsi="Times New Roman" w:cs="Times New Roman" w:eastAsia="Times New Roman" w:hint="default"/>
        </w:rPr>
        <w:t>2018-015</w:t>
      </w:r>
      <w:r>
        <w:rPr/>
        <w:t>。 公司聘请的报告期内履行持续督导职责的财务顾问</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690,447,976.82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527,433,146.18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449,817,897.70</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90,795,508.19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77,266,341.24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57,222,712.49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86,212,128.00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69,455,253.38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54,277,158.47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139,076,410.79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78,553,399.43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94,910,159.89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25.74%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38"/>
        <w:gridCol w:w="1738"/>
        <w:gridCol w:w="1738"/>
        <w:gridCol w:w="1735"/>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1,297,610,972.99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1,120,339,351.91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944,256,672.71</w:t>
            </w:r>
          </w:p>
        </w:tc>
      </w:tr>
      <w:tr>
        <w:trPr>
          <w:trHeight w:val="715"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508,020,996.44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457,225,488.25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419,959,147.01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93,097,596.91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147,508,035.53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111,809,689.38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338,032,655.00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6,879,726.76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28,077,181.41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11,207,276.01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44,631,324.01</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6,443,624.16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26,546,693.25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10,787,164.53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42,434,646.06</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-58,527,684.08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8,279,707.28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-14,872,673.41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204,197,061.00</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-29,230.61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12,736.70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23,363.95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6,543,091.84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10,189,945.64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3,413,441.89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-365,895.97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-751,780.38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170,243.01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856,139.76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1,187,266.43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561,763.35</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708,445.31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452,547.67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99,731.48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4,583,380.19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7,811,087.86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2,945,554.02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9"/>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00" w:lineRule="auto" w:before="25"/>
        <w:ind w:left="441" w:right="99" w:firstLine="88"/>
        <w:jc w:val="left"/>
      </w:pPr>
      <w:r>
        <w:rPr>
          <w:rFonts w:ascii="Times New Roman" w:hAnsi="Times New Roman" w:cs="Times New Roman" w:eastAsia="Times New Roman" w:hint="default"/>
          <w:b/>
          <w:bCs/>
        </w:rPr>
        <w:t>1</w:t>
      </w:r>
      <w:r>
        <w:rPr>
          <w:rFonts w:ascii="宋体" w:hAnsi="宋体" w:cs="宋体" w:eastAsia="宋体" w:hint="default"/>
          <w:b/>
          <w:bCs/>
        </w:rPr>
        <w:t>、公司主营业务</w:t>
      </w:r>
      <w:r>
        <w:rPr>
          <w:rFonts w:ascii="宋体" w:hAnsi="宋体" w:cs="宋体" w:eastAsia="宋体" w:hint="default"/>
          <w:b/>
          <w:bCs/>
          <w:w w:val="99"/>
        </w:rPr>
        <w:t> </w:t>
      </w:r>
      <w:r>
        <w:rPr>
          <w:spacing w:val="-2"/>
        </w:rPr>
        <w:t>公司坚持</w:t>
      </w:r>
      <w:r>
        <w:rPr>
          <w:rFonts w:ascii="Times New Roman" w:hAnsi="Times New Roman" w:cs="Times New Roman" w:eastAsia="Times New Roman" w:hint="default"/>
          <w:spacing w:val="-2"/>
        </w:rPr>
        <w:t>“2+3”</w:t>
      </w:r>
      <w:r>
        <w:rPr>
          <w:spacing w:val="-2"/>
        </w:rPr>
        <w:t>新军民战略，主营业务面向</w:t>
      </w:r>
      <w:r>
        <w:rPr>
          <w:rFonts w:ascii="Times New Roman" w:hAnsi="Times New Roman" w:cs="Times New Roman" w:eastAsia="Times New Roman" w:hint="default"/>
          <w:spacing w:val="-2"/>
        </w:rPr>
        <w:t>“</w:t>
      </w:r>
      <w:r>
        <w:rPr>
          <w:spacing w:val="-2"/>
        </w:rPr>
        <w:t>民生、军工</w:t>
      </w:r>
      <w:r>
        <w:rPr>
          <w:rFonts w:ascii="Times New Roman" w:hAnsi="Times New Roman" w:cs="Times New Roman" w:eastAsia="Times New Roman" w:hint="default"/>
          <w:spacing w:val="-2"/>
        </w:rPr>
        <w:t>”</w:t>
      </w:r>
      <w:r>
        <w:rPr>
          <w:spacing w:val="-2"/>
        </w:rPr>
        <w:t>两大业务领域，</w:t>
      </w:r>
      <w:r>
        <w:rPr>
          <w:rFonts w:ascii="Times New Roman" w:hAnsi="Times New Roman" w:cs="Times New Roman" w:eastAsia="Times New Roman" w:hint="default"/>
          <w:spacing w:val="-2"/>
        </w:rPr>
        <w:t>“</w:t>
      </w:r>
      <w:r>
        <w:rPr>
          <w:spacing w:val="-2"/>
        </w:rPr>
        <w:t>大数据、大健康、军民融合</w:t>
      </w:r>
      <w:r>
        <w:rPr>
          <w:rFonts w:ascii="Times New Roman" w:hAnsi="Times New Roman" w:cs="Times New Roman" w:eastAsia="Times New Roman" w:hint="default"/>
          <w:spacing w:val="-2"/>
        </w:rPr>
        <w:t>”</w:t>
      </w:r>
      <w:r>
        <w:rPr>
          <w:spacing w:val="-2"/>
        </w:rPr>
        <w:t>三大战略方向，以</w:t>
      </w:r>
    </w:p>
    <w:p>
      <w:pPr>
        <w:pStyle w:val="BodyText"/>
        <w:spacing w:line="300" w:lineRule="auto" w:before="13"/>
        <w:ind w:right="191"/>
        <w:jc w:val="both"/>
      </w:pPr>
      <w:r>
        <w:rPr>
          <w:spacing w:val="-1"/>
        </w:rPr>
        <w:t>民生及军工信息化领域软件产品、运维服务、系统集成、互联网运营、大数据服务，服务于</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大数据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健康中</w:t>
      </w:r>
      <w:r>
        <w:rPr>
          <w:spacing w:val="-82"/>
        </w:rPr>
        <w:t> </w:t>
      </w:r>
      <w:r>
        <w:rPr>
          <w:spacing w:val="-82"/>
        </w:rPr>
      </w:r>
      <w:r>
        <w:rPr/>
        <w:t>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军民融合发展</w:t>
      </w:r>
      <w:r>
        <w:rPr>
          <w:rFonts w:ascii="Times New Roman" w:hAnsi="Times New Roman" w:cs="Times New Roman" w:eastAsia="Times New Roman" w:hint="default"/>
        </w:rPr>
        <w:t>”</w:t>
      </w:r>
      <w:r>
        <w:rPr/>
        <w:t>等国家战略，业务与产品覆盖人力资源和社会保障、医疗保障、健康医疗、住房、民政、食药监、智</w:t>
      </w:r>
      <w:r>
        <w:rPr>
          <w:spacing w:val="-60"/>
        </w:rPr>
        <w:t> </w:t>
      </w:r>
      <w:r>
        <w:rPr>
          <w:spacing w:val="-60"/>
        </w:rPr>
      </w:r>
      <w:r>
        <w:rPr/>
        <w:t>慧城市、大数据、军工、自主可控等领域。</w:t>
      </w:r>
    </w:p>
    <w:p>
      <w:pPr>
        <w:pStyle w:val="BodyText"/>
        <w:spacing w:line="300" w:lineRule="auto" w:before="31"/>
        <w:ind w:left="441" w:right="99" w:firstLine="88"/>
        <w:jc w:val="left"/>
      </w:pPr>
      <w:r>
        <w:rPr>
          <w:rFonts w:ascii="Times New Roman" w:hAnsi="Times New Roman" w:cs="Times New Roman" w:eastAsia="Times New Roman" w:hint="default"/>
          <w:b/>
          <w:bCs/>
        </w:rPr>
        <w:t>2</w:t>
      </w:r>
      <w:r>
        <w:rPr>
          <w:rFonts w:ascii="宋体" w:hAnsi="宋体" w:cs="宋体" w:eastAsia="宋体" w:hint="default"/>
          <w:b/>
          <w:bCs/>
        </w:rPr>
        <w:t>、主要产品及其用途</w:t>
      </w:r>
      <w:r>
        <w:rPr>
          <w:rFonts w:ascii="宋体" w:hAnsi="宋体" w:cs="宋体" w:eastAsia="宋体" w:hint="default"/>
          <w:b/>
          <w:bCs/>
          <w:w w:val="99"/>
        </w:rPr>
        <w:t> </w:t>
      </w:r>
      <w:r>
        <w:rPr>
          <w:spacing w:val="-1"/>
        </w:rPr>
        <w:t>公司主营产品包括人力资源和社会保障、医疗保障、健康医疗、住房、民政、食药监、智慧城市、大数据、军工、自主</w:t>
      </w:r>
    </w:p>
    <w:p>
      <w:pPr>
        <w:pStyle w:val="BodyText"/>
        <w:spacing w:line="240" w:lineRule="auto" w:before="31"/>
        <w:ind w:right="0"/>
        <w:jc w:val="both"/>
      </w:pPr>
      <w:r>
        <w:rPr/>
        <w:t>可控等领域的信息化解决方案、自主知识产权应用软件产品和服务。产品面向五大类客户群体：</w:t>
      </w:r>
    </w:p>
    <w:p>
      <w:pPr>
        <w:pStyle w:val="BodyText"/>
        <w:spacing w:line="300" w:lineRule="auto" w:before="76"/>
        <w:ind w:right="99" w:firstLine="300"/>
        <w:jc w:val="left"/>
      </w:pPr>
      <w:r>
        <w:rPr>
          <w:spacing w:val="-1"/>
        </w:rPr>
        <w:t>（</w:t>
      </w:r>
      <w:r>
        <w:rPr>
          <w:rFonts w:ascii="Times New Roman" w:hAnsi="Times New Roman" w:cs="Times New Roman" w:eastAsia="Times New Roman" w:hint="default"/>
          <w:spacing w:val="-1"/>
        </w:rPr>
        <w:t>1</w:t>
      </w:r>
      <w:r>
        <w:rPr>
          <w:spacing w:val="-1"/>
        </w:rPr>
        <w:t>）以人力资源和社会保障部门、医疗保障部门、卫生健康委员会、住房和城乡建设（住房公积金）部门、民政部门、</w:t>
      </w:r>
      <w:r>
        <w:rPr/>
        <w:t> 市场监督管理部门、地方政府为主体的政府客户。</w:t>
      </w:r>
    </w:p>
    <w:p>
      <w:pPr>
        <w:pStyle w:val="BodyText"/>
        <w:spacing w:line="240" w:lineRule="auto" w:before="31"/>
        <w:ind w:left="453" w:right="99"/>
        <w:jc w:val="left"/>
      </w:pPr>
      <w:r>
        <w:rPr/>
        <w:t>（</w:t>
      </w:r>
      <w:r>
        <w:rPr>
          <w:rFonts w:ascii="Times New Roman" w:hAnsi="Times New Roman" w:cs="Times New Roman" w:eastAsia="Times New Roman" w:hint="default"/>
        </w:rPr>
        <w:t>2</w:t>
      </w:r>
      <w:r>
        <w:rPr/>
        <w:t>）以医保部门、卫健委、医疗机构、药店、养老机构、照护机构为主体的大健康客户。</w:t>
      </w:r>
    </w:p>
    <w:p>
      <w:pPr>
        <w:pStyle w:val="BodyText"/>
        <w:spacing w:line="240" w:lineRule="auto" w:before="63"/>
        <w:ind w:left="453" w:right="99"/>
        <w:jc w:val="left"/>
      </w:pPr>
      <w:r>
        <w:rPr/>
        <w:t>（</w:t>
      </w:r>
      <w:r>
        <w:rPr>
          <w:rFonts w:ascii="Times New Roman" w:hAnsi="Times New Roman" w:cs="Times New Roman" w:eastAsia="Times New Roman" w:hint="default"/>
        </w:rPr>
        <w:t>3</w:t>
      </w:r>
      <w:r>
        <w:rPr/>
        <w:t>）以国防科工局、军工企业及科研院所为主体的军工客户。</w:t>
      </w:r>
    </w:p>
    <w:p>
      <w:pPr>
        <w:pStyle w:val="BodyText"/>
        <w:spacing w:line="240" w:lineRule="auto" w:before="63"/>
        <w:ind w:left="453" w:right="99"/>
        <w:jc w:val="left"/>
      </w:pPr>
      <w:r>
        <w:rPr/>
        <w:t>（</w:t>
      </w:r>
      <w:r>
        <w:rPr>
          <w:rFonts w:ascii="Times New Roman" w:hAnsi="Times New Roman" w:cs="Times New Roman" w:eastAsia="Times New Roman" w:hint="default"/>
        </w:rPr>
        <w:t>4</w:t>
      </w:r>
      <w:r>
        <w:rPr/>
        <w:t>）以银行、商业保险机构、第三方支付机构为主体的金融客户。</w:t>
      </w:r>
    </w:p>
    <w:p>
      <w:pPr>
        <w:pStyle w:val="BodyText"/>
        <w:spacing w:line="300" w:lineRule="auto" w:before="63"/>
        <w:ind w:left="573" w:right="99" w:hanging="120"/>
        <w:jc w:val="left"/>
      </w:pPr>
      <w:r>
        <w:rPr/>
        <w:t>（</w:t>
      </w:r>
      <w:r>
        <w:rPr>
          <w:rFonts w:ascii="Times New Roman" w:hAnsi="Times New Roman" w:cs="Times New Roman" w:eastAsia="Times New Roman" w:hint="default"/>
        </w:rPr>
        <w:t>5</w:t>
      </w:r>
      <w:r>
        <w:rPr/>
        <w:t>）以企业、社会公众为主体的公众客户。 公司主营产品体系服务于民生互联网开放平台、大健康三医联动平台、大数据平台、金融平台、军民融合平台等体系</w:t>
      </w:r>
    </w:p>
    <w:p>
      <w:pPr>
        <w:pStyle w:val="BodyText"/>
        <w:spacing w:line="240" w:lineRule="auto" w:before="31"/>
        <w:ind w:right="0"/>
        <w:jc w:val="both"/>
      </w:pPr>
      <w:r>
        <w:rPr/>
        <w:t>的构建。</w:t>
      </w:r>
    </w:p>
    <w:p>
      <w:pPr>
        <w:pStyle w:val="BodyText"/>
        <w:spacing w:line="300" w:lineRule="auto" w:before="76"/>
        <w:ind w:left="513" w:right="99" w:firstLine="60"/>
        <w:jc w:val="left"/>
      </w:pPr>
      <w:r>
        <w:rPr>
          <w:rFonts w:ascii="Times New Roman" w:hAnsi="Times New Roman" w:cs="Times New Roman" w:eastAsia="Times New Roman" w:hint="default"/>
          <w:b/>
          <w:bCs/>
        </w:rPr>
        <w:t>3</w:t>
      </w:r>
      <w:r>
        <w:rPr>
          <w:rFonts w:ascii="宋体" w:hAnsi="宋体" w:cs="宋体" w:eastAsia="宋体" w:hint="default"/>
          <w:b/>
          <w:bCs/>
        </w:rPr>
        <w:t>、行业地位</w:t>
      </w:r>
      <w:r>
        <w:rPr>
          <w:rFonts w:ascii="宋体" w:hAnsi="宋体" w:cs="宋体" w:eastAsia="宋体" w:hint="default"/>
          <w:b/>
          <w:bCs/>
          <w:w w:val="99"/>
        </w:rPr>
        <w:t> </w:t>
      </w:r>
      <w:r>
        <w:rPr/>
        <w:t>公司是中物院发展</w:t>
      </w:r>
      <w:r>
        <w:rPr>
          <w:rFonts w:ascii="Times New Roman" w:hAnsi="Times New Roman" w:cs="Times New Roman" w:eastAsia="Times New Roman" w:hint="default"/>
        </w:rPr>
        <w:t>“</w:t>
      </w:r>
      <w:r>
        <w:rPr/>
        <w:t>军转民</w:t>
      </w:r>
      <w:r>
        <w:rPr>
          <w:rFonts w:ascii="Times New Roman" w:hAnsi="Times New Roman" w:cs="Times New Roman" w:eastAsia="Times New Roman" w:hint="default"/>
        </w:rPr>
        <w:t>”</w:t>
      </w:r>
      <w:r>
        <w:rPr/>
        <w:t>事业在电子信息领域的重点支柱型企业，具有</w:t>
      </w:r>
      <w:r>
        <w:rPr>
          <w:rFonts w:ascii="Times New Roman" w:hAnsi="Times New Roman" w:cs="Times New Roman" w:eastAsia="Times New Roman" w:hint="default"/>
        </w:rPr>
        <w:t>300</w:t>
      </w:r>
      <w:r>
        <w:rPr/>
        <w:t>余项自主知识产权，参与了</w:t>
      </w:r>
      <w:r>
        <w:rPr>
          <w:rFonts w:ascii="Times New Roman" w:hAnsi="Times New Roman" w:cs="Times New Roman" w:eastAsia="Times New Roman" w:hint="default"/>
        </w:rPr>
        <w:t>20</w:t>
      </w:r>
      <w:r>
        <w:rPr/>
        <w:t>余项国家标</w:t>
      </w:r>
    </w:p>
    <w:p>
      <w:pPr>
        <w:pStyle w:val="BodyText"/>
        <w:spacing w:line="300" w:lineRule="auto" w:before="13"/>
        <w:ind w:right="190"/>
        <w:jc w:val="both"/>
      </w:pPr>
      <w:r>
        <w:rPr/>
        <w:t>准、行业标准及地方标准的制定，先后承担了包括国家</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重大工程项目</w:t>
      </w:r>
      <w:r>
        <w:rPr>
          <w:rFonts w:ascii="Times New Roman" w:hAnsi="Times New Roman" w:cs="Times New Roman" w:eastAsia="Times New Roman" w:hint="default"/>
        </w:rPr>
        <w:t>——</w:t>
      </w:r>
      <w:r>
        <w:rPr/>
        <w:t>社保便民服务平台、国家发改委</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互联网</w:t>
      </w:r>
      <w:r>
        <w:rPr>
          <w:rFonts w:ascii="Times New Roman" w:hAnsi="Times New Roman" w:cs="Times New Roman" w:eastAsia="Times New Roman" w:hint="default"/>
          <w:spacing w:val="-2"/>
        </w:rPr>
        <w:t>+</w:t>
      </w:r>
      <w:r>
        <w:rPr>
          <w:spacing w:val="-2"/>
        </w:rPr>
        <w:t>人工智能数字经济重大工程</w:t>
      </w:r>
      <w:r>
        <w:rPr>
          <w:rFonts w:ascii="Times New Roman" w:hAnsi="Times New Roman" w:cs="Times New Roman" w:eastAsia="Times New Roman" w:hint="default"/>
          <w:spacing w:val="-2"/>
        </w:rPr>
        <w:t>”——</w:t>
      </w:r>
      <w:r>
        <w:rPr>
          <w:spacing w:val="-2"/>
        </w:rPr>
        <w:t>健康医疗大数据应用创新工程项目等在内的多项国家级重大科研项目，市场覆盖全</w:t>
      </w:r>
      <w:r>
        <w:rPr>
          <w:spacing w:val="-67"/>
        </w:rPr>
        <w:t> </w:t>
      </w:r>
      <w:r>
        <w:rPr>
          <w:spacing w:val="-67"/>
        </w:rPr>
      </w:r>
      <w:r>
        <w:rPr/>
        <w:t>国</w:t>
      </w:r>
      <w:r>
        <w:rPr>
          <w:rFonts w:ascii="Times New Roman" w:hAnsi="Times New Roman" w:cs="Times New Roman" w:eastAsia="Times New Roman" w:hint="default"/>
        </w:rPr>
        <w:t>23</w:t>
      </w:r>
      <w:r>
        <w:rPr/>
        <w:t>个省（自治区、直辖市）。</w:t>
      </w:r>
    </w:p>
    <w:p>
      <w:pPr>
        <w:pStyle w:val="BodyText"/>
        <w:spacing w:line="309" w:lineRule="auto" w:before="13"/>
        <w:ind w:right="189" w:firstLine="360"/>
        <w:jc w:val="both"/>
      </w:pPr>
      <w:r>
        <w:rPr>
          <w:spacing w:val="-2"/>
        </w:rPr>
        <w:t>公司是人力资源和社会保障、医疗保障行业信息化龙头企业，人社部行业信息化建设的战略合作伙伴，人社部社会保险</w:t>
      </w:r>
      <w:r>
        <w:rPr/>
        <w:t> </w:t>
      </w:r>
      <w:r>
        <w:rPr>
          <w:spacing w:val="-2"/>
        </w:rPr>
        <w:t>管理信息系统核心平台一、二、三版的主研单位，参与金保工程顶层设计与标准制定。公司独家承建了国家异地就医结算平</w:t>
      </w:r>
      <w:r>
        <w:rPr>
          <w:spacing w:val="-64"/>
        </w:rPr>
        <w:t> </w:t>
      </w:r>
      <w:r>
        <w:rPr>
          <w:spacing w:val="-64"/>
        </w:rPr>
      </w:r>
      <w:r>
        <w:rPr>
          <w:spacing w:val="-2"/>
        </w:rPr>
        <w:t>台、全国城乡居民人社公共服务平台、国家养老保险和医疗保险精算平台、人社部宏观决策支持系统、人社部机关事业单位</w:t>
      </w:r>
      <w:r>
        <w:rPr>
          <w:spacing w:val="-65"/>
        </w:rPr>
        <w:t> </w:t>
      </w:r>
      <w:r>
        <w:rPr>
          <w:spacing w:val="-65"/>
        </w:rPr>
      </w:r>
      <w:r>
        <w:rPr/>
        <w:t>养老保险信息系统等国家级信息平台。公司是健康医疗信息化创新型解决方案提供商，</w:t>
      </w:r>
      <w:r>
        <w:rPr>
          <w:rFonts w:ascii="Times New Roman" w:hAnsi="Times New Roman" w:cs="Times New Roman" w:eastAsia="Times New Roman" w:hint="default"/>
        </w:rPr>
        <w:t>HL7</w:t>
      </w:r>
      <w:r>
        <w:rPr>
          <w:rFonts w:ascii="Times New Roman" w:hAnsi="Times New Roman" w:cs="Times New Roman" w:eastAsia="Times New Roman" w:hint="default"/>
          <w:spacing w:val="28"/>
        </w:rPr>
        <w:t> </w:t>
      </w:r>
      <w:r>
        <w:rPr/>
        <w:t>理事会委员，中国卫生信息学</w:t>
      </w:r>
      <w:r>
        <w:rPr>
          <w:spacing w:val="-83"/>
        </w:rPr>
        <w:t> </w:t>
      </w:r>
      <w:r>
        <w:rPr>
          <w:spacing w:val="-83"/>
        </w:rPr>
      </w:r>
      <w:r>
        <w:rPr>
          <w:spacing w:val="-2"/>
        </w:rPr>
        <w:t>会健康卡应用与管理技术专业委员会委员、健康档案与区域卫生信息化专业委员会委员、智慧健康养老应用示范企业。公司</w:t>
      </w:r>
      <w:r>
        <w:rPr>
          <w:spacing w:val="-62"/>
        </w:rPr>
        <w:t> </w:t>
      </w:r>
      <w:r>
        <w:rPr>
          <w:spacing w:val="-62"/>
        </w:rPr>
      </w:r>
      <w:r>
        <w:rPr/>
        <w:t>的</w:t>
      </w:r>
      <w:r>
        <w:rPr>
          <w:rFonts w:ascii="Times New Roman" w:hAnsi="Times New Roman" w:cs="Times New Roman" w:eastAsia="Times New Roman" w:hint="default"/>
        </w:rPr>
        <w:t>“</w:t>
      </w:r>
      <w:r>
        <w:rPr/>
        <w:t>大健康</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解决方案，连接政府（包括医保、卫健委等）、企业（包括医疗机构、医药企业、养老机构、照护机</w:t>
      </w:r>
      <w:r>
        <w:rPr>
          <w:spacing w:val="-75"/>
        </w:rPr>
        <w:t> </w:t>
      </w:r>
      <w:r>
        <w:rPr>
          <w:spacing w:val="-75"/>
        </w:rPr>
      </w:r>
      <w:r>
        <w:rPr/>
        <w:t>构、商业健康保险公司等）以及社会公众，覆盖医保支付、医疗控费、医保付费方式改革、</w:t>
      </w:r>
      <w:r>
        <w:rPr>
          <w:rFonts w:ascii="Times New Roman" w:hAnsi="Times New Roman" w:cs="Times New Roman" w:eastAsia="Times New Roman" w:hint="default"/>
        </w:rPr>
        <w:t>DRG</w:t>
      </w:r>
      <w:r>
        <w:rPr/>
        <w:t>、医疗服务、医疗救助、</w:t>
      </w:r>
      <w:r>
        <w:rPr>
          <w:spacing w:val="-21"/>
        </w:rPr>
        <w:t> </w:t>
      </w:r>
      <w:r>
        <w:rPr>
          <w:spacing w:val="-21"/>
        </w:rPr>
      </w:r>
      <w:r>
        <w:rPr/>
        <w:t>医药服务、药品采购、药品监管、医养结合等领域，打造大健康服务体系。</w:t>
      </w:r>
    </w:p>
    <w:p>
      <w:pPr>
        <w:pStyle w:val="BodyText"/>
        <w:spacing w:line="300" w:lineRule="auto" w:before="24"/>
        <w:ind w:right="99" w:firstLine="379"/>
        <w:jc w:val="left"/>
      </w:pPr>
      <w:r>
        <w:rPr>
          <w:spacing w:val="-2"/>
        </w:rPr>
        <w:t>公司是住房公积金行业首家</w:t>
      </w:r>
      <w:r>
        <w:rPr>
          <w:rFonts w:ascii="Times New Roman" w:hAnsi="Times New Roman" w:cs="Times New Roman" w:eastAsia="Times New Roman" w:hint="default"/>
          <w:spacing w:val="-2"/>
        </w:rPr>
        <w:t>“</w:t>
      </w:r>
      <w:r>
        <w:rPr>
          <w:spacing w:val="-2"/>
        </w:rPr>
        <w:t>双贯标</w:t>
      </w:r>
      <w:r>
        <w:rPr>
          <w:rFonts w:ascii="Times New Roman" w:hAnsi="Times New Roman" w:cs="Times New Roman" w:eastAsia="Times New Roman" w:hint="default"/>
          <w:spacing w:val="-2"/>
        </w:rPr>
        <w:t>”</w:t>
      </w:r>
      <w:r>
        <w:rPr>
          <w:spacing w:val="-2"/>
        </w:rPr>
        <w:t>（住房公积金基础数据标准、住房公积金银行结算应用系统标准）应用开发商。公</w:t>
      </w:r>
      <w:r>
        <w:rPr/>
        <w:t> 司与住建部战略合作，参与住建部《信息系统建设导则》和《信息系统建设规范》编制。</w:t>
      </w:r>
    </w:p>
    <w:p>
      <w:pPr>
        <w:pStyle w:val="BodyText"/>
        <w:spacing w:line="307" w:lineRule="auto" w:before="31"/>
        <w:ind w:right="99" w:firstLine="360"/>
        <w:jc w:val="left"/>
      </w:pPr>
      <w:r>
        <w:rPr>
          <w:spacing w:val="-2"/>
        </w:rPr>
        <w:t>公司是民政行业信息化创新型综合解决方案提供商，承建了民政部居民家庭经济核对平台等国家级项目，公司结合国家</w:t>
      </w:r>
      <w:r>
        <w:rPr/>
        <w:t> </w:t>
      </w:r>
      <w:r>
        <w:rPr>
          <w:rFonts w:ascii="Times New Roman" w:hAnsi="Times New Roman" w:cs="Times New Roman" w:eastAsia="Times New Roman" w:hint="default"/>
        </w:rPr>
        <w:t>“</w:t>
      </w:r>
      <w:r>
        <w:rPr/>
        <w:t>服务民生、智慧民政</w:t>
      </w:r>
      <w:r>
        <w:rPr>
          <w:rFonts w:ascii="Times New Roman" w:hAnsi="Times New Roman" w:cs="Times New Roman" w:eastAsia="Times New Roman" w:hint="default"/>
        </w:rPr>
        <w:t>”</w:t>
      </w:r>
      <w:r>
        <w:rPr/>
        <w:t>的大思路，紧紧围绕民政相关的民生保障、社会治理、专项社会事务、服务军防等多个业务领域，产 </w:t>
      </w:r>
      <w:r>
        <w:rPr>
          <w:spacing w:val="-1"/>
        </w:rPr>
        <w:t>品覆盖社会救助、减灾救灾、社会福利、慈善捐赠、养老管理、社会组织、基层</w:t>
      </w:r>
      <w:r>
        <w:rPr>
          <w:rFonts w:ascii="Times New Roman" w:hAnsi="Times New Roman" w:cs="Times New Roman" w:eastAsia="Times New Roman" w:hint="default"/>
          <w:spacing w:val="-1"/>
        </w:rPr>
        <w:t>/</w:t>
      </w:r>
      <w:r>
        <w:rPr>
          <w:spacing w:val="-1"/>
        </w:rPr>
        <w:t>社区、拥军优抚、区划地名、婚姻、殡葬、</w:t>
      </w:r>
      <w:r>
        <w:rPr>
          <w:spacing w:val="-79"/>
        </w:rPr>
        <w:t> </w:t>
      </w:r>
      <w:r>
        <w:rPr>
          <w:spacing w:val="-79"/>
        </w:rPr>
      </w:r>
      <w:r>
        <w:rPr/>
        <w:t>收养等民政全业务。</w:t>
      </w:r>
    </w:p>
    <w:p>
      <w:pPr>
        <w:pStyle w:val="BodyText"/>
        <w:spacing w:line="240" w:lineRule="auto" w:before="26"/>
        <w:ind w:left="513" w:right="0"/>
        <w:jc w:val="left"/>
      </w:pPr>
      <w:r>
        <w:rPr/>
        <w:t>公司是食药监行业信息化创新型解决方案提供商，面向食药监管理对象提供便捷化办事服务，面向社会公众提供多渠道</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9"/>
        <w:jc w:val="left"/>
      </w:pPr>
      <w:r>
        <w:rPr>
          <w:spacing w:val="-2"/>
        </w:rPr>
        <w:t>信息服务。依托大数据和人工智能技术，深化食药监大数据应用，建立和完善全方位、多渠道食药监公共服务体系，提高食</w:t>
      </w:r>
      <w:r>
        <w:rPr>
          <w:spacing w:val="-67"/>
        </w:rPr>
        <w:t> </w:t>
      </w:r>
      <w:r>
        <w:rPr>
          <w:spacing w:val="-67"/>
        </w:rPr>
      </w:r>
      <w:r>
        <w:rPr/>
        <w:t>药监机构的智能化、一体化监管能力。</w:t>
      </w:r>
    </w:p>
    <w:p>
      <w:pPr>
        <w:pStyle w:val="BodyText"/>
        <w:spacing w:line="316" w:lineRule="auto" w:before="19"/>
        <w:ind w:right="196" w:firstLine="427"/>
        <w:jc w:val="both"/>
      </w:pPr>
      <w:r>
        <w:rPr/>
        <w:t>公司是智慧城市领域领军企业，已形成了以公民信息共享、综合治理联动、城市融合服务为核心，结合智慧农业、智 慧价格、平安智慧院落、市民驿站的智慧城市体系架构。</w:t>
      </w:r>
    </w:p>
    <w:p>
      <w:pPr>
        <w:pStyle w:val="BodyText"/>
        <w:spacing w:line="302" w:lineRule="auto" w:before="19"/>
        <w:ind w:right="193" w:firstLine="427"/>
        <w:jc w:val="both"/>
      </w:pPr>
      <w:r>
        <w:rPr/>
        <w:t>公司是军工行业信息化龙头企业、三大军工集团的信息化支柱厂商、国家国防科技工业局首批军工信息化建设入围企 </w:t>
      </w:r>
      <w:r>
        <w:rPr>
          <w:spacing w:val="-2"/>
        </w:rPr>
        <w:t>业，开展军工信息化规划与实施、自主可控平台研制、信息安全产品与服务、智慧园区设计与施工等业务。</w:t>
      </w:r>
      <w:r>
        <w:rPr>
          <w:rFonts w:ascii="Times New Roman" w:hAnsi="Times New Roman" w:cs="Times New Roman" w:eastAsia="Times New Roman" w:hint="default"/>
          <w:spacing w:val="-2"/>
        </w:rPr>
        <w:t>2016</w:t>
      </w:r>
      <w:r>
        <w:rPr>
          <w:spacing w:val="-2"/>
        </w:rPr>
        <w:t>年公司与国</w:t>
      </w:r>
      <w:r>
        <w:rPr>
          <w:spacing w:val="-64"/>
        </w:rPr>
        <w:t> </w:t>
      </w:r>
      <w:r>
        <w:rPr>
          <w:spacing w:val="-64"/>
        </w:rPr>
      </w:r>
      <w:r>
        <w:rPr>
          <w:spacing w:val="-1"/>
        </w:rPr>
        <w:t>家国防科技工业局签订</w:t>
      </w:r>
      <w:r>
        <w:rPr>
          <w:rFonts w:ascii="Calibri" w:hAnsi="Calibri" w:cs="Calibri" w:eastAsia="Calibri" w:hint="default"/>
          <w:spacing w:val="-1"/>
        </w:rPr>
        <w:t>“</w:t>
      </w:r>
      <w:r>
        <w:rPr>
          <w:spacing w:val="-1"/>
        </w:rPr>
        <w:t>国家军民融合服务平台战略合作协议</w:t>
      </w:r>
      <w:r>
        <w:rPr>
          <w:rFonts w:ascii="Calibri" w:hAnsi="Calibri" w:cs="Calibri" w:eastAsia="Calibri" w:hint="default"/>
          <w:spacing w:val="-1"/>
        </w:rPr>
        <w:t>”</w:t>
      </w:r>
      <w:r>
        <w:rPr>
          <w:spacing w:val="-1"/>
        </w:rPr>
        <w:t>，将以创新服务模式合作开展军民融合增值服务，开展国防科</w:t>
      </w:r>
      <w:r>
        <w:rPr/>
        <w:t> 技工业大数据平台项目合作及发展国防科技工业行业信息化。</w:t>
      </w:r>
    </w:p>
    <w:p>
      <w:pPr>
        <w:pStyle w:val="BodyText"/>
        <w:spacing w:line="314" w:lineRule="auto" w:before="29"/>
        <w:ind w:right="191" w:firstLine="427"/>
        <w:jc w:val="both"/>
      </w:pPr>
      <w:r>
        <w:rPr/>
        <w:t>在自主可控领域，为响应国家自主可控战略，将国产自主可控计算环境下的信息化应用落到实处，切实推进国产化的 </w:t>
      </w:r>
      <w:r>
        <w:rPr>
          <w:spacing w:val="-2"/>
        </w:rPr>
        <w:t>普及和产业链的良性发展，公司立足中国工程物理研究院对信息安全的实际需求和自主可控产业的现状，开展国产自主可控</w:t>
      </w:r>
      <w:r>
        <w:rPr>
          <w:spacing w:val="-64"/>
        </w:rPr>
        <w:t> </w:t>
      </w:r>
      <w:r>
        <w:rPr>
          <w:spacing w:val="-64"/>
        </w:rPr>
      </w:r>
      <w:r>
        <w:rPr>
          <w:spacing w:val="-2"/>
        </w:rPr>
        <w:t>计算环境整体解决方案的研究工作。同时，与国内主流厂商达成了全面合作意向，共同推进国产化工作。公司开展自主可控</w:t>
      </w:r>
      <w:r>
        <w:rPr>
          <w:spacing w:val="-64"/>
        </w:rPr>
        <w:t> </w:t>
      </w:r>
      <w:r>
        <w:rPr>
          <w:spacing w:val="-64"/>
        </w:rPr>
      </w:r>
      <w:r>
        <w:rPr>
          <w:spacing w:val="-2"/>
        </w:rPr>
        <w:t>计算环境的适配、研发工作，已取得了积极成果，并已在</w:t>
      </w:r>
      <w:r>
        <w:rPr>
          <w:rFonts w:ascii="Times New Roman" w:hAnsi="Times New Roman" w:cs="Times New Roman" w:eastAsia="Times New Roman" w:hint="default"/>
          <w:spacing w:val="-2"/>
        </w:rPr>
        <w:t>2017</w:t>
      </w:r>
      <w:r>
        <w:rPr>
          <w:spacing w:val="-2"/>
        </w:rPr>
        <w:t>年成都智博会上展示了自主可控计算环境的信息化总装解决方</w:t>
      </w:r>
      <w:r>
        <w:rPr>
          <w:spacing w:val="-62"/>
        </w:rPr>
        <w:t> </w:t>
      </w:r>
      <w:r>
        <w:rPr>
          <w:spacing w:val="-2"/>
        </w:rPr>
        <w:t>案、自主可控一体化开发平台、自主可控电子公文与协同办公系统、自主可控综合保密管理系统、自主可控涉密电子会议系</w:t>
      </w:r>
      <w:r>
        <w:rPr>
          <w:spacing w:val="-65"/>
        </w:rPr>
        <w:t> </w:t>
      </w:r>
      <w:r>
        <w:rPr>
          <w:spacing w:val="-65"/>
        </w:rPr>
      </w:r>
      <w:r>
        <w:rPr/>
        <w:t>统等应用成果。</w:t>
      </w:r>
    </w:p>
    <w:p>
      <w:pPr>
        <w:pStyle w:val="BodyText"/>
        <w:spacing w:line="340" w:lineRule="auto" w:before="20"/>
        <w:ind w:left="657" w:right="149" w:firstLine="144"/>
        <w:jc w:val="left"/>
      </w:pPr>
      <w:r>
        <w:rPr>
          <w:rFonts w:ascii="Times New Roman" w:hAnsi="Times New Roman" w:cs="Times New Roman" w:eastAsia="Times New Roman" w:hint="default"/>
          <w:b/>
          <w:bCs/>
        </w:rPr>
        <w:t>4</w:t>
      </w:r>
      <w:r>
        <w:rPr>
          <w:rFonts w:ascii="宋体" w:hAnsi="宋体" w:cs="宋体" w:eastAsia="宋体" w:hint="default"/>
          <w:b/>
          <w:bCs/>
        </w:rPr>
        <w:t>、所处行业情况</w:t>
      </w:r>
      <w:r>
        <w:rPr>
          <w:rFonts w:ascii="宋体" w:hAnsi="宋体" w:cs="宋体" w:eastAsia="宋体" w:hint="default"/>
          <w:b/>
          <w:bCs/>
          <w:w w:val="99"/>
        </w:rPr>
        <w:t> </w:t>
      </w:r>
      <w:r>
        <w:rPr/>
        <w:t>根据《</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国家信息化规划》，当前，我国信息化取得显著进步和成就。电子政务应用进一步深化，网络互联、</w:t>
      </w:r>
    </w:p>
    <w:p>
      <w:pPr>
        <w:pStyle w:val="BodyText"/>
        <w:spacing w:line="215" w:lineRule="exact"/>
        <w:ind w:right="0"/>
        <w:jc w:val="left"/>
      </w:pPr>
      <w:r>
        <w:rPr/>
        <w:t>信息互通、业务协同稳步推进；社会信息化水平持续提升，网络富民、信息惠民、服务便民深入发展；网信军民融合体系初</w:t>
      </w:r>
    </w:p>
    <w:p>
      <w:pPr>
        <w:pStyle w:val="BodyText"/>
        <w:spacing w:line="314" w:lineRule="auto" w:before="76"/>
        <w:ind w:right="99"/>
        <w:jc w:val="left"/>
      </w:pPr>
      <w:r>
        <w:rPr>
          <w:spacing w:val="-2"/>
        </w:rPr>
        <w:t>步建立，技术融合、产业融合、信息融合不断深化。物联网、云计算、大数据、人工智能、机器深度学习、区块链等新技术</w:t>
      </w:r>
      <w:r>
        <w:rPr>
          <w:spacing w:val="-70"/>
        </w:rPr>
        <w:t> </w:t>
      </w:r>
      <w:r>
        <w:rPr>
          <w:spacing w:val="-70"/>
        </w:rPr>
      </w:r>
      <w:r>
        <w:rPr>
          <w:spacing w:val="-3"/>
        </w:rPr>
        <w:t>驱动网络空间从人人互联向万物互联演进，数字化、网络化、智能化服务将无处不在。</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时期是信息化引领全面创新、</w:t>
      </w:r>
      <w:r>
        <w:rPr>
          <w:spacing w:val="-74"/>
        </w:rPr>
        <w:t> </w:t>
      </w:r>
      <w:r>
        <w:rPr>
          <w:spacing w:val="-2"/>
        </w:rPr>
        <w:t>构筑国家竞争新优势的重要战略机遇期，是我国从网络大国迈向网络强国、成长为全球互联网引领者的关键窗口期，是信息</w:t>
      </w:r>
      <w:r>
        <w:rPr>
          <w:spacing w:val="-63"/>
        </w:rPr>
        <w:t> </w:t>
      </w:r>
      <w:r>
        <w:rPr>
          <w:spacing w:val="-63"/>
        </w:rPr>
      </w:r>
      <w:r>
        <w:rPr>
          <w:spacing w:val="-2"/>
        </w:rPr>
        <w:t>技术从跟跑并跑到并跑领跑、抢占战略制高点的激烈竞逐期，也是信息化与经济社会深度融合、新旧动能充分释放的协同迸</w:t>
      </w:r>
      <w:r>
        <w:rPr>
          <w:spacing w:val="-63"/>
        </w:rPr>
        <w:t> </w:t>
      </w:r>
      <w:r>
        <w:rPr>
          <w:spacing w:val="-63"/>
        </w:rPr>
      </w:r>
      <w:r>
        <w:rPr/>
        <w:t>发期。</w:t>
      </w:r>
    </w:p>
    <w:p>
      <w:pPr>
        <w:spacing w:line="240" w:lineRule="auto" w:before="10"/>
        <w:rPr>
          <w:rFonts w:ascii="宋体" w:hAnsi="宋体" w:cs="宋体" w:eastAsia="宋体" w:hint="default"/>
          <w:sz w:val="20"/>
          <w:szCs w:val="20"/>
        </w:rPr>
      </w:pPr>
    </w:p>
    <w:p>
      <w:pPr>
        <w:pStyle w:val="Heading2"/>
        <w:spacing w:line="240" w:lineRule="auto"/>
        <w:ind w:right="99"/>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9"/>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5"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309" w:lineRule="auto" w:before="49"/>
              <w:ind w:left="16" w:right="23"/>
              <w:jc w:val="both"/>
              <w:rPr>
                <w:rFonts w:ascii="宋体" w:hAnsi="宋体" w:cs="宋体" w:eastAsia="宋体" w:hint="default"/>
                <w:sz w:val="18"/>
                <w:szCs w:val="18"/>
              </w:rPr>
            </w:pPr>
            <w:r>
              <w:rPr>
                <w:rFonts w:ascii="宋体" w:hAnsi="宋体" w:cs="宋体" w:eastAsia="宋体" w:hint="default"/>
                <w:sz w:val="18"/>
                <w:szCs w:val="18"/>
              </w:rPr>
              <w:t>长期股权投资较年初减少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4,057,290.92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，主要是处置联营公司四 </w:t>
            </w:r>
            <w:r>
              <w:rPr>
                <w:rFonts w:ascii="宋体" w:hAnsi="宋体" w:cs="宋体" w:eastAsia="宋体" w:hint="default"/>
                <w:spacing w:val="-1"/>
                <w:sz w:val="18"/>
                <w:szCs w:val="18"/>
              </w:rPr>
              <w:t>川银海天怡信息技术有限公司股权、联营公司北京利博赛社保信息技术有限公司累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计投资损失大于投资成本致长期股权投资金额为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所致</w:t>
            </w:r>
          </w:p>
        </w:tc>
      </w:tr>
      <w:tr>
        <w:trPr>
          <w:trHeight w:val="394"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10" w:space="0" w:color="D2D2D2"/>
              <w:right w:val="single" w:sz="4" w:space="0" w:color="000000"/>
            </w:tcBorders>
          </w:tcPr>
          <w:p>
            <w:pPr/>
          </w:p>
        </w:tc>
      </w:tr>
      <w:tr>
        <w:trPr>
          <w:trHeight w:val="317"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1"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61"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49"/>
              <w:ind w:left="16"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5,595,270.47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1633.41%</w:t>
            </w:r>
            <w:r>
              <w:rPr>
                <w:rFonts w:ascii="宋体" w:hAnsi="宋体" w:cs="宋体" w:eastAsia="宋体" w:hint="default"/>
                <w:sz w:val="18"/>
                <w:szCs w:val="18"/>
              </w:rPr>
              <w:t>，主要是子公司新疆银海鼎峰软件有限 公司购办公房增加</w:t>
            </w: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40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12,159,327.09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73.17%</w:t>
            </w:r>
            <w:r>
              <w:rPr>
                <w:rFonts w:ascii="宋体" w:hAnsi="宋体" w:cs="宋体" w:eastAsia="宋体" w:hint="default"/>
                <w:sz w:val="18"/>
                <w:szCs w:val="18"/>
              </w:rPr>
              <w:t>，主要是公司自主研发投入增加</w:t>
            </w:r>
          </w:p>
        </w:tc>
      </w:tr>
      <w:tr>
        <w:trPr>
          <w:trHeight w:val="713"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2,541,730.94</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35.09%</w:t>
            </w:r>
            <w:r>
              <w:rPr>
                <w:rFonts w:ascii="宋体" w:hAnsi="宋体" w:cs="宋体" w:eastAsia="宋体" w:hint="default"/>
                <w:sz w:val="18"/>
                <w:szCs w:val="18"/>
              </w:rPr>
              <w:t>，主要是二级子公司成都兴联汇智科技有 限公司购办公房用于租赁增加</w:t>
            </w:r>
          </w:p>
        </w:tc>
      </w:tr>
      <w:tr>
        <w:trPr>
          <w:trHeight w:val="716" w:hRule="exact"/>
        </w:trPr>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1,432,317.70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56.76%</w:t>
            </w:r>
            <w:r>
              <w:rPr>
                <w:rFonts w:ascii="宋体" w:hAnsi="宋体" w:cs="宋体" w:eastAsia="宋体" w:hint="default"/>
                <w:sz w:val="18"/>
                <w:szCs w:val="18"/>
              </w:rPr>
              <w:t>，主要是本期新增长期借款应分摊的担保 费增加</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3,384,296.55</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元，增长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87.98%</w:t>
            </w:r>
            <w:r>
              <w:rPr>
                <w:rFonts w:ascii="宋体" w:hAnsi="宋体" w:cs="宋体" w:eastAsia="宋体" w:hint="default"/>
                <w:sz w:val="18"/>
                <w:szCs w:val="18"/>
              </w:rPr>
              <w:t>，主要是资产减值准备、递延收益及开票 早于收入确认缴纳企业所得税增加所致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51,681,435.44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58.86%</w:t>
            </w:r>
            <w:r>
              <w:rPr>
                <w:rFonts w:ascii="宋体" w:hAnsi="宋体" w:cs="宋体" w:eastAsia="宋体" w:hint="default"/>
                <w:sz w:val="18"/>
                <w:szCs w:val="18"/>
              </w:rPr>
              <w:t>，主要是公司经营规模扩大所致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，主要是应收票据到期承兑</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12,813,554.26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32.79%</w:t>
            </w:r>
            <w:r>
              <w:rPr>
                <w:rFonts w:ascii="宋体" w:hAnsi="宋体" w:cs="宋体" w:eastAsia="宋体" w:hint="default"/>
                <w:sz w:val="18"/>
                <w:szCs w:val="18"/>
              </w:rPr>
              <w:t>，主要是应收项目投标保证金增长</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10,695,401.98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w:t>
            </w:r>
            <w:r>
              <w:rPr>
                <w:rFonts w:ascii="Times New Roman" w:hAnsi="Times New Roman" w:cs="Times New Roman" w:eastAsia="Times New Roman" w:hint="default"/>
                <w:sz w:val="18"/>
                <w:szCs w:val="18"/>
              </w:rPr>
              <w:t>-88.85%</w:t>
            </w:r>
            <w:r>
              <w:rPr>
                <w:rFonts w:ascii="宋体" w:hAnsi="宋体" w:cs="宋体" w:eastAsia="宋体" w:hint="default"/>
                <w:sz w:val="18"/>
                <w:szCs w:val="18"/>
              </w:rPr>
              <w:t>，主要是短期投资理财产品到期收回</w:t>
            </w:r>
          </w:p>
        </w:tc>
      </w:tr>
    </w:tbl>
    <w:p>
      <w:pPr>
        <w:spacing w:line="240" w:lineRule="auto" w:before="3"/>
        <w:rPr>
          <w:rFonts w:ascii="宋体" w:hAnsi="宋体" w:cs="宋体" w:eastAsia="宋体" w:hint="default"/>
          <w:b/>
          <w:bCs/>
          <w:sz w:val="19"/>
          <w:szCs w:val="19"/>
        </w:rPr>
      </w:pPr>
    </w:p>
    <w:p>
      <w:pPr>
        <w:pStyle w:val="Heading3"/>
        <w:spacing w:line="240" w:lineRule="auto" w:before="36"/>
        <w:ind w:right="99"/>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9"/>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00" w:lineRule="auto" w:before="29"/>
        <w:ind w:left="573" w:right="99"/>
        <w:jc w:val="left"/>
      </w:pPr>
      <w:r>
        <w:rPr>
          <w:rFonts w:ascii="Times New Roman" w:hAnsi="Times New Roman" w:cs="Times New Roman" w:eastAsia="Times New Roman" w:hint="default"/>
        </w:rPr>
        <w:t>1</w:t>
      </w:r>
      <w:r>
        <w:rPr/>
        <w:t>、行业深度理解能力及行业创新能力 </w:t>
      </w:r>
      <w:r>
        <w:rPr>
          <w:spacing w:val="-2"/>
        </w:rPr>
        <w:t>公司是民生信息化龙头企业，深耕人力资源和社会保障、医疗保障、健康医疗、住房、民政、食药监等民生行业多年，</w:t>
      </w:r>
    </w:p>
    <w:p>
      <w:pPr>
        <w:pStyle w:val="BodyText"/>
        <w:spacing w:line="319" w:lineRule="auto" w:before="31"/>
        <w:ind w:right="191"/>
        <w:jc w:val="both"/>
      </w:pPr>
      <w:r>
        <w:rPr>
          <w:spacing w:val="-2"/>
        </w:rPr>
        <w:t>公司是人社部行业信息化建设的战略合作伙伴，人社部社会保险管理信息系统核心平台一、二、三版的主研单位，参与金保</w:t>
      </w:r>
      <w:r>
        <w:rPr>
          <w:spacing w:val="-66"/>
        </w:rPr>
        <w:t> </w:t>
      </w:r>
      <w:r>
        <w:rPr>
          <w:spacing w:val="-66"/>
        </w:rPr>
      </w:r>
      <w:r>
        <w:rPr>
          <w:spacing w:val="-2"/>
        </w:rPr>
        <w:t>工程顶层设计与标准制定，多次参与国家部委及全国各地民生业务规范及信息化规范编制工作，独家承建了国家异地就医结</w:t>
      </w:r>
      <w:r>
        <w:rPr>
          <w:spacing w:val="-64"/>
        </w:rPr>
        <w:t> </w:t>
      </w:r>
      <w:r>
        <w:rPr>
          <w:spacing w:val="-64"/>
        </w:rPr>
      </w:r>
      <w:r>
        <w:rPr>
          <w:spacing w:val="-2"/>
        </w:rPr>
        <w:t>算平台、全国城乡居民人社公共服务平台、国家养老保险和医疗保险精算平台、人社部宏观决策支持系统、人社部机关事业</w:t>
      </w:r>
      <w:r>
        <w:rPr>
          <w:spacing w:val="-65"/>
        </w:rPr>
        <w:t> </w:t>
      </w:r>
      <w:r>
        <w:rPr>
          <w:spacing w:val="-65"/>
        </w:rPr>
      </w:r>
      <w:r>
        <w:rPr/>
        <w:t>单位养老保险信息系统、国家居民家庭经济状况核对平台等国家级信息平台，市场覆盖全国</w:t>
      </w:r>
      <w:r>
        <w:rPr>
          <w:rFonts w:ascii="Times New Roman" w:hAnsi="Times New Roman" w:cs="Times New Roman" w:eastAsia="Times New Roman" w:hint="default"/>
        </w:rPr>
        <w:t>23</w:t>
      </w:r>
      <w:r>
        <w:rPr/>
        <w:t>个省（自治区、直辖市）。</w:t>
      </w:r>
    </w:p>
    <w:p>
      <w:pPr>
        <w:pStyle w:val="BodyText"/>
        <w:spacing w:line="300" w:lineRule="auto"/>
        <w:ind w:left="573" w:right="99"/>
        <w:jc w:val="left"/>
      </w:pPr>
      <w:r>
        <w:rPr>
          <w:rFonts w:ascii="Times New Roman" w:hAnsi="Times New Roman" w:cs="Times New Roman" w:eastAsia="Times New Roman" w:hint="default"/>
        </w:rPr>
        <w:t>2</w:t>
      </w:r>
      <w:r>
        <w:rPr/>
        <w:t>、完整的、成体系的解决方案及产品线 </w:t>
      </w:r>
      <w:r>
        <w:rPr>
          <w:rFonts w:ascii="Times New Roman" w:hAnsi="Times New Roman" w:cs="Times New Roman" w:eastAsia="Times New Roman" w:hint="default"/>
        </w:rPr>
        <w:t>“</w:t>
      </w:r>
      <w:r>
        <w:rPr/>
        <w:t>劳有所得、病有所医、老有所养、住有所居、弱有所扶</w:t>
      </w:r>
      <w:r>
        <w:rPr>
          <w:rFonts w:ascii="Times New Roman" w:hAnsi="Times New Roman" w:cs="Times New Roman" w:eastAsia="Times New Roman" w:hint="default"/>
        </w:rPr>
        <w:t>”</w:t>
      </w:r>
      <w:r>
        <w:rPr/>
        <w:t>是人民对美好生活的向往，也是国家事业发展的奋斗目标。</w:t>
      </w:r>
    </w:p>
    <w:p>
      <w:pPr>
        <w:pStyle w:val="BodyText"/>
        <w:spacing w:line="300" w:lineRule="auto" w:before="13"/>
        <w:ind w:right="191"/>
        <w:jc w:val="both"/>
      </w:pPr>
      <w:r>
        <w:rPr>
          <w:spacing w:val="-2"/>
        </w:rPr>
        <w:t>公司以全面覆盖就业、社会保险、劳动关系、人事、人才、收入分配六大板块的人社信息化解决方案，助力</w:t>
      </w:r>
      <w:r>
        <w:rPr>
          <w:rFonts w:ascii="Times New Roman" w:hAnsi="Times New Roman" w:cs="Times New Roman" w:eastAsia="Times New Roman" w:hint="default"/>
          <w:spacing w:val="-2"/>
        </w:rPr>
        <w:t>“</w:t>
      </w:r>
      <w:r>
        <w:rPr>
          <w:spacing w:val="-2"/>
        </w:rPr>
        <w:t>劳有所得</w:t>
      </w:r>
      <w:r>
        <w:rPr>
          <w:rFonts w:ascii="Times New Roman" w:hAnsi="Times New Roman" w:cs="Times New Roman" w:eastAsia="Times New Roman" w:hint="default"/>
          <w:spacing w:val="-2"/>
        </w:rPr>
        <w:t>”</w:t>
      </w:r>
      <w:r>
        <w:rPr>
          <w:spacing w:val="-2"/>
        </w:rPr>
        <w:t>；以</w:t>
      </w:r>
      <w:r>
        <w:rPr>
          <w:spacing w:val="-57"/>
        </w:rPr>
        <w:t> </w:t>
      </w:r>
      <w:r>
        <w:rPr>
          <w:spacing w:val="-2"/>
        </w:rPr>
        <w:t>医保、医疗、医药三医联动解决方案、人工智能健康医疗解决方案和承建国家异地就医结算平台，助力</w:t>
      </w:r>
      <w:r>
        <w:rPr>
          <w:rFonts w:ascii="Times New Roman" w:hAnsi="Times New Roman" w:cs="Times New Roman" w:eastAsia="Times New Roman" w:hint="default"/>
          <w:spacing w:val="-2"/>
        </w:rPr>
        <w:t>“</w:t>
      </w:r>
      <w:r>
        <w:rPr>
          <w:spacing w:val="-2"/>
        </w:rPr>
        <w:t>病有所医</w:t>
      </w:r>
      <w:r>
        <w:rPr>
          <w:rFonts w:ascii="Times New Roman" w:hAnsi="Times New Roman" w:cs="Times New Roman" w:eastAsia="Times New Roman" w:hint="default"/>
          <w:spacing w:val="-2"/>
        </w:rPr>
        <w:t>”</w:t>
      </w:r>
      <w:r>
        <w:rPr>
          <w:spacing w:val="-2"/>
        </w:rPr>
        <w:t>；以智慧</w:t>
      </w:r>
      <w:r>
        <w:rPr>
          <w:spacing w:val="-45"/>
        </w:rPr>
        <w:t> </w:t>
      </w:r>
      <w:r>
        <w:rPr>
          <w:spacing w:val="-45"/>
        </w:rPr>
      </w:r>
      <w:r>
        <w:rPr>
          <w:spacing w:val="-1"/>
        </w:rPr>
        <w:t>健康养老解决方案，助力</w:t>
      </w:r>
      <w:r>
        <w:rPr>
          <w:rFonts w:ascii="Times New Roman" w:hAnsi="Times New Roman" w:cs="Times New Roman" w:eastAsia="Times New Roman" w:hint="default"/>
          <w:spacing w:val="-1"/>
        </w:rPr>
        <w:t>“</w:t>
      </w:r>
      <w:r>
        <w:rPr>
          <w:spacing w:val="-1"/>
        </w:rPr>
        <w:t>老有所养</w:t>
      </w:r>
      <w:r>
        <w:rPr>
          <w:rFonts w:ascii="Times New Roman" w:hAnsi="Times New Roman" w:cs="Times New Roman" w:eastAsia="Times New Roman" w:hint="default"/>
          <w:spacing w:val="-1"/>
        </w:rPr>
        <w:t>”</w:t>
      </w:r>
      <w:r>
        <w:rPr>
          <w:spacing w:val="-1"/>
        </w:rPr>
        <w:t>；以智慧住房金融解决方案和智慧城市解决方案，助力</w:t>
      </w:r>
      <w:r>
        <w:rPr>
          <w:rFonts w:ascii="Times New Roman" w:hAnsi="Times New Roman" w:cs="Times New Roman" w:eastAsia="Times New Roman" w:hint="default"/>
          <w:spacing w:val="-1"/>
        </w:rPr>
        <w:t>“</w:t>
      </w:r>
      <w:r>
        <w:rPr>
          <w:spacing w:val="-1"/>
        </w:rPr>
        <w:t>住有所居</w:t>
      </w:r>
      <w:r>
        <w:rPr>
          <w:rFonts w:ascii="Times New Roman" w:hAnsi="Times New Roman" w:cs="Times New Roman" w:eastAsia="Times New Roman" w:hint="default"/>
          <w:spacing w:val="-1"/>
        </w:rPr>
        <w:t>”</w:t>
      </w:r>
      <w:r>
        <w:rPr>
          <w:spacing w:val="-1"/>
        </w:rPr>
        <w:t>；以智慧民政解决方</w:t>
      </w:r>
      <w:r>
        <w:rPr>
          <w:spacing w:val="-78"/>
        </w:rPr>
        <w:t> </w:t>
      </w:r>
      <w:r>
        <w:rPr>
          <w:spacing w:val="-78"/>
        </w:rPr>
      </w:r>
      <w:r>
        <w:rPr/>
        <w:t>案，助力</w:t>
      </w:r>
      <w:r>
        <w:rPr>
          <w:rFonts w:ascii="Times New Roman" w:hAnsi="Times New Roman" w:cs="Times New Roman" w:eastAsia="Times New Roman" w:hint="default"/>
        </w:rPr>
        <w:t>“</w:t>
      </w:r>
      <w:r>
        <w:rPr/>
        <w:t>弱有所扶</w:t>
      </w:r>
      <w:r>
        <w:rPr>
          <w:rFonts w:ascii="Times New Roman" w:hAnsi="Times New Roman" w:cs="Times New Roman" w:eastAsia="Times New Roman" w:hint="default"/>
        </w:rPr>
        <w:t>”</w:t>
      </w:r>
      <w:r>
        <w:rPr/>
        <w:t>；以智慧军工解决方案和自主可控平台建设，助力维护国家安全。</w:t>
      </w:r>
    </w:p>
    <w:p>
      <w:pPr>
        <w:pStyle w:val="BodyText"/>
        <w:spacing w:line="300" w:lineRule="auto" w:before="13"/>
        <w:ind w:left="573" w:right="99"/>
        <w:jc w:val="left"/>
      </w:pPr>
      <w:r>
        <w:rPr>
          <w:rFonts w:ascii="Times New Roman" w:hAnsi="Times New Roman" w:cs="Times New Roman" w:eastAsia="Times New Roman" w:hint="default"/>
        </w:rPr>
        <w:t>3</w:t>
      </w:r>
      <w:r>
        <w:rPr/>
        <w:t>、军民融合与自主可控竞争优势 </w:t>
      </w:r>
      <w:r>
        <w:rPr>
          <w:spacing w:val="2"/>
        </w:rPr>
        <w:t>公司起源于中国工程物理研究院，是中物院发展</w:t>
      </w:r>
      <w:r>
        <w:rPr>
          <w:rFonts w:ascii="Times New Roman" w:hAnsi="Times New Roman" w:cs="Times New Roman" w:eastAsia="Times New Roman" w:hint="default"/>
          <w:spacing w:val="2"/>
        </w:rPr>
        <w:t>“</w:t>
      </w:r>
      <w:r>
        <w:rPr>
          <w:spacing w:val="2"/>
        </w:rPr>
        <w:t>军转民</w:t>
      </w:r>
      <w:r>
        <w:rPr>
          <w:rFonts w:ascii="Times New Roman" w:hAnsi="Times New Roman" w:cs="Times New Roman" w:eastAsia="Times New Roman" w:hint="default"/>
          <w:spacing w:val="2"/>
        </w:rPr>
        <w:t>”</w:t>
      </w:r>
      <w:r>
        <w:rPr>
          <w:spacing w:val="2"/>
        </w:rPr>
        <w:t>事业在电子信息领域的重点支柱型企业。公司秉承</w:t>
      </w:r>
      <w:r>
        <w:rPr>
          <w:rFonts w:ascii="Times New Roman" w:hAnsi="Times New Roman" w:cs="Times New Roman" w:eastAsia="Times New Roman" w:hint="default"/>
          <w:spacing w:val="2"/>
        </w:rPr>
        <w:t>“</w:t>
      </w:r>
      <w:r>
        <w:rPr>
          <w:spacing w:val="2"/>
        </w:rPr>
        <w:t>两弹精</w:t>
      </w:r>
    </w:p>
    <w:p>
      <w:pPr>
        <w:pStyle w:val="BodyText"/>
        <w:spacing w:line="300" w:lineRule="auto" w:before="13"/>
        <w:ind w:right="194"/>
        <w:jc w:val="both"/>
      </w:pPr>
      <w:r>
        <w:rPr/>
        <w:t>神</w:t>
      </w:r>
      <w:r>
        <w:rPr>
          <w:rFonts w:ascii="Times New Roman" w:hAnsi="Times New Roman" w:cs="Times New Roman" w:eastAsia="Times New Roman" w:hint="default"/>
        </w:rPr>
        <w:t>”</w:t>
      </w:r>
      <w:r>
        <w:rPr/>
        <w:t>，响应国家军民融合与信息安全战略，将国产自主可控计算环境下的信息化应用落到实处，切实推进国产化的普及和产</w:t>
      </w:r>
      <w:r>
        <w:rPr>
          <w:spacing w:val="-76"/>
        </w:rPr>
        <w:t> </w:t>
      </w:r>
      <w:r>
        <w:rPr>
          <w:spacing w:val="-76"/>
        </w:rPr>
      </w:r>
      <w:r>
        <w:rPr/>
        <w:t>业链的良性发展。</w:t>
      </w:r>
    </w:p>
    <w:p>
      <w:pPr>
        <w:spacing w:after="0" w:line="300"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50" w:firstLine="425"/>
        <w:jc w:val="both"/>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日，公司资产总额</w:t>
      </w:r>
      <w:r>
        <w:rPr>
          <w:rFonts w:ascii="Times New Roman" w:hAnsi="Times New Roman" w:cs="Times New Roman" w:eastAsia="Times New Roman" w:hint="default"/>
          <w:spacing w:val="-2"/>
        </w:rPr>
        <w:t>129,761.10</w:t>
      </w:r>
      <w:r>
        <w:rPr>
          <w:spacing w:val="-2"/>
        </w:rPr>
        <w:t>万元，同比上升</w:t>
      </w:r>
      <w:r>
        <w:rPr>
          <w:rFonts w:ascii="Times New Roman" w:hAnsi="Times New Roman" w:cs="Times New Roman" w:eastAsia="Times New Roman" w:hint="default"/>
          <w:spacing w:val="-2"/>
        </w:rPr>
        <w:t>15.82%</w:t>
      </w:r>
      <w:r>
        <w:rPr>
          <w:spacing w:val="-2"/>
        </w:rPr>
        <w:t>；归属于上市公司股东的净资产总额为</w:t>
      </w:r>
      <w:r>
        <w:rPr>
          <w:rFonts w:ascii="Times New Roman" w:hAnsi="Times New Roman" w:cs="Times New Roman" w:eastAsia="Times New Roman" w:hint="default"/>
          <w:spacing w:val="-2"/>
        </w:rPr>
        <w:t>50,802.10</w:t>
      </w:r>
      <w:r>
        <w:rPr>
          <w:rFonts w:ascii="Times New Roman" w:hAnsi="Times New Roman" w:cs="Times New Roman" w:eastAsia="Times New Roman" w:hint="default"/>
        </w:rPr>
        <w:t> </w:t>
      </w:r>
      <w:r>
        <w:rPr/>
        <w:t>万元，同比上升</w:t>
      </w:r>
      <w:r>
        <w:rPr>
          <w:rFonts w:ascii="Times New Roman" w:hAnsi="Times New Roman" w:cs="Times New Roman" w:eastAsia="Times New Roman" w:hint="default"/>
        </w:rPr>
        <w:t>11.11%</w:t>
      </w:r>
      <w:r>
        <w:rPr/>
        <w:t>。</w:t>
      </w:r>
      <w:r>
        <w:rPr>
          <w:rFonts w:ascii="Times New Roman" w:hAnsi="Times New Roman" w:cs="Times New Roman" w:eastAsia="Times New Roman" w:hint="default"/>
        </w:rPr>
        <w:t>2017</w:t>
      </w:r>
      <w:r>
        <w:rPr/>
        <w:t>年度，公司实现营业收入</w:t>
      </w:r>
      <w:r>
        <w:rPr>
          <w:rFonts w:ascii="Times New Roman" w:hAnsi="Times New Roman" w:cs="Times New Roman" w:eastAsia="Times New Roman" w:hint="default"/>
        </w:rPr>
        <w:t>69,044.80</w:t>
      </w:r>
      <w:r>
        <w:rPr/>
        <w:t>万元，同比上升</w:t>
      </w:r>
      <w:r>
        <w:rPr>
          <w:rFonts w:ascii="Times New Roman" w:hAnsi="Times New Roman" w:cs="Times New Roman" w:eastAsia="Times New Roman" w:hint="default"/>
        </w:rPr>
        <w:t>30.91</w:t>
      </w:r>
      <w:r>
        <w:rPr/>
        <w:t>％，主要是系统集成、软件、运维服 </w:t>
      </w:r>
      <w:r>
        <w:rPr>
          <w:spacing w:val="-1"/>
        </w:rPr>
        <w:t>务收入增长；利润总额</w:t>
      </w:r>
      <w:r>
        <w:rPr>
          <w:rFonts w:ascii="Times New Roman" w:hAnsi="Times New Roman" w:cs="Times New Roman" w:eastAsia="Times New Roman" w:hint="default"/>
          <w:spacing w:val="-1"/>
        </w:rPr>
        <w:t>12,035.83</w:t>
      </w:r>
      <w:r>
        <w:rPr>
          <w:spacing w:val="-1"/>
        </w:rPr>
        <w:t>万元，同比上升</w:t>
      </w:r>
      <w:r>
        <w:rPr>
          <w:rFonts w:ascii="Times New Roman" w:hAnsi="Times New Roman" w:cs="Times New Roman" w:eastAsia="Times New Roman" w:hint="default"/>
          <w:spacing w:val="-1"/>
        </w:rPr>
        <w:t>28.33%</w:t>
      </w:r>
      <w:r>
        <w:rPr>
          <w:spacing w:val="-1"/>
        </w:rPr>
        <w:t>，归属于上市公司股东的净利润</w:t>
      </w:r>
      <w:r>
        <w:rPr>
          <w:rFonts w:ascii="Times New Roman" w:hAnsi="Times New Roman" w:cs="Times New Roman" w:eastAsia="Times New Roman" w:hint="default"/>
          <w:spacing w:val="-1"/>
        </w:rPr>
        <w:t>9,079.55</w:t>
      </w:r>
      <w:r>
        <w:rPr>
          <w:spacing w:val="-1"/>
        </w:rPr>
        <w:t>万元，同比上升</w:t>
      </w:r>
      <w:r>
        <w:rPr>
          <w:rFonts w:ascii="Times New Roman" w:hAnsi="Times New Roman" w:cs="Times New Roman" w:eastAsia="Times New Roman" w:hint="default"/>
          <w:spacing w:val="-1"/>
        </w:rPr>
        <w:t>17.51%</w:t>
      </w:r>
      <w:r>
        <w:rPr>
          <w:spacing w:val="-1"/>
        </w:rPr>
        <w:t>，经</w:t>
      </w:r>
      <w:r>
        <w:rPr>
          <w:spacing w:val="-55"/>
        </w:rPr>
        <w:t> </w:t>
      </w:r>
      <w:r>
        <w:rPr/>
        <w:t>营活动产生的现金流量净额</w:t>
      </w:r>
      <w:r>
        <w:rPr>
          <w:rFonts w:ascii="Times New Roman" w:hAnsi="Times New Roman" w:cs="Times New Roman" w:eastAsia="Times New Roman" w:hint="default"/>
        </w:rPr>
        <w:t>13,907.64</w:t>
      </w:r>
      <w:r>
        <w:rPr/>
        <w:t>万元，同比上升</w:t>
      </w:r>
      <w:r>
        <w:rPr>
          <w:rFonts w:ascii="Times New Roman" w:hAnsi="Times New Roman" w:cs="Times New Roman" w:eastAsia="Times New Roman" w:hint="default"/>
        </w:rPr>
        <w:t>77.05%</w:t>
      </w:r>
      <w:r>
        <w:rPr/>
        <w:t>。公司主营业务保持稳定增长。</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0"/>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3"/>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690,447,976.82</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527,433,146.18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30.91%</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689,214,736.02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527,096,770.99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1,233,240.80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336,375.19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291,164,713.69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42.17%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204,348,394.82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38.75%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215,448,097.55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31.20%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173,677,038.09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32.93%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24.05%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175,191,730.11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132,907,703.76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25.20%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7,410,194.67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16,163,634.32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-54.16%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1,233,240.80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336,375.19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266.63%</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450,483,300.06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290,858,403.63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70,279,059.53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49,287,907.04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81,260,014.56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70,898,135.27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30,692,456.63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24,225,764.12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34,813,439.18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63,437,439.33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4,070,450.19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7,933,151.93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-48.69%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17,616,015.87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20,455,969.67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1,233,240.80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336,375.19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689,214,736.02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391,400,467.63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-0.71%</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291,164,713.69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139,496,599.50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215,448,097.55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6" w:right="0"/>
              <w:jc w:val="left"/>
              <w:rPr>
                <w:rFonts w:ascii="Times New Roman" w:hAnsi="Times New Roman" w:cs="Times New Roman" w:eastAsia="Times New Roman" w:hint="default"/>
                <w:sz w:val="18"/>
                <w:szCs w:val="18"/>
              </w:rPr>
            </w:pPr>
            <w:r>
              <w:rPr>
                <w:rFonts w:ascii="Times New Roman"/>
                <w:sz w:val="18"/>
              </w:rPr>
              <w:t>99,218,467.3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53.95%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24.05%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41.10%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175,191,730.11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146957448.2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450,483,300.06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288,689,603.58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70,279,059.53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30,455,311.22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81,260,014.56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24,026,881.99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34,813,439.18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19,597,738.23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-45.12%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7.93%</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行业分类</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行业分类</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133,718,554.27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119,055,353.69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134,857,397.97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92,903,238.38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45.16%</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122,824,515.40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83,632,006.37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334,132.83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80,204.33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316.60%</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Heading4"/>
        <w:spacing w:line="256" w:lineRule="auto" w:before="80"/>
        <w:ind w:left="152" w:right="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日，本公司控股子公司成都兴政电子政务运营服务有限公司新设全资子公司成都兴联汇智科</w:t>
      </w:r>
      <w:r>
        <w:rPr>
          <w:spacing w:val="-17"/>
        </w:rPr>
        <w:t> </w:t>
      </w:r>
      <w:r>
        <w:rPr>
          <w:spacing w:val="-17"/>
        </w:rPr>
      </w:r>
      <w:r>
        <w:rPr/>
        <w:t>技有限公司，合并范围因此发生变动</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149,029,742.88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21.58%</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8.98%</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62,985,361.73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32,998,066.04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21,643,246.79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21,035,546.93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11,367,521.39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149,029,742.88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21.59%</w:t>
            </w:r>
          </w:p>
        </w:tc>
      </w:tr>
    </w:tbl>
    <w:p>
      <w:pPr>
        <w:pStyle w:val="BodyText"/>
        <w:spacing w:line="240" w:lineRule="auto" w:before="49"/>
        <w:ind w:right="0"/>
        <w:jc w:val="left"/>
      </w:pPr>
      <w:r>
        <w:rPr/>
        <w:t>主要客户其他情况说明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40" w:lineRule="auto" w:before="44"/>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48,342,996.63</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30.56%</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13,725,213.69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11,891,240.95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9,177,319.65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7,179,487.18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6,369,735.16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48,342,996.63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30.56%</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64,781,184.26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56,368,939.44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14.92%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主要是本期市场扩展发生的人力成 本和费用较同期增加所致</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100,822,314.24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84,253,059.81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19.67%</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因公司经营规模扩大，职工工资、社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保、公积金及研发费用增加。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89" w:right="0"/>
              <w:jc w:val="left"/>
              <w:rPr>
                <w:rFonts w:ascii="Times New Roman" w:hAnsi="Times New Roman" w:cs="Times New Roman" w:eastAsia="Times New Roman" w:hint="default"/>
                <w:sz w:val="18"/>
                <w:szCs w:val="18"/>
              </w:rPr>
            </w:pPr>
            <w:r>
              <w:rPr>
                <w:rFonts w:ascii="Times New Roman"/>
                <w:sz w:val="18"/>
              </w:rPr>
              <w:t>-3,002,094.32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-3,763,307.19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20.23%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主要是本期银行存款利息支出增加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5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公司立足于</w:t>
      </w:r>
      <w:r>
        <w:rPr>
          <w:rFonts w:ascii="Times New Roman" w:hAnsi="Times New Roman" w:cs="Times New Roman" w:eastAsia="Times New Roman" w:hint="default"/>
        </w:rPr>
        <w:t>“2+3</w:t>
      </w:r>
      <w:r>
        <w:rPr/>
        <w:t>新军民战略</w:t>
      </w:r>
      <w:r>
        <w:rPr>
          <w:rFonts w:ascii="Times New Roman" w:hAnsi="Times New Roman" w:cs="Times New Roman" w:eastAsia="Times New Roman" w:hint="default"/>
        </w:rPr>
        <w:t>”</w:t>
      </w:r>
      <w:r>
        <w:rPr/>
        <w:t>，围绕民生、军工两大业务领域，大数据、大健康、军民融合三大战略方向，持续推进城</w:t>
      </w:r>
    </w:p>
    <w:p>
      <w:pPr>
        <w:pStyle w:val="BodyText"/>
        <w:spacing w:line="215" w:lineRule="exact"/>
        <w:ind w:right="0"/>
        <w:jc w:val="left"/>
      </w:pPr>
      <w:r>
        <w:rPr/>
        <w:t>乡一体化社保软件产品升级与产业化项目、医疗融合应用软件产品项目、运维服务中心建设项目、民生领域软件研发平台升</w:t>
      </w:r>
    </w:p>
    <w:p>
      <w:pPr>
        <w:pStyle w:val="BodyText"/>
        <w:spacing w:line="316" w:lineRule="auto" w:before="76"/>
        <w:ind w:right="0"/>
        <w:jc w:val="left"/>
      </w:pPr>
      <w:r>
        <w:rPr>
          <w:spacing w:val="-2"/>
        </w:rPr>
        <w:t>级项目、医保便民服务平台项目、医保基金精算与医保服务治理解决方案项目、军民融合公共服务平台信息化支撑服务项目</w:t>
      </w:r>
      <w:r>
        <w:rPr>
          <w:spacing w:val="-63"/>
        </w:rPr>
        <w:t> </w:t>
      </w:r>
      <w:r>
        <w:rPr>
          <w:spacing w:val="-63"/>
        </w:rPr>
      </w:r>
      <w:r>
        <w:rPr/>
        <w:t>等重大研发项目建设。</w:t>
      </w:r>
    </w:p>
    <w:p>
      <w:pPr>
        <w:pStyle w:val="BodyText"/>
        <w:spacing w:line="300" w:lineRule="auto" w:before="59"/>
        <w:ind w:right="0" w:firstLine="420"/>
        <w:jc w:val="left"/>
      </w:pPr>
      <w:r>
        <w:rPr/>
        <w:t>本年度所进行的研发项目，将有助于公司围绕</w:t>
      </w:r>
      <w:r>
        <w:rPr>
          <w:rFonts w:ascii="Times New Roman" w:hAnsi="Times New Roman" w:cs="Times New Roman" w:eastAsia="Times New Roman" w:hint="default"/>
        </w:rPr>
        <w:t>“2+3</w:t>
      </w:r>
      <w:r>
        <w:rPr/>
        <w:t>新军民战略</w:t>
      </w:r>
      <w:r>
        <w:rPr>
          <w:rFonts w:ascii="Times New Roman" w:hAnsi="Times New Roman" w:cs="Times New Roman" w:eastAsia="Times New Roman" w:hint="default"/>
        </w:rPr>
        <w:t>”</w:t>
      </w:r>
      <w:r>
        <w:rPr/>
        <w:t>，在</w:t>
      </w:r>
      <w:r>
        <w:rPr>
          <w:rFonts w:ascii="Times New Roman" w:hAnsi="Times New Roman" w:cs="Times New Roman" w:eastAsia="Times New Roman" w:hint="default"/>
        </w:rPr>
        <w:t>“</w:t>
      </w:r>
      <w:r>
        <w:rPr/>
        <w:t>做实做深主营、围绕主营拓展、 多元营收探索</w:t>
      </w:r>
      <w:r>
        <w:rPr>
          <w:rFonts w:ascii="Times New Roman" w:hAnsi="Times New Roman" w:cs="Times New Roman" w:eastAsia="Times New Roman" w:hint="default"/>
        </w:rPr>
        <w:t>”</w:t>
      </w:r>
      <w:r>
        <w:rPr/>
        <w:t>等方面持续推进。</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left"/>
      </w:pPr>
      <w:r>
        <w:rPr/>
        <w:t>公司研发投入情况</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63,585,538.82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46,313,837.80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37.29%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32,220,115.36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21,691,992.89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48.53%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w:t>
            </w:r>
          </w:p>
        </w:tc>
      </w:tr>
    </w:tbl>
    <w:p>
      <w:pPr>
        <w:pStyle w:val="BodyText"/>
        <w:spacing w:line="240" w:lineRule="auto" w:before="49"/>
        <w:ind w:right="0"/>
        <w:jc w:val="left"/>
      </w:pPr>
      <w:r>
        <w:rPr/>
        <w:t>研发投入总额占营业收入的比重较上年发生显著变化的原因</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公司在</w:t>
      </w:r>
      <w:r>
        <w:rPr>
          <w:rFonts w:ascii="Times New Roman" w:hAnsi="Times New Roman" w:cs="Times New Roman" w:eastAsia="Times New Roman" w:hint="default"/>
          <w:spacing w:val="-2"/>
        </w:rPr>
        <w:t>2017</w:t>
      </w:r>
      <w:r>
        <w:rPr>
          <w:spacing w:val="-2"/>
        </w:rPr>
        <w:t>年度加大了研发投入，既进行了四个募投项目的建设，也启动推进了三个定增项目的建设，导致了研发投入总额</w:t>
      </w:r>
      <w:r>
        <w:rPr>
          <w:spacing w:val="-61"/>
        </w:rPr>
        <w:t> </w:t>
      </w:r>
      <w:r>
        <w:rPr>
          <w:spacing w:val="-61"/>
        </w:rPr>
      </w:r>
      <w:r>
        <w:rPr/>
        <w:t>占营业收入比重的增加。</w:t>
      </w:r>
    </w:p>
    <w:p>
      <w:pPr>
        <w:pStyle w:val="BodyText"/>
        <w:spacing w:line="240" w:lineRule="auto" w:before="55"/>
        <w:ind w:right="0"/>
        <w:jc w:val="left"/>
      </w:pPr>
      <w:r>
        <w:rPr/>
        <w:t>研发投入资本化率大幅变动的原因及其合理性说明</w:t>
      </w:r>
    </w:p>
    <w:p>
      <w:pPr>
        <w:pStyle w:val="BodyText"/>
        <w:spacing w:line="340" w:lineRule="auto" w:before="117"/>
        <w:ind w:left="515" w:right="141" w:hanging="363"/>
        <w:jc w:val="left"/>
      </w:pP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r>
      <w:r>
        <w:rPr/>
        <w:t>不适用 为了配合公司在人力资源和社会保障、大健康及医疗卫生、公积金、民政、智慧城市、军工、互联网</w:t>
      </w:r>
      <w:r>
        <w:rPr>
          <w:rFonts w:ascii="宋体" w:hAnsi="宋体" w:cs="宋体" w:eastAsia="宋体" w:hint="default"/>
        </w:rPr>
        <w:t>+</w:t>
      </w:r>
      <w:r>
        <w:rPr/>
        <w:t>民生、大数据、</w:t>
      </w:r>
    </w:p>
    <w:p>
      <w:pPr>
        <w:pStyle w:val="BodyText"/>
        <w:spacing w:line="316" w:lineRule="auto" w:before="1"/>
        <w:ind w:right="148"/>
        <w:jc w:val="both"/>
      </w:pPr>
      <w:r>
        <w:rPr>
          <w:spacing w:val="-2"/>
        </w:rPr>
        <w:t>食药监等领域市场规模快速的发展，公司需要进一步提升核心竞争力，保持公司技术、产品、服务的持续领先，</w:t>
      </w:r>
      <w:r>
        <w:rPr>
          <w:rFonts w:ascii="宋体" w:hAnsi="宋体" w:cs="宋体" w:eastAsia="宋体" w:hint="default"/>
          <w:spacing w:val="-2"/>
        </w:rPr>
        <w:t>2017</w:t>
      </w:r>
      <w:r>
        <w:rPr>
          <w:spacing w:val="-2"/>
        </w:rPr>
        <w:t>年公司</w:t>
      </w:r>
      <w:r>
        <w:rPr>
          <w:spacing w:val="-64"/>
        </w:rPr>
        <w:t> </w:t>
      </w:r>
      <w:r>
        <w:rPr>
          <w:spacing w:val="-64"/>
        </w:rPr>
      </w:r>
      <w:r>
        <w:rPr>
          <w:spacing w:val="-2"/>
        </w:rPr>
        <w:t>加大了研发投入。同时，随着公司募投项目的顺利推进，公司的研发成果的产出更加高效，研发投入资本化率较</w:t>
      </w:r>
      <w:r>
        <w:rPr>
          <w:rFonts w:ascii="宋体" w:hAnsi="宋体" w:cs="宋体" w:eastAsia="宋体" w:hint="default"/>
          <w:spacing w:val="-2"/>
        </w:rPr>
        <w:t>2016</w:t>
      </w:r>
      <w:r>
        <w:rPr>
          <w:spacing w:val="-2"/>
        </w:rPr>
        <w:t>年度有</w:t>
      </w:r>
      <w:r>
        <w:rPr>
          <w:spacing w:val="-59"/>
        </w:rPr>
        <w:t> </w:t>
      </w:r>
      <w:r>
        <w:rPr>
          <w:spacing w:val="-59"/>
        </w:rPr>
      </w:r>
      <w:r>
        <w:rPr/>
        <w:t>所增长。</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764,432,349.99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625,458,997.56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625,355,939.20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546,905,598.13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139,076,410.79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78,553,399.43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77.05%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13,163,029.34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55,865.26%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52,114,516.37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50,370,682.47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-38,951,487.03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-50,347,162.47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-22.63%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46,179,900.00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-47,862,500.00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29,220,100.00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-263.80%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52,262,423.76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57,426,336.96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w:t>
            </w:r>
          </w:p>
        </w:tc>
      </w:tr>
    </w:tbl>
    <w:p>
      <w:pPr>
        <w:pStyle w:val="BodyText"/>
        <w:spacing w:line="240" w:lineRule="auto" w:before="49"/>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1</w:t>
      </w:r>
      <w:r>
        <w:rPr/>
        <w:t>、经营活动产生的现金流量净额同比增长</w:t>
      </w:r>
      <w:r>
        <w:rPr>
          <w:rFonts w:ascii="Times New Roman" w:hAnsi="Times New Roman" w:cs="Times New Roman" w:eastAsia="Times New Roman" w:hint="default"/>
        </w:rPr>
        <w:t>77.05%</w:t>
      </w:r>
      <w:r>
        <w:rPr/>
        <w:t>，主要是销售商品、提供劳务收到的现金增长。</w:t>
      </w:r>
    </w:p>
    <w:p>
      <w:pPr>
        <w:pStyle w:val="BodyText"/>
        <w:spacing w:line="273" w:lineRule="auto" w:before="42"/>
        <w:ind w:right="0"/>
        <w:jc w:val="left"/>
      </w:pPr>
      <w:r>
        <w:rPr>
          <w:rFonts w:ascii="Times New Roman" w:hAnsi="Times New Roman" w:cs="Times New Roman" w:eastAsia="Times New Roman" w:hint="default"/>
          <w:spacing w:val="-1"/>
          <w:sz w:val="21"/>
          <w:szCs w:val="21"/>
        </w:rPr>
        <w:t>2</w:t>
      </w:r>
      <w:r>
        <w:rPr>
          <w:spacing w:val="-1"/>
          <w:sz w:val="21"/>
          <w:szCs w:val="21"/>
        </w:rPr>
        <w:t>、</w:t>
      </w:r>
      <w:r>
        <w:rPr>
          <w:spacing w:val="-1"/>
        </w:rPr>
        <w:t>投资活动现金流入同比增长</w:t>
      </w:r>
      <w:r>
        <w:rPr>
          <w:rFonts w:ascii="宋体" w:hAnsi="宋体" w:cs="宋体" w:eastAsia="宋体" w:hint="default"/>
          <w:spacing w:val="-1"/>
        </w:rPr>
        <w:t>55,865.26%</w:t>
      </w:r>
      <w:r>
        <w:rPr>
          <w:spacing w:val="-1"/>
        </w:rPr>
        <w:t>，主要是短期投资理财产品到期、处置联营公司四川银海天怡信息技术有限公司</w:t>
      </w:r>
      <w:r>
        <w:rPr>
          <w:spacing w:val="-75"/>
        </w:rPr>
        <w:t> </w:t>
      </w:r>
      <w:r>
        <w:rPr>
          <w:spacing w:val="-75"/>
        </w:rPr>
      </w:r>
      <w:r>
        <w:rPr/>
        <w:t>股权收回投资。</w:t>
      </w:r>
    </w:p>
    <w:p>
      <w:pPr>
        <w:pStyle w:val="BodyText"/>
        <w:spacing w:line="240" w:lineRule="auto" w:before="2"/>
        <w:ind w:right="0"/>
        <w:jc w:val="left"/>
      </w:pPr>
      <w:r>
        <w:rPr>
          <w:rFonts w:ascii="Times New Roman" w:hAnsi="Times New Roman" w:cs="Times New Roman" w:eastAsia="Times New Roman" w:hint="default"/>
          <w:sz w:val="24"/>
          <w:szCs w:val="24"/>
        </w:rPr>
        <w:t>3</w:t>
      </w:r>
      <w:r>
        <w:rPr>
          <w:sz w:val="24"/>
          <w:szCs w:val="24"/>
        </w:rPr>
        <w:t>、</w:t>
      </w:r>
      <w:r>
        <w:rPr/>
        <w:t>筹资活动现金流入同比减少</w:t>
      </w:r>
      <w:r>
        <w:rPr>
          <w:rFonts w:ascii="宋体" w:hAnsi="宋体" w:cs="宋体" w:eastAsia="宋体" w:hint="default"/>
        </w:rPr>
        <w:t>100%</w:t>
      </w:r>
      <w:r>
        <w:rPr/>
        <w:t>，主要是上期取得长期借款影响，本期无此类业务的发生。</w:t>
      </w:r>
    </w:p>
    <w:p>
      <w:pPr>
        <w:pStyle w:val="BodyText"/>
        <w:spacing w:line="340" w:lineRule="auto" w:before="28"/>
        <w:ind w:right="3009"/>
        <w:jc w:val="left"/>
      </w:pPr>
      <w:r>
        <w:rPr>
          <w:rFonts w:ascii="Times New Roman" w:hAnsi="Times New Roman" w:cs="Times New Roman" w:eastAsia="Times New Roman" w:hint="default"/>
        </w:rPr>
        <w:t>4</w:t>
      </w:r>
      <w:r>
        <w:rPr/>
        <w:t>、筹资活动产生的现金流量净额同比减少</w:t>
      </w:r>
      <w:r>
        <w:rPr>
          <w:rFonts w:ascii="Times New Roman" w:hAnsi="Times New Roman" w:cs="Times New Roman" w:eastAsia="Times New Roman" w:hint="default"/>
        </w:rPr>
        <w:t>263.8%</w:t>
      </w:r>
      <w:r>
        <w:rPr/>
        <w:t>，主要是本期无筹资活动现金流入。 报告期内公司经营活动产生的现金净流量与本年度净利润存在重大差异的原因说明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254"/>
        <w:gridCol w:w="2254"/>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-976,198.09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-0.81%</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9"/>
              <w:jc w:val="left"/>
              <w:rPr>
                <w:rFonts w:ascii="宋体" w:hAnsi="宋体" w:cs="宋体" w:eastAsia="宋体" w:hint="default"/>
                <w:sz w:val="18"/>
                <w:szCs w:val="18"/>
              </w:rPr>
            </w:pPr>
            <w:r>
              <w:rPr>
                <w:rFonts w:ascii="宋体" w:hAnsi="宋体" w:cs="宋体" w:eastAsia="宋体" w:hint="default"/>
                <w:sz w:val="18"/>
                <w:szCs w:val="18"/>
              </w:rPr>
              <w:t>本期确认联营公司的投资收 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14,746,785.96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应收款项计提坏账准备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298,628.88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613,765.06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资产处置等</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6,543,091.84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58"/>
        <w:gridCol w:w="1175"/>
        <w:gridCol w:w="1064"/>
        <w:gridCol w:w="1195"/>
        <w:gridCol w:w="1064"/>
        <w:gridCol w:w="797"/>
        <w:gridCol w:w="2919"/>
      </w:tblGrid>
      <w:tr>
        <w:trPr>
          <w:trHeight w:val="379" w:hRule="exact"/>
        </w:trPr>
        <w:tc>
          <w:tcPr>
            <w:tcW w:w="1358"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8" w:type="dxa"/>
            <w:vMerge w:val="restart"/>
            <w:tcBorders>
              <w:top w:val="single" w:sz="13" w:space="0" w:color="FFFFFF"/>
              <w:left w:val="single" w:sz="4" w:space="0" w:color="000000"/>
              <w:right w:val="single" w:sz="4" w:space="0" w:color="000000"/>
            </w:tcBorders>
            <w:shd w:val="clear" w:color="auto" w:fill="D2D2D2"/>
          </w:tcPr>
          <w:p>
            <w:pPr/>
          </w:p>
        </w:tc>
        <w:tc>
          <w:tcPr>
            <w:tcW w:w="117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581,375,548.2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44.80%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532,422,202.16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47.52%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-2.72%</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139,484,172.5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10.75%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87,802,737.12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7.84%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2.91%</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337,810,413.1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26.03%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299,674,771.54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26.75%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-0.72%</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9,784,342.40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7,242,611.46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4,057,290.92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73,827,738.07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61,777,346.79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5,937,820.98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342,550.51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75,000,000.00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75,000,000.00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860"/>
        </w:sect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5"/>
          <w:szCs w:val="25"/>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spacing w:val="-1"/>
        </w:rPr>
        <w:t>3</w:t>
      </w:r>
      <w:r>
        <w:rPr>
          <w:spacing w:val="-1"/>
        </w:rPr>
        <w:t>、报告期内正在进行的重大的非股权投资情况</w:t>
      </w:r>
      <w:r>
        <w:rPr>
          <w:b w:val="0"/>
          <w:bCs w:val="0"/>
          <w:spacing w:val="-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44"/>
        <w:ind w:right="0" w:firstLine="182"/>
        <w:jc w:val="left"/>
      </w:pPr>
      <w:r>
        <w:rPr/>
        <w:br w:type="column"/>
      </w:r>
      <w:r>
        <w:rPr/>
        <w:t>单位：元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240" w:lineRule="auto"/>
        <w:ind w:right="0"/>
        <w:jc w:val="left"/>
      </w:pPr>
      <w:r>
        <w:rPr/>
        <w:pict>
          <v:shape style="position:absolute;margin-left:56.650002pt;margin-top:-473.898285pt;width:490.55pt;height:68.25pt;mso-position-horizontal-relative:page;mso-position-vertical-relative:paragraph;z-index:1120" type="#_x0000_t75" stroked="false">
            <v:imagedata r:id="rId14" o:title=""/>
          </v:shape>
        </w:pict>
      </w:r>
      <w:r>
        <w:rPr/>
        <w:t>单位：万元</w:t>
      </w:r>
    </w:p>
    <w:p>
      <w:pPr>
        <w:spacing w:after="0" w:line="240" w:lineRule="auto"/>
        <w:jc w:val="left"/>
        <w:sectPr>
          <w:type w:val="continuous"/>
          <w:pgSz w:w="11910" w:h="16840"/>
          <w:pgMar w:top="1060" w:bottom="1160" w:left="980" w:right="860"/>
          <w:cols w:num="2" w:equalWidth="0">
            <w:col w:w="4478" w:space="4262"/>
            <w:col w:w="1330"/>
          </w:cols>
        </w:sectPr>
      </w:pPr>
    </w:p>
    <w:p>
      <w:pPr>
        <w:spacing w:line="240" w:lineRule="auto" w:before="2"/>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867"/>
        <w:gridCol w:w="875"/>
        <w:gridCol w:w="866"/>
        <w:gridCol w:w="869"/>
        <w:gridCol w:w="871"/>
        <w:gridCol w:w="869"/>
        <w:gridCol w:w="870"/>
        <w:gridCol w:w="870"/>
        <w:gridCol w:w="871"/>
        <w:gridCol w:w="870"/>
        <w:gridCol w:w="857"/>
      </w:tblGrid>
      <w:tr>
        <w:trPr>
          <w:trHeight w:val="150"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8"/>
              <w:ind w:left="243"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9" w:right="68"/>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8" w:right="71"/>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8" w:right="70"/>
              <w:jc w:val="left"/>
              <w:rPr>
                <w:rFonts w:ascii="宋体" w:hAnsi="宋体" w:cs="宋体" w:eastAsia="宋体" w:hint="default"/>
                <w:sz w:val="18"/>
                <w:szCs w:val="18"/>
              </w:rPr>
            </w:pPr>
            <w:r>
              <w:rPr>
                <w:rFonts w:ascii="宋体" w:hAnsi="宋体" w:cs="宋体" w:eastAsia="宋体" w:hint="default"/>
                <w:sz w:val="18"/>
                <w:szCs w:val="18"/>
              </w:rPr>
              <w:t>报告期内 变更用途</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8" w:right="71"/>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9" w:right="68"/>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8" w:right="70"/>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9" w:right="68"/>
              <w:jc w:val="left"/>
              <w:rPr>
                <w:rFonts w:ascii="宋体" w:hAnsi="宋体" w:cs="宋体" w:eastAsia="宋体" w:hint="default"/>
                <w:sz w:val="18"/>
                <w:szCs w:val="18"/>
              </w:rPr>
            </w:pPr>
            <w:r>
              <w:rPr>
                <w:rFonts w:ascii="宋体" w:hAnsi="宋体" w:cs="宋体" w:eastAsia="宋体" w:hint="default"/>
                <w:sz w:val="18"/>
                <w:szCs w:val="18"/>
              </w:rPr>
              <w:t>尚未使用 募集资金</w:t>
            </w: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0"/>
              <w:ind w:left="68" w:right="56"/>
              <w:jc w:val="left"/>
              <w:rPr>
                <w:rFonts w:ascii="宋体" w:hAnsi="宋体" w:cs="宋体" w:eastAsia="宋体" w:hint="default"/>
                <w:sz w:val="18"/>
                <w:szCs w:val="18"/>
              </w:rPr>
            </w:pPr>
            <w:r>
              <w:rPr>
                <w:rFonts w:ascii="宋体" w:hAnsi="宋体" w:cs="宋体" w:eastAsia="宋体" w:hint="default"/>
                <w:sz w:val="18"/>
                <w:szCs w:val="18"/>
              </w:rPr>
              <w:t>闲置两年 以上募集</w:t>
            </w:r>
          </w:p>
        </w:tc>
      </w:tr>
      <w:tr>
        <w:trPr>
          <w:trHeight w:val="394"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6"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r>
      <w:tr>
        <w:trPr>
          <w:trHeight w:val="150"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86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67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1"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0" w:right="69" w:hanging="92"/>
              <w:jc w:val="left"/>
              <w:rPr>
                <w:rFonts w:ascii="宋体" w:hAnsi="宋体" w:cs="宋体" w:eastAsia="宋体" w:hint="default"/>
                <w:sz w:val="18"/>
                <w:szCs w:val="18"/>
              </w:rPr>
            </w:pPr>
            <w:r>
              <w:rPr>
                <w:rFonts w:ascii="宋体" w:hAnsi="宋体" w:cs="宋体" w:eastAsia="宋体" w:hint="default"/>
                <w:sz w:val="18"/>
                <w:szCs w:val="18"/>
              </w:rPr>
              <w:t>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0" w:right="67" w:hanging="272"/>
              <w:jc w:val="left"/>
              <w:rPr>
                <w:rFonts w:ascii="宋体" w:hAnsi="宋体" w:cs="宋体" w:eastAsia="宋体" w:hint="default"/>
                <w:sz w:val="18"/>
                <w:szCs w:val="18"/>
              </w:rPr>
            </w:pPr>
            <w:r>
              <w:rPr>
                <w:rFonts w:ascii="宋体" w:hAnsi="宋体" w:cs="宋体" w:eastAsia="宋体" w:hint="default"/>
                <w:sz w:val="18"/>
                <w:szCs w:val="18"/>
              </w:rPr>
              <w:t>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3" w:right="67" w:hanging="92"/>
              <w:jc w:val="left"/>
              <w:rPr>
                <w:rFonts w:ascii="宋体" w:hAnsi="宋体" w:cs="宋体" w:eastAsia="宋体" w:hint="default"/>
                <w:sz w:val="18"/>
                <w:szCs w:val="18"/>
              </w:rPr>
            </w:pPr>
            <w:r>
              <w:rPr>
                <w:rFonts w:ascii="宋体" w:hAnsi="宋体" w:cs="宋体" w:eastAsia="宋体" w:hint="default"/>
                <w:sz w:val="18"/>
                <w:szCs w:val="18"/>
              </w:rPr>
              <w:t>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3" w:right="67" w:hanging="272"/>
              <w:jc w:val="left"/>
              <w:rPr>
                <w:rFonts w:ascii="宋体" w:hAnsi="宋体" w:cs="宋体" w:eastAsia="宋体" w:hint="default"/>
                <w:sz w:val="18"/>
                <w:szCs w:val="18"/>
              </w:rPr>
            </w:pPr>
            <w:r>
              <w:rPr>
                <w:rFonts w:ascii="宋体" w:hAnsi="宋体" w:cs="宋体" w:eastAsia="宋体" w:hint="default"/>
                <w:sz w:val="18"/>
                <w:szCs w:val="18"/>
              </w:rPr>
              <w:t>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7"/>
              <w:jc w:val="right"/>
              <w:rPr>
                <w:rFonts w:ascii="宋体" w:hAnsi="宋体" w:cs="宋体" w:eastAsia="宋体" w:hint="default"/>
                <w:sz w:val="18"/>
                <w:szCs w:val="18"/>
              </w:rPr>
            </w:pPr>
            <w:r>
              <w:rPr>
                <w:rFonts w:ascii="宋体" w:hAnsi="宋体" w:cs="宋体" w:eastAsia="宋体" w:hint="default"/>
                <w:sz w:val="18"/>
                <w:szCs w:val="18"/>
              </w:rPr>
              <w:t>资金金额</w:t>
            </w:r>
          </w:p>
        </w:tc>
      </w:tr>
      <w:tr>
        <w:trPr>
          <w:trHeight w:val="196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发行上市</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3,238.65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15,370.49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7,764.28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公司尚未 使用的其 他募集资 金均存放 于募集资 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3,238.65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15,370.49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7,764.28</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9892"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经中国证券监督管理委员会《关于核准四川久远银海软件股份有限公司首次公开发行股票的批复》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5</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spacing w:val="1"/>
                <w:w w:val="99"/>
                <w:sz w:val="18"/>
                <w:szCs w:val="18"/>
              </w:rPr>
              <w:t>7</w:t>
            </w:r>
            <w:r>
              <w:rPr>
                <w:rFonts w:ascii="Times New Roman" w:hAnsi="Times New Roman" w:cs="Times New Roman" w:eastAsia="Times New Roman" w:hint="default"/>
                <w:w w:val="99"/>
                <w:sz w:val="18"/>
                <w:szCs w:val="18"/>
              </w:rPr>
              <w:t>4</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号</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核准</w:t>
            </w:r>
            <w:r>
              <w:rPr>
                <w:rFonts w:ascii="宋体" w:hAnsi="宋体" w:cs="宋体" w:eastAsia="宋体" w:hint="default"/>
                <w:spacing w:val="-77"/>
                <w:w w:val="99"/>
                <w:sz w:val="18"/>
                <w:szCs w:val="18"/>
              </w:rPr>
              <w:t>，</w:t>
            </w:r>
            <w:r>
              <w:rPr>
                <w:rFonts w:ascii="宋体" w:hAnsi="宋体" w:cs="宋体" w:eastAsia="宋体" w:hint="default"/>
                <w:w w:val="99"/>
                <w:sz w:val="18"/>
                <w:szCs w:val="18"/>
              </w:rPr>
              <w:t>由主承</w:t>
            </w:r>
            <w:r>
              <w:rPr>
                <w:rFonts w:ascii="宋体" w:hAnsi="宋体" w:cs="宋体" w:eastAsia="宋体" w:hint="default"/>
                <w:spacing w:val="-3"/>
                <w:w w:val="99"/>
                <w:sz w:val="18"/>
                <w:szCs w:val="18"/>
              </w:rPr>
              <w:t>销</w:t>
            </w:r>
            <w:r>
              <w:rPr>
                <w:rFonts w:ascii="宋体" w:hAnsi="宋体" w:cs="宋体" w:eastAsia="宋体" w:hint="default"/>
                <w:w w:val="99"/>
                <w:sz w:val="18"/>
                <w:szCs w:val="18"/>
              </w:rPr>
              <w:t>商广发证券股份有限公司采用网下向投资者询价配售与网上按市值申购定价发行相结合的方</w:t>
            </w:r>
            <w:r>
              <w:rPr>
                <w:rFonts w:ascii="宋体" w:hAnsi="宋体" w:cs="宋体" w:eastAsia="宋体" w:hint="default"/>
                <w:sz w:val="18"/>
                <w:szCs w:val="18"/>
              </w:rPr>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股，发行价格为每股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11.46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日止，公司实际已向社会 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股，募集资金总额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229,200,000.00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元，扣除承销费和保荐费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29,500,000.00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 后的募集资金为人民币</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199,700,000.00</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元，已由广发证券股份有限公司于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日存入公司开立的人民币募集资</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金账户，扣除其他发行费用人民币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10,649,972.30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元后，计募集资金净额为人民币</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189,050,027.70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元。上述资金到位情况业</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经立信会计师事务所（特殊普通合伙）验证，并由其出具信会师报字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115808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w:t>
            </w:r>
          </w:p>
          <w:p>
            <w:pPr>
              <w:pStyle w:val="TableParagraph"/>
              <w:spacing w:line="240" w:lineRule="auto" w:before="103"/>
              <w:ind w:left="3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日，扣除专户手续费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元后募集资金余额为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199,699,900.00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00" w:lineRule="auto" w:before="101"/>
              <w:ind w:left="24" w:right="-44" w:firstLine="3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109,263,430.23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91,818,293.40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使用情况如下：</w:t>
            </w:r>
          </w:p>
          <w:p>
            <w:pPr>
              <w:pStyle w:val="TableParagraph"/>
              <w:spacing w:line="240" w:lineRule="auto" w:before="72"/>
              <w:ind w:left="5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支付其他发行费用共计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10,649,972.30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元，其中律师费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1,230,000.00 </w:t>
            </w:r>
            <w:r>
              <w:rPr>
                <w:rFonts w:ascii="宋体" w:hAnsi="宋体" w:cs="宋体" w:eastAsia="宋体" w:hint="default"/>
                <w:sz w:val="18"/>
                <w:szCs w:val="18"/>
              </w:rPr>
              <w:t>元、审计费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5,350,000.00 </w:t>
            </w:r>
            <w:r>
              <w:rPr>
                <w:rFonts w:ascii="宋体" w:hAnsi="宋体" w:cs="宋体" w:eastAsia="宋体" w:hint="default"/>
                <w:sz w:val="18"/>
                <w:szCs w:val="18"/>
              </w:rPr>
              <w:t>元、信息披露费</w:t>
            </w:r>
          </w:p>
          <w:p>
            <w:pPr>
              <w:pStyle w:val="TableParagraph"/>
              <w:spacing w:line="240" w:lineRule="auto" w:before="63"/>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3,800,000.00 </w:t>
            </w:r>
            <w:r>
              <w:rPr>
                <w:rFonts w:ascii="宋体" w:hAnsi="宋体" w:cs="宋体" w:eastAsia="宋体" w:hint="default"/>
                <w:sz w:val="18"/>
                <w:szCs w:val="18"/>
              </w:rPr>
              <w:t>元、招股说明书印刷费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元、发行登记费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元、上市手续费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42,400.00 </w:t>
            </w:r>
            <w:r>
              <w:rPr>
                <w:rFonts w:ascii="宋体" w:hAnsi="宋体" w:cs="宋体" w:eastAsia="宋体" w:hint="default"/>
                <w:sz w:val="18"/>
                <w:szCs w:val="18"/>
              </w:rPr>
              <w:t>元、印花税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94,572.30</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w:t>
            </w:r>
          </w:p>
          <w:p>
            <w:pPr>
              <w:pStyle w:val="TableParagraph"/>
              <w:spacing w:line="240" w:lineRule="auto" w:before="117"/>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使用募集资金置换预先投入的自筹资金合计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36,511,632.14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元，其中：城乡一体化人力资源和社会保障软件产品</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升级与产业化项目预先投入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17,738,714.34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元，医疗融合应用软件产品项目预先投入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3,721,844.01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元，运维服务中心建设项</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目预先投入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1,124,204.62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元，民生领域软件研发平台升级项目预先投入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13,926,869.17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1"/>
              <w:ind w:left="5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募投项目使用募集资金合计</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4,551,191.00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元，其中：城乡一体化人力资源和社会保障软件产品升级与产业化项目</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264,736.00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元，医疗融合应用软件产品项目使用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477,580.00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元，运维服务中心建设项目使用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1,842,000.00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元，民生领</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域软件研发平台升级项目使用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1,966,875.00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补充流动资金投入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40,000,000.00 </w:t>
            </w:r>
            <w:r>
              <w:rPr>
                <w:rFonts w:ascii="宋体" w:hAnsi="宋体" w:cs="宋体" w:eastAsia="宋体" w:hint="default"/>
                <w:sz w:val="18"/>
                <w:szCs w:val="18"/>
              </w:rPr>
              <w:t>元；补充流动资金账户销户余额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103,066.46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4"/>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募集资金账户手续费支出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2,431.50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元及发生的利息收入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1,381,823.63 </w:t>
            </w:r>
            <w:r>
              <w:rPr>
                <w:rFonts w:ascii="宋体" w:hAnsi="宋体" w:cs="宋体" w:eastAsia="宋体" w:hint="default"/>
                <w:sz w:val="18"/>
                <w:szCs w:val="18"/>
              </w:rPr>
              <w:t>元。</w:t>
            </w:r>
          </w:p>
          <w:p>
            <w:pPr>
              <w:pStyle w:val="TableParagraph"/>
              <w:spacing w:line="300" w:lineRule="auto" w:before="101"/>
              <w:ind w:left="24" w:right="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77,642,826.94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年度使用募集资金总额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32,386,452.16 </w:t>
            </w:r>
            <w:r>
              <w:rPr>
                <w:rFonts w:ascii="宋体" w:hAnsi="宋体" w:cs="宋体" w:eastAsia="宋体" w:hint="default"/>
                <w:sz w:val="18"/>
                <w:szCs w:val="18"/>
              </w:rPr>
              <w:t>元， 使用情况如下：</w:t>
            </w:r>
          </w:p>
          <w:p>
            <w:pPr>
              <w:pStyle w:val="TableParagraph"/>
              <w:spacing w:line="240" w:lineRule="auto" w:before="72"/>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使用募集资金置换预先投入的自筹资金合计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29,943,278.55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元，其中：城乡一体化人力资源和社会保障软件产品升</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级与产业化项目预先投入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14,680,326.18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元，医疗融合应用软件产品项目预先投入</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8,029,765.68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元，运维服务中心建设项目</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预先投入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3,558,181.86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元，民生领域软件研发平台升级项目预先投入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3,675,004.83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年度募投项目使用募集资金合计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2,438,645.11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元，其中：城乡一体化人力资源和社会保障软件产品升级与产业</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化项目使用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489,390.00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元，医疗融合应用软件产品项目使用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1,507,520.11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元，运维服务中心建设项目使用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316,866.00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民生领域软件研发平台升级项目使用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124,869.00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募集资金账户手续费支出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4,528.50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元及发生的利息收入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765,848.87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城乡一体化人力资源 和社会保障软件产品 升级与产业化项目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1,516.97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3,317.33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2,968.42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医疗融合应用软件产 品项目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1,373.67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2,217.59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运维服务中心建设项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1,932.95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民生领域软件研发平 台升级项目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1,969.35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3,238.19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w w:val="95"/>
                <w:sz w:val="18"/>
              </w:rPr>
              <w:t>11,344.48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7,118.96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3,238.19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11,344.48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7,118.96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252"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
        </w:tc>
      </w:tr>
      <w:tr>
        <w:trPr>
          <w:trHeight w:val="152"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
        </w:tc>
      </w:tr>
      <w:tr>
        <w:trPr>
          <w:trHeight w:val="252"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44"/>
        <w:ind w:left="0" w:right="159"/>
        <w:jc w:val="right"/>
      </w:pPr>
      <w:r>
        <w:rPr/>
        <w:pict>
          <v:shape style="position:absolute;margin-left:56.459999pt;margin-top:-265.858276pt;width:479.2pt;height:548.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411"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14" w:lineRule="auto" w:before="51"/>
                          <w:ind w:left="24" w:right="19" w:firstLine="362"/>
                          <w:jc w:val="left"/>
                          <w:rPr>
                            <w:rFonts w:ascii="宋体" w:hAnsi="宋体" w:cs="宋体" w:eastAsia="宋体" w:hint="default"/>
                            <w:sz w:val="18"/>
                            <w:szCs w:val="18"/>
                          </w:rPr>
                        </w:pPr>
                        <w:r>
                          <w:rPr>
                            <w:rFonts w:ascii="宋体" w:hAnsi="宋体" w:cs="宋体" w:eastAsia="宋体" w:hint="default"/>
                            <w:sz w:val="18"/>
                            <w:szCs w:val="18"/>
                          </w:rPr>
                          <w:t>根据立信会计师事务所（特殊普通合伙）出具的《关于四川久远银海软件股份有限公司以自筹 </w:t>
                        </w:r>
                        <w:r>
                          <w:rPr>
                            <w:rFonts w:ascii="宋体" w:hAnsi="宋体" w:cs="宋体" w:eastAsia="宋体" w:hint="default"/>
                            <w:spacing w:val="-5"/>
                            <w:sz w:val="18"/>
                            <w:szCs w:val="18"/>
                          </w:rPr>
                          <w:t>资金预先投入募投项目的鉴证报告》（信会师报字</w:t>
                        </w:r>
                        <w:r>
                          <w:rPr>
                            <w:rFonts w:ascii="Times New Roman" w:hAnsi="Times New Roman" w:cs="Times New Roman" w:eastAsia="Times New Roman" w:hint="default"/>
                            <w:spacing w:val="-5"/>
                            <w:sz w:val="18"/>
                            <w:szCs w:val="18"/>
                          </w:rPr>
                          <w:t>[2016]</w:t>
                        </w:r>
                        <w:r>
                          <w:rPr>
                            <w:rFonts w:ascii="宋体" w:hAnsi="宋体" w:cs="宋体" w:eastAsia="宋体" w:hint="default"/>
                            <w:spacing w:val="-5"/>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111443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1"/>
                            <w:sz w:val="18"/>
                            <w:szCs w:val="18"/>
                          </w:rPr>
                          <w:t> </w:t>
                        </w:r>
                        <w:r>
                          <w:rPr>
                            <w:rFonts w:ascii="宋体" w:hAnsi="宋体" w:cs="宋体" w:eastAsia="宋体" w:hint="default"/>
                            <w:spacing w:val="-46"/>
                            <w:sz w:val="18"/>
                            <w:szCs w:val="18"/>
                          </w:rPr>
                          <w:t>），</w:t>
                        </w:r>
                        <w:r>
                          <w:rPr>
                            <w:rFonts w:ascii="宋体" w:hAnsi="宋体" w:cs="宋体" w:eastAsia="宋体" w:hint="default"/>
                            <w:spacing w:val="-52"/>
                            <w:sz w:val="18"/>
                            <w:szCs w:val="18"/>
                          </w:rPr>
                          <w:t> </w:t>
                        </w:r>
                        <w:r>
                          <w:rPr>
                            <w:rFonts w:ascii="宋体" w:hAnsi="宋体" w:cs="宋体" w:eastAsia="宋体" w:hint="default"/>
                            <w:sz w:val="18"/>
                            <w:szCs w:val="18"/>
                          </w:rPr>
                          <w:t>截至</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止，公司投入</w:t>
                        </w:r>
                        <w:r>
                          <w:rPr>
                            <w:rFonts w:ascii="Times New Roman" w:hAnsi="Times New Roman" w:cs="Times New Roman" w:eastAsia="Times New Roman" w:hint="default"/>
                            <w:sz w:val="18"/>
                            <w:szCs w:val="18"/>
                          </w:rPr>
                          <w:t>“</w:t>
                        </w:r>
                        <w:r>
                          <w:rPr>
                            <w:rFonts w:ascii="宋体" w:hAnsi="宋体" w:cs="宋体" w:eastAsia="宋体" w:hint="default"/>
                            <w:sz w:val="18"/>
                            <w:szCs w:val="18"/>
                          </w:rPr>
                          <w:t>城乡一体化人力资源和社会保障软件产品升级与产业化项目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1773.87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医疗融合应用软件产品项目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372.18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运维服务中心建设项目</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的自筹资金为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民生领域软件研发平台升级项目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1392.69</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万元，上</w:t>
                        </w:r>
                      </w:p>
                      <w:p>
                        <w:pPr>
                          <w:pStyle w:val="TableParagraph"/>
                          <w:spacing w:line="309" w:lineRule="auto" w:before="63"/>
                          <w:ind w:left="24" w:right="24"/>
                          <w:jc w:val="both"/>
                          <w:rPr>
                            <w:rFonts w:ascii="宋体" w:hAnsi="宋体" w:cs="宋体" w:eastAsia="宋体" w:hint="default"/>
                            <w:sz w:val="18"/>
                            <w:szCs w:val="18"/>
                          </w:rPr>
                        </w:pPr>
                        <w:r>
                          <w:rPr>
                            <w:rFonts w:ascii="宋体" w:hAnsi="宋体" w:cs="宋体" w:eastAsia="宋体" w:hint="default"/>
                            <w:sz w:val="18"/>
                            <w:szCs w:val="18"/>
                          </w:rPr>
                          <w:t>述预先投入的自筹资金共计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3651.16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日公司董事会三届三次会议审议通 过的《关于使用募集资金置换前期已投入自筹资金的公告》以及其他相关程序，已用募集资金置换 预先已投入募集资金项目的自筹资金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36,511,632.14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240" w:lineRule="auto" w:before="4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年度，公司利用自有资金代垫支付募集资金投资项目费用合计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29,943,278.55</w:t>
                        </w:r>
                        <w:r>
                          <w:rPr>
                            <w:rFonts w:ascii="Times New Roman" w:hAnsi="Times New Roman" w:cs="Times New Roman" w:eastAsia="Times New Roman" w:hint="default"/>
                            <w:spacing w:val="-8"/>
                            <w:sz w:val="18"/>
                            <w:szCs w:val="18"/>
                          </w:rPr>
                          <w:t> </w:t>
                        </w:r>
                        <w:r>
                          <w:rPr>
                            <w:rFonts w:ascii="宋体" w:hAnsi="宋体" w:cs="宋体" w:eastAsia="宋体" w:hint="default"/>
                            <w:spacing w:val="-11"/>
                            <w:sz w:val="18"/>
                            <w:szCs w:val="18"/>
                          </w:rPr>
                          <w:t>元，其中：城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乡一体化人力资源和社会保障软件产品升级与产业化项目投入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14,680,326.18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元；医疗融合应用软件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产品项目投入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8,029,765.68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元；运维服务中心建设项目投入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3,558,181.86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元；民生领域软件研发平台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升级项目投入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3,675,004.83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元。公司已聘请立信会计师事务所（特殊普通合伙）进行了专项审计，</w:t>
                        </w:r>
                      </w:p>
                      <w:p>
                        <w:pPr>
                          <w:pStyle w:val="TableParagraph"/>
                          <w:spacing w:line="309" w:lineRule="auto" w:before="63"/>
                          <w:ind w:left="24" w:right="18"/>
                          <w:jc w:val="left"/>
                          <w:rPr>
                            <w:rFonts w:ascii="宋体" w:hAnsi="宋体" w:cs="宋体" w:eastAsia="宋体" w:hint="default"/>
                            <w:sz w:val="18"/>
                            <w:szCs w:val="18"/>
                          </w:rPr>
                        </w:pPr>
                        <w:r>
                          <w:rPr>
                            <w:rFonts w:ascii="宋体" w:hAnsi="宋体" w:cs="宋体" w:eastAsia="宋体" w:hint="default"/>
                            <w:sz w:val="18"/>
                            <w:szCs w:val="18"/>
                          </w:rPr>
                          <w:t>出具了信会师报字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ZA11528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号《关于四川久远银海软件股份有限公司以募集资金置换</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7"/>
                            <w:sz w:val="18"/>
                            <w:szCs w:val="18"/>
                          </w:rPr>
                          <w:t>年度内自有资金代垫募投项目支出的鉴证报告》，上述代垫投入的自有资金，已通过公司董事会决议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同意用募集资金置换。该置换事项已于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年度完成。</w:t>
                        </w:r>
                      </w:p>
                      <w:p>
                        <w:pPr>
                          <w:pStyle w:val="TableParagraph"/>
                          <w:spacing w:line="240" w:lineRule="auto" w:before="46"/>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年度，公司利用自有资金代垫支付募集资金投资项目费用合计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14,536,717.73</w:t>
                        </w:r>
                        <w:r>
                          <w:rPr>
                            <w:rFonts w:ascii="Times New Roman" w:hAnsi="Times New Roman" w:cs="Times New Roman" w:eastAsia="Times New Roman" w:hint="default"/>
                            <w:spacing w:val="-8"/>
                            <w:sz w:val="18"/>
                            <w:szCs w:val="18"/>
                          </w:rPr>
                          <w:t> </w:t>
                        </w:r>
                        <w:r>
                          <w:rPr>
                            <w:rFonts w:ascii="宋体" w:hAnsi="宋体" w:cs="宋体" w:eastAsia="宋体" w:hint="default"/>
                            <w:spacing w:val="-11"/>
                            <w:sz w:val="18"/>
                            <w:szCs w:val="18"/>
                          </w:rPr>
                          <w:t>元，其中：城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乡一体化人力资源和社会保障软件产品升级与产业化项目投入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3,702,030.78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元；医疗融合应用软件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产品项目投入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6,623,096.98</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元；运维服务中心建设项目投入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4,202,269.58</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元；民生领域软件研发平台</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升级项目投入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9,320.39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元。上述代垫投入的自筹资金，已通过公司董事会决议，同意用募集资金置 换。截至本报告出具日，置换事项尚未完成。</w:t>
                        </w: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公司尚未使用的募集资金均存放于募集资金专户管理。</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9"/>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9"/>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99"/>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9"/>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公司报告期内无应当披露的重要控股参股公司信息。</w:t>
      </w:r>
    </w:p>
    <w:p>
      <w:pPr>
        <w:spacing w:line="240" w:lineRule="auto" w:before="8"/>
        <w:rPr>
          <w:rFonts w:ascii="宋体" w:hAnsi="宋体" w:cs="宋体" w:eastAsia="宋体" w:hint="default"/>
          <w:sz w:val="19"/>
          <w:szCs w:val="19"/>
        </w:rPr>
      </w:pPr>
    </w:p>
    <w:p>
      <w:pPr>
        <w:pStyle w:val="Heading2"/>
        <w:spacing w:line="240" w:lineRule="auto"/>
        <w:ind w:right="99"/>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9"/>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99" w:hanging="82"/>
        <w:jc w:val="left"/>
      </w:pPr>
      <w:r>
        <w:rPr/>
        <w:t>（一）公司所处行业的发展趋势 </w:t>
      </w:r>
      <w:r>
        <w:rPr>
          <w:spacing w:val="-1"/>
        </w:rPr>
        <w:t>公司的两大业务领域</w:t>
      </w:r>
      <w:r>
        <w:rPr>
          <w:rFonts w:ascii="Calibri" w:hAnsi="Calibri" w:cs="Calibri" w:eastAsia="Calibri" w:hint="default"/>
          <w:spacing w:val="-1"/>
        </w:rPr>
        <w:t>“</w:t>
      </w:r>
      <w:r>
        <w:rPr>
          <w:spacing w:val="-1"/>
        </w:rPr>
        <w:t>民生、军工</w:t>
      </w:r>
      <w:r>
        <w:rPr>
          <w:rFonts w:ascii="Calibri" w:hAnsi="Calibri" w:cs="Calibri" w:eastAsia="Calibri" w:hint="default"/>
          <w:spacing w:val="-1"/>
        </w:rPr>
        <w:t>”</w:t>
      </w:r>
      <w:r>
        <w:rPr>
          <w:spacing w:val="-1"/>
        </w:rPr>
        <w:t>、三大战略方向</w:t>
      </w:r>
      <w:r>
        <w:rPr>
          <w:rFonts w:ascii="Calibri" w:hAnsi="Calibri" w:cs="Calibri" w:eastAsia="Calibri" w:hint="default"/>
          <w:spacing w:val="-1"/>
        </w:rPr>
        <w:t>“</w:t>
      </w:r>
      <w:r>
        <w:rPr>
          <w:spacing w:val="-1"/>
        </w:rPr>
        <w:t>大数据、大健康、军民融合</w:t>
      </w:r>
      <w:r>
        <w:rPr>
          <w:rFonts w:ascii="Calibri" w:hAnsi="Calibri" w:cs="Calibri" w:eastAsia="Calibri" w:hint="default"/>
          <w:spacing w:val="-1"/>
        </w:rPr>
        <w:t>”</w:t>
      </w:r>
      <w:r>
        <w:rPr>
          <w:spacing w:val="-1"/>
        </w:rPr>
        <w:t>与国家发展战略高度契合，均处于高速</w:t>
      </w:r>
    </w:p>
    <w:p>
      <w:pPr>
        <w:pStyle w:val="BodyText"/>
        <w:spacing w:line="181" w:lineRule="exact"/>
        <w:ind w:right="99"/>
        <w:jc w:val="left"/>
      </w:pPr>
      <w:r>
        <w:rPr/>
        <w:t>增长阶段。</w:t>
      </w:r>
    </w:p>
    <w:p>
      <w:pPr>
        <w:pStyle w:val="BodyText"/>
        <w:spacing w:line="300" w:lineRule="auto" w:before="76"/>
        <w:ind w:right="103" w:firstLine="216"/>
        <w:jc w:val="both"/>
      </w:pPr>
      <w:r>
        <w:rPr/>
        <w:t>（</w:t>
      </w:r>
      <w:r>
        <w:rPr>
          <w:rFonts w:ascii="Times New Roman" w:hAnsi="Times New Roman" w:cs="Times New Roman" w:eastAsia="Times New Roman" w:hint="default"/>
        </w:rPr>
        <w:t>1</w:t>
      </w:r>
      <w:r>
        <w:rPr/>
        <w:t>）国家持续致力于提高民生保障水平。十九大报告明确提出：</w:t>
      </w:r>
      <w:r>
        <w:rPr>
          <w:rFonts w:ascii="Times New Roman" w:hAnsi="Times New Roman" w:cs="Times New Roman" w:eastAsia="Times New Roman" w:hint="default"/>
        </w:rPr>
        <w:t>“</w:t>
      </w:r>
      <w:r>
        <w:rPr/>
        <w:t>增进民生福祉是发展的根本目的，要在幼有所育、学 有所教、劳有所得、病有所医、老有所养、住有所居、弱有所扶上不断取得新进展。</w:t>
      </w:r>
      <w:r>
        <w:rPr>
          <w:rFonts w:ascii="Times New Roman" w:hAnsi="Times New Roman" w:cs="Times New Roman" w:eastAsia="Times New Roman" w:hint="default"/>
        </w:rPr>
        <w:t>”2018</w:t>
      </w:r>
      <w:r>
        <w:rPr/>
        <w:t>年《政府工作报告》提出</w:t>
      </w:r>
      <w:r>
        <w:rPr>
          <w:rFonts w:ascii="Times New Roman" w:hAnsi="Times New Roman" w:cs="Times New Roman" w:eastAsia="Times New Roman" w:hint="default"/>
        </w:rPr>
        <w:t>“</w:t>
      </w:r>
      <w:r>
        <w:rPr/>
        <w:t>各级政 </w:t>
      </w:r>
      <w:r>
        <w:rPr>
          <w:spacing w:val="-2"/>
        </w:rPr>
        <w:t>府要把宝贵的资金更多用于为发展增添后劲、为民生雪中送炭</w:t>
      </w:r>
      <w:r>
        <w:rPr>
          <w:rFonts w:ascii="Times New Roman" w:hAnsi="Times New Roman" w:cs="Times New Roman" w:eastAsia="Times New Roman" w:hint="default"/>
          <w:spacing w:val="-2"/>
        </w:rPr>
        <w:t>”</w:t>
      </w:r>
      <w:r>
        <w:rPr>
          <w:spacing w:val="-2"/>
        </w:rPr>
        <w:t>。未来，国家财政包括国家科技投入将继续向民生领域倾斜。</w:t>
      </w:r>
    </w:p>
    <w:p>
      <w:pPr>
        <w:pStyle w:val="BodyText"/>
        <w:spacing w:line="307" w:lineRule="auto" w:before="13"/>
        <w:ind w:right="191" w:firstLine="30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w:t>
      </w:r>
      <w:r>
        <w:rPr/>
        <w:t>战略持续推进。</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月，中共中央、国务院印发了《</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2030”</w:t>
      </w:r>
      <w:r>
        <w:rPr/>
        <w:t>规划纲要》，并提出</w:t>
      </w:r>
      <w:r>
        <w:rPr>
          <w:rFonts w:ascii="Times New Roman" w:hAnsi="Times New Roman" w:cs="Times New Roman" w:eastAsia="Times New Roman" w:hint="default"/>
        </w:rPr>
        <w:t>“</w:t>
      </w:r>
      <w:r>
        <w:rPr/>
        <w:t>将健康 融入所有政策</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年的国家机构改革方案，为完善统一的城乡居民基本医疗保险制度和大病保险制度，不断提高医疗保</w:t>
      </w:r>
      <w:r>
        <w:rPr>
          <w:spacing w:val="-77"/>
        </w:rPr>
        <w:t> </w:t>
      </w:r>
      <w:r>
        <w:rPr>
          <w:spacing w:val="-77"/>
        </w:rPr>
      </w:r>
      <w:r>
        <w:rPr>
          <w:spacing w:val="-2"/>
        </w:rPr>
        <w:t>障水平，确保医保资金合理使用、安全可控，统筹推进医疗、医保、医药</w:t>
      </w:r>
      <w:r>
        <w:rPr>
          <w:rFonts w:ascii="Times New Roman" w:hAnsi="Times New Roman" w:cs="Times New Roman" w:eastAsia="Times New Roman" w:hint="default"/>
          <w:spacing w:val="-2"/>
        </w:rPr>
        <w:t>“</w:t>
      </w:r>
      <w:r>
        <w:rPr>
          <w:spacing w:val="-2"/>
        </w:rPr>
        <w:t>三医联动</w:t>
      </w:r>
      <w:r>
        <w:rPr>
          <w:rFonts w:ascii="Times New Roman" w:hAnsi="Times New Roman" w:cs="Times New Roman" w:eastAsia="Times New Roman" w:hint="default"/>
          <w:spacing w:val="-2"/>
        </w:rPr>
        <w:t>”</w:t>
      </w:r>
      <w:r>
        <w:rPr>
          <w:spacing w:val="-2"/>
        </w:rPr>
        <w:t>改革，更好保障病有所医，新组建了国</w:t>
      </w:r>
      <w:r>
        <w:rPr>
          <w:spacing w:val="-45"/>
        </w:rPr>
        <w:t> </w:t>
      </w:r>
      <w:r>
        <w:rPr>
          <w:spacing w:val="-45"/>
        </w:rPr>
      </w:r>
      <w:r>
        <w:rPr>
          <w:spacing w:val="-2"/>
        </w:rPr>
        <w:t>家医疗保障局。同时，为推动实施健康中国战略，树立大卫生、大健康理念，把以治病为中心转变到以人民健康为中心，预</w:t>
      </w:r>
      <w:r>
        <w:rPr>
          <w:spacing w:val="-68"/>
        </w:rPr>
        <w:t> </w:t>
      </w:r>
      <w:r>
        <w:rPr>
          <w:spacing w:val="-68"/>
        </w:rPr>
      </w:r>
      <w:r>
        <w:rPr>
          <w:spacing w:val="-2"/>
        </w:rPr>
        <w:t>防控制重大疾病，积极应对人口老龄化，加快老龄事业和产业发展，为人民群众提供全方位全周期健康服务，新组建了国家</w:t>
      </w:r>
      <w:r>
        <w:rPr>
          <w:spacing w:val="-65"/>
        </w:rPr>
        <w:t> </w:t>
      </w:r>
      <w:r>
        <w:rPr>
          <w:spacing w:val="-65"/>
        </w:rPr>
      </w:r>
      <w:r>
        <w:rPr/>
        <w:t>卫生健康委员会。根据相关咨询机构数据，中国医疗卫生信息化市场连续多年均保持</w:t>
      </w:r>
      <w:r>
        <w:rPr>
          <w:rFonts w:ascii="Times New Roman" w:hAnsi="Times New Roman" w:cs="Times New Roman" w:eastAsia="Times New Roman" w:hint="default"/>
        </w:rPr>
        <w:t>20%</w:t>
      </w:r>
      <w:r>
        <w:rPr/>
        <w:t>以上的高速增长。</w:t>
      </w:r>
    </w:p>
    <w:p>
      <w:pPr>
        <w:pStyle w:val="BodyText"/>
        <w:spacing w:line="300" w:lineRule="auto" w:before="7"/>
        <w:ind w:right="96" w:firstLine="300"/>
        <w:jc w:val="left"/>
      </w:pPr>
      <w:r>
        <w:rPr>
          <w:spacing w:val="-3"/>
        </w:rPr>
        <w:t>（</w:t>
      </w:r>
      <w:r>
        <w:rPr>
          <w:rFonts w:ascii="Times New Roman" w:hAnsi="Times New Roman" w:cs="Times New Roman" w:eastAsia="Times New Roman" w:hint="default"/>
          <w:spacing w:val="-3"/>
        </w:rPr>
        <w:t>3</w:t>
      </w:r>
      <w:r>
        <w:rPr>
          <w:spacing w:val="-3"/>
        </w:rPr>
        <w:t>）国家大力推广</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政务服务</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政务服务</w:t>
      </w:r>
      <w:r>
        <w:rPr>
          <w:rFonts w:ascii="Times New Roman" w:hAnsi="Times New Roman" w:cs="Times New Roman" w:eastAsia="Times New Roman" w:hint="default"/>
          <w:spacing w:val="-3"/>
        </w:rPr>
        <w:t>”</w:t>
      </w:r>
      <w:r>
        <w:rPr>
          <w:spacing w:val="-3"/>
        </w:rPr>
        <w:t>是政府深化</w:t>
      </w:r>
      <w:r>
        <w:rPr>
          <w:rFonts w:ascii="Times New Roman" w:hAnsi="Times New Roman" w:cs="Times New Roman" w:eastAsia="Times New Roman" w:hint="default"/>
          <w:spacing w:val="-3"/>
        </w:rPr>
        <w:t>“</w:t>
      </w:r>
      <w:r>
        <w:rPr>
          <w:spacing w:val="-3"/>
        </w:rPr>
        <w:t>放管服</w:t>
      </w:r>
      <w:r>
        <w:rPr>
          <w:rFonts w:ascii="Times New Roman" w:hAnsi="Times New Roman" w:cs="Times New Roman" w:eastAsia="Times New Roman" w:hint="default"/>
          <w:spacing w:val="-3"/>
        </w:rPr>
        <w:t>”</w:t>
      </w:r>
      <w:r>
        <w:rPr>
          <w:spacing w:val="-3"/>
        </w:rPr>
        <w:t>改革（简政放权、放管结合、优化服务）</w:t>
      </w:r>
      <w:r>
        <w:rPr/>
        <w:t> 的重要抓手，</w:t>
      </w:r>
      <w:r>
        <w:rPr>
          <w:rFonts w:ascii="Times New Roman" w:hAnsi="Times New Roman" w:cs="Times New Roman" w:eastAsia="Times New Roman" w:hint="default"/>
        </w:rPr>
        <w:t>2018</w:t>
      </w:r>
      <w:r>
        <w:rPr/>
        <w:t>年《政府工作报告》提出：使更多事项在网上办理，必须到现场办的也要力争做到</w:t>
      </w:r>
      <w:r>
        <w:rPr>
          <w:rFonts w:ascii="Times New Roman" w:hAnsi="Times New Roman" w:cs="Times New Roman" w:eastAsia="Times New Roman" w:hint="default"/>
        </w:rPr>
        <w:t>“</w:t>
      </w:r>
      <w:r>
        <w:rPr/>
        <w:t>只进一扇门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最多</w:t>
      </w:r>
      <w:r>
        <w:rPr>
          <w:spacing w:val="-54"/>
        </w:rPr>
        <w:t> </w:t>
      </w:r>
      <w:r>
        <w:rPr/>
        <w:t>跑一次</w:t>
      </w:r>
      <w:r>
        <w:rPr>
          <w:rFonts w:ascii="Times New Roman" w:hAnsi="Times New Roman" w:cs="Times New Roman" w:eastAsia="Times New Roman" w:hint="default"/>
        </w:rPr>
        <w:t>”</w:t>
      </w:r>
      <w:r>
        <w:rPr/>
        <w:t>。发展目标为，到</w:t>
      </w:r>
      <w:r>
        <w:rPr>
          <w:rFonts w:ascii="Times New Roman" w:hAnsi="Times New Roman" w:cs="Times New Roman" w:eastAsia="Times New Roman" w:hint="default"/>
        </w:rPr>
        <w:t>2020</w:t>
      </w:r>
      <w:r>
        <w:rPr/>
        <w:t>年，建成覆盖全国的整体联动、部门协同、省级统筹、一网办理的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技术和 服务体系，实现政务服务的标准化、精准化、便捷化、平台化、协同化，政务服务流程显著优化。</w:t>
      </w:r>
    </w:p>
    <w:p>
      <w:pPr>
        <w:pStyle w:val="BodyText"/>
        <w:spacing w:line="300" w:lineRule="auto" w:before="72"/>
        <w:ind w:right="131" w:firstLine="271"/>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w:t>
      </w:r>
      <w:r>
        <w:rPr/>
        <w:t>军民融合发展</w:t>
      </w:r>
      <w:r>
        <w:rPr>
          <w:rFonts w:ascii="Times New Roman" w:hAnsi="Times New Roman" w:cs="Times New Roman" w:eastAsia="Times New Roman" w:hint="default"/>
        </w:rPr>
        <w:t>”</w:t>
      </w:r>
      <w:r>
        <w:rPr/>
        <w:t>战略进入深入实施阶段。</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月，中共中央、国务院、中央军委印发了《关于经济建设和国防 建设融合发展的意见》，提出形成全要素、多领域、高效益的军民深度融合发展格局，全面推进国防和军队现代化。</w:t>
      </w:r>
      <w:r>
        <w:rPr>
          <w:rFonts w:ascii="Times New Roman" w:hAnsi="Times New Roman" w:cs="Times New Roman" w:eastAsia="Times New Roman" w:hint="default"/>
        </w:rPr>
        <w:t>2018</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年《政府工作报告》中提出：</w:t>
      </w:r>
      <w:r>
        <w:rPr>
          <w:rFonts w:ascii="Times New Roman" w:hAnsi="Times New Roman" w:cs="Times New Roman" w:eastAsia="Times New Roman" w:hint="default"/>
        </w:rPr>
        <w:t>“</w:t>
      </w:r>
      <w:r>
        <w:rPr/>
        <w:t>深入实施军民融合发展战略，深化国防科技工业改革</w:t>
      </w:r>
      <w:r>
        <w:rPr>
          <w:rFonts w:ascii="Times New Roman" w:hAnsi="Times New Roman" w:cs="Times New Roman" w:eastAsia="Times New Roman" w:hint="default"/>
        </w:rPr>
        <w:t>”</w:t>
      </w:r>
      <w:r>
        <w:rPr/>
        <w:t>。根据相关咨询机构预测，未来五年， 中国军民融合市场规模将保持</w:t>
      </w:r>
      <w:r>
        <w:rPr>
          <w:rFonts w:ascii="Times New Roman" w:hAnsi="Times New Roman" w:cs="Times New Roman" w:eastAsia="Times New Roman" w:hint="default"/>
        </w:rPr>
        <w:t>20%</w:t>
      </w:r>
      <w:r>
        <w:rPr/>
        <w:t>以上的高速增长。</w:t>
      </w:r>
    </w:p>
    <w:p>
      <w:pPr>
        <w:pStyle w:val="BodyText"/>
        <w:spacing w:line="357" w:lineRule="auto" w:before="54"/>
        <w:ind w:left="573" w:right="99" w:hanging="149"/>
        <w:jc w:val="left"/>
      </w:pPr>
      <w:r>
        <w:rPr/>
        <w:t>（二）公司经营目标 </w:t>
      </w:r>
      <w:r>
        <w:rPr>
          <w:rFonts w:ascii="宋体" w:hAnsi="宋体" w:cs="宋体" w:eastAsia="宋体" w:hint="default"/>
          <w:spacing w:val="-2"/>
        </w:rPr>
        <w:t>1</w:t>
      </w:r>
      <w:r>
        <w:rPr>
          <w:spacing w:val="-2"/>
        </w:rPr>
        <w:t>、在人力资源和社会保障领域，围绕智慧治理、平台</w:t>
      </w:r>
      <w:r>
        <w:rPr>
          <w:rFonts w:ascii="宋体" w:hAnsi="宋体" w:cs="宋体" w:eastAsia="宋体" w:hint="default"/>
          <w:spacing w:val="-2"/>
        </w:rPr>
        <w:t>+</w:t>
      </w:r>
      <w:r>
        <w:rPr>
          <w:spacing w:val="-2"/>
        </w:rPr>
        <w:t>应用、大数据、“互联网</w:t>
      </w:r>
      <w:r>
        <w:rPr>
          <w:rFonts w:ascii="宋体" w:hAnsi="宋体" w:cs="宋体" w:eastAsia="宋体" w:hint="default"/>
          <w:spacing w:val="-2"/>
        </w:rPr>
        <w:t>+</w:t>
      </w:r>
      <w:r>
        <w:rPr>
          <w:spacing w:val="-2"/>
        </w:rPr>
        <w:t>”等方向开展创新研</w:t>
      </w:r>
    </w:p>
    <w:p>
      <w:pPr>
        <w:spacing w:after="0" w:line="35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60" w:lineRule="auto" w:before="44"/>
        <w:ind w:left="673" w:right="274" w:hanging="421"/>
        <w:jc w:val="left"/>
      </w:pPr>
      <w:r>
        <w:rPr/>
        <w:t>发工作，实现业绩持续稳定增长。 </w:t>
      </w:r>
      <w:r>
        <w:rPr>
          <w:rFonts w:ascii="宋体" w:hAnsi="宋体" w:cs="宋体" w:eastAsia="宋体" w:hint="default"/>
          <w:spacing w:val="-2"/>
        </w:rPr>
        <w:t>2</w:t>
      </w:r>
      <w:r>
        <w:rPr>
          <w:spacing w:val="-2"/>
        </w:rPr>
        <w:t>、在医疗卫生领域，围绕国家“全民健康保障工程”，夯实“智慧医院”、“区域医疗”、“互联网</w:t>
      </w:r>
    </w:p>
    <w:p>
      <w:pPr>
        <w:pStyle w:val="BodyText"/>
        <w:spacing w:line="222" w:lineRule="exact"/>
        <w:ind w:left="252" w:right="274"/>
        <w:jc w:val="left"/>
      </w:pPr>
      <w:r>
        <w:rPr>
          <w:rFonts w:ascii="宋体" w:hAnsi="宋体" w:cs="宋体" w:eastAsia="宋体" w:hint="default"/>
        </w:rPr>
        <w:t>+</w:t>
      </w:r>
      <w:r>
        <w:rPr/>
        <w:t>医疗”三大产品线，拓展以“医疗大数据”为制高点的医卫战略，实现业绩快速增长。</w:t>
      </w:r>
    </w:p>
    <w:p>
      <w:pPr>
        <w:pStyle w:val="BodyText"/>
        <w:spacing w:line="316" w:lineRule="auto" w:before="115"/>
        <w:ind w:left="252" w:right="274" w:firstLine="420"/>
        <w:jc w:val="left"/>
      </w:pPr>
      <w:r>
        <w:rPr>
          <w:rFonts w:ascii="宋体" w:hAnsi="宋体" w:cs="宋体" w:eastAsia="宋体" w:hint="default"/>
          <w:spacing w:val="-2"/>
        </w:rPr>
        <w:t>3</w:t>
      </w:r>
      <w:r>
        <w:rPr>
          <w:spacing w:val="-2"/>
        </w:rPr>
        <w:t>、在住房金融领域，完成省级和市级新一代公积金产品打造，覆盖不同客户类型的产品需求，实现业</w:t>
      </w:r>
      <w:r>
        <w:rPr/>
        <w:t> 绩爆发式增长。</w:t>
      </w:r>
    </w:p>
    <w:p>
      <w:pPr>
        <w:pStyle w:val="BodyText"/>
        <w:spacing w:line="316" w:lineRule="auto" w:before="59"/>
        <w:ind w:left="252" w:right="274" w:firstLine="420"/>
        <w:jc w:val="left"/>
      </w:pPr>
      <w:r>
        <w:rPr>
          <w:rFonts w:ascii="宋体" w:hAnsi="宋体" w:cs="宋体" w:eastAsia="宋体" w:hint="default"/>
        </w:rPr>
        <w:t>4</w:t>
      </w:r>
      <w:r>
        <w:rPr/>
        <w:t>、在民政领域，重点研发智慧民政产品，构建智慧养老生态圈、打造智慧社区模式、打造互联网</w:t>
      </w:r>
      <w:r>
        <w:rPr>
          <w:rFonts w:ascii="宋体" w:hAnsi="宋体" w:cs="宋体" w:eastAsia="宋体" w:hint="default"/>
        </w:rPr>
        <w:t>+</w:t>
      </w:r>
      <w:r>
        <w:rPr/>
        <w:t>工 会建设模式，通过差异化竞争，实现业绩跨越式增长。</w:t>
      </w:r>
    </w:p>
    <w:p>
      <w:pPr>
        <w:pStyle w:val="BodyText"/>
        <w:spacing w:line="316" w:lineRule="auto" w:before="59"/>
        <w:ind w:left="252" w:right="274" w:firstLine="420"/>
        <w:jc w:val="left"/>
      </w:pPr>
      <w:r>
        <w:rPr>
          <w:rFonts w:ascii="宋体" w:hAnsi="宋体" w:cs="宋体" w:eastAsia="宋体" w:hint="default"/>
          <w:spacing w:val="-2"/>
        </w:rPr>
        <w:t>5</w:t>
      </w:r>
      <w:r>
        <w:rPr>
          <w:spacing w:val="-2"/>
        </w:rPr>
        <w:t>、在食药监领域，进一步完善深化包括食药监综合监管平台、食药监大数据平台、食药监溯源体系在</w:t>
      </w:r>
      <w:r>
        <w:rPr/>
        <w:t> 内的食药监产品体系，实现创新式增长。</w:t>
      </w:r>
    </w:p>
    <w:p>
      <w:pPr>
        <w:pStyle w:val="BodyText"/>
        <w:spacing w:line="240" w:lineRule="auto" w:before="57"/>
        <w:ind w:left="673" w:right="274"/>
        <w:jc w:val="left"/>
      </w:pPr>
      <w:r>
        <w:rPr>
          <w:rFonts w:ascii="宋体" w:hAnsi="宋体" w:cs="宋体" w:eastAsia="宋体" w:hint="default"/>
        </w:rPr>
        <w:t>6</w:t>
      </w:r>
      <w:r>
        <w:rPr/>
        <w:t>、在军工</w:t>
      </w:r>
      <w:r>
        <w:rPr>
          <w:rFonts w:ascii="宋体" w:hAnsi="宋体" w:cs="宋体" w:eastAsia="宋体" w:hint="default"/>
        </w:rPr>
        <w:t>&amp;</w:t>
      </w:r>
      <w:r>
        <w:rPr/>
        <w:t>军民融合领域，在自主可控软件和军民融合服务等战略方向上取得实质性突破。</w:t>
      </w:r>
    </w:p>
    <w:p>
      <w:pPr>
        <w:pStyle w:val="BodyText"/>
        <w:spacing w:line="316" w:lineRule="auto" w:before="118"/>
        <w:ind w:left="252" w:right="94" w:firstLine="451"/>
        <w:jc w:val="left"/>
      </w:pPr>
      <w:r>
        <w:rPr>
          <w:rFonts w:ascii="宋体" w:hAnsi="宋体" w:cs="宋体" w:eastAsia="宋体" w:hint="default"/>
          <w:spacing w:val="-2"/>
        </w:rPr>
        <w:t>7</w:t>
      </w:r>
      <w:r>
        <w:rPr>
          <w:spacing w:val="-2"/>
        </w:rPr>
        <w:t>、在大数据领域，以视界和见智输出大数据能力，实现“视界”银海大数据平台产品化、工具化、开放性水平全面提</w:t>
      </w:r>
      <w:r>
        <w:rPr/>
        <w:t> 升，以此为基础，依托主营行业，倾力打造全国知名民生大数据产品</w:t>
      </w:r>
      <w:r>
        <w:rPr>
          <w:rFonts w:ascii="宋体" w:hAnsi="宋体" w:cs="宋体" w:eastAsia="宋体" w:hint="default"/>
        </w:rPr>
        <w:t>&amp;</w:t>
      </w:r>
      <w:r>
        <w:rPr/>
        <w:t>服务品牌。以“见智”银海人工智能平台为基础在健</w:t>
      </w:r>
      <w:r>
        <w:rPr>
          <w:spacing w:val="-83"/>
        </w:rPr>
        <w:t> </w:t>
      </w:r>
      <w:r>
        <w:rPr>
          <w:spacing w:val="-83"/>
        </w:rPr>
      </w:r>
      <w:r>
        <w:rPr>
          <w:spacing w:val="-2"/>
        </w:rPr>
        <w:t>康医疗领域寻求突破，包括三医大数据综合监管、精细化医院管理（医院费用管理）、</w:t>
      </w:r>
      <w:r>
        <w:rPr>
          <w:rFonts w:ascii="宋体" w:hAnsi="宋体" w:cs="宋体" w:eastAsia="宋体" w:hint="default"/>
          <w:spacing w:val="-2"/>
        </w:rPr>
        <w:t>DRG</w:t>
      </w:r>
      <w:r>
        <w:rPr>
          <w:spacing w:val="-2"/>
        </w:rPr>
        <w:t>（医保支付方式改革</w:t>
      </w:r>
      <w:r>
        <w:rPr>
          <w:rFonts w:ascii="宋体" w:hAnsi="宋体" w:cs="宋体" w:eastAsia="宋体" w:hint="default"/>
          <w:spacing w:val="-2"/>
        </w:rPr>
        <w:t>&amp;</w:t>
      </w:r>
      <w:r>
        <w:rPr>
          <w:spacing w:val="-2"/>
        </w:rPr>
        <w:t>医院绩效管</w:t>
      </w:r>
      <w:r>
        <w:rPr>
          <w:spacing w:val="-64"/>
        </w:rPr>
        <w:t> </w:t>
      </w:r>
      <w:r>
        <w:rPr>
          <w:spacing w:val="-4"/>
        </w:rPr>
        <w:t>理）、人工智能健康医疗（智能医疗影像诊断辅助、智能临床辅助决策等）。依托政务云平台基础，提升城市基础支撑能力、</w:t>
      </w:r>
      <w:r>
        <w:rPr>
          <w:spacing w:val="-41"/>
        </w:rPr>
        <w:t> </w:t>
      </w:r>
      <w:r>
        <w:rPr>
          <w:spacing w:val="-41"/>
        </w:rPr>
      </w:r>
      <w:r>
        <w:rPr/>
        <w:t>民生应用平台能力、城市终端服务能力。</w:t>
      </w:r>
    </w:p>
    <w:p>
      <w:pPr>
        <w:pStyle w:val="BodyText"/>
        <w:spacing w:line="240" w:lineRule="auto" w:before="59"/>
        <w:ind w:left="471" w:right="274"/>
        <w:jc w:val="left"/>
      </w:pPr>
      <w:r>
        <w:rPr/>
        <w:t>（三）可能面临的风险</w:t>
      </w:r>
    </w:p>
    <w:p>
      <w:pPr>
        <w:pStyle w:val="BodyText"/>
        <w:spacing w:line="240" w:lineRule="auto" w:before="115"/>
        <w:ind w:left="687" w:right="274"/>
        <w:jc w:val="left"/>
      </w:pPr>
      <w:r>
        <w:rPr>
          <w:rFonts w:ascii="Times New Roman" w:hAnsi="Times New Roman" w:cs="Times New Roman" w:eastAsia="Times New Roman" w:hint="default"/>
        </w:rPr>
        <w:t>1</w:t>
      </w:r>
      <w:r>
        <w:rPr/>
        <w:t>、市场风险</w:t>
      </w:r>
    </w:p>
    <w:p>
      <w:pPr>
        <w:pStyle w:val="BodyText"/>
        <w:spacing w:line="340" w:lineRule="auto" w:before="103"/>
        <w:ind w:left="452" w:right="147" w:firstLine="19"/>
        <w:jc w:val="left"/>
      </w:pPr>
      <w:r>
        <w:rPr/>
        <w:t>（</w:t>
      </w:r>
      <w:r>
        <w:rPr>
          <w:rFonts w:ascii="Times New Roman" w:hAnsi="Times New Roman" w:cs="Times New Roman" w:eastAsia="Times New Roman" w:hint="default"/>
        </w:rPr>
        <w:t>1</w:t>
      </w:r>
      <w:r>
        <w:rPr/>
        <w:t>）市场竞争加剧的风险 </w:t>
      </w:r>
      <w:r>
        <w:rPr>
          <w:spacing w:val="-1"/>
        </w:rPr>
        <w:t>随着国家对民生信息化领域的重视和投入逐年增加，市场规模不断扩大，市场环境的逐步成熟，国内外越来越多的企业开</w:t>
      </w:r>
    </w:p>
    <w:p>
      <w:pPr>
        <w:pStyle w:val="BodyText"/>
        <w:spacing w:line="240" w:lineRule="auto" w:before="1"/>
        <w:ind w:left="111" w:right="0"/>
        <w:jc w:val="both"/>
      </w:pPr>
      <w:r>
        <w:rPr/>
        <w:t>始涉足该领域，市场竞争程度不断加剧。新竞争者的进入，将会使公司面临更严峻的市场竞争风险。</w:t>
      </w:r>
    </w:p>
    <w:p>
      <w:pPr>
        <w:pStyle w:val="BodyText"/>
        <w:spacing w:line="340" w:lineRule="auto" w:before="115"/>
        <w:ind w:left="452" w:right="94" w:firstLine="19"/>
        <w:jc w:val="left"/>
      </w:pPr>
      <w:r>
        <w:rPr/>
        <w:t>（</w:t>
      </w:r>
      <w:r>
        <w:rPr>
          <w:rFonts w:ascii="Times New Roman" w:hAnsi="Times New Roman" w:cs="Times New Roman" w:eastAsia="Times New Roman" w:hint="default"/>
        </w:rPr>
        <w:t>2</w:t>
      </w:r>
      <w:r>
        <w:rPr/>
        <w:t>）新开拓市场的持续增长风险 公司通过特色化和差异化的服务将现有的竞争优势复制到医疗卫生、民政、住房公积金等其他民生领域已取得一定成果，</w:t>
      </w:r>
    </w:p>
    <w:p>
      <w:pPr>
        <w:pStyle w:val="BodyText"/>
        <w:spacing w:line="316" w:lineRule="auto" w:before="1"/>
        <w:ind w:left="111" w:right="163"/>
        <w:jc w:val="both"/>
      </w:pPr>
      <w:r>
        <w:rPr>
          <w:spacing w:val="-2"/>
        </w:rPr>
        <w:t>但是，公司在上述领域的竞争优势、行业地位和经营经验仍显不足。未来，能否在上述新开拓市场保持快速增长，对公司的综</w:t>
      </w:r>
      <w:r>
        <w:rPr>
          <w:spacing w:val="-54"/>
        </w:rPr>
        <w:t> </w:t>
      </w:r>
      <w:r>
        <w:rPr>
          <w:spacing w:val="-54"/>
        </w:rPr>
      </w:r>
      <w:r>
        <w:rPr/>
        <w:t>合能力提出了更高要求和挑战，公司将面临新开拓市场的持续增长风险。</w:t>
      </w:r>
    </w:p>
    <w:p>
      <w:pPr>
        <w:pStyle w:val="BodyText"/>
        <w:spacing w:line="240" w:lineRule="auto" w:before="59"/>
        <w:ind w:left="615" w:right="274"/>
        <w:jc w:val="left"/>
      </w:pPr>
      <w:r>
        <w:rPr>
          <w:rFonts w:ascii="Times New Roman" w:hAnsi="Times New Roman" w:cs="Times New Roman" w:eastAsia="Times New Roman" w:hint="default"/>
        </w:rPr>
        <w:t>2</w:t>
      </w:r>
      <w:r>
        <w:rPr/>
        <w:t>、技术风险</w:t>
      </w:r>
    </w:p>
    <w:p>
      <w:pPr>
        <w:pStyle w:val="BodyText"/>
        <w:spacing w:line="340" w:lineRule="auto" w:before="101"/>
        <w:ind w:left="543" w:right="183" w:hanging="111"/>
        <w:jc w:val="left"/>
      </w:pPr>
      <w:r>
        <w:rPr/>
        <w:t>（</w:t>
      </w:r>
      <w:r>
        <w:rPr>
          <w:rFonts w:ascii="Times New Roman" w:hAnsi="Times New Roman" w:cs="Times New Roman" w:eastAsia="Times New Roman" w:hint="default"/>
        </w:rPr>
        <w:t>1</w:t>
      </w:r>
      <w:r>
        <w:rPr/>
        <w:t>）技术研发不能紧跟政策变化的风险 公司主营业务与政府部门颁布的涉及民生领域的政策密切相关。公司的产品和服务需要紧随政策的变化而及时更新和调</w:t>
      </w:r>
    </w:p>
    <w:p>
      <w:pPr>
        <w:pStyle w:val="BodyText"/>
        <w:spacing w:line="319" w:lineRule="auto" w:before="1"/>
        <w:ind w:left="111" w:right="161"/>
        <w:jc w:val="both"/>
      </w:pPr>
      <w:r>
        <w:rPr>
          <w:spacing w:val="-2"/>
        </w:rPr>
        <w:t>整，甚至需要做大量的前瞻性政策和技术研究工作。随着国家对民生信息化领域的重视，一系列涉及民生信息化领域的政策将</w:t>
      </w:r>
      <w:r>
        <w:rPr>
          <w:spacing w:val="-52"/>
        </w:rPr>
        <w:t> </w:t>
      </w:r>
      <w:r>
        <w:rPr>
          <w:spacing w:val="-52"/>
        </w:rPr>
      </w:r>
      <w:r>
        <w:rPr>
          <w:spacing w:val="-2"/>
        </w:rPr>
        <w:t>会密集出台，新政策对公司现有产品和服务的功能、类型等方面都提出了更高的要求，对公司的技术研发能力提出了更高的挑</w:t>
      </w:r>
      <w:r>
        <w:rPr>
          <w:spacing w:val="-52"/>
        </w:rPr>
        <w:t> </w:t>
      </w:r>
      <w:r>
        <w:rPr>
          <w:spacing w:val="-52"/>
        </w:rPr>
      </w:r>
      <w:r>
        <w:rPr>
          <w:spacing w:val="-2"/>
        </w:rPr>
        <w:t>战。未来，如果公司不能继续保持在行业内的技术研发优势，提供的产品和服务不能及时满足政策变化的要求，公司现有的竞</w:t>
      </w:r>
      <w:r>
        <w:rPr>
          <w:spacing w:val="-51"/>
        </w:rPr>
        <w:t> </w:t>
      </w:r>
      <w:r>
        <w:rPr>
          <w:spacing w:val="-51"/>
        </w:rPr>
      </w:r>
      <w:r>
        <w:rPr/>
        <w:t>争优势将会被削弱，现有的市场地位将受到挑战。</w:t>
      </w:r>
    </w:p>
    <w:p>
      <w:pPr>
        <w:pStyle w:val="BodyText"/>
        <w:spacing w:line="338" w:lineRule="auto" w:before="58"/>
        <w:ind w:left="543" w:right="183"/>
        <w:jc w:val="left"/>
      </w:pPr>
      <w:r>
        <w:rPr/>
        <w:t>（</w:t>
      </w:r>
      <w:r>
        <w:rPr>
          <w:rFonts w:ascii="Times New Roman" w:hAnsi="Times New Roman" w:cs="Times New Roman" w:eastAsia="Times New Roman" w:hint="default"/>
        </w:rPr>
        <w:t>2</w:t>
      </w:r>
      <w:r>
        <w:rPr/>
        <w:t>）技术失密的风险 公司自成立以来持续进行技术创新，拥有一系列处于国内领先水平的核心技术和产品，并积累了丰富的行业经验，公司</w:t>
      </w:r>
    </w:p>
    <w:p>
      <w:pPr>
        <w:pStyle w:val="BodyText"/>
        <w:spacing w:line="316" w:lineRule="auto" w:before="2"/>
        <w:ind w:left="111" w:right="165"/>
        <w:jc w:val="both"/>
      </w:pPr>
      <w:r>
        <w:rPr>
          <w:spacing w:val="-2"/>
        </w:rPr>
        <w:t>的研发、生产和服务能力处于行业领先水平。公司生产经营和技术创新依赖于多年积累起来的核心技术，而这些核心技术由相</w:t>
      </w:r>
      <w:r>
        <w:rPr>
          <w:spacing w:val="-52"/>
        </w:rPr>
        <w:t> </w:t>
      </w:r>
      <w:r>
        <w:rPr>
          <w:spacing w:val="-52"/>
        </w:rPr>
      </w:r>
      <w:r>
        <w:rPr>
          <w:spacing w:val="-2"/>
        </w:rPr>
        <w:t>关的核心技术人员和关键管理人员所掌握。核心技术人员和关键管理人员的流失或者出现不慎技术信息失密，可能会给公司技</w:t>
      </w:r>
      <w:r>
        <w:rPr>
          <w:spacing w:val="-52"/>
        </w:rPr>
        <w:t> </w:t>
      </w:r>
      <w:r>
        <w:rPr>
          <w:spacing w:val="-52"/>
        </w:rPr>
      </w:r>
      <w:r>
        <w:rPr/>
        <w:t>术研发、生产经营带来不利影响，因此，公司存在技术失密的风险。</w:t>
      </w:r>
    </w:p>
    <w:p>
      <w:pPr>
        <w:pStyle w:val="BodyText"/>
        <w:spacing w:line="340" w:lineRule="auto" w:before="59"/>
        <w:ind w:left="452" w:right="147" w:firstLine="91"/>
        <w:jc w:val="left"/>
      </w:pPr>
      <w:r>
        <w:rPr>
          <w:rFonts w:ascii="Times New Roman" w:hAnsi="Times New Roman" w:cs="Times New Roman" w:eastAsia="Times New Roman" w:hint="default"/>
        </w:rPr>
        <w:t>3</w:t>
      </w:r>
      <w:r>
        <w:rPr/>
        <w:t>、经营成本上涨的风险 </w:t>
      </w:r>
      <w:r>
        <w:rPr>
          <w:spacing w:val="-1"/>
        </w:rPr>
        <w:t>近年来，随着经济社会的全面发展以及通货膨胀带来的生活成本上升，公司的用工成本呈现逐年增加的趋势。随着未来全</w:t>
      </w:r>
    </w:p>
    <w:p>
      <w:pPr>
        <w:pStyle w:val="BodyText"/>
        <w:spacing w:line="338" w:lineRule="auto" w:before="1"/>
        <w:ind w:left="471" w:right="94" w:hanging="361"/>
        <w:jc w:val="left"/>
      </w:pPr>
      <w:r>
        <w:rPr/>
        <w:t>社会平均工资水平持续上升</w:t>
      </w:r>
      <w:r>
        <w:rPr>
          <w:rFonts w:ascii="Times New Roman" w:hAnsi="Times New Roman" w:cs="Times New Roman" w:eastAsia="Times New Roman" w:hint="default"/>
        </w:rPr>
        <w:t>,</w:t>
      </w:r>
      <w:r>
        <w:rPr/>
        <w:t>行业人力资源成本的上涨</w:t>
      </w:r>
      <w:r>
        <w:rPr>
          <w:rFonts w:ascii="Times New Roman" w:hAnsi="Times New Roman" w:cs="Times New Roman" w:eastAsia="Times New Roman" w:hint="default"/>
        </w:rPr>
        <w:t>,</w:t>
      </w:r>
      <w:r>
        <w:rPr/>
        <w:t>公司员工薪酬水平面临上涨压力</w:t>
      </w:r>
      <w:r>
        <w:rPr>
          <w:rFonts w:ascii="Times New Roman" w:hAnsi="Times New Roman" w:cs="Times New Roman" w:eastAsia="Times New Roman" w:hint="default"/>
        </w:rPr>
        <w:t>,</w:t>
      </w:r>
      <w:r>
        <w:rPr/>
        <w:t>从而给公司带来较大的经营压力。 </w:t>
      </w:r>
      <w:r>
        <w:rPr>
          <w:rFonts w:ascii="Times New Roman" w:hAnsi="Times New Roman" w:cs="Times New Roman" w:eastAsia="Times New Roman" w:hint="default"/>
        </w:rPr>
        <w:t>4</w:t>
      </w:r>
      <w:r>
        <w:rPr/>
        <w:t>、运维服务收费标准下降的风险 </w:t>
      </w:r>
      <w:r>
        <w:rPr>
          <w:spacing w:val="-2"/>
        </w:rPr>
        <w:t>运维服务业务的服务对象主要为药店、医疗机构、企业、社区服务机构及各级政府相关部门。未来，受到运维服务市场规</w:t>
      </w:r>
    </w:p>
    <w:p>
      <w:pPr>
        <w:pStyle w:val="BodyText"/>
        <w:spacing w:line="240" w:lineRule="auto" w:before="2"/>
        <w:ind w:left="111" w:right="0"/>
        <w:jc w:val="both"/>
      </w:pPr>
      <w:r>
        <w:rPr/>
        <w:t>模扩大、市场成熟度提高、市场竞争程度加剧等因素的影响，运维服务收费标准将可能呈现下降的趋势，公司将面临运维服务</w:t>
      </w:r>
    </w:p>
    <w:p>
      <w:pPr>
        <w:spacing w:after="0" w:line="240" w:lineRule="auto"/>
        <w:jc w:val="both"/>
        <w:sectPr>
          <w:pgSz w:w="11910" w:h="16840"/>
          <w:pgMar w:header="745" w:footer="979" w:top="1060" w:bottom="1160" w:left="880" w:right="920"/>
        </w:sectPr>
      </w:pPr>
    </w:p>
    <w:p>
      <w:pPr>
        <w:spacing w:line="240" w:lineRule="auto" w:before="10"/>
        <w:rPr>
          <w:rFonts w:ascii="宋体" w:hAnsi="宋体" w:cs="宋体" w:eastAsia="宋体" w:hint="default"/>
          <w:sz w:val="25"/>
          <w:szCs w:val="25"/>
        </w:rPr>
      </w:pPr>
    </w:p>
    <w:p>
      <w:pPr>
        <w:pStyle w:val="BodyText"/>
        <w:spacing w:line="240" w:lineRule="auto" w:before="44"/>
        <w:ind w:left="111" w:right="0"/>
        <w:jc w:val="both"/>
      </w:pPr>
      <w:r>
        <w:rPr/>
        <w:t>收费标准下降的风险。</w:t>
      </w:r>
    </w:p>
    <w:p>
      <w:pPr>
        <w:pStyle w:val="BodyText"/>
        <w:spacing w:line="338" w:lineRule="auto" w:before="117"/>
        <w:ind w:left="471" w:right="94"/>
        <w:jc w:val="left"/>
      </w:pPr>
      <w:r>
        <w:rPr>
          <w:rFonts w:ascii="Times New Roman" w:hAnsi="Times New Roman" w:cs="Times New Roman" w:eastAsia="Times New Roman" w:hint="default"/>
        </w:rPr>
        <w:t>5</w:t>
      </w:r>
      <w:r>
        <w:rPr/>
        <w:t>、行业政策变化的风险 </w:t>
      </w:r>
      <w:r>
        <w:rPr>
          <w:spacing w:val="-2"/>
        </w:rPr>
        <w:t>民生信息化领域的市场规模与政府部门的重视程度和投资力度密切相关。近年来，国家各级政府部门相继出台了一系列扶</w:t>
      </w:r>
    </w:p>
    <w:p>
      <w:pPr>
        <w:pStyle w:val="BodyText"/>
        <w:spacing w:line="316" w:lineRule="auto" w:before="2"/>
        <w:ind w:left="111" w:right="165"/>
        <w:jc w:val="both"/>
      </w:pPr>
      <w:r>
        <w:rPr>
          <w:spacing w:val="-2"/>
        </w:rPr>
        <w:t>持和发展民生信息化领域的政策措施，政府投资逐步增加，从而带动了政府部门、经办机构、社会服务机构、参保单位、社会</w:t>
      </w:r>
      <w:r>
        <w:rPr>
          <w:spacing w:val="-58"/>
        </w:rPr>
        <w:t> </w:t>
      </w:r>
      <w:r>
        <w:rPr>
          <w:spacing w:val="-58"/>
        </w:rPr>
      </w:r>
      <w:r>
        <w:rPr>
          <w:spacing w:val="-2"/>
        </w:rPr>
        <w:t>公众等对民生信息化产品和服务的需求，以人力资源和社会保障为核心的民生信息化领域取得了快速发展。但是，不排除国家</w:t>
      </w:r>
      <w:r>
        <w:rPr>
          <w:spacing w:val="-52"/>
        </w:rPr>
        <w:t> </w:t>
      </w:r>
      <w:r>
        <w:rPr>
          <w:spacing w:val="-52"/>
        </w:rPr>
      </w:r>
      <w:r>
        <w:rPr/>
        <w:t>未来减少民生信息化领域的投资力度或者政策环境发生重大不利变化的可能，从而对公司的生产经营带来不利影响。</w:t>
      </w:r>
    </w:p>
    <w:p>
      <w:pPr>
        <w:pStyle w:val="BodyText"/>
        <w:spacing w:line="340" w:lineRule="auto" w:before="59"/>
        <w:ind w:left="452" w:right="94" w:hanging="128"/>
        <w:jc w:val="left"/>
      </w:pPr>
      <w:r>
        <w:rPr>
          <w:rFonts w:ascii="Times New Roman" w:hAnsi="Times New Roman" w:cs="Times New Roman" w:eastAsia="Times New Roman" w:hint="default"/>
        </w:rPr>
        <w:t>6</w:t>
      </w:r>
      <w:r>
        <w:rPr/>
        <w:t>、快速发展带来的管理风险 公司自成立以来，保持了较快的发展速度。公司资产规模的扩大和人员的增加使得公司的组织架构、管理体系趋于复杂。</w:t>
      </w:r>
    </w:p>
    <w:p>
      <w:pPr>
        <w:pStyle w:val="BodyText"/>
        <w:spacing w:line="319" w:lineRule="auto" w:before="1"/>
        <w:ind w:left="111" w:right="165"/>
        <w:jc w:val="both"/>
      </w:pPr>
      <w:r>
        <w:rPr>
          <w:spacing w:val="-2"/>
        </w:rPr>
        <w:t>随着募集资金的到位和募投项目的实施，以及设立新的全资或控股子公司，公司的资产规模还将进一步扩大，对公司管理层的</w:t>
      </w:r>
      <w:r>
        <w:rPr>
          <w:spacing w:val="-52"/>
        </w:rPr>
        <w:t> </w:t>
      </w:r>
      <w:r>
        <w:rPr>
          <w:spacing w:val="-52"/>
        </w:rPr>
      </w:r>
      <w:r>
        <w:rPr>
          <w:spacing w:val="-2"/>
        </w:rPr>
        <w:t>管理能力和管理水平提出了更高要求。如果公司管理层的管理能力和管理水平以及管理人员配置不能及时满足资产、业务规模</w:t>
      </w:r>
      <w:r>
        <w:rPr>
          <w:spacing w:val="-52"/>
        </w:rPr>
        <w:t> </w:t>
      </w:r>
      <w:r>
        <w:rPr>
          <w:spacing w:val="-52"/>
        </w:rPr>
      </w:r>
      <w:r>
        <w:rPr/>
        <w:t>迅速扩张的要求，公司的生产经营和业绩提升将会受到一定影响。</w:t>
      </w:r>
    </w:p>
    <w:p>
      <w:pPr>
        <w:pStyle w:val="BodyText"/>
        <w:spacing w:line="340" w:lineRule="auto" w:before="55"/>
        <w:ind w:left="452" w:right="158" w:hanging="128"/>
        <w:jc w:val="left"/>
      </w:pPr>
      <w:r>
        <w:rPr>
          <w:rFonts w:ascii="Times New Roman" w:hAnsi="Times New Roman" w:cs="Times New Roman" w:eastAsia="Times New Roman" w:hint="default"/>
        </w:rPr>
        <w:t>7</w:t>
      </w:r>
      <w:r>
        <w:rPr/>
        <w:t>、人力资源风险 </w:t>
      </w:r>
      <w:r>
        <w:rPr>
          <w:spacing w:val="-1"/>
        </w:rPr>
        <w:t>作为专业从事</w:t>
      </w:r>
      <w:r>
        <w:rPr>
          <w:rFonts w:ascii="Times New Roman" w:hAnsi="Times New Roman" w:cs="Times New Roman" w:eastAsia="Times New Roman" w:hint="default"/>
          <w:spacing w:val="-1"/>
        </w:rPr>
        <w:t>IT</w:t>
      </w:r>
      <w:r>
        <w:rPr>
          <w:spacing w:val="-1"/>
        </w:rPr>
        <w:t>软件及服务的高新技术企业，公司的研发和创新都不可避免地依赖于核心技术人员。多年以来，公司秉承</w:t>
      </w:r>
    </w:p>
    <w:p>
      <w:pPr>
        <w:pStyle w:val="BodyText"/>
        <w:spacing w:line="228" w:lineRule="exact"/>
        <w:ind w:left="111" w:right="0"/>
        <w:jc w:val="both"/>
      </w:pPr>
      <w:r>
        <w:rPr/>
        <w:t>和倡导中物院</w:t>
      </w:r>
      <w:r>
        <w:rPr>
          <w:rFonts w:ascii="Times New Roman" w:hAnsi="Times New Roman" w:cs="Times New Roman" w:eastAsia="Times New Roman" w:hint="default"/>
        </w:rPr>
        <w:t>“</w:t>
      </w:r>
      <w:r>
        <w:rPr/>
        <w:t>铸国防基石、做民族脊梁</w:t>
      </w:r>
      <w:r>
        <w:rPr>
          <w:rFonts w:ascii="Times New Roman" w:hAnsi="Times New Roman" w:cs="Times New Roman" w:eastAsia="Times New Roman" w:hint="default"/>
        </w:rPr>
        <w:t>”</w:t>
      </w:r>
      <w:r>
        <w:rPr/>
        <w:t>的核心价值观，提供有竞争力的薪酬和福利，建立科学的绩效管理和人才培训机制，</w:t>
      </w:r>
    </w:p>
    <w:p>
      <w:pPr>
        <w:pStyle w:val="BodyText"/>
        <w:spacing w:line="316" w:lineRule="auto" w:before="63"/>
        <w:ind w:left="111" w:right="165"/>
        <w:jc w:val="both"/>
      </w:pPr>
      <w:r>
        <w:rPr>
          <w:spacing w:val="-2"/>
        </w:rPr>
        <w:t>培养和锻炼了一支具有丰富行业经验和高度专业化的人才队伍。但随着行业内市场竞争程度逐步加剧，对于高素质人才的争夺</w:t>
      </w:r>
      <w:r>
        <w:rPr>
          <w:spacing w:val="-52"/>
        </w:rPr>
        <w:t> </w:t>
      </w:r>
      <w:r>
        <w:rPr>
          <w:spacing w:val="-52"/>
        </w:rPr>
      </w:r>
      <w:r>
        <w:rPr>
          <w:spacing w:val="-2"/>
        </w:rPr>
        <w:t>将会更加激烈，公司面临因竞争而流失人才的风险。同时，随着公司业务的发展，公司对于专业人才的需求将进一步增加，如</w:t>
      </w:r>
      <w:r>
        <w:rPr>
          <w:spacing w:val="-55"/>
        </w:rPr>
        <w:t> </w:t>
      </w:r>
      <w:r>
        <w:rPr>
          <w:spacing w:val="-55"/>
        </w:rPr>
      </w:r>
      <w:r>
        <w:rPr>
          <w:spacing w:val="-2"/>
        </w:rPr>
        <w:t>果公司不能保持现有人才队伍的稳定，并及时招聘和培养一批足够且合格的专业人才，将会对公司未来业务的发展造成不利影</w:t>
      </w:r>
      <w:r>
        <w:rPr>
          <w:spacing w:val="-52"/>
        </w:rPr>
        <w:t> </w:t>
      </w:r>
      <w:r>
        <w:rPr>
          <w:spacing w:val="-52"/>
        </w:rPr>
      </w:r>
      <w:r>
        <w:rPr/>
        <w:t>响。</w:t>
      </w:r>
    </w:p>
    <w:p>
      <w:pPr>
        <w:spacing w:line="240" w:lineRule="auto" w:before="11"/>
        <w:rPr>
          <w:rFonts w:ascii="宋体" w:hAnsi="宋体" w:cs="宋体" w:eastAsia="宋体" w:hint="default"/>
          <w:sz w:val="20"/>
          <w:szCs w:val="20"/>
        </w:rPr>
      </w:pPr>
    </w:p>
    <w:p>
      <w:pPr>
        <w:pStyle w:val="Heading2"/>
        <w:spacing w:line="240" w:lineRule="auto"/>
        <w:ind w:left="252" w:right="274"/>
        <w:jc w:val="left"/>
        <w:rPr>
          <w:b w:val="0"/>
          <w:bCs w:val="0"/>
        </w:rPr>
      </w:pP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52" w:right="27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52" w:right="2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247"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具体内容详见深交所互易动</w:t>
            </w:r>
          </w:p>
        </w:tc>
      </w:tr>
    </w:tbl>
    <w:p>
      <w:pPr>
        <w:spacing w:after="0" w:line="240" w:lineRule="auto"/>
        <w:jc w:val="left"/>
        <w:rPr>
          <w:rFonts w:ascii="宋体" w:hAnsi="宋体" w:cs="宋体" w:eastAsia="宋体" w:hint="default"/>
          <w:sz w:val="18"/>
          <w:szCs w:val="18"/>
        </w:rPr>
        <w:sectPr>
          <w:pgSz w:w="11910" w:h="16840"/>
          <w:pgMar w:header="745" w:footer="979" w:top="1060" w:bottom="1160" w:left="8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0"/>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spacing w:line="240" w:lineRule="auto" w:before="2"/>
        <w:rPr>
          <w:rFonts w:ascii="宋体" w:hAnsi="宋体" w:cs="宋体" w:eastAsia="宋体" w:hint="default"/>
          <w:sz w:val="14"/>
          <w:szCs w:val="14"/>
        </w:rPr>
      </w:pPr>
    </w:p>
    <w:p>
      <w:pPr>
        <w:pStyle w:val="BodyText"/>
        <w:spacing w:line="316" w:lineRule="auto"/>
        <w:ind w:right="0" w:firstLine="480"/>
        <w:jc w:val="left"/>
      </w:pPr>
      <w:r>
        <w:rPr>
          <w:spacing w:val="-1"/>
        </w:rPr>
        <w:t>公司在股利分配方面实行同股同权、同股同利的原则，按股东持有的股份比例进行年度股利分配。具体分配比例由公</w:t>
      </w:r>
      <w:r>
        <w:rPr/>
        <w:t> 司董事会视公司经营发展情况提出方案，经股东大会审议通过后执行。公司可以采取现金或者股票方式分配股利。</w:t>
      </w:r>
    </w:p>
    <w:p>
      <w:pPr>
        <w:pStyle w:val="BodyText"/>
        <w:spacing w:line="240" w:lineRule="auto" w:before="139"/>
        <w:ind w:left="633" w:right="0"/>
        <w:jc w:val="left"/>
      </w:pPr>
      <w:r>
        <w:rPr/>
        <w:t>根据有关法律法规和《公司章程》的规定，公司交纳所得税后的利润，按下列顺序分配：</w:t>
      </w:r>
    </w:p>
    <w:p>
      <w:pPr>
        <w:spacing w:line="240" w:lineRule="auto" w:before="0"/>
        <w:rPr>
          <w:rFonts w:ascii="宋体" w:hAnsi="宋体" w:cs="宋体" w:eastAsia="宋体" w:hint="default"/>
          <w:sz w:val="15"/>
          <w:szCs w:val="15"/>
        </w:rPr>
      </w:pPr>
    </w:p>
    <w:p>
      <w:pPr>
        <w:pStyle w:val="BodyText"/>
        <w:spacing w:line="240" w:lineRule="auto"/>
        <w:ind w:left="633" w:right="0"/>
        <w:jc w:val="left"/>
      </w:pPr>
      <w:r>
        <w:rPr>
          <w:rFonts w:ascii="Times New Roman" w:hAnsi="Times New Roman" w:cs="Times New Roman" w:eastAsia="Times New Roman" w:hint="default"/>
        </w:rPr>
        <w:t>1</w:t>
      </w:r>
      <w:r>
        <w:rPr/>
        <w:t>、弥补以前年度发生的亏损；</w:t>
      </w:r>
    </w:p>
    <w:p>
      <w:pPr>
        <w:spacing w:line="240" w:lineRule="auto" w:before="13"/>
        <w:rPr>
          <w:rFonts w:ascii="宋体" w:hAnsi="宋体" w:cs="宋体" w:eastAsia="宋体" w:hint="default"/>
          <w:sz w:val="13"/>
          <w:szCs w:val="13"/>
        </w:rPr>
      </w:pPr>
    </w:p>
    <w:p>
      <w:pPr>
        <w:pStyle w:val="BodyText"/>
        <w:spacing w:line="240" w:lineRule="auto"/>
        <w:ind w:left="633" w:right="0"/>
        <w:jc w:val="left"/>
      </w:pPr>
      <w:r>
        <w:rPr>
          <w:rFonts w:ascii="Times New Roman" w:hAnsi="Times New Roman" w:cs="Times New Roman" w:eastAsia="Times New Roman" w:hint="default"/>
        </w:rPr>
        <w:t>2</w:t>
      </w:r>
      <w:r>
        <w:rPr/>
        <w:t>、提取法定公积金</w:t>
      </w:r>
      <w:r>
        <w:rPr>
          <w:rFonts w:ascii="Times New Roman" w:hAnsi="Times New Roman" w:cs="Times New Roman" w:eastAsia="Times New Roman" w:hint="default"/>
        </w:rPr>
        <w:t>10%</w:t>
      </w:r>
      <w:r>
        <w:rPr/>
        <w:t>；</w:t>
      </w:r>
    </w:p>
    <w:p>
      <w:pPr>
        <w:spacing w:line="240" w:lineRule="auto" w:before="13"/>
        <w:rPr>
          <w:rFonts w:ascii="宋体" w:hAnsi="宋体" w:cs="宋体" w:eastAsia="宋体" w:hint="default"/>
          <w:sz w:val="13"/>
          <w:szCs w:val="13"/>
        </w:rPr>
      </w:pPr>
    </w:p>
    <w:p>
      <w:pPr>
        <w:pStyle w:val="BodyText"/>
        <w:spacing w:line="240" w:lineRule="auto"/>
        <w:ind w:left="633" w:right="0"/>
        <w:jc w:val="left"/>
      </w:pPr>
      <w:r>
        <w:rPr>
          <w:rFonts w:ascii="Times New Roman" w:hAnsi="Times New Roman" w:cs="Times New Roman" w:eastAsia="Times New Roman" w:hint="default"/>
        </w:rPr>
        <w:t>3</w:t>
      </w:r>
      <w:r>
        <w:rPr/>
        <w:t>、提取任意公积金；</w:t>
      </w:r>
    </w:p>
    <w:p>
      <w:pPr>
        <w:pStyle w:val="BodyText"/>
        <w:spacing w:line="430" w:lineRule="atLeast" w:before="2"/>
        <w:ind w:left="633" w:right="143"/>
        <w:jc w:val="left"/>
      </w:pPr>
      <w:r>
        <w:rPr>
          <w:rFonts w:ascii="Times New Roman" w:hAnsi="Times New Roman" w:cs="Times New Roman" w:eastAsia="Times New Roman" w:hint="default"/>
        </w:rPr>
        <w:t>4</w:t>
      </w:r>
      <w:r>
        <w:rPr/>
        <w:t>、支付股东股利。 公司法定公积金累计额达到公司注册资本的</w:t>
      </w:r>
      <w:r>
        <w:rPr>
          <w:rFonts w:ascii="Times New Roman" w:hAnsi="Times New Roman" w:cs="Times New Roman" w:eastAsia="Times New Roman" w:hint="default"/>
        </w:rPr>
        <w:t>50%</w:t>
      </w:r>
      <w:r>
        <w:rPr/>
        <w:t>以上时，可以不再提取。公司的法定公积金不足以弥补以前年度亏损</w:t>
      </w:r>
    </w:p>
    <w:p>
      <w:pPr>
        <w:pStyle w:val="BodyText"/>
        <w:spacing w:line="319" w:lineRule="auto" w:before="63"/>
        <w:ind w:right="0"/>
        <w:jc w:val="left"/>
      </w:pPr>
      <w:r>
        <w:rPr>
          <w:spacing w:val="-2"/>
        </w:rPr>
        <w:t>的，在提取法定公积金之前，应当先用当年利润弥补亏损。公司从税后利润中提取法定公积金后，经股东大会决议，还可以</w:t>
      </w:r>
      <w:r>
        <w:rPr>
          <w:spacing w:val="-67"/>
        </w:rPr>
        <w:t> </w:t>
      </w:r>
      <w:r>
        <w:rPr>
          <w:spacing w:val="-67"/>
        </w:rPr>
      </w:r>
      <w:r>
        <w:rPr/>
        <w:t>从税后利润中提取任意公积金。</w:t>
      </w:r>
    </w:p>
    <w:p>
      <w:pPr>
        <w:pStyle w:val="BodyText"/>
        <w:spacing w:line="316" w:lineRule="auto" w:before="137"/>
        <w:ind w:right="0" w:firstLine="480"/>
        <w:jc w:val="left"/>
      </w:pPr>
      <w:r>
        <w:rPr>
          <w:spacing w:val="-1"/>
        </w:rPr>
        <w:t>公司的公积金用于弥补公司的亏损、扩大公司生产经营或者转为增加公司资本。但是，资本公积金将不用于弥补公司</w:t>
      </w:r>
      <w:r>
        <w:rPr/>
        <w:t> 的亏损。法定公积金转为资本时，所留存的该项公积金将不少于转增前公司注册资本的</w:t>
      </w:r>
      <w:r>
        <w:rPr>
          <w:rFonts w:ascii="Times New Roman" w:hAnsi="Times New Roman" w:cs="Times New Roman" w:eastAsia="Times New Roman" w:hint="default"/>
        </w:rPr>
        <w:t>25%</w:t>
      </w:r>
      <w:r>
        <w:rPr/>
        <w:t>。</w:t>
      </w:r>
    </w:p>
    <w:p>
      <w:pPr>
        <w:pStyle w:val="BodyText"/>
        <w:spacing w:line="240" w:lineRule="auto" w:before="119"/>
        <w:ind w:right="0"/>
        <w:jc w:val="left"/>
      </w:pPr>
      <w:r>
        <w:rPr/>
        <w:t>公司股东大会对利润分配方案作出决议后，公司董事会须在股东大会召开后两个月内完成股利（或股份）的派发事项。</w:t>
      </w:r>
    </w:p>
    <w:p>
      <w:pPr>
        <w:spacing w:line="240" w:lineRule="auto" w:before="1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7"/>
      </w:tblGrid>
      <w:tr>
        <w:trPr>
          <w:trHeight w:val="421" w:hRule="exact"/>
        </w:trPr>
        <w:tc>
          <w:tcPr>
            <w:tcW w:w="956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28" w:hRule="exact"/>
        </w:trPr>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8"/>
              <w:ind w:left="2" w:right="84"/>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9" w:hRule="exact"/>
        </w:trPr>
        <w:tc>
          <w:tcPr>
            <w:tcW w:w="47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8"/>
              <w:ind w:left="2" w:right="84"/>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27"/>
          <w:szCs w:val="27"/>
        </w:rPr>
      </w:pPr>
    </w:p>
    <w:p>
      <w:pPr>
        <w:pStyle w:val="BodyText"/>
        <w:spacing w:line="338" w:lineRule="auto" w:before="44"/>
        <w:ind w:left="496" w:right="205" w:hanging="344"/>
        <w:jc w:val="left"/>
      </w:pPr>
      <w:r>
        <w:rPr/>
        <w:t>公司近</w:t>
      </w:r>
      <w:r>
        <w:rPr>
          <w:rFonts w:ascii="Times New Roman" w:hAnsi="Times New Roman" w:cs="Times New Roman" w:eastAsia="Times New Roman" w:hint="default"/>
        </w:rPr>
        <w:t>3</w:t>
      </w:r>
      <w:r>
        <w:rPr/>
        <w:t>年（包括本报告期）的普通股股利分配方案（预案）、资本公积金转增股本方案（预案）情况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年度利润分配预案及资本公积金转增股本方案情况 拟以总股本</w:t>
      </w:r>
      <w:r>
        <w:rPr>
          <w:rFonts w:ascii="Times New Roman" w:hAnsi="Times New Roman" w:cs="Times New Roman" w:eastAsia="Times New Roman" w:hint="default"/>
        </w:rPr>
        <w:t>172,540,592</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2.50</w:t>
      </w:r>
      <w:r>
        <w:rPr/>
        <w:t>元（含税），共分配现金红利</w:t>
      </w:r>
      <w:r>
        <w:rPr>
          <w:rFonts w:ascii="Times New Roman" w:hAnsi="Times New Roman" w:cs="Times New Roman" w:eastAsia="Times New Roman" w:hint="default"/>
        </w:rPr>
        <w:t>43,135,148</w:t>
      </w:r>
      <w:r>
        <w:rPr/>
        <w:t>元；不</w:t>
      </w:r>
    </w:p>
    <w:p>
      <w:pPr>
        <w:pStyle w:val="BodyText"/>
        <w:spacing w:line="217" w:lineRule="exact"/>
        <w:ind w:right="0"/>
        <w:jc w:val="left"/>
      </w:pPr>
      <w:r>
        <w:rPr/>
        <w:t>以公积金转增股本；不送红股；剩余未分配利润结转以后年度。</w:t>
      </w:r>
    </w:p>
    <w:p>
      <w:pPr>
        <w:pStyle w:val="BodyText"/>
        <w:spacing w:line="240" w:lineRule="auto" w:before="76"/>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年半年度利润分配预案及资本公积金转增股本方案情况</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84" w:firstLine="360"/>
        <w:jc w:val="left"/>
      </w:pPr>
      <w:r>
        <w:rPr/>
        <w:t>以公司总股本</w:t>
      </w:r>
      <w:r>
        <w:rPr>
          <w:rFonts w:ascii="Times New Roman" w:hAnsi="Times New Roman" w:cs="Times New Roman" w:eastAsia="Times New Roman" w:hint="default"/>
        </w:rPr>
        <w:t>80,000,000</w:t>
      </w:r>
      <w:r>
        <w:rPr/>
        <w:t>股为基数，向全体股东每</w:t>
      </w:r>
      <w:r>
        <w:rPr>
          <w:rFonts w:ascii="Times New Roman" w:hAnsi="Times New Roman" w:cs="Times New Roman" w:eastAsia="Times New Roman" w:hint="default"/>
        </w:rPr>
        <w:t>10</w:t>
      </w:r>
      <w:r>
        <w:rPr/>
        <w:t>股以资本公积转增</w:t>
      </w:r>
      <w:r>
        <w:rPr>
          <w:rFonts w:ascii="Times New Roman" w:hAnsi="Times New Roman" w:cs="Times New Roman" w:eastAsia="Times New Roman" w:hint="default"/>
        </w:rPr>
        <w:t>10</w:t>
      </w:r>
      <w:r>
        <w:rPr/>
        <w:t>股。不派发现金股利，不送红股。剩余未分配 利润结转以后年度。</w:t>
      </w:r>
    </w:p>
    <w:p>
      <w:pPr>
        <w:pStyle w:val="BodyText"/>
        <w:spacing w:line="300" w:lineRule="auto" w:before="31"/>
        <w:ind w:left="513" w:right="9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年度利润分配预案及资本公积金转增股本方案情况 以公司总股本</w:t>
      </w:r>
      <w:r>
        <w:rPr>
          <w:rFonts w:ascii="Times New Roman" w:hAnsi="Times New Roman" w:cs="Times New Roman" w:eastAsia="Times New Roman" w:hint="default"/>
        </w:rPr>
        <w:t>80,000,000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5.00</w:t>
      </w:r>
      <w:r>
        <w:rPr/>
        <w:t>元（含税）。共分配现金红利</w:t>
      </w:r>
      <w:r>
        <w:rPr>
          <w:rFonts w:ascii="Times New Roman" w:hAnsi="Times New Roman" w:cs="Times New Roman" w:eastAsia="Times New Roman" w:hint="default"/>
        </w:rPr>
        <w:t>40,000,000.00</w:t>
      </w:r>
      <w:r>
        <w:rPr/>
        <w:t>元，</w:t>
      </w:r>
    </w:p>
    <w:p>
      <w:pPr>
        <w:pStyle w:val="BodyText"/>
        <w:spacing w:line="309" w:lineRule="auto" w:before="13"/>
        <w:ind w:left="496" w:right="110" w:hanging="344"/>
        <w:jc w:val="left"/>
      </w:pPr>
      <w:r>
        <w:rPr/>
        <w:t>不以公积金转增股本；不送红股；剩余未分配利润结转以后年度。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年度利润分配预案及资本公积金转增股本方案情况 以公司总股本</w:t>
      </w:r>
      <w:r>
        <w:rPr>
          <w:rFonts w:ascii="Times New Roman" w:hAnsi="Times New Roman" w:cs="Times New Roman" w:eastAsia="Times New Roman" w:hint="default"/>
        </w:rPr>
        <w:t>80,000,000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5.00</w:t>
      </w:r>
      <w:r>
        <w:rPr/>
        <w:t>元（含税）。共分配现金红利</w:t>
      </w:r>
      <w:r>
        <w:rPr>
          <w:rFonts w:ascii="Times New Roman" w:hAnsi="Times New Roman" w:cs="Times New Roman" w:eastAsia="Times New Roman" w:hint="default"/>
        </w:rPr>
        <w:t>40,000,000.00</w:t>
      </w:r>
      <w:r>
        <w:rPr/>
        <w:t>元，</w:t>
      </w:r>
    </w:p>
    <w:p>
      <w:pPr>
        <w:pStyle w:val="BodyText"/>
        <w:spacing w:line="240" w:lineRule="auto" w:before="5"/>
        <w:ind w:right="99"/>
        <w:jc w:val="left"/>
      </w:pPr>
      <w:r>
        <w:rPr/>
        <w:t>不以公积金转增股本；不送红股；剩余未分配利润结转以后年度。</w:t>
      </w:r>
    </w:p>
    <w:p>
      <w:pPr>
        <w:spacing w:line="240" w:lineRule="auto" w:before="5"/>
        <w:rPr>
          <w:rFonts w:ascii="宋体" w:hAnsi="宋体" w:cs="宋体" w:eastAsia="宋体" w:hint="default"/>
          <w:sz w:val="29"/>
          <w:szCs w:val="29"/>
        </w:rPr>
      </w:pPr>
    </w:p>
    <w:p>
      <w:pPr>
        <w:pStyle w:val="BodyText"/>
        <w:spacing w:line="240" w:lineRule="auto" w:before="44"/>
        <w:ind w:right="99"/>
        <w:jc w:val="left"/>
      </w:pPr>
      <w:r>
        <w:rPr/>
        <w:t>公司近三年（包括本报告期）普通股现金分红情况表</w:t>
      </w:r>
    </w:p>
    <w:p>
      <w:pPr>
        <w:pStyle w:val="BodyText"/>
        <w:spacing w:line="240" w:lineRule="auto" w:before="115"/>
        <w:ind w:left="0" w:right="19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317"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43,135,148.00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90,795,508.19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77,266,341.24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57,222,712.49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9"/>
        <w:jc w:val="left"/>
      </w:pPr>
      <w:r>
        <w:rPr/>
        <w:t>公司报告期内盈利且母公司可供普通股股东分配利润为正但未提出普通股现金红利分配预案</w:t>
      </w:r>
    </w:p>
    <w:p>
      <w:pPr>
        <w:pStyle w:val="BodyText"/>
        <w:spacing w:line="240" w:lineRule="auto" w:before="115"/>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9"/>
        <w:jc w:val="left"/>
        <w:rPr>
          <w:b w:val="0"/>
          <w:bCs w:val="0"/>
        </w:rPr>
      </w:pP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6"/>
      </w:tblGrid>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2.50</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172,540,592</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43,135,148.00</w:t>
            </w:r>
          </w:p>
        </w:tc>
      </w:tr>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161,003,913.96</w:t>
            </w:r>
          </w:p>
        </w:tc>
      </w:tr>
      <w:tr>
        <w:trPr>
          <w:trHeight w:val="401"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35"/>
              <w:jc w:val="left"/>
              <w:rPr>
                <w:rFonts w:ascii="宋体" w:hAnsi="宋体" w:cs="宋体" w:eastAsia="宋体" w:hint="default"/>
                <w:sz w:val="18"/>
                <w:szCs w:val="18"/>
              </w:rPr>
            </w:pPr>
            <w:r>
              <w:rPr>
                <w:rFonts w:ascii="宋体" w:hAnsi="宋体" w:cs="宋体" w:eastAsia="宋体" w:hint="default"/>
                <w:sz w:val="18"/>
                <w:szCs w:val="18"/>
              </w:rPr>
              <w:t>拟以总股本</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172,540,592</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股为基数，向全体股东每</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股派发现金红利</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2.50</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元（含税），共分配现金红利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43,135,148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元；不</w:t>
            </w:r>
            <w:r>
              <w:rPr>
                <w:rFonts w:ascii="宋体" w:hAnsi="宋体" w:cs="宋体" w:eastAsia="宋体" w:hint="default"/>
                <w:spacing w:val="-88"/>
                <w:sz w:val="18"/>
                <w:szCs w:val="18"/>
              </w:rPr>
              <w:t> </w:t>
            </w:r>
            <w:r>
              <w:rPr>
                <w:rFonts w:ascii="宋体" w:hAnsi="宋体" w:cs="宋体" w:eastAsia="宋体" w:hint="default"/>
                <w:sz w:val="18"/>
                <w:szCs w:val="18"/>
              </w:rPr>
              <w:t>以公积金转增股本；不送红股；剩余未分配利润结转以后年度。</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8"/>
        <w:rPr>
          <w:rFonts w:ascii="宋体" w:hAnsi="宋体" w:cs="宋体" w:eastAsia="宋体" w:hint="default"/>
          <w:sz w:val="23"/>
          <w:szCs w:val="23"/>
        </w:rPr>
      </w:pPr>
      <w:r>
        <w:rPr/>
        <w:pict>
          <v:shape style="position:absolute;margin-left:165.496994pt;margin-top:614.859985pt;width:103.6pt;height:93.6pt;mso-position-horizontal-relative:page;mso-position-vertical-relative:page;z-index:-917848" type="#_x0000_t202" filled="false" stroked="false">
            <v:textbox inset="0,0,0,0">
              <w:txbxContent>
                <w:p>
                  <w:pPr>
                    <w:pStyle w:val="BodyText"/>
                    <w:spacing w:line="205" w:lineRule="exact"/>
                    <w:ind w:left="0" w:right="0"/>
                    <w:jc w:val="left"/>
                  </w:pPr>
                  <w:r>
                    <w:rPr/>
                    <w:t>田志勇、</w:t>
                  </w:r>
                </w:p>
              </w:txbxContent>
            </v:textbox>
            <w10:wrap type="none"/>
          </v:shape>
        </w:pict>
      </w:r>
      <w:r>
        <w:rPr/>
        <w:pict>
          <v:group style="position:absolute;margin-left:198.770004pt;margin-top:614.859985pt;width:70.350pt;height:93.6pt;mso-position-horizontal-relative:page;mso-position-vertical-relative:page;z-index:-917824" coordorigin="3975,12297" coordsize="1407,1872">
            <v:shape style="position:absolute;left:3975;top:12297;width:1407;height:1872" coordorigin="3975,12297" coordsize="1407,1872" path="m3975,14169l5382,14169,5382,12297,3975,12297,3975,14169xe" filled="true" fillcolor="#ffffff" stroked="false">
              <v:path arrowok="t"/>
              <v:fill type="solid"/>
            </v:shape>
            <w10:wrap type="none"/>
          </v:group>
        </w:pict>
      </w:r>
      <w:r>
        <w:rPr/>
        <w:pict>
          <v:group style="position:absolute;margin-left:199.850006pt;margin-top:579.700012pt;width:68.2pt;height:17.650pt;mso-position-horizontal-relative:page;mso-position-vertical-relative:page;z-index:-917800" coordorigin="3997,11594" coordsize="1364,353">
            <v:shape style="position:absolute;left:3997;top:11594;width:1364;height:353" coordorigin="3997,11594" coordsize="1364,353" path="m3997,11947l5360,11947,5360,11594,3997,11594,3997,11947xe" filled="true" fillcolor="#ffffff" stroked="false">
              <v:path arrowok="t"/>
              <v:fill type="solid"/>
            </v:shape>
            <w10:wrap type="none"/>
          </v:group>
        </w:pict>
      </w:r>
    </w:p>
    <w:p>
      <w:pPr>
        <w:pStyle w:val="Heading2"/>
        <w:spacing w:line="240" w:lineRule="auto" w:before="26"/>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2"/>
        <w:gridCol w:w="992"/>
        <w:gridCol w:w="1418"/>
        <w:gridCol w:w="2127"/>
        <w:gridCol w:w="852"/>
        <w:gridCol w:w="850"/>
        <w:gridCol w:w="919"/>
      </w:tblGrid>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2" w:type="dxa"/>
            <w:tcBorders>
              <w:top w:val="single" w:sz="4" w:space="0" w:color="000000"/>
              <w:left w:val="single" w:sz="9"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992" w:type="dxa"/>
            <w:tcBorders>
              <w:top w:val="single" w:sz="4" w:space="0" w:color="000000"/>
              <w:left w:val="single" w:sz="9"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2" w:type="dxa"/>
            <w:tcBorders>
              <w:top w:val="single" w:sz="4" w:space="0" w:color="000000"/>
              <w:left w:val="single" w:sz="9"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460"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久远集团、 锐锋集团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股份锁定及减持 价格承诺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自发行人上市之日起三十 </w:t>
            </w:r>
            <w:r>
              <w:rPr>
                <w:rFonts w:ascii="宋体" w:hAnsi="宋体" w:cs="宋体" w:eastAsia="宋体" w:hint="default"/>
                <w:spacing w:val="-8"/>
                <w:sz w:val="18"/>
                <w:szCs w:val="18"/>
              </w:rPr>
              <w:t>六个月内，不转让或者委托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他人管理其直接或间接持 </w:t>
            </w:r>
            <w:r>
              <w:rPr>
                <w:rFonts w:ascii="宋体" w:hAnsi="宋体" w:cs="宋体" w:eastAsia="宋体" w:hint="default"/>
                <w:spacing w:val="-8"/>
                <w:sz w:val="18"/>
                <w:szCs w:val="18"/>
              </w:rPr>
              <w:t>有的发行人股份，也不由发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行人回购其持有的股份。所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持股票在锁定期满后两年 </w:t>
            </w:r>
            <w:r>
              <w:rPr>
                <w:rFonts w:ascii="宋体" w:hAnsi="宋体" w:cs="宋体" w:eastAsia="宋体" w:hint="default"/>
                <w:spacing w:val="-8"/>
                <w:sz w:val="18"/>
                <w:szCs w:val="18"/>
              </w:rPr>
              <w:t>内减持的，其减持价格不低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于发行价；公司上市后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个月内如公司股票连续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 </w:t>
            </w:r>
            <w:r>
              <w:rPr>
                <w:rFonts w:ascii="宋体" w:hAnsi="宋体" w:cs="宋体" w:eastAsia="宋体" w:hint="default"/>
                <w:spacing w:val="-11"/>
                <w:sz w:val="18"/>
                <w:szCs w:val="18"/>
              </w:rPr>
              <w:t>发行价，或者上市后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 </w:t>
            </w:r>
            <w:r>
              <w:rPr>
                <w:rFonts w:ascii="宋体" w:hAnsi="宋体" w:cs="宋体" w:eastAsia="宋体" w:hint="default"/>
                <w:spacing w:val="-8"/>
                <w:sz w:val="18"/>
                <w:szCs w:val="18"/>
              </w:rPr>
              <w:t>期末收盘价低于发行价，持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有公司股票的锁定期限自 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142" w:hRule="exact"/>
        </w:trPr>
        <w:tc>
          <w:tcPr>
            <w:tcW w:w="1842"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7" w:right="-40"/>
              <w:jc w:val="left"/>
              <w:rPr>
                <w:rFonts w:ascii="宋体" w:hAnsi="宋体" w:cs="宋体" w:eastAsia="宋体" w:hint="default"/>
                <w:sz w:val="18"/>
                <w:szCs w:val="18"/>
              </w:rPr>
            </w:pPr>
            <w:r>
              <w:rPr>
                <w:rFonts w:ascii="宋体" w:hAnsi="宋体" w:cs="宋体" w:eastAsia="宋体" w:hint="default"/>
                <w:sz w:val="18"/>
                <w:szCs w:val="18"/>
              </w:rPr>
              <w:t>公司董事、 监事、高级 管理人员李 慧霞、单卫 </w:t>
            </w:r>
            <w:r>
              <w:rPr>
                <w:rFonts w:ascii="宋体" w:hAnsi="宋体" w:cs="宋体" w:eastAsia="宋体" w:hint="default"/>
                <w:spacing w:val="-15"/>
                <w:sz w:val="18"/>
                <w:szCs w:val="18"/>
              </w:rPr>
              <w:t>民、程树忠、</w:t>
            </w:r>
            <w:r>
              <w:rPr>
                <w:rFonts w:ascii="宋体" w:hAnsi="宋体" w:cs="宋体" w:eastAsia="宋体" w:hint="default"/>
                <w:spacing w:val="-33"/>
                <w:sz w:val="18"/>
                <w:szCs w:val="18"/>
              </w:rPr>
              <w:t> </w:t>
            </w:r>
            <w:r>
              <w:rPr>
                <w:rFonts w:ascii="宋体" w:hAnsi="宋体" w:cs="宋体" w:eastAsia="宋体" w:hint="default"/>
                <w:sz w:val="18"/>
                <w:szCs w:val="18"/>
              </w:rPr>
              <w:t>王卒、詹开</w:t>
            </w:r>
            <w:r>
              <w:rPr>
                <w:rFonts w:ascii="宋体" w:hAnsi="宋体" w:cs="宋体" w:eastAsia="宋体" w:hint="default"/>
                <w:sz w:val="18"/>
                <w:szCs w:val="18"/>
              </w:rPr>
              <w:t> 明、 连春华、杨 成文、翟峻 梓、张光红</w:t>
            </w:r>
          </w:p>
        </w:tc>
        <w:tc>
          <w:tcPr>
            <w:tcW w:w="1418" w:type="dxa"/>
            <w:tcBorders>
              <w:top w:val="single" w:sz="4" w:space="0" w:color="000000"/>
              <w:left w:val="single" w:sz="4" w:space="0" w:color="000000"/>
              <w:bottom w:val="nil" w:sz="6" w:space="0" w:color="auto"/>
              <w:right w:val="single" w:sz="4" w:space="0" w:color="000000"/>
            </w:tcBorders>
          </w:tcPr>
          <w:p>
            <w:pPr/>
          </w:p>
        </w:tc>
        <w:tc>
          <w:tcPr>
            <w:tcW w:w="2127"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自发行人上市之日起三十 </w:t>
            </w:r>
            <w:r>
              <w:rPr>
                <w:rFonts w:ascii="宋体" w:hAnsi="宋体" w:cs="宋体" w:eastAsia="宋体" w:hint="default"/>
                <w:spacing w:val="-8"/>
                <w:sz w:val="18"/>
                <w:szCs w:val="18"/>
              </w:rPr>
              <w:t>六个月内，不转让或者委托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他人管理其直接或间接持 </w:t>
            </w:r>
            <w:r>
              <w:rPr>
                <w:rFonts w:ascii="宋体" w:hAnsi="宋体" w:cs="宋体" w:eastAsia="宋体" w:hint="default"/>
                <w:spacing w:val="-8"/>
                <w:sz w:val="18"/>
                <w:szCs w:val="18"/>
              </w:rPr>
              <w:t>有的发行人股份，也不由发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行人回购其持有的股份。所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持股票在锁定期满后两年 </w:t>
            </w:r>
            <w:r>
              <w:rPr>
                <w:rFonts w:ascii="宋体" w:hAnsi="宋体" w:cs="宋体" w:eastAsia="宋体" w:hint="default"/>
                <w:spacing w:val="-8"/>
                <w:sz w:val="18"/>
                <w:szCs w:val="18"/>
              </w:rPr>
              <w:t>内减持的，其减持价格不低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于发行价；公司上市后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312" w:lineRule="auto"/>
              <w:ind w:left="24" w:right="19"/>
              <w:jc w:val="left"/>
              <w:rPr>
                <w:rFonts w:ascii="宋体" w:hAnsi="宋体" w:cs="宋体" w:eastAsia="宋体" w:hint="default"/>
                <w:sz w:val="18"/>
                <w:szCs w:val="18"/>
              </w:rPr>
            </w:pPr>
            <w:r>
              <w:rPr>
                <w:rFonts w:ascii="宋体" w:hAnsi="宋体" w:cs="宋体" w:eastAsia="宋体" w:hint="default"/>
                <w:sz w:val="18"/>
                <w:szCs w:val="18"/>
              </w:rPr>
              <w:t>个月内如公司股票连续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 </w:t>
            </w:r>
            <w:r>
              <w:rPr>
                <w:rFonts w:ascii="宋体" w:hAnsi="宋体" w:cs="宋体" w:eastAsia="宋体" w:hint="default"/>
                <w:spacing w:val="-11"/>
                <w:sz w:val="18"/>
                <w:szCs w:val="18"/>
              </w:rPr>
              <w:t>发行价，或者上市后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 </w:t>
            </w:r>
            <w:r>
              <w:rPr>
                <w:rFonts w:ascii="宋体" w:hAnsi="宋体" w:cs="宋体" w:eastAsia="宋体" w:hint="default"/>
                <w:spacing w:val="-8"/>
                <w:sz w:val="18"/>
                <w:szCs w:val="18"/>
              </w:rPr>
              <w:t>期末收盘价低于发行价，持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有公司股票的锁定期限自 动延长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4" w:right="16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703" w:hRule="exact"/>
        </w:trPr>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992" w:type="dxa"/>
            <w:vMerge/>
            <w:tcBorders>
              <w:left w:val="single" w:sz="9" w:space="0" w:color="D2D2D2"/>
              <w:right w:val="single" w:sz="9" w:space="0" w:color="FFFFFF"/>
            </w:tcBorders>
          </w:tcPr>
          <w:p>
            <w:pPr/>
          </w:p>
        </w:tc>
        <w:tc>
          <w:tcPr>
            <w:tcW w:w="1418" w:type="dxa"/>
            <w:vMerge w:val="restart"/>
            <w:tcBorders>
              <w:top w:val="nil" w:sz="6" w:space="0" w:color="auto"/>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6"/>
              <w:ind w:left="18" w:right="122"/>
              <w:jc w:val="left"/>
              <w:rPr>
                <w:rFonts w:ascii="宋体" w:hAnsi="宋体" w:cs="宋体" w:eastAsia="宋体" w:hint="default"/>
                <w:sz w:val="18"/>
                <w:szCs w:val="18"/>
              </w:rPr>
            </w:pPr>
            <w:r>
              <w:rPr>
                <w:rFonts w:ascii="宋体" w:hAnsi="宋体" w:cs="宋体" w:eastAsia="宋体" w:hint="default"/>
                <w:sz w:val="18"/>
                <w:szCs w:val="18"/>
              </w:rPr>
              <w:t>股份锁定及减持 价格承诺</w:t>
            </w:r>
          </w:p>
        </w:tc>
        <w:tc>
          <w:tcPr>
            <w:tcW w:w="2127"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19" w:type="dxa"/>
            <w:vMerge/>
            <w:tcBorders>
              <w:left w:val="single" w:sz="4" w:space="0" w:color="000000"/>
              <w:right w:val="single" w:sz="4" w:space="0" w:color="000000"/>
            </w:tcBorders>
          </w:tcPr>
          <w:p>
            <w:pPr/>
          </w:p>
        </w:tc>
      </w:tr>
      <w:tr>
        <w:trPr>
          <w:trHeight w:val="3613" w:hRule="exact"/>
        </w:trPr>
        <w:tc>
          <w:tcPr>
            <w:tcW w:w="1842" w:type="dxa"/>
            <w:vMerge w:val="restart"/>
            <w:tcBorders>
              <w:top w:val="nil" w:sz="6" w:space="0" w:color="auto"/>
              <w:left w:val="single" w:sz="4" w:space="0" w:color="000000"/>
              <w:right w:val="single" w:sz="4" w:space="0" w:color="000000"/>
            </w:tcBorders>
            <w:shd w:val="clear" w:color="auto" w:fill="D2D2D2"/>
          </w:tcPr>
          <w:p>
            <w:pPr/>
          </w:p>
        </w:tc>
        <w:tc>
          <w:tcPr>
            <w:tcW w:w="992" w:type="dxa"/>
            <w:vMerge/>
            <w:tcBorders>
              <w:left w:val="single" w:sz="9" w:space="0" w:color="D2D2D2"/>
              <w:bottom w:val="single" w:sz="4" w:space="0" w:color="000000"/>
              <w:right w:val="single" w:sz="9" w:space="0" w:color="FFFFFF"/>
            </w:tcBorders>
          </w:tcPr>
          <w:p>
            <w:pPr/>
          </w:p>
        </w:tc>
        <w:tc>
          <w:tcPr>
            <w:tcW w:w="1418" w:type="dxa"/>
            <w:vMerge/>
            <w:tcBorders>
              <w:left w:val="single" w:sz="9" w:space="0" w:color="FFFFFF"/>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19" w:type="dxa"/>
            <w:vMerge/>
            <w:tcBorders>
              <w:left w:val="single" w:sz="4" w:space="0" w:color="000000"/>
              <w:bottom w:val="single" w:sz="4" w:space="0" w:color="000000"/>
              <w:right w:val="single" w:sz="4" w:space="0" w:color="000000"/>
            </w:tcBorders>
          </w:tcPr>
          <w:p>
            <w:pPr/>
          </w:p>
        </w:tc>
      </w:tr>
      <w:tr>
        <w:trPr>
          <w:trHeight w:val="987"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6"/>
              <w:jc w:val="both"/>
              <w:rPr>
                <w:rFonts w:ascii="宋体" w:hAnsi="宋体" w:cs="宋体" w:eastAsia="宋体" w:hint="default"/>
                <w:sz w:val="18"/>
                <w:szCs w:val="18"/>
              </w:rPr>
            </w:pPr>
            <w:r>
              <w:rPr>
                <w:rFonts w:ascii="宋体" w:hAnsi="宋体" w:cs="宋体" w:eastAsia="宋体" w:hint="default"/>
                <w:sz w:val="18"/>
                <w:szCs w:val="18"/>
              </w:rPr>
              <w:t>童晓峰、张 巍、杜斌、 唐世杰、施</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319" w:lineRule="auto"/>
              <w:ind w:left="24" w:right="122"/>
              <w:jc w:val="left"/>
              <w:rPr>
                <w:rFonts w:ascii="宋体" w:hAnsi="宋体" w:cs="宋体" w:eastAsia="宋体" w:hint="default"/>
                <w:sz w:val="18"/>
                <w:szCs w:val="18"/>
              </w:rPr>
            </w:pPr>
            <w:r>
              <w:rPr>
                <w:rFonts w:ascii="宋体" w:hAnsi="宋体" w:cs="宋体" w:eastAsia="宋体" w:hint="default"/>
                <w:sz w:val="18"/>
                <w:szCs w:val="18"/>
              </w:rPr>
              <w:t>股份锁定及减持 价格承诺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自发行人上市之日起三十 </w:t>
            </w:r>
            <w:r>
              <w:rPr>
                <w:rFonts w:ascii="宋体" w:hAnsi="宋体" w:cs="宋体" w:eastAsia="宋体" w:hint="default"/>
                <w:spacing w:val="-8"/>
                <w:sz w:val="18"/>
                <w:szCs w:val="18"/>
              </w:rPr>
              <w:t>六个月内，不转让或者委托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他人管理其直接或间接持</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9" w:lineRule="auto"/>
              <w:ind w:left="24" w:right="163"/>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992"/>
        <w:gridCol w:w="1418"/>
        <w:gridCol w:w="2127"/>
        <w:gridCol w:w="852"/>
        <w:gridCol w:w="850"/>
        <w:gridCol w:w="922"/>
      </w:tblGrid>
      <w:tr>
        <w:trPr>
          <w:trHeight w:val="2235"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56"/>
              <w:jc w:val="left"/>
              <w:rPr>
                <w:rFonts w:ascii="宋体" w:hAnsi="宋体" w:cs="宋体" w:eastAsia="宋体" w:hint="default"/>
                <w:sz w:val="18"/>
                <w:szCs w:val="18"/>
              </w:rPr>
            </w:pPr>
            <w:r>
              <w:rPr>
                <w:rFonts w:ascii="宋体" w:hAnsi="宋体" w:cs="宋体" w:eastAsia="宋体" w:hint="default"/>
                <w:sz w:val="18"/>
                <w:szCs w:val="18"/>
              </w:rPr>
              <w:t>铮、徐仑峰 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名公 司核心骨 干、核心技 术人员和王 伯韬、刘碧 军</w:t>
            </w: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2"/>
              <w:jc w:val="left"/>
              <w:rPr>
                <w:rFonts w:ascii="宋体" w:hAnsi="宋体" w:cs="宋体" w:eastAsia="宋体" w:hint="default"/>
                <w:sz w:val="18"/>
                <w:szCs w:val="18"/>
              </w:rPr>
            </w:pPr>
            <w:r>
              <w:rPr>
                <w:rFonts w:ascii="宋体" w:hAnsi="宋体" w:cs="宋体" w:eastAsia="宋体" w:hint="default"/>
                <w:spacing w:val="-8"/>
                <w:sz w:val="18"/>
                <w:szCs w:val="18"/>
              </w:rPr>
              <w:t>有的发行人股份，也不由发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行人回购其持有的股份。</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842"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广发信德、 陈奕民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股份锁定及减持 价格承诺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自发行人上市之日起十八 </w:t>
            </w:r>
            <w:r>
              <w:rPr>
                <w:rFonts w:ascii="宋体" w:hAnsi="宋体" w:cs="宋体" w:eastAsia="宋体" w:hint="default"/>
                <w:spacing w:val="-8"/>
                <w:sz w:val="18"/>
                <w:szCs w:val="18"/>
              </w:rPr>
              <w:t>个月内，不转让或者委托他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人管理其直接或间接持有 </w:t>
            </w:r>
            <w:r>
              <w:rPr>
                <w:rFonts w:ascii="宋体" w:hAnsi="宋体" w:cs="宋体" w:eastAsia="宋体" w:hint="default"/>
                <w:spacing w:val="-8"/>
                <w:sz w:val="18"/>
                <w:szCs w:val="18"/>
              </w:rPr>
              <w:t>的发行人股份，也不由发行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人回购其持有的股份。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651" w:hRule="exact"/>
        </w:trPr>
        <w:tc>
          <w:tcPr>
            <w:tcW w:w="1842"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李长明、陈 晖、邹孝健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22"/>
              <w:jc w:val="left"/>
              <w:rPr>
                <w:rFonts w:ascii="宋体" w:hAnsi="宋体" w:cs="宋体" w:eastAsia="宋体" w:hint="default"/>
                <w:sz w:val="18"/>
                <w:szCs w:val="18"/>
              </w:rPr>
            </w:pPr>
            <w:r>
              <w:rPr>
                <w:rFonts w:ascii="宋体" w:hAnsi="宋体" w:cs="宋体" w:eastAsia="宋体" w:hint="default"/>
                <w:sz w:val="18"/>
                <w:szCs w:val="18"/>
              </w:rPr>
              <w:t>股份锁定及减持 价格承诺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自发行人上市之日起十二 </w:t>
            </w:r>
            <w:r>
              <w:rPr>
                <w:rFonts w:ascii="宋体" w:hAnsi="宋体" w:cs="宋体" w:eastAsia="宋体" w:hint="default"/>
                <w:spacing w:val="-8"/>
                <w:sz w:val="18"/>
                <w:szCs w:val="18"/>
              </w:rPr>
              <w:t>个月内，不转让或者委托他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人管理其直接或间接持有 </w:t>
            </w:r>
            <w:r>
              <w:rPr>
                <w:rFonts w:ascii="宋体" w:hAnsi="宋体" w:cs="宋体" w:eastAsia="宋体" w:hint="default"/>
                <w:spacing w:val="-8"/>
                <w:sz w:val="18"/>
                <w:szCs w:val="18"/>
              </w:rPr>
              <w:t>的发行人股份，也不由发行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人回购其持有的股份。</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5394" w:hRule="exact"/>
        </w:trPr>
        <w:tc>
          <w:tcPr>
            <w:tcW w:w="1842" w:type="dxa"/>
            <w:vMerge/>
            <w:tcBorders>
              <w:left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56"/>
              <w:jc w:val="left"/>
              <w:rPr>
                <w:rFonts w:ascii="宋体" w:hAnsi="宋体" w:cs="宋体" w:eastAsia="宋体" w:hint="default"/>
                <w:sz w:val="18"/>
                <w:szCs w:val="18"/>
              </w:rPr>
            </w:pPr>
            <w:r>
              <w:rPr>
                <w:rFonts w:ascii="宋体" w:hAnsi="宋体" w:cs="宋体" w:eastAsia="宋体" w:hint="default"/>
                <w:sz w:val="18"/>
                <w:szCs w:val="18"/>
              </w:rPr>
              <w:t>久远集团、 锐锋集团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在本公司作为中物院所控 </w:t>
            </w:r>
            <w:r>
              <w:rPr>
                <w:rFonts w:ascii="宋体" w:hAnsi="宋体" w:cs="宋体" w:eastAsia="宋体" w:hint="default"/>
                <w:spacing w:val="-8"/>
                <w:sz w:val="18"/>
                <w:szCs w:val="18"/>
              </w:rPr>
              <w:t>制的企业期间，本公司将严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格遵守有关法律、法规、规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范性文件的规定及中国证 </w:t>
            </w:r>
            <w:r>
              <w:rPr>
                <w:rFonts w:ascii="宋体" w:hAnsi="宋体" w:cs="宋体" w:eastAsia="宋体" w:hint="default"/>
                <w:spacing w:val="-8"/>
                <w:sz w:val="18"/>
                <w:szCs w:val="18"/>
              </w:rPr>
              <w:t>监会的有关规定，不在中国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境内或境外，直接或间接从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事与久远银海及其控制的 企业相同或相似并构成竞 </w:t>
            </w:r>
            <w:r>
              <w:rPr>
                <w:rFonts w:ascii="宋体" w:hAnsi="宋体" w:cs="宋体" w:eastAsia="宋体" w:hint="default"/>
                <w:spacing w:val="-8"/>
                <w:sz w:val="18"/>
                <w:szCs w:val="18"/>
              </w:rPr>
              <w:t>争关系的业务，亦不会直接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或间接拥有与久远银海及 其控制的企业从事相同或 相似并构成竞争关系的企 </w:t>
            </w:r>
            <w:r>
              <w:rPr>
                <w:rFonts w:ascii="宋体" w:hAnsi="宋体" w:cs="宋体" w:eastAsia="宋体" w:hint="default"/>
                <w:spacing w:val="-8"/>
                <w:sz w:val="18"/>
                <w:szCs w:val="18"/>
              </w:rPr>
              <w:t>业、组织、经济实体的控制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权。本公司承诺将促使本公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司控制的企业按照与本公 司同样的标准遵守以上保 证及承诺事项。</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166"/>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2859" w:hRule="exact"/>
        </w:trPr>
        <w:tc>
          <w:tcPr>
            <w:tcW w:w="184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中物院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23"/>
              <w:jc w:val="both"/>
              <w:rPr>
                <w:rFonts w:ascii="宋体" w:hAnsi="宋体" w:cs="宋体" w:eastAsia="宋体" w:hint="default"/>
                <w:sz w:val="18"/>
                <w:szCs w:val="18"/>
              </w:rPr>
            </w:pPr>
            <w:r>
              <w:rPr>
                <w:rFonts w:ascii="宋体" w:hAnsi="宋体" w:cs="宋体" w:eastAsia="宋体" w:hint="default"/>
                <w:spacing w:val="-10"/>
                <w:sz w:val="18"/>
                <w:szCs w:val="18"/>
              </w:rPr>
              <w:t>关于同业竞争、关</w:t>
            </w:r>
            <w:r>
              <w:rPr>
                <w:rFonts w:ascii="宋体" w:hAnsi="宋体" w:cs="宋体" w:eastAsia="宋体" w:hint="default"/>
                <w:sz w:val="18"/>
                <w:szCs w:val="18"/>
              </w:rPr>
              <w:t> </w:t>
            </w:r>
            <w:r>
              <w:rPr>
                <w:rFonts w:ascii="宋体" w:hAnsi="宋体" w:cs="宋体" w:eastAsia="宋体" w:hint="default"/>
                <w:spacing w:val="-10"/>
                <w:sz w:val="18"/>
                <w:szCs w:val="18"/>
              </w:rPr>
              <w:t>联交易、资金占用</w:t>
            </w:r>
            <w:r>
              <w:rPr>
                <w:rFonts w:ascii="宋体" w:hAnsi="宋体" w:cs="宋体" w:eastAsia="宋体" w:hint="default"/>
                <w:sz w:val="18"/>
                <w:szCs w:val="18"/>
              </w:rPr>
              <w:t> 方面的承诺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本院作为四川久远银海软 </w:t>
            </w:r>
            <w:r>
              <w:rPr>
                <w:rFonts w:ascii="宋体" w:hAnsi="宋体" w:cs="宋体" w:eastAsia="宋体" w:hint="default"/>
                <w:spacing w:val="-8"/>
                <w:sz w:val="18"/>
                <w:szCs w:val="18"/>
              </w:rPr>
              <w:t>件股份有限公司（以下简称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股份公司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）的实际控制 </w:t>
            </w:r>
            <w:r>
              <w:rPr>
                <w:rFonts w:ascii="宋体" w:hAnsi="宋体" w:cs="宋体" w:eastAsia="宋体" w:hint="default"/>
                <w:spacing w:val="-8"/>
                <w:sz w:val="18"/>
                <w:szCs w:val="18"/>
              </w:rPr>
              <w:t>人，为有效支持股份公司发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展，维护股份公司及其他股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东的合法权益，就承担的与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避免同业竞争有关的义务 郑重承诺：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、本院及本院 下属单位和企业保证现时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正在履行 中</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2"/>
        <w:gridCol w:w="992"/>
        <w:gridCol w:w="1418"/>
        <w:gridCol w:w="2127"/>
        <w:gridCol w:w="852"/>
        <w:gridCol w:w="850"/>
        <w:gridCol w:w="919"/>
      </w:tblGrid>
      <w:tr>
        <w:trPr>
          <w:trHeight w:val="473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9"/>
              <w:jc w:val="left"/>
              <w:rPr>
                <w:rFonts w:ascii="宋体" w:hAnsi="宋体" w:cs="宋体" w:eastAsia="宋体" w:hint="default"/>
                <w:sz w:val="18"/>
                <w:szCs w:val="18"/>
              </w:rPr>
            </w:pPr>
            <w:r>
              <w:rPr>
                <w:rFonts w:ascii="宋体" w:hAnsi="宋体" w:cs="宋体" w:eastAsia="宋体" w:hint="default"/>
                <w:sz w:val="18"/>
                <w:szCs w:val="18"/>
              </w:rPr>
              <w:t>不存在与股份公司相同或 同类的经营业务。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、本院 及本院下属单位和企业将 不在任何地方以任何方式 自营与股份公司相同或相 </w:t>
            </w:r>
            <w:r>
              <w:rPr>
                <w:rFonts w:ascii="宋体" w:hAnsi="宋体" w:cs="宋体" w:eastAsia="宋体" w:hint="default"/>
                <w:spacing w:val="-8"/>
                <w:sz w:val="18"/>
                <w:szCs w:val="18"/>
              </w:rPr>
              <w:t>似的经营业务，不自营任何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对股份公司经营及拟经营 业务构成直接竞争的类同 项目或功能上具有替代作 </w:t>
            </w:r>
            <w:r>
              <w:rPr>
                <w:rFonts w:ascii="宋体" w:hAnsi="宋体" w:cs="宋体" w:eastAsia="宋体" w:hint="default"/>
                <w:spacing w:val="-8"/>
                <w:sz w:val="18"/>
                <w:szCs w:val="18"/>
              </w:rPr>
              <w:t>用的项目，也不会以任何方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式投资与股份公司经营业 务构成或可能构成竞争的 </w:t>
            </w:r>
            <w:r>
              <w:rPr>
                <w:rFonts w:ascii="宋体" w:hAnsi="宋体" w:cs="宋体" w:eastAsia="宋体" w:hint="default"/>
                <w:spacing w:val="-8"/>
                <w:sz w:val="18"/>
                <w:szCs w:val="18"/>
              </w:rPr>
              <w:t>业务，从而确保避免对股份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公司的生产经营构成任何 直接或间接的业务竞争。</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1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left="419" w:right="8067" w:hanging="2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重要会计政策变更</w:t>
      </w:r>
    </w:p>
    <w:p>
      <w:pPr>
        <w:pStyle w:val="BodyText"/>
        <w:spacing w:line="240" w:lineRule="auto" w:before="1"/>
        <w:ind w:left="426" w:right="0"/>
        <w:jc w:val="left"/>
      </w:pPr>
      <w:r>
        <w:rPr/>
        <w:t>执行《企业会计准则</w:t>
      </w:r>
      <w:r>
        <w:rPr>
          <w:spacing w:val="-1"/>
        </w:rPr>
        <w:t>第</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spacing w:val="-3"/>
        </w:rPr>
        <w:t>号</w:t>
      </w:r>
      <w:r>
        <w:rPr>
          <w:rFonts w:ascii="Times New Roman" w:hAnsi="Times New Roman" w:cs="Times New Roman" w:eastAsia="Times New Roman" w:hint="default"/>
        </w:rPr>
        <w:t>——</w:t>
      </w:r>
      <w:r>
        <w:rPr/>
        <w:t>持有待售的非流动资产</w:t>
      </w:r>
      <w:r>
        <w:rPr>
          <w:spacing w:val="2"/>
        </w:rPr>
        <w:t>、</w:t>
      </w:r>
      <w:r>
        <w:rPr/>
        <w:t>处置组和终止经营</w:t>
      </w:r>
      <w:r>
        <w:rPr>
          <w:spacing w:val="-89"/>
        </w:rPr>
        <w:t>》、</w:t>
      </w:r>
      <w:r>
        <w:rPr/>
        <w:t>《企业会计准则</w:t>
      </w:r>
      <w:r>
        <w:rPr>
          <w:spacing w:val="1"/>
        </w:rPr>
        <w:t>第</w:t>
      </w:r>
      <w:r>
        <w:rPr>
          <w:rFonts w:ascii="Times New Roman" w:hAnsi="Times New Roman" w:cs="Times New Roman" w:eastAsia="Times New Roman" w:hint="default"/>
          <w:spacing w:val="1"/>
        </w:rPr>
        <w:t>16</w:t>
      </w:r>
      <w:r>
        <w:rPr/>
        <w:t>号</w:t>
      </w:r>
      <w:r>
        <w:rPr>
          <w:rFonts w:ascii="Times New Roman" w:hAnsi="Times New Roman" w:cs="Times New Roman" w:eastAsia="Times New Roman" w:hint="default"/>
        </w:rPr>
        <w:t>——</w:t>
      </w:r>
      <w:r>
        <w:rPr/>
        <w:t>政府补助》和</w:t>
      </w:r>
    </w:p>
    <w:p>
      <w:pPr>
        <w:pStyle w:val="BodyText"/>
        <w:spacing w:line="316" w:lineRule="auto" w:before="63"/>
        <w:ind w:left="426" w:right="144" w:hanging="275"/>
        <w:jc w:val="left"/>
      </w:pPr>
      <w:r>
        <w:rPr/>
        <w:t>《财政部关于修订印发一般企业财务报表格式的通知</w:t>
      </w:r>
      <w:r>
        <w:rPr>
          <w:spacing w:val="-92"/>
        </w:rPr>
        <w:t>》</w:t>
      </w:r>
      <w:r>
        <w:rPr/>
        <w:t>。</w:t>
      </w:r>
      <w:r>
        <w:rPr/>
        <w:t> 财政部</w:t>
      </w:r>
      <w:r>
        <w:rPr>
          <w:spacing w:val="-3"/>
        </w:rPr>
        <w:t>于</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17</w:t>
      </w:r>
      <w:r>
        <w:rPr/>
        <w:t>年度发布了</w:t>
      </w:r>
      <w:r>
        <w:rPr>
          <w:spacing w:val="-3"/>
        </w:rPr>
        <w:t>《</w:t>
      </w:r>
      <w:r>
        <w:rPr/>
        <w:t>企业会计准则第</w:t>
      </w:r>
      <w:r>
        <w:rPr>
          <w:rFonts w:ascii="Times New Roman" w:hAnsi="Times New Roman" w:cs="Times New Roman" w:eastAsia="Times New Roman" w:hint="default"/>
          <w:spacing w:val="1"/>
        </w:rPr>
        <w:t>42</w:t>
      </w:r>
      <w:r>
        <w:rPr/>
        <w:t>号</w:t>
      </w:r>
      <w:r>
        <w:rPr>
          <w:rFonts w:ascii="Times New Roman" w:hAnsi="Times New Roman" w:cs="Times New Roman" w:eastAsia="Times New Roman" w:hint="default"/>
        </w:rPr>
        <w:t>——</w:t>
      </w:r>
      <w:r>
        <w:rPr/>
        <w:t>持有待售的非流动资产、处置组</w:t>
      </w:r>
      <w:r>
        <w:rPr>
          <w:spacing w:val="2"/>
        </w:rPr>
        <w:t>和</w:t>
      </w:r>
      <w:r>
        <w:rPr/>
        <w:t>终止经营</w:t>
      </w:r>
      <w:r>
        <w:rPr>
          <w:spacing w:val="-89"/>
        </w:rPr>
        <w:t>》</w:t>
      </w:r>
      <w:r>
        <w:rPr/>
        <w:t>，</w:t>
      </w:r>
      <w:r>
        <w:rPr>
          <w:spacing w:val="1"/>
        </w:rPr>
        <w:t>自</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t>年</w:t>
      </w:r>
      <w:r>
        <w:rPr>
          <w:rFonts w:ascii="Times New Roman" w:hAnsi="Times New Roman" w:cs="Times New Roman" w:eastAsia="Times New Roman" w:hint="default"/>
          <w:spacing w:val="1"/>
        </w:rPr>
        <w:t>5</w:t>
      </w:r>
      <w:r>
        <w:rPr>
          <w:spacing w:val="-3"/>
        </w:rPr>
        <w:t>月</w:t>
      </w:r>
      <w:r>
        <w:rPr>
          <w:rFonts w:ascii="Times New Roman" w:hAnsi="Times New Roman" w:cs="Times New Roman" w:eastAsia="Times New Roman" w:hint="default"/>
          <w:spacing w:val="1"/>
        </w:rPr>
        <w:t>28</w:t>
      </w:r>
      <w:r>
        <w:rPr>
          <w:spacing w:val="-3"/>
        </w:rPr>
        <w:t>日起</w:t>
      </w:r>
      <w:r>
        <w:rPr/>
      </w:r>
    </w:p>
    <w:p>
      <w:pPr>
        <w:pStyle w:val="BodyText"/>
        <w:spacing w:line="316" w:lineRule="auto"/>
        <w:ind w:left="424" w:right="0" w:hanging="272"/>
        <w:jc w:val="left"/>
        <w:rPr>
          <w:rFonts w:ascii="Times New Roman" w:hAnsi="Times New Roman" w:cs="Times New Roman" w:eastAsia="Times New Roman" w:hint="default"/>
        </w:rPr>
      </w:pPr>
      <w:r>
        <w:rPr/>
        <w:t>施行，对于施行日存在的持有待售的非流动资产、处置组和终止经营，要求采用未来适用法处理。 </w:t>
      </w:r>
      <w:r>
        <w:rPr>
          <w:spacing w:val="-1"/>
        </w:rPr>
        <w:t>财政部于</w:t>
      </w:r>
      <w:r>
        <w:rPr>
          <w:rFonts w:ascii="Times New Roman" w:hAnsi="Times New Roman" w:cs="Times New Roman" w:eastAsia="Times New Roman" w:hint="default"/>
          <w:spacing w:val="-1"/>
        </w:rPr>
        <w:t>2017</w:t>
      </w:r>
      <w:r>
        <w:rPr>
          <w:spacing w:val="-1"/>
        </w:rPr>
        <w:t>年度修订了《企业会计准则第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政府补助》，修订后的准则自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12</w:t>
      </w:r>
      <w:r>
        <w:rPr>
          <w:spacing w:val="-1"/>
        </w:rPr>
        <w:t>日起施行，对于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p>
    <w:p>
      <w:pPr>
        <w:spacing w:after="0" w:line="316"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84"/>
        <w:jc w:val="left"/>
      </w:pPr>
      <w:r>
        <w:rPr/>
        <w:t>月</w:t>
      </w:r>
      <w:r>
        <w:rPr>
          <w:rFonts w:ascii="Times New Roman" w:hAnsi="Times New Roman" w:cs="Times New Roman" w:eastAsia="Times New Roman" w:hint="default"/>
        </w:rPr>
        <w:t>1</w:t>
      </w:r>
      <w:r>
        <w:rPr/>
        <w:t>日存在的政府补助，要求采用未来适用法处理；对于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日至施行日新增的政府补助，也要求按照修订后的准则</w:t>
      </w:r>
      <w:r>
        <w:rPr>
          <w:spacing w:val="-85"/>
        </w:rPr>
        <w:t> </w:t>
      </w:r>
      <w:r>
        <w:rPr>
          <w:spacing w:val="-85"/>
        </w:rPr>
      </w:r>
      <w:r>
        <w:rPr/>
        <w:t>进行调整。</w:t>
      </w:r>
    </w:p>
    <w:p>
      <w:pPr>
        <w:pStyle w:val="BodyText"/>
        <w:spacing w:line="300" w:lineRule="auto" w:before="31"/>
        <w:ind w:right="99" w:firstLine="362"/>
        <w:jc w:val="left"/>
      </w:pPr>
      <w:r>
        <w:rPr>
          <w:spacing w:val="-4"/>
        </w:rPr>
        <w:t>财政部于</w:t>
      </w:r>
      <w:r>
        <w:rPr>
          <w:rFonts w:ascii="Times New Roman" w:hAnsi="Times New Roman" w:cs="Times New Roman" w:eastAsia="Times New Roman" w:hint="default"/>
          <w:spacing w:val="-4"/>
        </w:rPr>
        <w:t>2017</w:t>
      </w:r>
      <w:r>
        <w:rPr>
          <w:spacing w:val="-4"/>
        </w:rPr>
        <w:t>年度发布了《财政部关于修订印发一般企业财务报表格式的通知》，对一般企业财务报表格式进行了修订，</w:t>
      </w:r>
      <w:r>
        <w:rPr/>
        <w:t> 适用于</w:t>
      </w:r>
      <w:r>
        <w:rPr>
          <w:rFonts w:ascii="Times New Roman" w:hAnsi="Times New Roman" w:cs="Times New Roman" w:eastAsia="Times New Roman" w:hint="default"/>
        </w:rPr>
        <w:t>2017</w:t>
      </w:r>
      <w:r>
        <w:rPr/>
        <w:t>年度及以后期间的财务报表。</w:t>
      </w:r>
    </w:p>
    <w:p>
      <w:pPr>
        <w:pStyle w:val="BodyText"/>
        <w:spacing w:line="240" w:lineRule="auto" w:before="13"/>
        <w:ind w:left="513" w:right="99"/>
        <w:jc w:val="left"/>
      </w:pPr>
      <w:r>
        <w:rPr/>
        <w:t>本公司执行上述两项规定的主要影响如下：</w:t>
      </w:r>
    </w:p>
    <w:p>
      <w:pPr>
        <w:spacing w:line="240" w:lineRule="auto" w:before="3"/>
        <w:rPr>
          <w:rFonts w:ascii="宋体" w:hAnsi="宋体" w:cs="宋体" w:eastAsia="宋体" w:hint="default"/>
          <w:sz w:val="5"/>
          <w:szCs w:val="5"/>
        </w:rPr>
      </w:pPr>
    </w:p>
    <w:tbl>
      <w:tblPr>
        <w:tblW w:w="0" w:type="auto"/>
        <w:jc w:val="left"/>
        <w:tblInd w:w="755" w:type="dxa"/>
        <w:tblLayout w:type="fixed"/>
        <w:tblCellMar>
          <w:top w:w="0" w:type="dxa"/>
          <w:left w:w="0" w:type="dxa"/>
          <w:bottom w:w="0" w:type="dxa"/>
          <w:right w:w="0" w:type="dxa"/>
        </w:tblCellMar>
        <w:tblLook w:val="01E0"/>
      </w:tblPr>
      <w:tblGrid>
        <w:gridCol w:w="2513"/>
        <w:gridCol w:w="1702"/>
        <w:gridCol w:w="3541"/>
      </w:tblGrid>
      <w:tr>
        <w:trPr>
          <w:trHeight w:val="355" w:hRule="exact"/>
        </w:trPr>
        <w:tc>
          <w:tcPr>
            <w:tcW w:w="25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7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8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35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595"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974" w:hRule="exact"/>
        </w:trPr>
        <w:tc>
          <w:tcPr>
            <w:tcW w:w="251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）在利润表中分别列示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持续</w:t>
            </w:r>
            <w:r>
              <w:rPr>
                <w:rFonts w:ascii="宋体" w:hAnsi="宋体" w:cs="宋体" w:eastAsia="宋体" w:hint="default"/>
                <w:spacing w:val="-77"/>
                <w:sz w:val="18"/>
                <w:szCs w:val="18"/>
              </w:rPr>
              <w:t> </w:t>
            </w:r>
            <w:r>
              <w:rPr>
                <w:rFonts w:ascii="宋体" w:hAnsi="宋体" w:cs="宋体" w:eastAsia="宋体" w:hint="default"/>
                <w:sz w:val="18"/>
                <w:szCs w:val="18"/>
              </w:rPr>
              <w:t>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 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。比较数据相应调整。</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541"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8"/>
              <w:ind w:left="4" w:right="5"/>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Times New Roman" w:hAnsi="Times New Roman" w:cs="Times New Roman" w:eastAsia="Times New Roman" w:hint="default"/>
                <w:sz w:val="18"/>
                <w:szCs w:val="18"/>
              </w:rPr>
              <w:t>105,792,984.45</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元；列示终止经营净利润本年金额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w:t>
            </w:r>
          </w:p>
        </w:tc>
      </w:tr>
      <w:tr>
        <w:trPr>
          <w:trHeight w:val="1289" w:hRule="exact"/>
        </w:trPr>
        <w:tc>
          <w:tcPr>
            <w:tcW w:w="2513" w:type="dxa"/>
            <w:tcBorders>
              <w:top w:val="single" w:sz="12" w:space="0" w:color="000000"/>
              <w:left w:val="single" w:sz="6" w:space="0" w:color="000000"/>
              <w:bottom w:val="single" w:sz="12" w:space="0" w:color="000000"/>
              <w:right w:val="single" w:sz="6" w:space="0" w:color="000000"/>
            </w:tcBorders>
          </w:tcPr>
          <w:p>
            <w:pPr>
              <w:pStyle w:val="TableParagraph"/>
              <w:spacing w:line="312"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 </w:t>
            </w:r>
            <w:r>
              <w:rPr>
                <w:rFonts w:ascii="宋体" w:hAnsi="宋体" w:cs="宋体" w:eastAsia="宋体" w:hint="default"/>
                <w:spacing w:val="-2"/>
                <w:sz w:val="18"/>
                <w:szCs w:val="18"/>
              </w:rPr>
              <w:t>政府补助，计入其他收益，不再</w:t>
            </w:r>
            <w:r>
              <w:rPr>
                <w:rFonts w:ascii="宋体" w:hAnsi="宋体" w:cs="宋体" w:eastAsia="宋体" w:hint="default"/>
                <w:sz w:val="18"/>
                <w:szCs w:val="18"/>
              </w:rPr>
              <w:t> </w:t>
            </w:r>
            <w:r>
              <w:rPr>
                <w:rFonts w:ascii="宋体" w:hAnsi="宋体" w:cs="宋体" w:eastAsia="宋体" w:hint="default"/>
                <w:spacing w:val="-2"/>
                <w:sz w:val="18"/>
                <w:szCs w:val="18"/>
              </w:rPr>
              <w:t>计入营业外收入。比较数据不调</w:t>
            </w:r>
            <w:r>
              <w:rPr>
                <w:rFonts w:ascii="宋体" w:hAnsi="宋体" w:cs="宋体" w:eastAsia="宋体" w:hint="default"/>
                <w:sz w:val="18"/>
                <w:szCs w:val="18"/>
              </w:rPr>
              <w:t> 整。</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541"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10"/>
              <w:ind w:left="4" w:right="782"/>
              <w:jc w:val="left"/>
              <w:rPr>
                <w:rFonts w:ascii="宋体" w:hAnsi="宋体" w:cs="宋体" w:eastAsia="宋体" w:hint="default"/>
                <w:sz w:val="18"/>
                <w:szCs w:val="18"/>
              </w:rPr>
            </w:pPr>
            <w:r>
              <w:rPr>
                <w:rFonts w:ascii="宋体" w:hAnsi="宋体" w:cs="宋体" w:eastAsia="宋体" w:hint="default"/>
                <w:sz w:val="18"/>
                <w:szCs w:val="18"/>
              </w:rPr>
              <w:t>调增其他收益：</w:t>
            </w:r>
            <w:r>
              <w:rPr>
                <w:rFonts w:ascii="Times New Roman" w:hAnsi="Times New Roman" w:cs="Times New Roman" w:eastAsia="Times New Roman" w:hint="default"/>
                <w:sz w:val="18"/>
                <w:szCs w:val="18"/>
              </w:rPr>
              <w:t>6,543,091.84 </w:t>
            </w:r>
            <w:r>
              <w:rPr>
                <w:rFonts w:ascii="宋体" w:hAnsi="宋体" w:cs="宋体" w:eastAsia="宋体" w:hint="default"/>
                <w:sz w:val="18"/>
                <w:szCs w:val="18"/>
              </w:rPr>
              <w:t>元； 调减营业外收入：</w:t>
            </w:r>
            <w:r>
              <w:rPr>
                <w:rFonts w:ascii="Times New Roman" w:hAnsi="Times New Roman" w:cs="Times New Roman" w:eastAsia="Times New Roman" w:hint="default"/>
                <w:sz w:val="18"/>
                <w:szCs w:val="18"/>
              </w:rPr>
              <w:t>6,543,091.84</w:t>
            </w:r>
            <w:r>
              <w:rPr>
                <w:rFonts w:ascii="宋体" w:hAnsi="宋体" w:cs="宋体" w:eastAsia="宋体" w:hint="default"/>
                <w:sz w:val="18"/>
                <w:szCs w:val="18"/>
              </w:rPr>
              <w:t>元。</w:t>
            </w:r>
          </w:p>
        </w:tc>
      </w:tr>
      <w:tr>
        <w:trPr>
          <w:trHeight w:val="1601" w:hRule="exact"/>
        </w:trPr>
        <w:tc>
          <w:tcPr>
            <w:tcW w:w="2513"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资产处置</w:t>
            </w:r>
            <w:r>
              <w:rPr>
                <w:rFonts w:ascii="宋体" w:hAnsi="宋体" w:cs="宋体" w:eastAsia="宋体" w:hint="default"/>
                <w:spacing w:val="-78"/>
                <w:sz w:val="18"/>
                <w:szCs w:val="18"/>
              </w:rPr>
              <w:t> </w:t>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项目，将部分原列示为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营 </w:t>
            </w:r>
            <w:r>
              <w:rPr>
                <w:rFonts w:ascii="宋体" w:hAnsi="宋体" w:cs="宋体" w:eastAsia="宋体" w:hint="default"/>
                <w:spacing w:val="4"/>
                <w:sz w:val="18"/>
                <w:szCs w:val="18"/>
              </w:rPr>
              <w:t>业外收入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的资产处置损益重分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 数据相应调整。</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541" w:type="dxa"/>
            <w:tcBorders>
              <w:top w:val="single" w:sz="12" w:space="0" w:color="000000"/>
              <w:left w:val="single" w:sz="6" w:space="0" w:color="000000"/>
              <w:bottom w:val="single" w:sz="12" w:space="0" w:color="000000"/>
              <w:right w:val="nil" w:sz="6" w:space="0" w:color="auto"/>
            </w:tcBorders>
          </w:tcPr>
          <w:p>
            <w:pPr>
              <w:pStyle w:val="TableParagraph"/>
              <w:spacing w:line="300" w:lineRule="auto" w:before="8"/>
              <w:ind w:left="4" w:right="826"/>
              <w:jc w:val="left"/>
              <w:rPr>
                <w:rFonts w:ascii="宋体" w:hAnsi="宋体" w:cs="宋体" w:eastAsia="宋体" w:hint="default"/>
                <w:sz w:val="18"/>
                <w:szCs w:val="18"/>
              </w:rPr>
            </w:pPr>
            <w:r>
              <w:rPr>
                <w:rFonts w:ascii="宋体" w:hAnsi="宋体" w:cs="宋体" w:eastAsia="宋体" w:hint="default"/>
                <w:sz w:val="18"/>
                <w:szCs w:val="18"/>
              </w:rPr>
              <w:t>调增资产处置收益：</w:t>
            </w:r>
            <w:r>
              <w:rPr>
                <w:rFonts w:ascii="Times New Roman" w:hAnsi="Times New Roman" w:cs="Times New Roman" w:eastAsia="Times New Roman" w:hint="default"/>
                <w:sz w:val="18"/>
                <w:szCs w:val="18"/>
              </w:rPr>
              <w:t>60,193.85</w:t>
            </w:r>
            <w:r>
              <w:rPr>
                <w:rFonts w:ascii="宋体" w:hAnsi="宋体" w:cs="宋体" w:eastAsia="宋体" w:hint="default"/>
                <w:sz w:val="18"/>
                <w:szCs w:val="18"/>
              </w:rPr>
              <w:t>元； 调减营业外收入：</w:t>
            </w:r>
            <w:r>
              <w:rPr>
                <w:rFonts w:ascii="Times New Roman" w:hAnsi="Times New Roman" w:cs="Times New Roman" w:eastAsia="Times New Roman" w:hint="default"/>
                <w:sz w:val="18"/>
                <w:szCs w:val="18"/>
              </w:rPr>
              <w:t>60,193.85</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99"/>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99"/>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265" w:right="99" w:hanging="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日，本公司控股子公司成都兴政电子政务运营服务有限公司新设全资子公司成都兴联汇智科技有限公司，合 并范围因此发生变动。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99"/>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9"/>
        <w:jc w:val="left"/>
      </w:pPr>
      <w:r>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0" w:right="196"/>
        <w:jc w:val="right"/>
      </w:pPr>
      <w:r>
        <w:rPr/>
        <w:pict>
          <v:shape style="position:absolute;margin-left:56.459999pt;margin-top:-83.328262pt;width:479.2pt;height:100.9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钱骁玲、周琪</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钱骁玲审计服务连续年限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年，周琪审计服务连续年限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p>
              </w:txbxContent>
            </v:textbox>
            <w10:wrap type="none"/>
          </v:shape>
        </w:pict>
      </w:r>
      <w:r>
        <w:rPr/>
        <w:t>。</w:t>
      </w:r>
    </w:p>
    <w:p>
      <w:pPr>
        <w:spacing w:line="240" w:lineRule="auto" w:before="3"/>
        <w:rPr>
          <w:rFonts w:ascii="宋体" w:hAnsi="宋体" w:cs="宋体" w:eastAsia="宋体" w:hint="default"/>
          <w:sz w:val="9"/>
          <w:szCs w:val="9"/>
        </w:rPr>
      </w:pPr>
    </w:p>
    <w:p>
      <w:pPr>
        <w:pStyle w:val="BodyText"/>
        <w:spacing w:line="240" w:lineRule="auto" w:before="44"/>
        <w:ind w:right="99"/>
        <w:jc w:val="left"/>
      </w:pPr>
      <w:r>
        <w:rPr/>
        <w:t>当期是否改聘会计师事务所</w:t>
      </w:r>
    </w:p>
    <w:p>
      <w:pPr>
        <w:pStyle w:val="BodyText"/>
        <w:spacing w:line="240" w:lineRule="auto" w:before="117"/>
        <w:ind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聘请内部控制审计会计师事务所、财务顾问或保荐人情况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3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713"/>
        <w:gridCol w:w="749"/>
        <w:gridCol w:w="675"/>
        <w:gridCol w:w="845"/>
        <w:gridCol w:w="674"/>
        <w:gridCol w:w="675"/>
        <w:gridCol w:w="674"/>
        <w:gridCol w:w="670"/>
        <w:gridCol w:w="641"/>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5"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1" w:right="7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9"/>
              <w:ind w:left="24" w:right="-5"/>
              <w:jc w:val="left"/>
              <w:rPr>
                <w:rFonts w:ascii="宋体" w:hAnsi="宋体" w:cs="宋体" w:eastAsia="宋体" w:hint="default"/>
                <w:sz w:val="18"/>
                <w:szCs w:val="18"/>
              </w:rPr>
            </w:pPr>
            <w:r>
              <w:rPr>
                <w:rFonts w:ascii="宋体" w:hAnsi="宋体" w:cs="宋体" w:eastAsia="宋体" w:hint="default"/>
                <w:sz w:val="18"/>
                <w:szCs w:val="18"/>
              </w:rPr>
              <w:t>（万元）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19"/>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28"/>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2,678.25</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2,678.25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4,950.00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99"/>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8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713"/>
        <w:gridCol w:w="749"/>
        <w:gridCol w:w="675"/>
        <w:gridCol w:w="845"/>
        <w:gridCol w:w="674"/>
        <w:gridCol w:w="675"/>
        <w:gridCol w:w="674"/>
        <w:gridCol w:w="670"/>
        <w:gridCol w:w="641"/>
      </w:tblGrid>
      <w:tr>
        <w:trPr>
          <w:trHeight w:val="36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属单位</w:t>
            </w: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 属单位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858.12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858.12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21</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4"/>
              <w:jc w:val="both"/>
              <w:rPr>
                <w:rFonts w:ascii="宋体" w:hAnsi="宋体" w:cs="宋体" w:eastAsia="宋体" w:hint="default"/>
                <w:sz w:val="18"/>
                <w:szCs w:val="18"/>
              </w:rPr>
            </w:pPr>
            <w:r>
              <w:rPr>
                <w:rFonts w:ascii="宋体" w:hAnsi="宋体" w:cs="宋体" w:eastAsia="宋体" w:hint="default"/>
                <w:sz w:val="18"/>
                <w:szCs w:val="18"/>
              </w:rPr>
              <w:t>中国工程 物理研究 院及其下 属单位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1"/>
              <w:jc w:val="left"/>
              <w:rPr>
                <w:rFonts w:ascii="宋体" w:hAnsi="宋体" w:cs="宋体" w:eastAsia="宋体" w:hint="default"/>
                <w:sz w:val="18"/>
                <w:szCs w:val="18"/>
              </w:rPr>
            </w:pPr>
            <w:r>
              <w:rPr>
                <w:rFonts w:ascii="宋体" w:hAnsi="宋体" w:cs="宋体" w:eastAsia="宋体" w:hint="default"/>
                <w:sz w:val="18"/>
                <w:szCs w:val="18"/>
              </w:rPr>
              <w:t>控股股 东</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1"/>
              <w:jc w:val="left"/>
              <w:rPr>
                <w:rFonts w:ascii="宋体" w:hAnsi="宋体" w:cs="宋体" w:eastAsia="宋体" w:hint="default"/>
                <w:sz w:val="18"/>
                <w:szCs w:val="18"/>
              </w:rPr>
            </w:pPr>
            <w:r>
              <w:rPr>
                <w:rFonts w:ascii="宋体" w:hAnsi="宋体" w:cs="宋体" w:eastAsia="宋体" w:hint="default"/>
                <w:sz w:val="18"/>
                <w:szCs w:val="18"/>
              </w:rPr>
              <w:t>租赁业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8"/>
              <w:jc w:val="left"/>
              <w:rPr>
                <w:rFonts w:ascii="宋体" w:hAnsi="宋体" w:cs="宋体" w:eastAsia="宋体" w:hint="default"/>
                <w:sz w:val="18"/>
                <w:szCs w:val="18"/>
              </w:rPr>
            </w:pPr>
            <w:r>
              <w:rPr>
                <w:rFonts w:ascii="宋体" w:hAnsi="宋体" w:cs="宋体" w:eastAsia="宋体" w:hint="default"/>
                <w:sz w:val="18"/>
                <w:szCs w:val="18"/>
              </w:rPr>
              <w:t>租赁业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7"/>
              <w:jc w:val="left"/>
              <w:rPr>
                <w:rFonts w:ascii="宋体" w:hAnsi="宋体" w:cs="宋体" w:eastAsia="宋体" w:hint="default"/>
                <w:sz w:val="18"/>
                <w:szCs w:val="18"/>
              </w:rPr>
            </w:pPr>
            <w:r>
              <w:rPr>
                <w:rFonts w:ascii="宋体" w:hAnsi="宋体" w:cs="宋体" w:eastAsia="宋体" w:hint="default"/>
                <w:sz w:val="18"/>
                <w:szCs w:val="18"/>
              </w:rPr>
              <w:t>市场定 价原则</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47.22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47.22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按合同 结算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98"/>
              <w:jc w:val="left"/>
              <w:rPr>
                <w:rFonts w:ascii="宋体" w:hAnsi="宋体" w:cs="宋体" w:eastAsia="宋体" w:hint="default"/>
                <w:sz w:val="18"/>
                <w:szCs w:val="18"/>
              </w:rPr>
            </w:pPr>
            <w:r>
              <w:rPr>
                <w:rFonts w:ascii="宋体" w:hAnsi="宋体" w:cs="宋体" w:eastAsia="宋体" w:hint="default"/>
                <w:sz w:val="18"/>
                <w:szCs w:val="18"/>
              </w:rPr>
              <w:t>价格一 致</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21</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4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3,583.59</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6,000.00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99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997" w:type="dxa"/>
            <w:gridSpan w:val="10"/>
            <w:vMerge w:val="restart"/>
            <w:tcBorders>
              <w:top w:val="single" w:sz="4" w:space="0" w:color="000000"/>
              <w:left w:val="single" w:sz="10" w:space="0" w:color="D2D2D2"/>
              <w:right w:val="single" w:sz="4" w:space="0" w:color="000000"/>
            </w:tcBorders>
          </w:tcPr>
          <w:p>
            <w:pPr>
              <w:pStyle w:val="TableParagraph"/>
              <w:spacing w:line="312" w:lineRule="auto" w:before="49"/>
              <w:ind w:left="16" w:right="20"/>
              <w:jc w:val="left"/>
              <w:rPr>
                <w:rFonts w:ascii="宋体" w:hAnsi="宋体" w:cs="宋体" w:eastAsia="宋体" w:hint="default"/>
                <w:sz w:val="18"/>
                <w:szCs w:val="18"/>
              </w:rPr>
            </w:pPr>
            <w:r>
              <w:rPr>
                <w:rFonts w:ascii="宋体" w:hAnsi="宋体" w:cs="宋体" w:eastAsia="宋体" w:hint="default"/>
                <w:spacing w:val="-3"/>
                <w:sz w:val="18"/>
                <w:szCs w:val="18"/>
              </w:rPr>
              <w:t>由于本公司实际控制人为中物院，中物院及其下属单位（不含本公司控股股东久远集团及</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其下属单位、第二大股东锐锋集团及其下属单位，下同）相关情况、本公司与中物院及其</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下属单位签订的合同属于军工保密事项。根据《军工企业对外融资特殊财务信息披露管理</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5"/>
                <w:sz w:val="18"/>
                <w:szCs w:val="18"/>
              </w:rPr>
              <w:t>暂行办法》（科工财审</w:t>
            </w:r>
            <w:r>
              <w:rPr>
                <w:rFonts w:ascii="Times New Roman" w:hAnsi="Times New Roman" w:cs="Times New Roman" w:eastAsia="Times New Roman" w:hint="default"/>
                <w:spacing w:val="-5"/>
                <w:sz w:val="18"/>
                <w:szCs w:val="18"/>
              </w:rPr>
              <w:t>[2008]702</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号）的相关规定，并经国家国防科技工业局（科工财审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Times New Roman" w:hAnsi="Times New Roman" w:cs="Times New Roman" w:eastAsia="Times New Roman" w:hint="default"/>
                <w:spacing w:val="-1"/>
                <w:sz w:val="18"/>
                <w:szCs w:val="18"/>
              </w:rPr>
              <w:t>[2012]1662</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号）、（科工财审</w:t>
            </w:r>
            <w:r>
              <w:rPr>
                <w:rFonts w:ascii="Times New Roman" w:hAnsi="Times New Roman" w:cs="Times New Roman" w:eastAsia="Times New Roman" w:hint="default"/>
                <w:spacing w:val="-11"/>
                <w:sz w:val="18"/>
                <w:szCs w:val="18"/>
              </w:rPr>
              <w:t>[2014]407</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号）文批准，对中物院及其下属单位相关情况、本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公司与中物院及其下属单位发生的关联交易事项豁免披露，上述信息豁免披露可能影响投</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资者全面、完整地了解公司情况。</w:t>
            </w:r>
          </w:p>
        </w:tc>
      </w:tr>
      <w:tr>
        <w:trPr>
          <w:trHeight w:val="1015"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997" w:type="dxa"/>
            <w:gridSpan w:val="10"/>
            <w:vMerge/>
            <w:tcBorders>
              <w:left w:val="single" w:sz="10" w:space="0" w:color="D2D2D2"/>
              <w:right w:val="single" w:sz="4" w:space="0" w:color="000000"/>
            </w:tcBorders>
          </w:tcPr>
          <w:p>
            <w:pPr/>
          </w:p>
        </w:tc>
      </w:tr>
      <w:tr>
        <w:trPr>
          <w:trHeight w:val="629"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997" w:type="dxa"/>
            <w:gridSpan w:val="10"/>
            <w:vMerge/>
            <w:tcBorders>
              <w:left w:val="single" w:sz="10" w:space="0" w:color="D2D2D2"/>
              <w:bottom w:val="single" w:sz="4" w:space="0" w:color="000000"/>
              <w:right w:val="single" w:sz="4" w:space="0" w:color="000000"/>
            </w:tcBorders>
          </w:tcPr>
          <w:p>
            <w:pPr/>
          </w:p>
        </w:tc>
      </w:tr>
      <w:tr>
        <w:trPr>
          <w:trHeight w:val="716"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997"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79" w:top="1060" w:bottom="1160" w:left="980" w:right="80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10"/>
        <w:gridCol w:w="920"/>
        <w:gridCol w:w="937"/>
        <w:gridCol w:w="1291"/>
        <w:gridCol w:w="1058"/>
        <w:gridCol w:w="1040"/>
        <w:gridCol w:w="1055"/>
        <w:gridCol w:w="787"/>
        <w:gridCol w:w="779"/>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49"/>
              <w:ind w:left="100"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7"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6"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4"/>
              <w:jc w:val="left"/>
              <w:rPr>
                <w:rFonts w:ascii="宋体" w:hAnsi="宋体" w:cs="宋体" w:eastAsia="宋体" w:hint="default"/>
                <w:sz w:val="18"/>
                <w:szCs w:val="18"/>
              </w:rPr>
            </w:pPr>
            <w:r>
              <w:rPr>
                <w:rFonts w:ascii="宋体" w:hAnsi="宋体" w:cs="宋体" w:eastAsia="宋体" w:hint="default"/>
                <w:sz w:val="18"/>
                <w:szCs w:val="18"/>
              </w:rPr>
              <w:t>四川发展融资担保股 份有限公司</w:t>
            </w:r>
          </w:p>
        </w:tc>
        <w:tc>
          <w:tcPr>
            <w:tcW w:w="920"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2" w:right="0"/>
              <w:jc w:val="left"/>
              <w:rPr>
                <w:rFonts w:ascii="Times New Roman" w:hAnsi="Times New Roman" w:cs="Times New Roman" w:eastAsia="Times New Roman" w:hint="default"/>
                <w:sz w:val="18"/>
                <w:szCs w:val="18"/>
              </w:rPr>
            </w:pPr>
            <w:r>
              <w:rPr>
                <w:rFonts w:ascii="Times New Roman"/>
                <w:sz w:val="18"/>
              </w:rPr>
              <w:t>7,500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1"/>
              <w:ind w:left="1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7,500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3"/>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7,500</w:t>
            </w:r>
          </w:p>
        </w:tc>
        <w:tc>
          <w:tcPr>
            <w:tcW w:w="20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7,500</w:t>
            </w:r>
          </w:p>
        </w:tc>
        <w:tc>
          <w:tcPr>
            <w:tcW w:w="20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2" w:hRule="exact"/>
        </w:trPr>
        <w:tc>
          <w:tcPr>
            <w:tcW w:w="1710"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95"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2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0"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2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4"/>
              <w:ind w:left="1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36"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5"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1" w:type="dxa"/>
            <w:vMerge/>
            <w:tcBorders>
              <w:left w:val="single" w:sz="4" w:space="0" w:color="000000"/>
              <w:right w:val="single" w:sz="4" w:space="0" w:color="000000"/>
            </w:tcBorders>
            <w:shd w:val="clear" w:color="auto" w:fill="D2D2D2"/>
          </w:tcPr>
          <w:p>
            <w:pPr/>
          </w:p>
        </w:tc>
        <w:tc>
          <w:tcPr>
            <w:tcW w:w="1058"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10"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291"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0"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2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709"/>
        <w:gridCol w:w="897"/>
        <w:gridCol w:w="937"/>
        <w:gridCol w:w="1302"/>
        <w:gridCol w:w="1033"/>
        <w:gridCol w:w="1059"/>
        <w:gridCol w:w="1064"/>
        <w:gridCol w:w="774"/>
        <w:gridCol w:w="788"/>
      </w:tblGrid>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8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1" w:right="8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9" w:type="dxa"/>
            <w:vMerge w:val="restart"/>
            <w:tcBorders>
              <w:top w:val="single" w:sz="4" w:space="0" w:color="000000"/>
              <w:left w:val="single" w:sz="4" w:space="0" w:color="000000"/>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3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6" w:right="54"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9"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7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96"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897"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vMerge/>
            <w:tcBorders>
              <w:left w:val="single" w:sz="4" w:space="0" w:color="000000"/>
              <w:right w:val="single" w:sz="4" w:space="0" w:color="000000"/>
            </w:tcBorders>
            <w:shd w:val="clear" w:color="auto" w:fill="D2D2D2"/>
          </w:tcPr>
          <w:p>
            <w:pPr/>
          </w:p>
        </w:tc>
        <w:tc>
          <w:tcPr>
            <w:tcW w:w="1033" w:type="dxa"/>
            <w:vMerge/>
            <w:tcBorders>
              <w:left w:val="single" w:sz="4" w:space="0" w:color="000000"/>
              <w:right w:val="single" w:sz="4" w:space="0" w:color="000000"/>
            </w:tcBorders>
            <w:shd w:val="clear" w:color="auto" w:fill="D2D2D2"/>
          </w:tcPr>
          <w:p>
            <w:pPr/>
          </w:p>
        </w:tc>
        <w:tc>
          <w:tcPr>
            <w:tcW w:w="10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74" w:type="dxa"/>
            <w:vMerge/>
            <w:tcBorders>
              <w:left w:val="single" w:sz="4" w:space="0" w:color="000000"/>
              <w:right w:val="single" w:sz="4" w:space="0" w:color="000000"/>
            </w:tcBorders>
            <w:shd w:val="clear" w:color="auto" w:fill="D2D2D2"/>
          </w:tcPr>
          <w:p>
            <w:pPr/>
          </w:p>
        </w:tc>
        <w:tc>
          <w:tcPr>
            <w:tcW w:w="788"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897"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33" w:type="dxa"/>
            <w:vMerge/>
            <w:tcBorders>
              <w:left w:val="single" w:sz="4" w:space="0" w:color="000000"/>
              <w:bottom w:val="nil" w:sz="6" w:space="0" w:color="auto"/>
              <w:right w:val="single" w:sz="4" w:space="0" w:color="000000"/>
            </w:tcBorders>
            <w:shd w:val="clear" w:color="auto" w:fill="D2D2D2"/>
          </w:tcPr>
          <w:p>
            <w:pPr/>
          </w:p>
        </w:tc>
        <w:tc>
          <w:tcPr>
            <w:tcW w:w="1059" w:type="dxa"/>
            <w:vMerge w:val="restart"/>
            <w:tcBorders>
              <w:top w:val="nil" w:sz="6" w:space="0" w:color="auto"/>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897"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714" w:hRule="exact"/>
        </w:trPr>
        <w:tc>
          <w:tcPr>
            <w:tcW w:w="26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r>
      <w:tr>
        <w:trPr>
          <w:trHeight w:val="408"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14.76%</w:t>
            </w:r>
          </w:p>
        </w:tc>
      </w:tr>
      <w:tr>
        <w:trPr>
          <w:trHeight w:val="392"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9"/>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9"/>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99" w:firstLine="360"/>
        <w:jc w:val="left"/>
      </w:pPr>
      <w:r>
        <w:rPr>
          <w:spacing w:val="-2"/>
        </w:rPr>
        <w:t>报告期内，公司在经营发展中坚持经济效益和社会效益并重，秉承</w:t>
      </w:r>
      <w:r>
        <w:rPr>
          <w:rFonts w:ascii="Times New Roman" w:hAnsi="Times New Roman" w:cs="Times New Roman" w:eastAsia="Times New Roman" w:hint="default"/>
          <w:spacing w:val="-2"/>
        </w:rPr>
        <w:t>“</w:t>
      </w:r>
      <w:r>
        <w:rPr>
          <w:spacing w:val="-2"/>
        </w:rPr>
        <w:t>服务民生国防，引领行业创新</w:t>
      </w:r>
      <w:r>
        <w:rPr>
          <w:rFonts w:ascii="Times New Roman" w:hAnsi="Times New Roman" w:cs="Times New Roman" w:eastAsia="Times New Roman" w:hint="default"/>
          <w:spacing w:val="-2"/>
        </w:rPr>
        <w:t>”</w:t>
      </w:r>
      <w:r>
        <w:rPr>
          <w:spacing w:val="-2"/>
        </w:rPr>
        <w:t>的企业经营和发展理</w:t>
      </w:r>
      <w:r>
        <w:rPr/>
        <w:t> 念，积极承担社会责任。</w:t>
      </w:r>
    </w:p>
    <w:p>
      <w:pPr>
        <w:pStyle w:val="BodyText"/>
        <w:spacing w:line="316" w:lineRule="auto" w:before="31"/>
        <w:ind w:right="190" w:firstLine="360"/>
        <w:jc w:val="both"/>
      </w:pPr>
      <w:r>
        <w:rPr>
          <w:spacing w:val="-2"/>
        </w:rPr>
        <w:t>公司在积极做好生产经营活动，努力完成董事会下达的年度经营目标，力争以良好的经营业绩回报投资者的同时，一方</w:t>
      </w:r>
      <w:r>
        <w:rPr/>
        <w:t> </w:t>
      </w:r>
      <w:r>
        <w:rPr>
          <w:spacing w:val="-2"/>
        </w:rPr>
        <w:t>面通过持续的技术创新、诚实守信，认真负责做好客户的服务工作，尽力满足客户在信息化建设和服务上的需求，助力客户</w:t>
      </w:r>
      <w:r>
        <w:rPr>
          <w:spacing w:val="-65"/>
        </w:rPr>
        <w:t> </w:t>
      </w:r>
      <w:r>
        <w:rPr>
          <w:spacing w:val="-65"/>
        </w:rPr>
      </w:r>
      <w:r>
        <w:rPr>
          <w:spacing w:val="-2"/>
        </w:rPr>
        <w:t>服务能力和效率的提升；另一方面，努力维护与供应商和合作伙伴的良好关系，致力于构建公开、公平、诚实、信用的合作</w:t>
      </w:r>
      <w:r>
        <w:rPr>
          <w:spacing w:val="-68"/>
        </w:rPr>
        <w:t> </w:t>
      </w:r>
      <w:r>
        <w:rPr>
          <w:spacing w:val="-68"/>
        </w:rPr>
      </w:r>
      <w:r>
        <w:rPr/>
        <w:t>平台，切实履行公司对各合作方的社会责任。</w:t>
      </w:r>
    </w:p>
    <w:p>
      <w:pPr>
        <w:pStyle w:val="BodyText"/>
        <w:spacing w:line="319" w:lineRule="auto" w:before="19"/>
        <w:ind w:right="99" w:firstLine="360"/>
        <w:jc w:val="left"/>
      </w:pPr>
      <w:r>
        <w:rPr>
          <w:spacing w:val="-2"/>
        </w:rPr>
        <w:t>公司坚持以人为本，关怀员工、重视员工权益，严格遵守《劳动法》、《劳动合同法》、《妇女权益保护法》等相关法</w:t>
      </w:r>
      <w:r>
        <w:rPr/>
        <w:t> </w:t>
      </w:r>
      <w:r>
        <w:rPr>
          <w:spacing w:val="-2"/>
        </w:rPr>
        <w:t>律法规，切实保护职工合法权益，公司制定了员工手册、考勤制度、员工绩效考核体系等一系列的规章制度保障公司员工的</w:t>
      </w:r>
      <w:r>
        <w:rPr>
          <w:spacing w:val="-64"/>
        </w:rPr>
        <w:t> </w:t>
      </w:r>
      <w:r>
        <w:rPr>
          <w:spacing w:val="-64"/>
        </w:rPr>
      </w:r>
      <w:r>
        <w:rPr>
          <w:spacing w:val="-4"/>
        </w:rPr>
        <w:t>权益，并接受广大员工的监督。根据公司《员工手册》和《考勤管理制度》，员工享受法定节假日、年休假、工伤假、婚假、</w:t>
      </w:r>
      <w:r>
        <w:rPr>
          <w:spacing w:val="-43"/>
        </w:rPr>
        <w:t> </w:t>
      </w:r>
      <w:r>
        <w:rPr>
          <w:spacing w:val="-43"/>
        </w:rPr>
      </w:r>
      <w:r>
        <w:rPr>
          <w:spacing w:val="-4"/>
        </w:rPr>
        <w:t>丧假、女工产假、护理假、哺乳假、换休假、病假等国家、省、市规定的节假日，相应假期的时间及薪酬待遇按照国家、省、</w:t>
      </w:r>
      <w:r>
        <w:rPr>
          <w:spacing w:val="-50"/>
        </w:rPr>
        <w:t> </w:t>
      </w:r>
      <w:r>
        <w:rPr>
          <w:spacing w:val="-50"/>
        </w:rPr>
      </w:r>
      <w:r>
        <w:rPr/>
        <w:t>市的法律规定执行。公司重视员工的身心健康，每年定期组织员工年度体检。</w:t>
      </w:r>
    </w:p>
    <w:p>
      <w:pPr>
        <w:pStyle w:val="BodyText"/>
        <w:spacing w:line="316" w:lineRule="auto" w:before="17"/>
        <w:ind w:right="99" w:firstLine="271"/>
        <w:jc w:val="left"/>
      </w:pPr>
      <w:r>
        <w:rPr>
          <w:spacing w:val="-2"/>
        </w:rPr>
        <w:t>公司重视企业文化建设和企业文化活动，通过员工体育运动会、公司及部门年会、工会和共青团组织的文体活动等形式，</w:t>
      </w:r>
      <w:r>
        <w:rPr/>
        <w:t> </w:t>
      </w:r>
      <w:r>
        <w:rPr>
          <w:spacing w:val="-2"/>
        </w:rPr>
        <w:t>展示员工才艺，培养员工团队精神，增强企业凝聚力。同时，公司大力开展员工培训，设立专门专职的培训部门和讲师，对</w:t>
      </w:r>
      <w:r>
        <w:rPr>
          <w:spacing w:val="-68"/>
        </w:rPr>
        <w:t> </w:t>
      </w:r>
      <w:r>
        <w:rPr>
          <w:spacing w:val="-68"/>
        </w:rPr>
      </w:r>
      <w:r>
        <w:rPr>
          <w:spacing w:val="-2"/>
        </w:rPr>
        <w:t>员工实施面对面、网络、定期、不定期的培训，提升员工的专业素养和技术能力，为员工提供良好的培训和晋升渠道，实现</w:t>
      </w:r>
      <w:r>
        <w:rPr>
          <w:spacing w:val="-68"/>
        </w:rPr>
        <w:t> </w:t>
      </w:r>
      <w:r>
        <w:rPr>
          <w:spacing w:val="-68"/>
        </w:rPr>
      </w:r>
      <w:r>
        <w:rPr/>
        <w:t>员工与企业的共同成长。</w:t>
      </w:r>
    </w:p>
    <w:p>
      <w:pPr>
        <w:pStyle w:val="BodyText"/>
        <w:spacing w:line="300" w:lineRule="auto" w:before="19"/>
        <w:ind w:right="190" w:firstLine="216"/>
        <w:jc w:val="both"/>
      </w:pPr>
      <w:r>
        <w:rPr/>
        <w:t>公司除了通过参加社会和商业保险为员工提供保障外，还致力于通过企业自身为员工提供更大程度的关爱和帮助。</w:t>
      </w:r>
      <w:r>
        <w:rPr>
          <w:rFonts w:ascii="Times New Roman" w:hAnsi="Times New Roman" w:cs="Times New Roman" w:eastAsia="Times New Roman" w:hint="default"/>
        </w:rPr>
        <w:t>2016 </w:t>
      </w:r>
      <w:r>
        <w:rPr>
          <w:spacing w:val="-2"/>
        </w:rPr>
        <w:t>年末，公司决定从</w:t>
      </w:r>
      <w:r>
        <w:rPr>
          <w:rFonts w:ascii="Times New Roman" w:hAnsi="Times New Roman" w:cs="Times New Roman" w:eastAsia="Times New Roman" w:hint="default"/>
          <w:spacing w:val="-2"/>
        </w:rPr>
        <w:t>2017</w:t>
      </w:r>
      <w:r>
        <w:rPr>
          <w:spacing w:val="-2"/>
        </w:rPr>
        <w:t>年起，由公司工会组织和发起公司高管和员工开展</w:t>
      </w:r>
      <w:r>
        <w:rPr>
          <w:rFonts w:ascii="Times New Roman" w:hAnsi="Times New Roman" w:cs="Times New Roman" w:eastAsia="Times New Roman" w:hint="default"/>
          <w:spacing w:val="-2"/>
        </w:rPr>
        <w:t>“</w:t>
      </w:r>
      <w:r>
        <w:rPr>
          <w:spacing w:val="-2"/>
        </w:rPr>
        <w:t>一日捐</w:t>
      </w:r>
      <w:r>
        <w:rPr>
          <w:rFonts w:ascii="Times New Roman" w:hAnsi="Times New Roman" w:cs="Times New Roman" w:eastAsia="Times New Roman" w:hint="default"/>
          <w:spacing w:val="-2"/>
        </w:rPr>
        <w:t>”</w:t>
      </w:r>
      <w:r>
        <w:rPr>
          <w:spacing w:val="-2"/>
        </w:rPr>
        <w:t>活动，设立久远银海员工爱心基金，旨在</w:t>
      </w:r>
      <w:r>
        <w:rPr>
          <w:spacing w:val="-42"/>
        </w:rPr>
        <w:t> </w:t>
      </w:r>
      <w:r>
        <w:rPr>
          <w:spacing w:val="-42"/>
        </w:rPr>
      </w:r>
      <w:r>
        <w:rPr/>
        <w:t>帮助那些家庭遇有突发性的灾难或困难的职工，如大病、重病、突发困难等情况，帮助困难职工渡过难关。</w:t>
      </w:r>
    </w:p>
    <w:p>
      <w:pPr>
        <w:pStyle w:val="BodyText"/>
        <w:spacing w:line="300" w:lineRule="auto" w:before="72"/>
        <w:ind w:right="191" w:firstLine="288"/>
        <w:jc w:val="both"/>
      </w:pPr>
      <w:r>
        <w:rPr>
          <w:spacing w:val="-1"/>
        </w:rPr>
        <w:t>公司工会和共青团积极组织员工参与社会公益活动，</w:t>
      </w:r>
      <w:r>
        <w:rPr>
          <w:rFonts w:ascii="Times New Roman" w:hAnsi="Times New Roman" w:cs="Times New Roman" w:eastAsia="Times New Roman" w:hint="default"/>
          <w:spacing w:val="-1"/>
        </w:rPr>
        <w:t>2016</w:t>
      </w:r>
      <w:r>
        <w:rPr>
          <w:spacing w:val="-1"/>
        </w:rPr>
        <w:t>年公司工会组织员工参加控股股东四川久远投资集团有限公司</w:t>
      </w:r>
      <w:r>
        <w:rPr/>
        <w:t> </w:t>
      </w:r>
      <w:r>
        <w:rPr>
          <w:spacing w:val="-2"/>
        </w:rPr>
        <w:t>组织的精准扶贫定向捐助活动；</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月，公司共青团组织青年员工参加上级团委发起的</w:t>
      </w:r>
      <w:r>
        <w:rPr>
          <w:rFonts w:ascii="Times New Roman" w:hAnsi="Times New Roman" w:cs="Times New Roman" w:eastAsia="Times New Roman" w:hint="default"/>
          <w:spacing w:val="-2"/>
        </w:rPr>
        <w:t>“</w:t>
      </w:r>
      <w:r>
        <w:rPr>
          <w:spacing w:val="-2"/>
        </w:rPr>
        <w:t>爱心圆梦香巴拉公益活动</w:t>
      </w:r>
      <w:r>
        <w:rPr>
          <w:rFonts w:ascii="Times New Roman" w:hAnsi="Times New Roman" w:cs="Times New Roman" w:eastAsia="Times New Roman" w:hint="default"/>
          <w:spacing w:val="-2"/>
        </w:rPr>
        <w:t>”</w:t>
      </w:r>
      <w:r>
        <w:rPr>
          <w:spacing w:val="-2"/>
        </w:rPr>
        <w:t>，向</w:t>
      </w:r>
      <w:r>
        <w:rPr>
          <w:spacing w:val="-61"/>
        </w:rPr>
        <w:t> </w:t>
      </w:r>
      <w:r>
        <w:rPr>
          <w:spacing w:val="-2"/>
        </w:rPr>
        <w:t>甘孜州乡城县藏族青少年爱心书屋捐赠图书</w:t>
      </w:r>
      <w:r>
        <w:rPr>
          <w:rFonts w:ascii="Times New Roman" w:hAnsi="Times New Roman" w:cs="Times New Roman" w:eastAsia="Times New Roman" w:hint="default"/>
          <w:spacing w:val="-2"/>
        </w:rPr>
        <w:t>3000</w:t>
      </w:r>
      <w:r>
        <w:rPr>
          <w:spacing w:val="-2"/>
        </w:rPr>
        <w:t>余册。社会公益活动培养了员工的爱心和社会责任感，为公司树立了良好的</w:t>
      </w:r>
      <w:r>
        <w:rPr>
          <w:spacing w:val="-61"/>
        </w:rPr>
        <w:t> </w:t>
      </w:r>
      <w:r>
        <w:rPr>
          <w:spacing w:val="-61"/>
        </w:rPr>
      </w:r>
      <w:r>
        <w:rPr/>
        <w:t>社会形象。</w:t>
      </w:r>
    </w:p>
    <w:p>
      <w:pPr>
        <w:spacing w:line="240" w:lineRule="auto" w:before="7"/>
        <w:rPr>
          <w:rFonts w:ascii="宋体" w:hAnsi="宋体" w:cs="宋体" w:eastAsia="宋体" w:hint="default"/>
          <w:sz w:val="23"/>
          <w:szCs w:val="23"/>
        </w:rPr>
      </w:pPr>
    </w:p>
    <w:p>
      <w:pPr>
        <w:pStyle w:val="Heading3"/>
        <w:spacing w:line="240" w:lineRule="auto"/>
        <w:ind w:right="99"/>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9"/>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9"/>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9"/>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99"/>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9"/>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4774"/>
        <w:jc w:val="left"/>
      </w:pPr>
      <w:r>
        <w:rPr/>
        <w:t>上市公司及其子公司是否属于环境保护部门公布的重点排污单位 不适用 公司及其子公司不属于环境保护部门公布的重点排污单位。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99"/>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441" w:right="99"/>
        <w:jc w:val="left"/>
      </w:pPr>
      <w:r>
        <w:rPr/>
        <w:t>公司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27 </w:t>
      </w:r>
      <w:r>
        <w:rPr/>
        <w:t>日</w:t>
      </w:r>
      <w:r>
        <w:rPr>
          <w:rFonts w:ascii="Times New Roman" w:hAnsi="Times New Roman" w:cs="Times New Roman" w:eastAsia="Times New Roman" w:hint="default"/>
        </w:rPr>
        <w:t>2016 </w:t>
      </w:r>
      <w:r>
        <w:rPr/>
        <w:t>年第三届第二次临时董事会审议通过《非公开发行股票预案》，公司拟以 </w:t>
      </w:r>
      <w:r>
        <w:rPr>
          <w:rFonts w:ascii="Times New Roman" w:hAnsi="Times New Roman" w:cs="Times New Roman" w:eastAsia="Times New Roman" w:hint="default"/>
        </w:rPr>
        <w:t>72.44 </w:t>
      </w:r>
      <w:r>
        <w:rPr>
          <w:rFonts w:ascii="Times New Roman" w:hAnsi="Times New Roman" w:cs="Times New Roman" w:eastAsia="Times New Roman" w:hint="default"/>
          <w:spacing w:val="17"/>
        </w:rPr>
        <w:t> </w:t>
      </w:r>
      <w:r>
        <w:rPr/>
        <w:t>元</w:t>
      </w:r>
      <w:r>
        <w:rPr>
          <w:rFonts w:ascii="Times New Roman" w:hAnsi="Times New Roman" w:cs="Times New Roman" w:eastAsia="Times New Roman" w:hint="default"/>
        </w:rPr>
        <w:t>/</w:t>
      </w:r>
      <w:r>
        <w:rPr/>
        <w:t>股的</w:t>
      </w:r>
    </w:p>
    <w:p>
      <w:pPr>
        <w:pStyle w:val="BodyText"/>
        <w:spacing w:line="240" w:lineRule="auto" w:before="63"/>
        <w:ind w:right="99"/>
        <w:jc w:val="left"/>
      </w:pPr>
      <w:r>
        <w:rPr/>
        <w:t>发行价格向平安养老保险股份有限公司、平安资产管理有限责任公司、广发恒定</w:t>
      </w:r>
      <w:r>
        <w:rPr>
          <w:spacing w:val="-40"/>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号久远银海定向增发集合资管计划、广</w:t>
      </w:r>
    </w:p>
    <w:p>
      <w:pPr>
        <w:pStyle w:val="BodyText"/>
        <w:spacing w:line="240" w:lineRule="auto" w:before="63"/>
        <w:ind w:right="99"/>
        <w:jc w:val="left"/>
      </w:pPr>
      <w:r>
        <w:rPr/>
        <w:t>发原驰</w:t>
      </w:r>
      <w:r>
        <w:rPr>
          <w:rFonts w:ascii="Times New Roman" w:hAnsi="Times New Roman" w:cs="Times New Roman" w:eastAsia="Times New Roman" w:hint="default"/>
        </w:rPr>
        <w:t>•</w:t>
      </w:r>
      <w:r>
        <w:rPr/>
        <w:t>久远银海 </w:t>
      </w:r>
      <w:r>
        <w:rPr>
          <w:rFonts w:ascii="Times New Roman" w:hAnsi="Times New Roman" w:cs="Times New Roman" w:eastAsia="Times New Roman" w:hint="default"/>
        </w:rPr>
        <w:t>1 </w:t>
      </w:r>
      <w:r>
        <w:rPr/>
        <w:t>号定向资产管理计划（员工持股计划）非公开发行股票不超过 </w:t>
      </w:r>
      <w:r>
        <w:rPr>
          <w:rFonts w:ascii="Times New Roman" w:hAnsi="Times New Roman" w:cs="Times New Roman" w:eastAsia="Times New Roman" w:hint="default"/>
        </w:rPr>
        <w:t>6,902,262</w:t>
      </w:r>
      <w:r>
        <w:rPr>
          <w:rFonts w:ascii="Times New Roman" w:hAnsi="Times New Roman" w:cs="Times New Roman" w:eastAsia="Times New Roman" w:hint="default"/>
          <w:spacing w:val="15"/>
        </w:rPr>
        <w:t> </w:t>
      </w:r>
      <w:r>
        <w:rPr/>
        <w:t>股。本次非公开发行的股票限</w:t>
      </w:r>
    </w:p>
    <w:p>
      <w:pPr>
        <w:pStyle w:val="BodyText"/>
        <w:spacing w:line="300" w:lineRule="auto" w:before="63"/>
        <w:ind w:right="99"/>
        <w:jc w:val="left"/>
      </w:pPr>
      <w:r>
        <w:rPr/>
        <w:t>售期</w:t>
      </w:r>
      <w:r>
        <w:rPr>
          <w:rFonts w:ascii="Times New Roman" w:hAnsi="Times New Roman" w:cs="Times New Roman" w:eastAsia="Times New Roman" w:hint="default"/>
        </w:rPr>
        <w:t>36</w:t>
      </w:r>
      <w:r>
        <w:rPr/>
        <w:t>个月，募集资金总额不超过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亿元，扣除相关发行费用后用于医保便民服务平台项目、医保基金精算与医保服务治 </w:t>
      </w:r>
      <w:r>
        <w:rPr>
          <w:spacing w:val="-8"/>
        </w:rPr>
        <w:t>理解决方案项目和军民融合公共服务平台项目。其相关内容详见公司于</w:t>
      </w:r>
      <w:r>
        <w:rPr>
          <w:rFonts w:ascii="Times New Roman" w:hAnsi="Times New Roman" w:cs="Times New Roman" w:eastAsia="Times New Roman" w:hint="default"/>
          <w:spacing w:val="-8"/>
        </w:rPr>
        <w:t>2016</w:t>
      </w:r>
      <w:r>
        <w:rPr>
          <w:spacing w:val="-8"/>
        </w:rPr>
        <w:t>年</w:t>
      </w:r>
      <w:r>
        <w:rPr>
          <w:rFonts w:ascii="Times New Roman" w:hAnsi="Times New Roman" w:cs="Times New Roman" w:eastAsia="Times New Roman" w:hint="default"/>
          <w:spacing w:val="-8"/>
        </w:rPr>
        <w:t>3</w:t>
      </w:r>
      <w:r>
        <w:rPr>
          <w:spacing w:val="-8"/>
        </w:rPr>
        <w:t>月</w:t>
      </w:r>
      <w:r>
        <w:rPr>
          <w:rFonts w:ascii="Times New Roman" w:hAnsi="Times New Roman" w:cs="Times New Roman" w:eastAsia="Times New Roman" w:hint="default"/>
          <w:spacing w:val="-8"/>
        </w:rPr>
        <w:t>29</w:t>
      </w:r>
      <w:r>
        <w:rPr>
          <w:spacing w:val="-8"/>
        </w:rPr>
        <w:t>日刊登在《中国证券报》、《证券时报》》、</w:t>
      </w:r>
    </w:p>
    <w:p>
      <w:pPr>
        <w:pStyle w:val="BodyText"/>
        <w:spacing w:line="240" w:lineRule="auto" w:before="13"/>
        <w:ind w:right="0"/>
        <w:jc w:val="left"/>
      </w:pPr>
      <w:r>
        <w:rPr/>
        <w:t>《上海证券报</w:t>
      </w:r>
      <w:r>
        <w:rPr>
          <w:spacing w:val="-60"/>
        </w:rPr>
        <w:t>》</w:t>
      </w:r>
      <w:r>
        <w:rPr>
          <w:spacing w:val="-121"/>
        </w:rPr>
        <w:t>、</w:t>
      </w:r>
      <w:r>
        <w:rPr/>
        <w:t>《证券日</w:t>
      </w:r>
      <w:r>
        <w:rPr>
          <w:spacing w:val="-3"/>
        </w:rPr>
        <w:t>报</w:t>
      </w:r>
      <w:r>
        <w:rPr>
          <w:spacing w:val="-60"/>
        </w:rPr>
        <w:t>》</w:t>
      </w:r>
      <w:r>
        <w:rPr>
          <w:spacing w:val="-3"/>
        </w:rPr>
        <w:t>及</w:t>
      </w:r>
      <w:r>
        <w:rPr/>
        <w:t>巨潮资讯</w:t>
      </w:r>
      <w:r>
        <w:rPr>
          <w:spacing w:val="-60"/>
        </w:rPr>
        <w:t>网</w:t>
      </w:r>
      <w:r>
        <w:rPr/>
        <w:t>（</w:t>
      </w:r>
      <w:hyperlink r:id="rId13">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3"/>
            <w:w w:val="99"/>
          </w:rPr>
          <w:t>w</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n</w:t>
        </w:r>
        <w:r>
          <w:rPr>
            <w:rFonts w:ascii="Times New Roman" w:hAnsi="Times New Roman" w:cs="Times New Roman" w:eastAsia="Times New Roman" w:hint="default"/>
          </w:rPr>
          <w:t>i</w:t>
        </w:r>
        <w:r>
          <w:rPr>
            <w:rFonts w:ascii="Times New Roman" w:hAnsi="Times New Roman" w:cs="Times New Roman" w:eastAsia="Times New Roman" w:hint="default"/>
            <w:spacing w:val="1"/>
          </w:rPr>
          <w:t>n</w:t>
        </w:r>
        <w:r>
          <w:rPr>
            <w:rFonts w:ascii="Times New Roman" w:hAnsi="Times New Roman" w:cs="Times New Roman" w:eastAsia="Times New Roman" w:hint="default"/>
            <w:spacing w:val="-3"/>
          </w:rPr>
          <w:t>f</w:t>
        </w:r>
        <w:r>
          <w:rPr>
            <w:rFonts w:ascii="Times New Roman" w:hAnsi="Times New Roman" w:cs="Times New Roman" w:eastAsia="Times New Roman" w:hint="default"/>
            <w:spacing w:val="1"/>
          </w:rPr>
          <w:t>o</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1"/>
          </w:rPr>
          <w:t>o</w:t>
        </w:r>
        <w:r>
          <w:rPr>
            <w:rFonts w:ascii="Times New Roman" w:hAnsi="Times New Roman" w:cs="Times New Roman" w:eastAsia="Times New Roman" w:hint="default"/>
            <w:spacing w:val="-4"/>
          </w:rPr>
          <w:t>m</w:t>
        </w:r>
        <w:r>
          <w:rPr>
            <w:rFonts w:ascii="Times New Roman" w:hAnsi="Times New Roman" w:cs="Times New Roman" w:eastAsia="Times New Roman" w:hint="default"/>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2"/>
          </w:rPr>
          <w:t>n</w:t>
        </w:r>
      </w:hyperlink>
      <w:r>
        <w:rPr>
          <w:spacing w:val="-60"/>
        </w:rPr>
        <w:t>）</w:t>
      </w:r>
      <w:r>
        <w:rPr/>
        <w:t>上的相关公告</w:t>
      </w:r>
      <w:r>
        <w:rPr>
          <w:spacing w:val="12"/>
        </w:rPr>
        <w:t>，</w:t>
      </w:r>
      <w:r>
        <w:rPr/>
        <w:t>公告编</w:t>
      </w:r>
      <w:r>
        <w:rPr>
          <w:spacing w:val="-3"/>
        </w:rPr>
        <w:t>号</w:t>
      </w:r>
      <w:r>
        <w:rPr>
          <w:spacing w:val="9"/>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7</w:t>
      </w:r>
      <w:r>
        <w:rPr>
          <w:spacing w:val="-60"/>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spacing w:val="-60"/>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19</w:t>
      </w:r>
      <w:r>
        <w:rPr/>
        <w:t>、</w:t>
      </w:r>
    </w:p>
    <w:p>
      <w:pPr>
        <w:pStyle w:val="BodyText"/>
        <w:spacing w:line="240" w:lineRule="auto" w:before="63"/>
        <w:ind w:right="99"/>
        <w:jc w:val="left"/>
      </w:pPr>
      <w:r>
        <w:rPr>
          <w:rFonts w:ascii="Times New Roman" w:hAnsi="Times New Roman" w:cs="Times New Roman" w:eastAsia="Times New Roman" w:hint="default"/>
        </w:rPr>
        <w:t>2016-020</w:t>
      </w:r>
      <w:r>
        <w:rPr/>
        <w:t>、</w:t>
      </w:r>
      <w:r>
        <w:rPr>
          <w:rFonts w:ascii="Times New Roman" w:hAnsi="Times New Roman" w:cs="Times New Roman" w:eastAsia="Times New Roman" w:hint="default"/>
        </w:rPr>
        <w:t>2016-021</w:t>
      </w:r>
      <w:r>
        <w:rPr/>
        <w:t>、</w:t>
      </w:r>
      <w:r>
        <w:rPr>
          <w:rFonts w:ascii="Times New Roman" w:hAnsi="Times New Roman" w:cs="Times New Roman" w:eastAsia="Times New Roman" w:hint="default"/>
        </w:rPr>
        <w:t>2016-022</w:t>
      </w:r>
      <w:r>
        <w:rPr/>
        <w:t>、</w:t>
      </w:r>
      <w:r>
        <w:rPr>
          <w:rFonts w:ascii="Times New Roman" w:hAnsi="Times New Roman" w:cs="Times New Roman" w:eastAsia="Times New Roman" w:hint="default"/>
        </w:rPr>
        <w:t>2016-023</w:t>
      </w:r>
      <w:r>
        <w:rPr/>
        <w:t>、</w:t>
      </w:r>
      <w:r>
        <w:rPr>
          <w:rFonts w:ascii="Times New Roman" w:hAnsi="Times New Roman" w:cs="Times New Roman" w:eastAsia="Times New Roman" w:hint="default"/>
        </w:rPr>
        <w:t>2016-024</w:t>
      </w:r>
      <w:r>
        <w:rPr/>
        <w:t>、</w:t>
      </w:r>
      <w:r>
        <w:rPr>
          <w:rFonts w:ascii="Times New Roman" w:hAnsi="Times New Roman" w:cs="Times New Roman" w:eastAsia="Times New Roman" w:hint="default"/>
        </w:rPr>
        <w:t>2016-025</w:t>
      </w:r>
      <w:r>
        <w:rPr/>
        <w:t>、</w:t>
      </w:r>
      <w:r>
        <w:rPr>
          <w:rFonts w:ascii="Times New Roman" w:hAnsi="Times New Roman" w:cs="Times New Roman" w:eastAsia="Times New Roman" w:hint="default"/>
        </w:rPr>
        <w:t>2016-026</w:t>
      </w:r>
      <w:r>
        <w:rPr/>
        <w:t>。</w:t>
      </w:r>
    </w:p>
    <w:p>
      <w:pPr>
        <w:pStyle w:val="BodyText"/>
        <w:spacing w:line="300" w:lineRule="auto" w:before="63"/>
        <w:ind w:right="174" w:firstLine="360"/>
        <w:jc w:val="both"/>
      </w:pPr>
      <w:r>
        <w:rPr/>
        <w:t>本次公司非公开发行股票事项已于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日获得中国证券监督管理委员会（以下简称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）发行审核委 </w:t>
      </w:r>
      <w:r>
        <w:rPr>
          <w:spacing w:val="-5"/>
        </w:rPr>
        <w:t>员会审核通过，按照发行规则，公司应在获得中国证监会正式批文后六个月内择期进行本次发行。其相关内容详见公司于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日刊登在《中国证券报》、《证券时报》》、《上海证券报》、《证券日报》及巨潮资讯网（</w:t>
      </w:r>
      <w:hyperlink r:id="rId13">
        <w:r>
          <w:rPr>
            <w:rFonts w:ascii="Times New Roman" w:hAnsi="Times New Roman" w:cs="Times New Roman" w:eastAsia="Times New Roman" w:hint="default"/>
          </w:rPr>
          <w:t>www.cninfo.com.cn</w:t>
        </w:r>
      </w:hyperlink>
      <w:r>
        <w:rPr/>
        <w:t>） 上的相关公告， 公告编号：</w:t>
      </w:r>
      <w:r>
        <w:rPr>
          <w:spacing w:val="-59"/>
        </w:rPr>
        <w:t> </w:t>
      </w:r>
      <w:r>
        <w:rPr>
          <w:rFonts w:ascii="Times New Roman" w:hAnsi="Times New Roman" w:cs="Times New Roman" w:eastAsia="Times New Roman" w:hint="default"/>
        </w:rPr>
        <w:t>2017-030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日公司收到中国证券监督管理委员会出具的《关于核准四川久远银海 </w:t>
      </w:r>
      <w:r>
        <w:rPr>
          <w:spacing w:val="-1"/>
        </w:rPr>
        <w:t>软件股份有限公司非公开发行股票的批复》（证监许可</w:t>
      </w:r>
      <w:r>
        <w:rPr>
          <w:rFonts w:ascii="Times New Roman" w:hAnsi="Times New Roman" w:cs="Times New Roman" w:eastAsia="Times New Roman" w:hint="default"/>
          <w:spacing w:val="-1"/>
        </w:rPr>
        <w:t>[2017]1504</w:t>
      </w:r>
      <w:r>
        <w:rPr>
          <w:spacing w:val="-1"/>
        </w:rPr>
        <w:t>号），具体内容详见公司于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日和</w:t>
      </w:r>
      <w:r>
        <w:rPr>
          <w:rFonts w:ascii="Times New Roman" w:hAnsi="Times New Roman" w:cs="Times New Roman" w:eastAsia="Times New Roman" w:hint="default"/>
          <w:spacing w:val="-1"/>
        </w:rPr>
        <w:t>24</w:t>
      </w:r>
      <w:r>
        <w:rPr>
          <w:spacing w:val="-1"/>
        </w:rPr>
        <w:t>日刊登在</w:t>
      </w:r>
    </w:p>
    <w:p>
      <w:pPr>
        <w:pStyle w:val="BodyText"/>
        <w:spacing w:line="300" w:lineRule="auto" w:before="13"/>
        <w:ind w:right="190"/>
        <w:jc w:val="left"/>
      </w:pPr>
      <w:r>
        <w:rPr>
          <w:spacing w:val="-3"/>
        </w:rPr>
        <w:t>《中国证券报》、《证券时报》》、《上海证券报》、《证券日报》及巨潮资讯网（</w:t>
      </w:r>
      <w:hyperlink r:id="rId13">
        <w:r>
          <w:rPr>
            <w:rFonts w:ascii="Times New Roman" w:hAnsi="Times New Roman" w:cs="Times New Roman" w:eastAsia="Times New Roman" w:hint="default"/>
            <w:spacing w:val="-3"/>
          </w:rPr>
          <w:t>www.cninfo.com.cn</w:t>
        </w:r>
      </w:hyperlink>
      <w:r>
        <w:rPr>
          <w:spacing w:val="-3"/>
        </w:rPr>
        <w:t>）上的相关公告，</w:t>
      </w:r>
      <w:r>
        <w:rPr>
          <w:spacing w:val="-25"/>
        </w:rPr>
        <w:t> </w:t>
      </w:r>
      <w:r>
        <w:rPr/>
        <w:t>公</w:t>
      </w:r>
      <w:r>
        <w:rPr/>
        <w:t> 告编号：</w:t>
      </w:r>
      <w:r>
        <w:rPr>
          <w:spacing w:val="-25"/>
        </w:rPr>
        <w:t> </w:t>
      </w:r>
      <w:r>
        <w:rPr>
          <w:rFonts w:ascii="Times New Roman" w:hAnsi="Times New Roman" w:cs="Times New Roman" w:eastAsia="Times New Roman" w:hint="default"/>
        </w:rPr>
        <w:t>2017-053</w:t>
      </w:r>
      <w:r>
        <w:rPr/>
        <w:t>、</w:t>
      </w:r>
      <w:r>
        <w:rPr>
          <w:rFonts w:ascii="Times New Roman" w:hAnsi="Times New Roman" w:cs="Times New Roman" w:eastAsia="Times New Roman" w:hint="default"/>
        </w:rPr>
        <w:t>2017-054</w:t>
      </w:r>
      <w:r>
        <w:rPr/>
        <w:t>。</w:t>
      </w:r>
    </w:p>
    <w:p>
      <w:pPr>
        <w:pStyle w:val="BodyText"/>
        <w:spacing w:line="302" w:lineRule="auto" w:before="53"/>
        <w:ind w:right="99" w:firstLine="288"/>
        <w:jc w:val="left"/>
      </w:pP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日召开了</w:t>
      </w:r>
      <w:r>
        <w:rPr>
          <w:rFonts w:ascii="Times New Roman" w:hAnsi="Times New Roman" w:cs="Times New Roman" w:eastAsia="Times New Roman" w:hint="default"/>
        </w:rPr>
        <w:t>2016</w:t>
      </w:r>
      <w:r>
        <w:rPr/>
        <w:t>年第三届董事会第六次临时会议，审议并通过了《关于向四川发展融资担保股份有限公 </w:t>
      </w:r>
      <w:r>
        <w:rPr>
          <w:spacing w:val="-5"/>
        </w:rPr>
        <w:t>司提供反担保的议案》，公司向中国农发重点建设基金有限公司申请了</w:t>
      </w:r>
      <w:r>
        <w:rPr>
          <w:rFonts w:ascii="Times New Roman" w:hAnsi="Times New Roman" w:cs="Times New Roman" w:eastAsia="Times New Roman" w:hint="default"/>
          <w:spacing w:val="-5"/>
        </w:rPr>
        <w:t>7,500</w:t>
      </w:r>
      <w:r>
        <w:rPr>
          <w:spacing w:val="-5"/>
        </w:rPr>
        <w:t>万元的借款，借款期限为</w:t>
      </w:r>
      <w:r>
        <w:rPr/>
        <w:t> </w:t>
      </w:r>
      <w:r>
        <w:rPr>
          <w:rFonts w:ascii="Times New Roman" w:hAnsi="Times New Roman" w:cs="Times New Roman" w:eastAsia="Times New Roman" w:hint="default"/>
        </w:rPr>
        <w:t>15 </w:t>
      </w:r>
      <w:r>
        <w:rPr>
          <w:spacing w:val="-13"/>
        </w:rPr>
        <w:t>年，年利率为</w:t>
      </w:r>
      <w:r>
        <w:rPr>
          <w:spacing w:val="-40"/>
        </w:rPr>
        <w:t> </w:t>
      </w:r>
      <w:r>
        <w:rPr>
          <w:rFonts w:ascii="Times New Roman" w:hAnsi="Times New Roman" w:cs="Times New Roman" w:eastAsia="Times New Roman" w:hint="default"/>
          <w:spacing w:val="-1"/>
        </w:rPr>
        <w:t>1.2</w:t>
      </w:r>
      <w:r>
        <w:rPr>
          <w:spacing w:val="-1"/>
        </w:rPr>
        <w:t>％，</w:t>
      </w:r>
      <w:r>
        <w:rPr/>
        <w:t> </w:t>
      </w:r>
      <w:r>
        <w:rPr>
          <w:spacing w:val="-2"/>
        </w:rPr>
        <w:t>由四川发展融资担保股份有限公司为其提供保证担保。在四川发展融资担保股份有限公司为融资提供担保后，公司拟以位于</w:t>
      </w:r>
      <w:r>
        <w:rPr>
          <w:spacing w:val="-64"/>
        </w:rPr>
        <w:t> </w:t>
      </w:r>
      <w:r>
        <w:rPr>
          <w:spacing w:val="-64"/>
        </w:rPr>
      </w:r>
      <w:r>
        <w:rPr/>
        <w:t>锦江区三色路</w:t>
      </w:r>
      <w:r>
        <w:rPr>
          <w:rFonts w:ascii="Times New Roman" w:hAnsi="Times New Roman" w:cs="Times New Roman" w:eastAsia="Times New Roman" w:hint="default"/>
        </w:rPr>
        <w:t>“</w:t>
      </w:r>
      <w:r>
        <w:rPr/>
        <w:t>银海芯座</w:t>
      </w:r>
      <w:r>
        <w:rPr>
          <w:rFonts w:ascii="Times New Roman" w:hAnsi="Times New Roman" w:cs="Times New Roman" w:eastAsia="Times New Roman" w:hint="default"/>
        </w:rPr>
        <w:t>”A</w:t>
      </w:r>
      <w:r>
        <w:rPr/>
        <w:t>幢</w:t>
      </w:r>
      <w:r>
        <w:rPr>
          <w:rFonts w:ascii="Times New Roman" w:hAnsi="Times New Roman" w:cs="Times New Roman" w:eastAsia="Times New Roman" w:hint="default"/>
        </w:rPr>
        <w:t>10,139.11</w:t>
      </w:r>
      <w:r>
        <w:rPr/>
        <w:t>平方米办公楼及</w:t>
      </w:r>
      <w:r>
        <w:rPr>
          <w:rFonts w:ascii="Times New Roman" w:hAnsi="Times New Roman" w:cs="Times New Roman" w:eastAsia="Times New Roman" w:hint="default"/>
        </w:rPr>
        <w:t>65</w:t>
      </w:r>
      <w:r>
        <w:rPr/>
        <w:t>个车位进行反担保。本事项尚在履行中。具体内容详见公司于</w:t>
      </w:r>
      <w:r>
        <w:rPr>
          <w:rFonts w:ascii="Times New Roman" w:hAnsi="Times New Roman" w:cs="Times New Roman" w:eastAsia="Times New Roman" w:hint="default"/>
        </w:rPr>
        <w:t>2016 </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日刊登在《中国证券报》、《证券时报》》、《上海证券报》、《证券日报》及巨潮资讯网（</w:t>
      </w:r>
      <w:hyperlink r:id="rId13">
        <w:r>
          <w:rPr>
            <w:rFonts w:ascii="Times New Roman" w:hAnsi="Times New Roman" w:cs="Times New Roman" w:eastAsia="Times New Roman" w:hint="default"/>
            <w:spacing w:val="-1"/>
          </w:rPr>
          <w:t>www.cninfo.com.cn</w:t>
        </w:r>
      </w:hyperlink>
      <w:r>
        <w:rPr>
          <w:spacing w:val="-1"/>
        </w:rPr>
        <w:t>）</w:t>
      </w:r>
      <w:r>
        <w:rPr>
          <w:spacing w:val="-52"/>
        </w:rPr>
        <w:t> </w:t>
      </w:r>
      <w:r>
        <w:rPr/>
        <w:t>上的相关公告， 公告编号：</w:t>
      </w:r>
      <w:r>
        <w:rPr>
          <w:spacing w:val="-41"/>
        </w:rPr>
        <w:t> </w:t>
      </w:r>
      <w:r>
        <w:rPr>
          <w:rFonts w:ascii="Times New Roman" w:hAnsi="Times New Roman" w:cs="Times New Roman" w:eastAsia="Times New Roman" w:hint="default"/>
        </w:rPr>
        <w:t>2016-071</w:t>
      </w:r>
      <w:r>
        <w:rPr/>
        <w:t>、</w:t>
      </w:r>
      <w:r>
        <w:rPr>
          <w:rFonts w:ascii="Times New Roman" w:hAnsi="Times New Roman" w:cs="Times New Roman" w:eastAsia="Times New Roman" w:hint="default"/>
        </w:rPr>
        <w:t>2016-072</w:t>
      </w:r>
      <w:r>
        <w:rPr/>
        <w:t>。</w:t>
      </w:r>
    </w:p>
    <w:p>
      <w:pPr>
        <w:pStyle w:val="BodyText"/>
        <w:spacing w:line="300" w:lineRule="auto" w:before="52"/>
        <w:ind w:right="107" w:firstLine="216"/>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2017</w:t>
      </w:r>
      <w:r>
        <w:rPr/>
        <w:t>年半年度利润分配及资本公积金转增股本预案进行了预披露，</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日，公司召开了第三届第 十一次临时董事会，审议并通过了</w:t>
      </w:r>
      <w:r>
        <w:rPr>
          <w:rFonts w:ascii="Times New Roman" w:hAnsi="Times New Roman" w:cs="Times New Roman" w:eastAsia="Times New Roman" w:hint="default"/>
        </w:rPr>
        <w:t>2017</w:t>
      </w:r>
      <w:r>
        <w:rPr/>
        <w:t>年半年度利润分配及资本公积金转增股本的预案，</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日公司召开了</w:t>
      </w:r>
      <w:r>
        <w:rPr>
          <w:rFonts w:ascii="Times New Roman" w:hAnsi="Times New Roman" w:cs="Times New Roman" w:eastAsia="Times New Roman" w:hint="default"/>
        </w:rPr>
        <w:t>2017</w:t>
      </w:r>
      <w:r>
        <w:rPr/>
        <w:t>年第三次</w:t>
      </w:r>
      <w:r>
        <w:rPr>
          <w:spacing w:val="-85"/>
        </w:rPr>
        <w:t> </w:t>
      </w:r>
      <w:r>
        <w:rPr>
          <w:spacing w:val="-85"/>
        </w:rPr>
      </w:r>
      <w:r>
        <w:rPr>
          <w:spacing w:val="-2"/>
        </w:rPr>
        <w:t>临时股东大会，审议并通过了该预案。本次权益分派股权登记日为：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日，除权除息日为：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日。具体</w:t>
      </w:r>
      <w:r>
        <w:rPr>
          <w:spacing w:val="-59"/>
        </w:rPr>
        <w:t> </w:t>
      </w:r>
      <w:r>
        <w:rPr>
          <w:spacing w:val="-59"/>
        </w:rPr>
      </w:r>
      <w:r>
        <w:rPr/>
        <w:t>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日刊登在《中国证券报》、《证券时报》》、《上海证券报》、</w:t>
      </w:r>
    </w:p>
    <w:p>
      <w:pPr>
        <w:spacing w:after="0" w:line="30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《证券日报》及巨潮资讯网（</w:t>
      </w:r>
      <w:hyperlink r:id="rId13">
        <w:r>
          <w:rPr>
            <w:rFonts w:ascii="Times New Roman" w:hAnsi="Times New Roman" w:cs="Times New Roman" w:eastAsia="Times New Roman" w:hint="default"/>
          </w:rPr>
          <w:t>www.cninfo.com.cn</w:t>
        </w:r>
      </w:hyperlink>
      <w:r>
        <w:rPr/>
        <w:t>）上的相关公告，</w:t>
      </w:r>
      <w:r>
        <w:rPr>
          <w:spacing w:val="-34"/>
        </w:rPr>
        <w:t> </w:t>
      </w:r>
      <w:r>
        <w:rPr/>
        <w:t>公告编号：</w:t>
      </w:r>
      <w:r>
        <w:rPr>
          <w:rFonts w:ascii="Times New Roman" w:hAnsi="Times New Roman" w:cs="Times New Roman" w:eastAsia="Times New Roman" w:hint="default"/>
        </w:rPr>
        <w:t>2017-041</w:t>
      </w:r>
      <w:r>
        <w:rPr/>
        <w:t>、</w:t>
      </w:r>
      <w:r>
        <w:rPr>
          <w:rFonts w:ascii="Times New Roman" w:hAnsi="Times New Roman" w:cs="Times New Roman" w:eastAsia="Times New Roman" w:hint="default"/>
        </w:rPr>
        <w:t>2017-045</w:t>
      </w:r>
      <w:r>
        <w:rPr/>
        <w:t>、</w:t>
      </w:r>
      <w:r>
        <w:rPr>
          <w:rFonts w:ascii="Times New Roman" w:hAnsi="Times New Roman" w:cs="Times New Roman" w:eastAsia="Times New Roman" w:hint="default"/>
        </w:rPr>
        <w:t>2017-048</w:t>
      </w:r>
      <w:r>
        <w:rPr/>
        <w:t>、</w:t>
      </w:r>
      <w:r>
        <w:rPr>
          <w:rFonts w:ascii="Times New Roman" w:hAnsi="Times New Roman" w:cs="Times New Roman" w:eastAsia="Times New Roman" w:hint="default"/>
        </w:rPr>
        <w:t>2017-042</w:t>
      </w:r>
      <w:r>
        <w:rPr/>
        <w:t>、</w:t>
      </w:r>
    </w:p>
    <w:p>
      <w:pPr>
        <w:pStyle w:val="BodyText"/>
        <w:spacing w:line="240" w:lineRule="auto" w:before="63"/>
        <w:ind w:right="0"/>
        <w:jc w:val="left"/>
      </w:pPr>
      <w:r>
        <w:rPr>
          <w:rFonts w:ascii="Times New Roman" w:hAnsi="Times New Roman" w:cs="Times New Roman" w:eastAsia="Times New Roman" w:hint="default"/>
        </w:rPr>
        <w:t>2017-050</w:t>
      </w:r>
      <w:r>
        <w:rPr/>
        <w:t>。</w:t>
      </w:r>
    </w:p>
    <w:p>
      <w:pPr>
        <w:pStyle w:val="BodyText"/>
        <w:spacing w:line="304" w:lineRule="auto" w:before="103"/>
        <w:ind w:right="165" w:firstLine="271"/>
        <w:jc w:val="both"/>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日收到公司第一大股东四川久远投资控股集团有限公司的《告知函》，久远集团目前持有公司</w:t>
      </w:r>
      <w:r>
        <w:rPr>
          <w:rFonts w:ascii="Times New Roman" w:hAnsi="Times New Roman" w:cs="Times New Roman" w:eastAsia="Times New Roman" w:hint="default"/>
          <w:spacing w:val="-2"/>
        </w:rPr>
        <w:t>28.35%</w:t>
      </w:r>
      <w:r>
        <w:rPr>
          <w:rFonts w:ascii="Times New Roman" w:hAnsi="Times New Roman" w:cs="Times New Roman" w:eastAsia="Times New Roman" w:hint="default"/>
        </w:rPr>
        <w:t> </w:t>
      </w:r>
      <w:r>
        <w:rPr>
          <w:spacing w:val="-2"/>
        </w:rPr>
        <w:t>股权，是公司第一大股东，久远集团的股东方中国工程物理研究院正在筹划久远集团股权变动的相关事宜，该事项可能会导</w:t>
      </w:r>
      <w:r>
        <w:rPr>
          <w:spacing w:val="-66"/>
        </w:rPr>
        <w:t> </w:t>
      </w:r>
      <w:r>
        <w:rPr>
          <w:spacing w:val="-66"/>
        </w:rPr>
      </w:r>
      <w:r>
        <w:rPr/>
        <w:t>致公司实际控制人的变更，但该事项还涉及国资审批等相关流程，存在一定的不确定性。其相关内容详见公司于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spacing w:val="-85"/>
        </w:rPr>
        <w:t> </w:t>
      </w:r>
      <w:r>
        <w:rPr>
          <w:rFonts w:ascii="Times New Roman" w:hAnsi="Times New Roman" w:cs="Times New Roman" w:eastAsia="Times New Roman" w:hint="default"/>
        </w:rPr>
        <w:t>21</w:t>
      </w:r>
      <w:r>
        <w:rPr/>
        <w:t>日刊登在《中国证券报》、《证券时报》》、《上海证券报》、《证券日报》及巨潮资讯网（</w:t>
      </w:r>
      <w:hyperlink r:id="rId13">
        <w:r>
          <w:rPr>
            <w:rFonts w:ascii="Times New Roman" w:hAnsi="Times New Roman" w:cs="Times New Roman" w:eastAsia="Times New Roman" w:hint="default"/>
          </w:rPr>
          <w:t>www.cninfo.com.cn</w:t>
        </w:r>
      </w:hyperlink>
      <w:r>
        <w:rPr/>
        <w:t>）上的</w:t>
      </w:r>
      <w:r>
        <w:rPr>
          <w:spacing w:val="-27"/>
        </w:rPr>
        <w:t> </w:t>
      </w:r>
      <w:r>
        <w:rPr>
          <w:spacing w:val="-27"/>
        </w:rPr>
      </w:r>
      <w:r>
        <w:rPr/>
        <w:t>相关公告， 公告编号：</w:t>
      </w:r>
      <w:r>
        <w:rPr>
          <w:spacing w:val="-35"/>
        </w:rPr>
        <w:t> </w:t>
      </w:r>
      <w:r>
        <w:rPr>
          <w:rFonts w:ascii="Times New Roman" w:hAnsi="Times New Roman" w:cs="Times New Roman" w:eastAsia="Times New Roman" w:hint="default"/>
        </w:rPr>
        <w:t>2017-011</w:t>
      </w:r>
      <w:r>
        <w:rPr/>
        <w:t>。</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204"/>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04"/>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20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03"/>
        <w:gridCol w:w="823"/>
        <w:gridCol w:w="595"/>
        <w:gridCol w:w="569"/>
        <w:gridCol w:w="992"/>
        <w:gridCol w:w="991"/>
        <w:gridCol w:w="994"/>
        <w:gridCol w:w="991"/>
        <w:gridCol w:w="794"/>
      </w:tblGrid>
      <w:tr>
        <w:trPr>
          <w:trHeight w:val="403"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2" w:right="110"/>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95"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595"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62"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55,980,000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69.98%</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49,981,100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62.48%</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43.81%</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43.81%</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20,930,000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26.17%</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14,931,100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21.29%</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14,931,100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18.66%</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30.02%</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30,018,900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37.52%</w:t>
            </w:r>
          </w:p>
        </w:tc>
      </w:tr>
      <w:tr>
        <w:trPr>
          <w:trHeight w:val="40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30.02%</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30,018,900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60,040,000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37.52%</w:t>
            </w:r>
          </w:p>
        </w:tc>
      </w:tr>
      <w:tr>
        <w:trPr>
          <w:trHeight w:val="40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59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204"/>
        <w:jc w:val="left"/>
      </w:pPr>
      <w:r>
        <w:rPr/>
        <w:t>股份变动的原因</w:t>
      </w:r>
    </w:p>
    <w:p>
      <w:pPr>
        <w:pStyle w:val="BodyText"/>
        <w:spacing w:line="240" w:lineRule="auto" w:before="117"/>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204"/>
        <w:jc w:val="left"/>
      </w:pPr>
      <w:r>
        <w:rPr>
          <w:rFonts w:ascii="Times New Roman" w:hAnsi="Times New Roman" w:cs="Times New Roman" w:eastAsia="Times New Roman" w:hint="default"/>
        </w:rPr>
        <w:t>1</w:t>
      </w:r>
      <w:r>
        <w:rPr/>
        <w:t>、广发信德投资管理有限公司及自然人陈奕民持有的首发前售限股</w:t>
      </w:r>
      <w:r>
        <w:rPr>
          <w:rFonts w:ascii="Times New Roman" w:hAnsi="Times New Roman" w:cs="Times New Roman" w:eastAsia="Times New Roman" w:hint="default"/>
        </w:rPr>
        <w:t>6,000,000</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日上市流通；</w:t>
      </w:r>
    </w:p>
    <w:p>
      <w:pPr>
        <w:pStyle w:val="BodyText"/>
        <w:spacing w:line="240" w:lineRule="auto" w:before="63"/>
        <w:ind w:right="20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年半年度利润分派方案为：以公司现有总股本</w:t>
      </w:r>
      <w:r>
        <w:rPr>
          <w:rFonts w:ascii="Times New Roman" w:hAnsi="Times New Roman" w:cs="Times New Roman" w:eastAsia="Times New Roman" w:hint="default"/>
        </w:rPr>
        <w:t>80,000,000</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10.000000</w:t>
      </w:r>
    </w:p>
    <w:p>
      <w:pPr>
        <w:pStyle w:val="BodyText"/>
        <w:spacing w:line="319" w:lineRule="auto" w:before="63"/>
        <w:ind w:right="4524"/>
        <w:jc w:val="left"/>
      </w:pPr>
      <w:r>
        <w:rPr/>
        <w:t>股。本次权益分派实施于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日完成。 </w:t>
      </w:r>
      <w:r>
        <w:rPr>
          <w:rFonts w:ascii="Times New Roman" w:hAnsi="Times New Roman" w:cs="Times New Roman" w:eastAsia="Times New Roman" w:hint="default"/>
        </w:rPr>
        <w:t>3</w:t>
      </w:r>
      <w:r>
        <w:rPr/>
        <w:t>、公司离任董事二级市场上购入股票锁定期满后上市流通</w:t>
      </w:r>
      <w:r>
        <w:rPr>
          <w:rFonts w:ascii="Times New Roman" w:hAnsi="Times New Roman" w:cs="Times New Roman" w:eastAsia="Times New Roman" w:hint="default"/>
        </w:rPr>
        <w:t>1100</w:t>
      </w:r>
      <w:r>
        <w:rPr/>
        <w:t>股。 股份变动的批准情况</w:t>
      </w:r>
    </w:p>
    <w:p>
      <w:pPr>
        <w:pStyle w:val="BodyText"/>
        <w:spacing w:line="319" w:lineRule="auto" w:before="58"/>
        <w:ind w:right="4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w:t>
      </w:r>
      <w:r>
        <w:rPr>
          <w:rFonts w:ascii="Times New Roman" w:hAnsi="Times New Roman" w:cs="Times New Roman" w:eastAsia="Times New Roman" w:hint="default"/>
        </w:rPr>
        <w:t>2017</w:t>
      </w:r>
      <w:r>
        <w:rPr/>
        <w:t>年第三次临时股东大会审议并通过了《</w:t>
      </w:r>
      <w:r>
        <w:rPr>
          <w:rFonts w:ascii="Times New Roman" w:hAnsi="Times New Roman" w:cs="Times New Roman" w:eastAsia="Times New Roman" w:hint="default"/>
        </w:rPr>
        <w:t>2017</w:t>
      </w:r>
      <w:r>
        <w:rPr/>
        <w:t>年半年度利润分配及资本公积金转增股本预案的议案》，公告编号 </w:t>
      </w:r>
      <w:r>
        <w:rPr>
          <w:rFonts w:ascii="Times New Roman" w:hAnsi="Times New Roman" w:cs="Times New Roman" w:eastAsia="Times New Roman" w:hint="default"/>
        </w:rPr>
        <w:t>2017-049</w:t>
      </w:r>
      <w:r>
        <w:rPr/>
        <w:t>。</w:t>
      </w:r>
    </w:p>
    <w:p>
      <w:pPr>
        <w:pStyle w:val="BodyText"/>
        <w:spacing w:line="240" w:lineRule="auto" w:before="38"/>
        <w:ind w:right="204"/>
        <w:jc w:val="left"/>
      </w:pPr>
      <w:r>
        <w:rPr/>
        <w:t>股份变动的过户情况</w:t>
      </w:r>
    </w:p>
    <w:p>
      <w:pPr>
        <w:pStyle w:val="BodyText"/>
        <w:spacing w:line="338" w:lineRule="auto" w:before="117"/>
        <w:ind w:right="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19" w:lineRule="auto" w:before="43"/>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本次实施转股后，按新股本</w:t>
      </w:r>
      <w:r>
        <w:rPr>
          <w:rFonts w:ascii="Times New Roman" w:hAnsi="Times New Roman" w:cs="Times New Roman" w:eastAsia="Times New Roman" w:hint="default"/>
        </w:rPr>
        <w:t>160,000,000</w:t>
      </w:r>
      <w:r>
        <w:rPr/>
        <w:t>股摊薄计算，</w:t>
      </w:r>
      <w:r>
        <w:rPr>
          <w:rFonts w:ascii="Times New Roman" w:hAnsi="Times New Roman" w:cs="Times New Roman" w:eastAsia="Times New Roman" w:hint="default"/>
        </w:rPr>
        <w:t>2017</w:t>
      </w:r>
      <w:r>
        <w:rPr/>
        <w:t>年每股净收益为</w:t>
      </w:r>
      <w:r>
        <w:rPr>
          <w:rFonts w:ascii="Times New Roman" w:hAnsi="Times New Roman" w:cs="Times New Roman" w:eastAsia="Times New Roman" w:hint="default"/>
        </w:rPr>
        <w:t>0.57</w:t>
      </w:r>
      <w:r>
        <w:rPr/>
        <w:t>元，每股净资产</w:t>
      </w:r>
      <w:r>
        <w:rPr>
          <w:rFonts w:ascii="Times New Roman" w:hAnsi="Times New Roman" w:cs="Times New Roman" w:eastAsia="Times New Roman" w:hint="default"/>
        </w:rPr>
        <w:t>3.18</w:t>
      </w:r>
      <w:r>
        <w:rPr/>
        <w:t>元；</w:t>
      </w:r>
      <w:r>
        <w:rPr>
          <w:rFonts w:ascii="Times New Roman" w:hAnsi="Times New Roman" w:cs="Times New Roman" w:eastAsia="Times New Roman" w:hint="default"/>
        </w:rPr>
        <w:t>2016</w:t>
      </w:r>
      <w:r>
        <w:rPr/>
        <w:t>年每股净收益为 </w:t>
      </w:r>
      <w:r>
        <w:rPr>
          <w:rFonts w:ascii="Times New Roman" w:hAnsi="Times New Roman" w:cs="Times New Roman" w:eastAsia="Times New Roman" w:hint="default"/>
        </w:rPr>
        <w:t>0.48</w:t>
      </w:r>
      <w:r>
        <w:rPr/>
        <w:t>元，每股净资产</w:t>
      </w:r>
      <w:r>
        <w:rPr>
          <w:rFonts w:ascii="Times New Roman" w:hAnsi="Times New Roman" w:cs="Times New Roman" w:eastAsia="Times New Roman" w:hint="default"/>
        </w:rPr>
        <w:t>2.86</w:t>
      </w:r>
      <w:r>
        <w:rPr/>
        <w:t>元。</w:t>
      </w:r>
    </w:p>
    <w:p>
      <w:pPr>
        <w:pStyle w:val="BodyText"/>
        <w:spacing w:line="240" w:lineRule="auto" w:before="38"/>
        <w:ind w:right="204"/>
        <w:jc w:val="left"/>
      </w:pPr>
      <w:r>
        <w:rPr/>
        <w:t>公司认为必要或证券监管机构要求披露的其他内容</w:t>
      </w:r>
    </w:p>
    <w:p>
      <w:pPr>
        <w:pStyle w:val="BodyText"/>
        <w:spacing w:line="240" w:lineRule="auto" w:before="115"/>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8"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广发信德投资管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首发前机构限售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2017-6-30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陈奕民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首发前个人限售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2017-6-30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2017-12-28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6,001,100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44" w:firstLine="21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2017</w:t>
      </w:r>
      <w:r>
        <w:rPr/>
        <w:t>年半年度利润分配及资本公积金转增股本预案进行了预披露，</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日，公司召开了第三届第 十一次临时董事会，审议并通过了</w:t>
      </w:r>
      <w:r>
        <w:rPr>
          <w:rFonts w:ascii="Times New Roman" w:hAnsi="Times New Roman" w:cs="Times New Roman" w:eastAsia="Times New Roman" w:hint="default"/>
        </w:rPr>
        <w:t>2017</w:t>
      </w:r>
      <w:r>
        <w:rPr/>
        <w:t>年半年度利润分配及资本公积金转增股本的预案，</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日公司召开了</w:t>
      </w:r>
      <w:r>
        <w:rPr>
          <w:rFonts w:ascii="Times New Roman" w:hAnsi="Times New Roman" w:cs="Times New Roman" w:eastAsia="Times New Roman" w:hint="default"/>
        </w:rPr>
        <w:t>2017</w:t>
      </w:r>
      <w:r>
        <w:rPr/>
        <w:t>年第三次 临时股东大会，审议并通过了该预案。本次权益分派于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日在中登公司进行了登记，登记后，公司的总股本由 </w:t>
      </w:r>
      <w:r>
        <w:rPr>
          <w:rFonts w:ascii="Times New Roman" w:hAnsi="Times New Roman" w:cs="Times New Roman" w:eastAsia="Times New Roman" w:hint="default"/>
        </w:rPr>
        <w:t>80,000,000.00</w:t>
      </w:r>
      <w:r>
        <w:rPr/>
        <w:t>股变更至</w:t>
      </w:r>
      <w:r>
        <w:rPr>
          <w:rFonts w:ascii="Times New Roman" w:hAnsi="Times New Roman" w:cs="Times New Roman" w:eastAsia="Times New Roman" w:hint="default"/>
        </w:rPr>
        <w:t>160,000,000.00</w:t>
      </w:r>
      <w:r>
        <w:rPr/>
        <w:t>股。公司资本公积减少了</w:t>
      </w:r>
      <w:r>
        <w:rPr>
          <w:rFonts w:ascii="Times New Roman" w:hAnsi="Times New Roman" w:cs="Times New Roman" w:eastAsia="Times New Roman" w:hint="default"/>
        </w:rPr>
        <w:t>8000</w:t>
      </w:r>
      <w:r>
        <w:rPr/>
        <w:t>万元。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207"/>
        <w:gridCol w:w="1175"/>
        <w:gridCol w:w="1218"/>
        <w:gridCol w:w="1173"/>
        <w:gridCol w:w="1220"/>
        <w:gridCol w:w="1591"/>
        <w:gridCol w:w="860"/>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7"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10,971</w:t>
            </w: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8"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10,036</w:t>
            </w: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1"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38"/>
              <w:jc w:val="left"/>
              <w:rPr>
                <w:rFonts w:ascii="宋体" w:hAnsi="宋体" w:cs="宋体" w:eastAsia="宋体" w:hint="default"/>
                <w:sz w:val="18"/>
                <w:szCs w:val="18"/>
              </w:rPr>
            </w:pPr>
            <w:r>
              <w:rPr>
                <w:rFonts w:ascii="宋体" w:hAnsi="宋体" w:cs="宋体" w:eastAsia="宋体" w:hint="default"/>
                <w:sz w:val="18"/>
                <w:szCs w:val="18"/>
              </w:rPr>
              <w:t>年度报告披露日前 上一月末表决权恢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860" w:type="dxa"/>
            <w:vMerge w:val="restart"/>
            <w:tcBorders>
              <w:top w:val="single" w:sz="4" w:space="0" w:color="000000"/>
              <w:left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9" w:space="0" w:color="D2D2D2"/>
              <w:right w:val="single" w:sz="9" w:space="0" w:color="D2D2D2"/>
            </w:tcBorders>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vMerge/>
            <w:tcBorders>
              <w:left w:val="single" w:sz="9" w:space="0" w:color="D2D2D2"/>
              <w:right w:val="single" w:sz="10"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20" w:type="dxa"/>
            <w:vMerge/>
            <w:tcBorders>
              <w:left w:val="single" w:sz="10" w:space="0" w:color="D2D2D2"/>
              <w:right w:val="single" w:sz="13" w:space="0" w:color="D2D2D2"/>
            </w:tcBorders>
          </w:tcPr>
          <w:p>
            <w:pPr/>
          </w:p>
        </w:tc>
        <w:tc>
          <w:tcPr>
            <w:tcW w:w="1591" w:type="dxa"/>
            <w:vMerge/>
            <w:tcBorders>
              <w:left w:val="single" w:sz="4" w:space="0" w:color="000000"/>
              <w:right w:val="single" w:sz="4" w:space="0" w:color="000000"/>
            </w:tcBorders>
            <w:shd w:val="clear" w:color="auto" w:fill="D2D2D2"/>
          </w:tcPr>
          <w:p>
            <w:pPr/>
          </w:p>
        </w:tc>
        <w:tc>
          <w:tcPr>
            <w:tcW w:w="860" w:type="dxa"/>
            <w:vMerge/>
            <w:tcBorders>
              <w:left w:val="single" w:sz="12" w:space="0" w:color="D2D2D2"/>
              <w:right w:val="single" w:sz="4" w:space="0" w:color="000000"/>
            </w:tcBorders>
          </w:tcPr>
          <w:p>
            <w:pPr/>
          </w:p>
        </w:tc>
      </w:tr>
      <w:tr>
        <w:trPr>
          <w:trHeight w:val="706"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vMerge/>
            <w:tcBorders>
              <w:left w:val="single" w:sz="9" w:space="0" w:color="D2D2D2"/>
              <w:right w:val="single" w:sz="9" w:space="0" w:color="D2D2D2"/>
            </w:tcBorders>
          </w:tcPr>
          <w:p>
            <w:pPr/>
          </w:p>
        </w:tc>
        <w:tc>
          <w:tcPr>
            <w:tcW w:w="1175" w:type="dxa"/>
            <w:vMerge/>
            <w:tcBorders>
              <w:left w:val="single" w:sz="4" w:space="0" w:color="000000"/>
              <w:right w:val="single" w:sz="4" w:space="0" w:color="000000"/>
            </w:tcBorders>
            <w:shd w:val="clear" w:color="auto" w:fill="D2D2D2"/>
          </w:tcPr>
          <w:p>
            <w:pPr/>
          </w:p>
        </w:tc>
        <w:tc>
          <w:tcPr>
            <w:tcW w:w="1218" w:type="dxa"/>
            <w:vMerge/>
            <w:tcBorders>
              <w:left w:val="single" w:sz="9" w:space="0" w:color="D2D2D2"/>
              <w:right w:val="single" w:sz="10"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20" w:type="dxa"/>
            <w:vMerge/>
            <w:tcBorders>
              <w:left w:val="single" w:sz="10" w:space="0" w:color="D2D2D2"/>
              <w:right w:val="single" w:sz="13" w:space="0" w:color="D2D2D2"/>
            </w:tcBorders>
          </w:tcPr>
          <w:p>
            <w:pPr/>
          </w:p>
        </w:tc>
        <w:tc>
          <w:tcPr>
            <w:tcW w:w="1591" w:type="dxa"/>
            <w:vMerge/>
            <w:tcBorders>
              <w:left w:val="single" w:sz="4" w:space="0" w:color="000000"/>
              <w:right w:val="single" w:sz="4" w:space="0" w:color="000000"/>
            </w:tcBorders>
            <w:shd w:val="clear" w:color="auto" w:fill="D2D2D2"/>
          </w:tcPr>
          <w:p>
            <w:pPr/>
          </w:p>
        </w:tc>
        <w:tc>
          <w:tcPr>
            <w:tcW w:w="860" w:type="dxa"/>
            <w:vMerge/>
            <w:tcBorders>
              <w:left w:val="single" w:sz="12"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9" w:space="0" w:color="D2D2D2"/>
              <w:right w:val="single" w:sz="9" w:space="0" w:color="D2D2D2"/>
            </w:tcBorders>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218" w:type="dxa"/>
            <w:vMerge/>
            <w:tcBorders>
              <w:left w:val="single" w:sz="9" w:space="0" w:color="D2D2D2"/>
              <w:right w:val="single" w:sz="10" w:space="0" w:color="D2D2D2"/>
            </w:tcBorders>
          </w:tcPr>
          <w:p>
            <w:pPr/>
          </w:p>
        </w:tc>
        <w:tc>
          <w:tcPr>
            <w:tcW w:w="1173" w:type="dxa"/>
            <w:vMerge/>
            <w:tcBorders>
              <w:left w:val="single" w:sz="4" w:space="0" w:color="000000"/>
              <w:right w:val="single" w:sz="4" w:space="0" w:color="000000"/>
            </w:tcBorders>
            <w:shd w:val="clear" w:color="auto" w:fill="D2D2D2"/>
          </w:tcPr>
          <w:p>
            <w:pPr/>
          </w:p>
        </w:tc>
        <w:tc>
          <w:tcPr>
            <w:tcW w:w="1220" w:type="dxa"/>
            <w:vMerge/>
            <w:tcBorders>
              <w:left w:val="single" w:sz="10" w:space="0" w:color="D2D2D2"/>
              <w:right w:val="single" w:sz="13" w:space="0" w:color="D2D2D2"/>
            </w:tcBorders>
          </w:tcPr>
          <w:p>
            <w:pPr/>
          </w:p>
        </w:tc>
        <w:tc>
          <w:tcPr>
            <w:tcW w:w="1591" w:type="dxa"/>
            <w:vMerge/>
            <w:tcBorders>
              <w:left w:val="single" w:sz="4" w:space="0" w:color="000000"/>
              <w:right w:val="single" w:sz="4" w:space="0" w:color="000000"/>
            </w:tcBorders>
            <w:shd w:val="clear" w:color="auto" w:fill="D2D2D2"/>
          </w:tcPr>
          <w:p>
            <w:pPr/>
          </w:p>
        </w:tc>
        <w:tc>
          <w:tcPr>
            <w:tcW w:w="860" w:type="dxa"/>
            <w:vMerge/>
            <w:tcBorders>
              <w:left w:val="single" w:sz="12"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9" w:space="0" w:color="D2D2D2"/>
              <w:bottom w:val="single" w:sz="4" w:space="0" w:color="000000"/>
              <w:right w:val="single" w:sz="9" w:space="0" w:color="D2D2D2"/>
            </w:tcBorders>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8" w:type="dxa"/>
            <w:vMerge/>
            <w:tcBorders>
              <w:left w:val="single" w:sz="9" w:space="0" w:color="D2D2D2"/>
              <w:bottom w:val="single" w:sz="4" w:space="0" w:color="000000"/>
              <w:right w:val="single" w:sz="10" w:space="0" w:color="D2D2D2"/>
            </w:tcBorders>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1220" w:type="dxa"/>
            <w:vMerge/>
            <w:tcBorders>
              <w:left w:val="single" w:sz="10" w:space="0" w:color="D2D2D2"/>
              <w:bottom w:val="single" w:sz="4" w:space="0" w:color="000000"/>
              <w:right w:val="single" w:sz="13" w:space="0" w:color="D2D2D2"/>
            </w:tcBorders>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860" w:type="dxa"/>
            <w:vMerge/>
            <w:tcBorders>
              <w:left w:val="single" w:sz="12" w:space="0" w:color="D2D2D2"/>
              <w:bottom w:val="single" w:sz="4" w:space="0" w:color="000000"/>
              <w:right w:val="single" w:sz="4" w:space="0" w:color="000000"/>
            </w:tcBorders>
          </w:tcPr>
          <w:p>
            <w:pPr/>
          </w:p>
        </w:tc>
      </w:tr>
      <w:tr>
        <w:trPr>
          <w:trHeight w:val="396" w:hRule="exact"/>
        </w:trPr>
        <w:tc>
          <w:tcPr>
            <w:tcW w:w="964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082"/>
        <w:gridCol w:w="711"/>
        <w:gridCol w:w="1193"/>
        <w:gridCol w:w="1076"/>
        <w:gridCol w:w="991"/>
        <w:gridCol w:w="991"/>
        <w:gridCol w:w="1277"/>
        <w:gridCol w:w="850"/>
      </w:tblGrid>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59" w:right="80"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81" w:right="82"/>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3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3"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7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23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四川久远投资控 股集团有限公司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28.35%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45,355,200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22,677,600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45,355,200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四川科学城锐锋 集团有限责任公 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12.97%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20,744,800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10,372,400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20,744,800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李长明</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3.59%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4,870,000</w:t>
            </w: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陈奕民</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3,400,153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1,300,153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w:t>
            </w: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中国平安人寿保 险股份有限公司</w:t>
            </w:r>
          </w:p>
          <w:p>
            <w:pPr>
              <w:pStyle w:val="TableParagraph"/>
              <w:spacing w:line="316" w:lineRule="auto" w:before="20"/>
              <w:ind w:left="24" w:right="173"/>
              <w:jc w:val="left"/>
              <w:rPr>
                <w:rFonts w:ascii="宋体" w:hAnsi="宋体" w:cs="宋体" w:eastAsia="宋体" w:hint="default"/>
                <w:sz w:val="18"/>
                <w:szCs w:val="18"/>
              </w:rPr>
            </w:pPr>
            <w:r>
              <w:rPr>
                <w:rFonts w:ascii="宋体" w:hAnsi="宋体" w:cs="宋体" w:eastAsia="宋体" w:hint="default"/>
                <w:sz w:val="18"/>
                <w:szCs w:val="18"/>
              </w:rPr>
              <w:t>－分红－个险分 红</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4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2.00%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3,200,000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广发信德投资管 理有限公司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6"/>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904,000</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张光红</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89"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89"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6" w:right="33"/>
              <w:jc w:val="left"/>
              <w:rPr>
                <w:rFonts w:ascii="宋体" w:hAnsi="宋体" w:cs="宋体" w:eastAsia="宋体" w:hint="default"/>
                <w:sz w:val="18"/>
                <w:szCs w:val="18"/>
              </w:rPr>
            </w:pPr>
            <w:r>
              <w:rPr>
                <w:rFonts w:ascii="宋体" w:hAnsi="宋体" w:cs="宋体" w:eastAsia="宋体" w:hint="default"/>
                <w:sz w:val="18"/>
                <w:szCs w:val="18"/>
              </w:rPr>
              <w:t>上述股东中，久远集团、锐锋集团系中物院全资控股的公司，为公司的实际控制人。除上 述关联关系外，公司股东之间不存在其他关联关系。</w:t>
            </w:r>
          </w:p>
        </w:tc>
      </w:tr>
      <w:tr>
        <w:trPr>
          <w:trHeight w:val="403" w:hRule="exact"/>
        </w:trPr>
        <w:tc>
          <w:tcPr>
            <w:tcW w:w="964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96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0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5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6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552" w:type="dxa"/>
            <w:gridSpan w:val="2"/>
            <w:vMerge/>
            <w:tcBorders>
              <w:left w:val="single" w:sz="4" w:space="0" w:color="000000"/>
              <w:bottom w:val="nil" w:sz="6" w:space="0" w:color="auto"/>
              <w:right w:val="single" w:sz="4" w:space="0" w:color="000000"/>
            </w:tcBorders>
            <w:shd w:val="clear" w:color="auto" w:fill="D2D2D2"/>
          </w:tcPr>
          <w:p>
            <w:pPr/>
          </w:p>
        </w:tc>
        <w:tc>
          <w:tcPr>
            <w:tcW w:w="4962" w:type="dxa"/>
            <w:gridSpan w:val="5"/>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7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96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李长明</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5,750,000</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陈奕民</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3,400,153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3,400,153</w:t>
            </w:r>
          </w:p>
        </w:tc>
      </w:tr>
      <w:tr>
        <w:trPr>
          <w:trHeight w:val="71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中国平安人寿保险股份有限公 司－分红－个险分红</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广发信德投资管理有限公司</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中国人寿保险股份有限公司－ 万能－国寿瑞安</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1,608,536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1,608,536</w:t>
            </w:r>
          </w:p>
        </w:tc>
      </w:tr>
      <w:tr>
        <w:trPr>
          <w:trHeight w:val="403" w:hRule="exact"/>
        </w:trPr>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中国对外经济贸易信托有限公</w:t>
            </w:r>
          </w:p>
        </w:tc>
        <w:tc>
          <w:tcPr>
            <w:tcW w:w="4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1,520,900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552"/>
        <w:gridCol w:w="4962"/>
        <w:gridCol w:w="1277"/>
        <w:gridCol w:w="850"/>
      </w:tblGrid>
      <w:tr>
        <w:trPr>
          <w:trHeight w:val="67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13"/>
              <w:jc w:val="left"/>
              <w:rPr>
                <w:rFonts w:ascii="宋体" w:hAnsi="宋体" w:cs="宋体" w:eastAsia="宋体" w:hint="default"/>
                <w:sz w:val="18"/>
                <w:szCs w:val="18"/>
              </w:rPr>
            </w:pPr>
            <w:r>
              <w:rPr>
                <w:rFonts w:ascii="宋体" w:hAnsi="宋体" w:cs="宋体" w:eastAsia="宋体" w:hint="default"/>
                <w:sz w:val="18"/>
                <w:szCs w:val="18"/>
              </w:rPr>
              <w:t>司－外贸信托</w:t>
            </w:r>
            <w:r>
              <w:rPr>
                <w:rFonts w:ascii="Times New Roman" w:hAnsi="Times New Roman" w:cs="Times New Roman" w:eastAsia="Times New Roman" w:hint="default"/>
                <w:sz w:val="18"/>
                <w:szCs w:val="18"/>
              </w:rPr>
              <w:t>·</w:t>
            </w:r>
            <w:r>
              <w:rPr>
                <w:rFonts w:ascii="宋体" w:hAnsi="宋体" w:cs="宋体" w:eastAsia="宋体" w:hint="default"/>
                <w:sz w:val="18"/>
                <w:szCs w:val="18"/>
              </w:rPr>
              <w:t>汇富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232 </w:t>
            </w:r>
            <w:r>
              <w:rPr>
                <w:rFonts w:ascii="宋体" w:hAnsi="宋体" w:cs="宋体" w:eastAsia="宋体" w:hint="default"/>
                <w:sz w:val="18"/>
                <w:szCs w:val="18"/>
              </w:rPr>
              <w:t>号结构 化证券投资集合资金信托</w:t>
            </w:r>
          </w:p>
        </w:tc>
        <w:tc>
          <w:tcPr>
            <w:tcW w:w="496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王群</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1,105,793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1,105,793</w:t>
            </w:r>
          </w:p>
        </w:tc>
      </w:tr>
      <w:tr>
        <w:trPr>
          <w:trHeight w:val="102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中国对外经济贸易信托有限公 司－外贸信托</w:t>
            </w:r>
            <w:r>
              <w:rPr>
                <w:rFonts w:ascii="Times New Roman" w:hAnsi="Times New Roman" w:cs="Times New Roman" w:eastAsia="Times New Roman" w:hint="default"/>
                <w:sz w:val="18"/>
                <w:szCs w:val="18"/>
              </w:rPr>
              <w:t>·</w:t>
            </w:r>
            <w:r>
              <w:rPr>
                <w:rFonts w:ascii="宋体" w:hAnsi="宋体" w:cs="宋体" w:eastAsia="宋体" w:hint="default"/>
                <w:sz w:val="18"/>
                <w:szCs w:val="18"/>
              </w:rPr>
              <w:t>汇富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233 </w:t>
            </w:r>
            <w:r>
              <w:rPr>
                <w:rFonts w:ascii="宋体" w:hAnsi="宋体" w:cs="宋体" w:eastAsia="宋体" w:hint="default"/>
                <w:sz w:val="18"/>
                <w:szCs w:val="18"/>
              </w:rPr>
              <w:t>号结构 化证券投资集合资金信托</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1,049,100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陈晖</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1,043,000</w:t>
            </w:r>
          </w:p>
        </w:tc>
      </w:tr>
      <w:tr>
        <w:trPr>
          <w:trHeight w:val="102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both"/>
              <w:rPr>
                <w:rFonts w:ascii="宋体" w:hAnsi="宋体" w:cs="宋体" w:eastAsia="宋体" w:hint="default"/>
                <w:sz w:val="18"/>
                <w:szCs w:val="18"/>
              </w:rPr>
            </w:pPr>
            <w:r>
              <w:rPr>
                <w:rFonts w:ascii="宋体" w:hAnsi="宋体" w:cs="宋体" w:eastAsia="宋体" w:hint="default"/>
                <w:sz w:val="18"/>
                <w:szCs w:val="18"/>
              </w:rPr>
              <w:t>中国建设银行股份有限公司－ 华商价值精选混合型证券投资 基金</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1,009,330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1,009,330</w:t>
            </w:r>
          </w:p>
        </w:tc>
      </w:tr>
      <w:tr>
        <w:trPr>
          <w:trHeight w:val="1337" w:hRule="exact"/>
        </w:trPr>
        <w:tc>
          <w:tcPr>
            <w:tcW w:w="255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0" w:lineRule="auto" w:before="63"/>
              <w:ind w:left="24" w:right="69"/>
              <w:jc w:val="left"/>
              <w:rPr>
                <w:rFonts w:ascii="宋体" w:hAnsi="宋体" w:cs="宋体" w:eastAsia="宋体" w:hint="default"/>
                <w:sz w:val="18"/>
                <w:szCs w:val="18"/>
              </w:rPr>
            </w:pPr>
            <w:r>
              <w:rPr>
                <w:rFonts w:ascii="宋体" w:hAnsi="宋体" w:cs="宋体" w:eastAsia="宋体" w:hint="default"/>
                <w:sz w:val="18"/>
                <w:szCs w:val="18"/>
              </w:rPr>
              <w:t>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p>
        </w:tc>
        <w:tc>
          <w:tcPr>
            <w:tcW w:w="7089" w:type="dxa"/>
            <w:gridSpan w:val="3"/>
            <w:tcBorders>
              <w:top w:val="single" w:sz="4" w:space="0" w:color="000000"/>
              <w:left w:val="single" w:sz="22" w:space="0" w:color="D2D2D2"/>
              <w:bottom w:val="single" w:sz="4" w:space="0" w:color="000000"/>
              <w:right w:val="single" w:sz="4" w:space="0" w:color="000000"/>
            </w:tcBorders>
          </w:tcPr>
          <w:p>
            <w:pPr>
              <w:pStyle w:val="TableParagraph"/>
              <w:spacing w:line="196" w:lineRule="exact" w:before="49"/>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 w:right="0"/>
              <w:jc w:val="left"/>
              <w:rPr>
                <w:rFonts w:ascii="宋体" w:hAnsi="宋体" w:cs="宋体" w:eastAsia="宋体" w:hint="default"/>
                <w:sz w:val="18"/>
                <w:szCs w:val="18"/>
              </w:rPr>
            </w:pPr>
            <w:r>
              <w:rPr>
                <w:rFonts w:ascii="宋体" w:hAnsi="宋体" w:cs="宋体" w:eastAsia="宋体" w:hint="default"/>
                <w:sz w:val="18"/>
                <w:szCs w:val="18"/>
              </w:rPr>
              <w:t>本公司未知上述股东之间是否存在关联关系以及是否属于《上</w:t>
            </w:r>
          </w:p>
          <w:p>
            <w:pPr>
              <w:pStyle w:val="TableParagraph"/>
              <w:spacing w:line="300" w:lineRule="auto" w:before="76"/>
              <w:ind w:left="1" w:right="58"/>
              <w:jc w:val="left"/>
              <w:rPr>
                <w:rFonts w:ascii="宋体" w:hAnsi="宋体" w:cs="宋体" w:eastAsia="宋体" w:hint="default"/>
                <w:sz w:val="18"/>
                <w:szCs w:val="18"/>
              </w:rPr>
            </w:pPr>
            <w:r>
              <w:rPr>
                <w:rFonts w:ascii="宋体" w:hAnsi="宋体" w:cs="宋体" w:eastAsia="宋体" w:hint="default"/>
                <w:sz w:val="18"/>
                <w:szCs w:val="18"/>
              </w:rPr>
              <w:t>露管理办法》中规定的一致行动人。证券账户名称前标注</w:t>
            </w:r>
            <w:r>
              <w:rPr>
                <w:rFonts w:ascii="Times New Roman" w:hAnsi="Times New Roman" w:cs="Times New Roman" w:eastAsia="Times New Roman" w:hint="default"/>
                <w:sz w:val="18"/>
                <w:szCs w:val="18"/>
              </w:rPr>
              <w:t>“#”</w:t>
            </w:r>
            <w:r>
              <w:rPr>
                <w:rFonts w:ascii="宋体" w:hAnsi="宋体" w:cs="宋体" w:eastAsia="宋体" w:hint="default"/>
                <w:sz w:val="18"/>
                <w:szCs w:val="18"/>
              </w:rPr>
              <w:t>的 户持有，又通过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XX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证券公司客户信用交易担保证券账户持有</w:t>
            </w: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4874" w:right="20" w:hanging="13"/>
              <w:jc w:val="right"/>
              <w:rPr>
                <w:rFonts w:ascii="宋体" w:hAnsi="宋体" w:cs="宋体" w:eastAsia="宋体" w:hint="default"/>
                <w:sz w:val="18"/>
                <w:szCs w:val="18"/>
              </w:rPr>
            </w:pPr>
            <w:r>
              <w:rPr>
                <w:rFonts w:ascii="宋体" w:hAnsi="宋体" w:cs="宋体" w:eastAsia="宋体" w:hint="default"/>
                <w:sz w:val="18"/>
                <w:szCs w:val="18"/>
              </w:rPr>
              <w:t>市公司股东持股变动信息披 持有人为既通过普通证券账</w:t>
            </w:r>
          </w:p>
          <w:p>
            <w:pPr>
              <w:pStyle w:val="TableParagraph"/>
              <w:spacing w:line="240" w:lineRule="auto" w:before="19"/>
              <w:ind w:right="2022"/>
              <w:jc w:val="righ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49"/>
        <w:ind w:right="0"/>
        <w:jc w:val="left"/>
      </w:pPr>
      <w:r>
        <w:rPr/>
        <w:pict>
          <v:group style="position:absolute;margin-left:184.580002pt;margin-top:-66.838272pt;width:353.95pt;height:25.45pt;mso-position-horizontal-relative:page;mso-position-vertical-relative:paragraph;z-index:-917752" coordorigin="3692,-1337" coordsize="7079,509">
            <v:group style="position:absolute;left:3692;top:-1337;width:7079;height:156" coordorigin="3692,-1337" coordsize="7079,156">
              <v:shape style="position:absolute;left:3692;top:-1337;width:7079;height:156" coordorigin="3692,-1337" coordsize="7079,156" path="m3692,-1181l10771,-1181,10771,-1337,3692,-1337,3692,-1181xe" filled="true" fillcolor="#ffffff" stroked="false">
                <v:path arrowok="t"/>
                <v:fill type="solid"/>
              </v:shape>
            </v:group>
            <v:group style="position:absolute;left:3713;top:-1181;width:7034;height:353" coordorigin="3713,-1181" coordsize="7034,353">
              <v:shape style="position:absolute;left:3713;top:-1181;width:7034;height:353" coordorigin="3713,-1181" coordsize="7034,353" path="m3713,-828l10747,-828,10747,-1181,3713,-1181,3713,-828xe" filled="true" fillcolor="#ffffff" stroked="false">
                <v:path arrowok="t"/>
                <v:fill type="solid"/>
              </v:shape>
            </v:group>
            <w10:wrap type="none"/>
          </v:group>
        </w:pict>
      </w: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434"/>
        <w:jc w:val="left"/>
      </w:pPr>
      <w:r>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44"/>
        <w:ind w:left="0" w:right="158"/>
        <w:jc w:val="right"/>
      </w:pPr>
      <w:r>
        <w:rPr/>
        <w:pict>
          <v:shape style="position:absolute;margin-left:56.400002pt;margin-top:-67.628265pt;width:479.3pt;height:170.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4"/>
                    <w:gridCol w:w="1916"/>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821"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4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四川久远投资控股集团 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70895982-3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both"/>
                          <w:rPr>
                            <w:rFonts w:ascii="宋体" w:hAnsi="宋体" w:cs="宋体" w:eastAsia="宋体" w:hint="default"/>
                            <w:sz w:val="18"/>
                            <w:szCs w:val="18"/>
                          </w:rPr>
                        </w:pPr>
                        <w:r>
                          <w:rPr>
                            <w:rFonts w:ascii="宋体" w:hAnsi="宋体" w:cs="宋体" w:eastAsia="宋体" w:hint="default"/>
                            <w:sz w:val="18"/>
                            <w:szCs w:val="18"/>
                          </w:rPr>
                          <w:t>经营公司法人资本和所 投资企业的法人资本； </w:t>
                        </w:r>
                        <w:r>
                          <w:rPr>
                            <w:rFonts w:ascii="宋体" w:hAnsi="宋体" w:cs="宋体" w:eastAsia="宋体" w:hint="default"/>
                            <w:spacing w:val="-4"/>
                            <w:sz w:val="18"/>
                            <w:szCs w:val="18"/>
                          </w:rPr>
                          <w:t>股权投资；房地产投资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经济担保、咨询和经批 准的其他业务</w:t>
                        </w:r>
                      </w:p>
                    </w:tc>
                  </w:tr>
                  <w:tr>
                    <w:trPr>
                      <w:trHeight w:val="102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久远集团持有利尔化学股份有限公司 </w:t>
                        </w:r>
                        <w:r>
                          <w:rPr>
                            <w:rFonts w:ascii="Times New Roman" w:hAnsi="Times New Roman" w:cs="Times New Roman" w:eastAsia="Times New Roman" w:hint="default"/>
                            <w:sz w:val="18"/>
                            <w:szCs w:val="18"/>
                          </w:rPr>
                          <w:t>143,484,136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万股股份，占利尔化学股份有限公司总股本的</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27.36%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44"/>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894"/>
        <w:jc w:val="left"/>
      </w:pPr>
      <w:r>
        <w:rPr/>
        <w:t>实际控制人性质：中央国资管理机构 实际控制人类型：法人</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40" w:lineRule="auto" w:before="44"/>
        <w:ind w:left="0" w:right="159"/>
        <w:jc w:val="right"/>
      </w:pPr>
      <w:r>
        <w:rPr/>
        <w:pict>
          <v:shape style="position:absolute;margin-left:56.400002pt;margin-top:-51.988312pt;width:479.3pt;height:279.3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1829"/>
                    <w:gridCol w:w="1892"/>
                    <w:gridCol w:w="1937"/>
                    <w:gridCol w:w="1913"/>
                  </w:tblGrid>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2"/>
                          <w:jc w:val="righ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21" w:right="71" w:hanging="74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345"/>
                          <w:jc w:val="right"/>
                          <w:rPr>
                            <w:rFonts w:ascii="宋体" w:hAnsi="宋体" w:cs="宋体" w:eastAsia="宋体" w:hint="default"/>
                            <w:sz w:val="18"/>
                            <w:szCs w:val="18"/>
                          </w:rPr>
                        </w:pPr>
                        <w:r>
                          <w:rPr>
                            <w:rFonts w:ascii="宋体" w:hAnsi="宋体" w:cs="宋体" w:eastAsia="宋体" w:hint="default"/>
                            <w:sz w:val="18"/>
                            <w:szCs w:val="18"/>
                          </w:rPr>
                          <w:t>中国工程物理研究院</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刘仓理</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00001831-5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以发展国防尖端科学技 </w:t>
                        </w:r>
                        <w:r>
                          <w:rPr>
                            <w:rFonts w:ascii="宋体" w:hAnsi="宋体" w:cs="宋体" w:eastAsia="宋体" w:hint="default"/>
                            <w:spacing w:val="-4"/>
                            <w:sz w:val="18"/>
                            <w:szCs w:val="18"/>
                          </w:rPr>
                          <w:t>术为主的集理论、实验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设计、生产为一体的综 合性研究院科研生产基 地，主要从事冲击波与 爆轰物理、核物理、等 离子体与激光技术、工 程与材料科学、电子学 与光电子学、化学与化 工、计算机与计算数学 等学科领域的研究及应 用。</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63"/>
                          <w:jc w:val="left"/>
                          <w:rPr>
                            <w:rFonts w:ascii="宋体" w:hAnsi="宋体" w:cs="宋体" w:eastAsia="宋体" w:hint="default"/>
                            <w:sz w:val="18"/>
                            <w:szCs w:val="18"/>
                          </w:rPr>
                        </w:pPr>
                        <w:r>
                          <w:rPr>
                            <w:rFonts w:ascii="宋体" w:hAnsi="宋体" w:cs="宋体" w:eastAsia="宋体" w:hint="default"/>
                            <w:sz w:val="18"/>
                            <w:szCs w:val="18"/>
                          </w:rPr>
                          <w:t>中物院合计持有利尔化学股份有限公司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191,597,004 </w:t>
                        </w:r>
                        <w:r>
                          <w:rPr>
                            <w:rFonts w:ascii="宋体" w:hAnsi="宋体" w:cs="宋体" w:eastAsia="宋体" w:hint="default"/>
                            <w:sz w:val="18"/>
                            <w:szCs w:val="18"/>
                          </w:rPr>
                          <w:t>万股股份，占利尔化学股份有限公司总股本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36.54%</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44"/>
        <w:ind w:right="0"/>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5"/>
          <w:szCs w:val="25"/>
        </w:rPr>
      </w:pPr>
    </w:p>
    <w:p>
      <w:pPr>
        <w:spacing w:line="4695" w:lineRule="exact"/>
        <w:ind w:left="1355"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1634" cy="29813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1634" cy="2981325"/>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2"/>
        <w:rPr>
          <w:rFonts w:ascii="宋体" w:hAnsi="宋体" w:cs="宋体" w:eastAsia="宋体" w:hint="default"/>
          <w:sz w:val="24"/>
          <w:szCs w:val="24"/>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99"/>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99"/>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200" w:firstLine="180"/>
        <w:jc w:val="both"/>
      </w:pPr>
      <w:r>
        <w:rPr/>
        <w:t>（</w:t>
      </w:r>
      <w:r>
        <w:rPr>
          <w:rFonts w:ascii="Times New Roman" w:hAnsi="Times New Roman" w:cs="Times New Roman" w:eastAsia="Times New Roman" w:hint="default"/>
        </w:rPr>
        <w:t>1</w:t>
      </w:r>
      <w:r>
        <w:rPr/>
        <w:t>）久远集团、锐锋集团承诺：自发行人上市之日起三十六个月内，不转让或者委托他人管理其直接或间接持有的发行 人股份，也不由发行人回购其持有的股份。所持股票在锁定期满后两年内减持的，其减持价格不低于发行价；公司上市后</w:t>
      </w:r>
      <w:r>
        <w:rPr>
          <w:rFonts w:ascii="Times New Roman" w:hAnsi="Times New Roman" w:cs="Times New Roman" w:eastAsia="Times New Roman" w:hint="default"/>
        </w:rPr>
        <w:t>6 </w:t>
      </w:r>
      <w:r>
        <w:rPr/>
        <w:t>个月内如公司股票连续</w:t>
      </w:r>
      <w:r>
        <w:rPr>
          <w:rFonts w:ascii="Times New Roman" w:hAnsi="Times New Roman" w:cs="Times New Roman" w:eastAsia="Times New Roman" w:hint="default"/>
        </w:rPr>
        <w:t>20</w:t>
      </w:r>
      <w:r>
        <w:rPr/>
        <w:t>个交易日的收盘价均低于发行价，或者上市后</w:t>
      </w:r>
      <w:r>
        <w:rPr>
          <w:rFonts w:ascii="Times New Roman" w:hAnsi="Times New Roman" w:cs="Times New Roman" w:eastAsia="Times New Roman" w:hint="default"/>
        </w:rPr>
        <w:t>6</w:t>
      </w:r>
      <w:r>
        <w:rPr/>
        <w:t>个月期末收盘价低于发行价，持有公司股票的锁定 期限自动延长</w:t>
      </w:r>
      <w:r>
        <w:rPr>
          <w:rFonts w:ascii="Times New Roman" w:hAnsi="Times New Roman" w:cs="Times New Roman" w:eastAsia="Times New Roman" w:hint="default"/>
        </w:rPr>
        <w:t>6</w:t>
      </w:r>
      <w:r>
        <w:rPr/>
        <w:t>个月。</w:t>
      </w:r>
    </w:p>
    <w:p>
      <w:pPr>
        <w:pStyle w:val="BodyText"/>
        <w:spacing w:line="309" w:lineRule="auto" w:before="13"/>
        <w:ind w:right="189" w:firstLine="180"/>
        <w:jc w:val="both"/>
      </w:pPr>
      <w:r>
        <w:rPr/>
        <w:t>（</w:t>
      </w:r>
      <w:r>
        <w:rPr>
          <w:rFonts w:ascii="Times New Roman" w:hAnsi="Times New Roman" w:cs="Times New Roman" w:eastAsia="Times New Roman" w:hint="default"/>
        </w:rPr>
        <w:t>2</w:t>
      </w:r>
      <w:r>
        <w:rPr/>
        <w:t>）公司董事、监事、高级管理人员李慧霞、单卫民、程树忠、王卒、詹开明、田志勇、连春华、杨成文、翟峻梓、张 </w:t>
      </w:r>
      <w:r>
        <w:rPr>
          <w:spacing w:val="-2"/>
        </w:rPr>
        <w:t>光红承诺：自发行人上市之日起三十六个月内，不转让或者委托他人管理其直接或间接持有的发行人股份，也不由发行人回</w:t>
      </w:r>
      <w:r>
        <w:rPr>
          <w:spacing w:val="-63"/>
        </w:rPr>
        <w:t> </w:t>
      </w:r>
      <w:r>
        <w:rPr>
          <w:spacing w:val="-63"/>
        </w:rPr>
      </w:r>
      <w:r>
        <w:rPr>
          <w:spacing w:val="-1"/>
        </w:rPr>
        <w:t>购其持有的股份。在其任职期间每年转让的股份不得超过其所持有发行人股份总数的</w:t>
      </w:r>
      <w:r>
        <w:rPr>
          <w:rFonts w:ascii="Times New Roman" w:hAnsi="Times New Roman" w:cs="Times New Roman" w:eastAsia="Times New Roman" w:hint="default"/>
          <w:spacing w:val="-1"/>
        </w:rPr>
        <w:t>25%</w:t>
      </w:r>
      <w:r>
        <w:rPr>
          <w:spacing w:val="-1"/>
        </w:rPr>
        <w:t>；离职后半年内，不得转让其所持</w:t>
      </w:r>
      <w:r>
        <w:rPr>
          <w:spacing w:val="-85"/>
        </w:rPr>
        <w:t> </w:t>
      </w:r>
      <w:r>
        <w:rPr>
          <w:spacing w:val="-85"/>
        </w:rPr>
      </w:r>
      <w:r>
        <w:rPr>
          <w:spacing w:val="-2"/>
        </w:rPr>
        <w:t>有的发行人股份；离职六个月后的十二个月内通过证券交易所挂牌交易出售发行人股票数量占其所持有发行人股票总数（包</w:t>
      </w:r>
      <w:r>
        <w:rPr>
          <w:spacing w:val="-63"/>
        </w:rPr>
        <w:t> </w:t>
      </w:r>
      <w:r>
        <w:rPr>
          <w:spacing w:val="-63"/>
        </w:rPr>
      </w:r>
      <w:r>
        <w:rPr/>
        <w:t>括有限售条件和无限售条件的股份）的比例不超过</w:t>
      </w:r>
      <w:r>
        <w:rPr>
          <w:rFonts w:ascii="Times New Roman" w:hAnsi="Times New Roman" w:cs="Times New Roman" w:eastAsia="Times New Roman" w:hint="default"/>
        </w:rPr>
        <w:t>50%</w:t>
      </w:r>
      <w:r>
        <w:rPr/>
        <w:t>。</w:t>
      </w:r>
    </w:p>
    <w:p>
      <w:pPr>
        <w:pStyle w:val="BodyText"/>
        <w:spacing w:line="300" w:lineRule="auto" w:before="5"/>
        <w:ind w:right="189" w:firstLine="360"/>
        <w:jc w:val="both"/>
      </w:pPr>
      <w:r>
        <w:rPr/>
        <w:t>所持股票在锁定期满后两年内减持的，其减持价格不低于发行价；公司上市后</w:t>
      </w:r>
      <w:r>
        <w:rPr>
          <w:rFonts w:ascii="Times New Roman" w:hAnsi="Times New Roman" w:cs="Times New Roman" w:eastAsia="Times New Roman" w:hint="default"/>
        </w:rPr>
        <w:t>6</w:t>
      </w:r>
      <w:r>
        <w:rPr/>
        <w:t>个月内如公司股票连续</w:t>
      </w:r>
      <w:r>
        <w:rPr>
          <w:rFonts w:ascii="Times New Roman" w:hAnsi="Times New Roman" w:cs="Times New Roman" w:eastAsia="Times New Roman" w:hint="default"/>
        </w:rPr>
        <w:t>20</w:t>
      </w:r>
      <w:r>
        <w:rPr/>
        <w:t>个交易日的收 </w:t>
      </w:r>
      <w:r>
        <w:rPr>
          <w:spacing w:val="-2"/>
        </w:rPr>
        <w:t>盘价均低于发行价，或者上市后</w:t>
      </w:r>
      <w:r>
        <w:rPr>
          <w:rFonts w:ascii="Times New Roman" w:hAnsi="Times New Roman" w:cs="Times New Roman" w:eastAsia="Times New Roman" w:hint="default"/>
          <w:spacing w:val="-2"/>
        </w:rPr>
        <w:t>6</w:t>
      </w:r>
      <w:r>
        <w:rPr>
          <w:spacing w:val="-2"/>
        </w:rPr>
        <w:t>个月期末收盘价低于发行价，持有公司股票的锁定期限自动延长</w:t>
      </w:r>
      <w:r>
        <w:rPr>
          <w:rFonts w:ascii="Times New Roman" w:hAnsi="Times New Roman" w:cs="Times New Roman" w:eastAsia="Times New Roman" w:hint="default"/>
          <w:spacing w:val="-2"/>
        </w:rPr>
        <w:t>6</w:t>
      </w:r>
      <w:r>
        <w:rPr>
          <w:spacing w:val="-2"/>
        </w:rPr>
        <w:t>个月，上述减持价格和股</w:t>
      </w:r>
      <w:r>
        <w:rPr>
          <w:spacing w:val="-61"/>
        </w:rPr>
        <w:t> </w:t>
      </w:r>
      <w:r>
        <w:rPr>
          <w:spacing w:val="-61"/>
        </w:rPr>
      </w:r>
      <w:r>
        <w:rPr/>
        <w:t>份锁定承诺不因本人职务变更、离职而终止。</w:t>
      </w:r>
    </w:p>
    <w:p>
      <w:pPr>
        <w:pStyle w:val="BodyText"/>
        <w:spacing w:line="300" w:lineRule="auto" w:before="31"/>
        <w:ind w:right="110" w:firstLine="144"/>
        <w:jc w:val="both"/>
      </w:pPr>
      <w:r>
        <w:rPr/>
        <w:t>（</w:t>
      </w:r>
      <w:r>
        <w:rPr>
          <w:rFonts w:ascii="Times New Roman" w:hAnsi="Times New Roman" w:cs="Times New Roman" w:eastAsia="Times New Roman" w:hint="default"/>
        </w:rPr>
        <w:t>3</w:t>
      </w:r>
      <w:r>
        <w:rPr/>
        <w:t>）童晓峰、张巍、杜斌、唐世杰、施铮、徐仑峰等</w:t>
      </w:r>
      <w:r>
        <w:rPr>
          <w:rFonts w:ascii="Times New Roman" w:hAnsi="Times New Roman" w:cs="Times New Roman" w:eastAsia="Times New Roman" w:hint="default"/>
        </w:rPr>
        <w:t>50</w:t>
      </w:r>
      <w:r>
        <w:rPr/>
        <w:t>名公司核心骨干、核心技术人员和王伯韬、刘碧军承诺：自发行 人上市之日起三十六个月内，不转让或者委托他人管理其直接或间接持有的发行人股份，也不由发行人回购其持有的股份。</w:t>
      </w:r>
    </w:p>
    <w:p>
      <w:pPr>
        <w:pStyle w:val="BodyText"/>
        <w:spacing w:line="300" w:lineRule="auto" w:before="32"/>
        <w:ind w:right="235" w:firstLine="144"/>
        <w:jc w:val="both"/>
      </w:pPr>
      <w:r>
        <w:rPr/>
        <w:t>（</w:t>
      </w:r>
      <w:r>
        <w:rPr>
          <w:rFonts w:ascii="Times New Roman" w:hAnsi="Times New Roman" w:cs="Times New Roman" w:eastAsia="Times New Roman" w:hint="default"/>
        </w:rPr>
        <w:t>4</w:t>
      </w:r>
      <w:r>
        <w:rPr/>
        <w:t>）广发信德、陈奕民承诺：自发行人上市之日起十八个月内，不转让或者委托他人管理其直接或间接持有的发行人股 份，也不由发行人回购其持有的股份。</w:t>
      </w:r>
    </w:p>
    <w:p>
      <w:pPr>
        <w:pStyle w:val="BodyText"/>
        <w:spacing w:line="300" w:lineRule="auto" w:before="31"/>
        <w:ind w:right="99" w:firstLine="72"/>
        <w:jc w:val="left"/>
      </w:pPr>
      <w:r>
        <w:rPr>
          <w:spacing w:val="-2"/>
        </w:rPr>
        <w:t>（</w:t>
      </w:r>
      <w:r>
        <w:rPr>
          <w:rFonts w:ascii="Times New Roman" w:hAnsi="Times New Roman" w:cs="Times New Roman" w:eastAsia="Times New Roman" w:hint="default"/>
          <w:spacing w:val="-2"/>
        </w:rPr>
        <w:t>5</w:t>
      </w:r>
      <w:r>
        <w:rPr>
          <w:spacing w:val="-2"/>
        </w:rPr>
        <w:t>）李长明、陈晖、邹孝健承诺：自发行人上市之日起十二个月内，不转让或者委托他人管理其直接或间接持有的发行人</w:t>
      </w:r>
      <w:r>
        <w:rPr/>
        <w:t> 股份，也不由发行人回购其持有的股份。</w:t>
      </w:r>
    </w:p>
    <w:p>
      <w:pPr>
        <w:spacing w:after="0" w:line="30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340"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427"/>
        <w:gridCol w:w="1133"/>
        <w:gridCol w:w="1047"/>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4"/>
              <w:jc w:val="right"/>
              <w:rPr>
                <w:rFonts w:ascii="宋体" w:hAnsi="宋体" w:cs="宋体" w:eastAsia="宋体" w:hint="default"/>
                <w:sz w:val="18"/>
                <w:szCs w:val="18"/>
              </w:rPr>
            </w:pPr>
            <w:r>
              <w:rPr>
                <w:rFonts w:ascii="宋体" w:hAnsi="宋体" w:cs="宋体" w:eastAsia="宋体" w:hint="default"/>
                <w:sz w:val="18"/>
                <w:szCs w:val="18"/>
              </w:rPr>
              <w:t>年龄</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72" w:right="108"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29" w:right="6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路海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李海燕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周明天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584"/>
        <w:gridCol w:w="427"/>
        <w:gridCol w:w="1133"/>
        <w:gridCol w:w="1047"/>
        <w:gridCol w:w="797"/>
        <w:gridCol w:w="799"/>
        <w:gridCol w:w="797"/>
        <w:gridCol w:w="799"/>
        <w:gridCol w:w="797"/>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唐定勇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680"/>
        <w:gridCol w:w="389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任期满离任董事长</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任期满离任副董事长</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任期满离任公司董事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680"/>
        <w:gridCol w:w="389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任期满离任公司董事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李海燕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任期满离任公司董事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周明天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任期满离任公司董事</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任期满离任公司董事</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唐定勇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任期满离任公司监事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年第四次临时股东大会审议通过，第四届第 一次董事会选举产生</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年第四次临时股东大会审议通过，第四届第 一次董事会选举产生</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w:t>
            </w:r>
          </w:p>
        </w:tc>
      </w:tr>
    </w:tbl>
    <w:p>
      <w:pPr>
        <w:spacing w:line="240" w:lineRule="auto" w:before="1"/>
        <w:rPr>
          <w:rFonts w:ascii="宋体" w:hAnsi="宋体" w:cs="宋体" w:eastAsia="宋体" w:hint="default"/>
          <w:sz w:val="18"/>
          <w:szCs w:val="18"/>
        </w:rPr>
      </w:pPr>
    </w:p>
    <w:p>
      <w:pPr>
        <w:pStyle w:val="Heading2"/>
        <w:spacing w:line="240" w:lineRule="auto" w:before="26"/>
        <w:ind w:right="99"/>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9"/>
        <w:jc w:val="left"/>
      </w:pPr>
      <w:r>
        <w:rPr/>
        <w:t>公司现任董事、监事、高级管理人员专业背景、主要工作经历以及目前在公司的主要职责</w:t>
      </w:r>
    </w:p>
    <w:p>
      <w:pPr>
        <w:pStyle w:val="BodyText"/>
        <w:spacing w:line="300" w:lineRule="auto" w:before="115"/>
        <w:ind w:left="513" w:right="99" w:hanging="289"/>
        <w:jc w:val="left"/>
      </w:pPr>
      <w:r>
        <w:rPr>
          <w:rFonts w:ascii="Times New Roman" w:hAnsi="Times New Roman" w:cs="Times New Roman" w:eastAsia="Times New Roman" w:hint="default"/>
        </w:rPr>
        <w:t>(</w:t>
      </w:r>
      <w:r>
        <w:rPr/>
        <w:t>一）董事会成员简介</w:t>
      </w:r>
      <w:r>
        <w:rPr>
          <w:w w:val="99"/>
        </w:rPr>
        <w:t> </w:t>
      </w:r>
      <w:r>
        <w:rPr>
          <w:spacing w:val="-2"/>
        </w:rPr>
        <w:t>连春华，男，出生于</w:t>
      </w:r>
      <w:r>
        <w:rPr>
          <w:rFonts w:ascii="Times New Roman" w:hAnsi="Times New Roman" w:cs="Times New Roman" w:eastAsia="Times New Roman" w:hint="default"/>
          <w:spacing w:val="-2"/>
        </w:rPr>
        <w:t>1974</w:t>
      </w:r>
      <w:r>
        <w:rPr>
          <w:spacing w:val="-2"/>
        </w:rPr>
        <w:t>年，中国国籍，无永久境外居留权，硕士学历，高级工程师。曾任职于深圳百利鑫股份有限公</w:t>
      </w:r>
    </w:p>
    <w:p>
      <w:pPr>
        <w:pStyle w:val="BodyText"/>
        <w:spacing w:line="300" w:lineRule="auto" w:before="13"/>
        <w:ind w:right="274"/>
        <w:jc w:val="left"/>
      </w:pPr>
      <w:r>
        <w:rPr/>
        <w:t>司、四川托普软件股份有限公司，主要从事软件开发、管理工作；</w:t>
      </w:r>
      <w:r>
        <w:rPr>
          <w:rFonts w:ascii="Times New Roman" w:hAnsi="Times New Roman" w:cs="Times New Roman" w:eastAsia="Times New Roman" w:hint="default"/>
        </w:rPr>
        <w:t>2004</w:t>
      </w:r>
      <w:r>
        <w:rPr/>
        <w:t>年至</w:t>
      </w:r>
      <w:r>
        <w:rPr>
          <w:rFonts w:ascii="Times New Roman" w:hAnsi="Times New Roman" w:cs="Times New Roman" w:eastAsia="Times New Roman" w:hint="default"/>
        </w:rPr>
        <w:t>2008</w:t>
      </w:r>
      <w:r>
        <w:rPr/>
        <w:t>年就职于四川银海，任事业部经理；</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月至今任公司董事长。</w:t>
      </w:r>
    </w:p>
    <w:p>
      <w:pPr>
        <w:pStyle w:val="BodyText"/>
        <w:spacing w:line="300" w:lineRule="auto" w:before="13"/>
        <w:ind w:right="94" w:firstLine="360"/>
        <w:jc w:val="left"/>
      </w:pPr>
      <w:r>
        <w:rPr>
          <w:spacing w:val="-2"/>
        </w:rPr>
        <w:t>李凌，男，出生于</w:t>
      </w:r>
      <w:r>
        <w:rPr>
          <w:rFonts w:ascii="Times New Roman" w:hAnsi="Times New Roman" w:cs="Times New Roman" w:eastAsia="Times New Roman" w:hint="default"/>
          <w:spacing w:val="-2"/>
        </w:rPr>
        <w:t>1963</w:t>
      </w:r>
      <w:r>
        <w:rPr>
          <w:spacing w:val="-2"/>
        </w:rPr>
        <w:t>年，中国国籍，无永久境外居留权，本科学历，高级工程师。</w:t>
      </w:r>
      <w:r>
        <w:rPr>
          <w:rFonts w:ascii="Times New Roman" w:hAnsi="Times New Roman" w:cs="Times New Roman" w:eastAsia="Times New Roman" w:hint="default"/>
          <w:spacing w:val="-2"/>
        </w:rPr>
        <w:t>1985</w:t>
      </w:r>
      <w:r>
        <w:rPr>
          <w:spacing w:val="-2"/>
        </w:rPr>
        <w:t>年至今在中物院计算机应用研</w:t>
      </w:r>
      <w:r>
        <w:rPr/>
        <w:t> 究所工作，先后担任该所副主任、主任、副所长、副巡视员；</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年任四川科学城锐锋集团有限责任公司总经理，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月至今担任四川科学城锐锋集团有限责任公司总经理。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月至今任公司副董事长。</w:t>
      </w:r>
    </w:p>
    <w:p>
      <w:pPr>
        <w:pStyle w:val="BodyText"/>
        <w:spacing w:line="300" w:lineRule="auto" w:before="13"/>
        <w:ind w:right="188" w:firstLine="360"/>
        <w:jc w:val="both"/>
      </w:pPr>
      <w:r>
        <w:rPr>
          <w:spacing w:val="-2"/>
        </w:rPr>
        <w:t>靳建立，男，出生于</w:t>
      </w:r>
      <w:r>
        <w:rPr>
          <w:rFonts w:ascii="Times New Roman" w:hAnsi="Times New Roman" w:cs="Times New Roman" w:eastAsia="Times New Roman" w:hint="default"/>
          <w:spacing w:val="-2"/>
        </w:rPr>
        <w:t>1976</w:t>
      </w:r>
      <w:r>
        <w:rPr>
          <w:spacing w:val="-2"/>
        </w:rPr>
        <w:t>年，中国国籍，无永久境外居留权，硕士学历，高级经济师。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年在四川海天集团</w:t>
      </w:r>
      <w:r>
        <w:rPr/>
        <w:t> 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年在久远集团任项目经理；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月先后任中物院军转民部干事、处长；</w:t>
      </w:r>
      <w:r>
        <w:rPr>
          <w:rFonts w:ascii="Times New Roman" w:hAnsi="Times New Roman" w:cs="Times New Roman" w:eastAsia="Times New Roman" w:hint="default"/>
        </w:rPr>
        <w:t>2014</w:t>
      </w:r>
      <w:r>
        <w:rPr/>
        <w:t>年至今先 后担任久远集团董事会秘书、总经理助理、战略部部长、副总经理。</w:t>
      </w:r>
    </w:p>
    <w:p>
      <w:pPr>
        <w:pStyle w:val="BodyText"/>
        <w:spacing w:line="300" w:lineRule="auto" w:before="31"/>
        <w:ind w:right="99" w:firstLine="360"/>
        <w:jc w:val="left"/>
      </w:pPr>
      <w:r>
        <w:rPr/>
        <w:t>张海，男，出生于</w:t>
      </w:r>
      <w:r>
        <w:rPr>
          <w:rFonts w:ascii="Times New Roman" w:hAnsi="Times New Roman" w:cs="Times New Roman" w:eastAsia="Times New Roman" w:hint="default"/>
        </w:rPr>
        <w:t>1962</w:t>
      </w:r>
      <w:r>
        <w:rPr/>
        <w:t>年，中国国籍，无永久境外居留权，本科学历，政工师。曾就职于中物院七所，</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1997 </w:t>
      </w:r>
      <w:r>
        <w:rPr>
          <w:spacing w:val="-2"/>
        </w:rPr>
        <w:t>年任职于四川鼎天艺精电子有限责任公司总经理；</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2001</w:t>
      </w:r>
      <w:r>
        <w:rPr>
          <w:spacing w:val="-2"/>
        </w:rPr>
        <w:t>年任鼎天微电子公司总裁助理，</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2010</w:t>
      </w:r>
      <w:r>
        <w:rPr>
          <w:spacing w:val="-2"/>
        </w:rPr>
        <w:t>年先后担任四</w:t>
      </w:r>
      <w:r>
        <w:rPr>
          <w:spacing w:val="-54"/>
        </w:rPr>
        <w:t> </w:t>
      </w:r>
      <w:r>
        <w:rPr>
          <w:spacing w:val="-54"/>
        </w:rPr>
      </w:r>
      <w:r>
        <w:rPr>
          <w:spacing w:val="-2"/>
        </w:rPr>
        <w:t>川艺精技术开发公司常务副总经理、总经理、副董事长；</w:t>
      </w:r>
      <w:r>
        <w:rPr>
          <w:rFonts w:ascii="Times New Roman" w:hAnsi="Times New Roman" w:cs="Times New Roman" w:eastAsia="Times New Roman" w:hint="default"/>
          <w:spacing w:val="-2"/>
        </w:rPr>
        <w:t>2010</w:t>
      </w:r>
      <w:r>
        <w:rPr>
          <w:spacing w:val="-2"/>
        </w:rPr>
        <w:t>年至今担任四川久远投资控股集团有限公司党委委员、副总经</w:t>
      </w:r>
      <w:r>
        <w:rPr>
          <w:spacing w:val="-59"/>
        </w:rPr>
        <w:t> </w:t>
      </w:r>
      <w:r>
        <w:rPr>
          <w:spacing w:val="-59"/>
        </w:rPr>
      </w:r>
      <w:r>
        <w:rPr/>
        <w:t>理（应用技术研究发展中心党委委员、副主任），期间曾担任中物院军转民发展部副部长（挂职</w:t>
      </w:r>
      <w:r>
        <w:rPr>
          <w:rFonts w:ascii="Times New Roman" w:hAnsi="Times New Roman" w:cs="Times New Roman" w:eastAsia="Times New Roman" w:hint="default"/>
        </w:rPr>
        <w:t>1</w:t>
      </w:r>
      <w:r>
        <w:rPr/>
        <w:t>年）。</w:t>
      </w:r>
    </w:p>
    <w:p>
      <w:pPr>
        <w:pStyle w:val="BodyText"/>
        <w:spacing w:line="300" w:lineRule="auto" w:before="13"/>
        <w:ind w:right="191" w:firstLine="360"/>
        <w:jc w:val="both"/>
      </w:pPr>
      <w:r>
        <w:rPr/>
        <w:t>徐楷，男，出生于</w:t>
      </w:r>
      <w:r>
        <w:rPr>
          <w:rFonts w:ascii="Times New Roman" w:hAnsi="Times New Roman" w:cs="Times New Roman" w:eastAsia="Times New Roman" w:hint="default"/>
        </w:rPr>
        <w:t>1963</w:t>
      </w:r>
      <w:r>
        <w:rPr/>
        <w:t>年，中国国籍，无永久境外居留权，专科学历，工程师。</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9</w:t>
      </w:r>
      <w:r>
        <w:rPr/>
        <w:t>月至今在中物院计算机应用研 </w:t>
      </w:r>
      <w:r>
        <w:rPr>
          <w:spacing w:val="-2"/>
        </w:rPr>
        <w:t>究所工作，先后担任该所党支部书记、副主任、科研生产处副处长、军转民处处长、规划发展处副处长；</w:t>
      </w:r>
      <w:r>
        <w:rPr>
          <w:rFonts w:ascii="Times New Roman" w:hAnsi="Times New Roman" w:cs="Times New Roman" w:eastAsia="Times New Roman" w:hint="default"/>
          <w:spacing w:val="-2"/>
        </w:rPr>
        <w:t>2010</w:t>
      </w:r>
      <w:r>
        <w:rPr>
          <w:spacing w:val="-2"/>
        </w:rPr>
        <w:t>年至</w:t>
      </w:r>
      <w:r>
        <w:rPr>
          <w:rFonts w:ascii="Times New Roman" w:hAnsi="Times New Roman" w:cs="Times New Roman" w:eastAsia="Times New Roman" w:hint="default"/>
          <w:spacing w:val="-2"/>
        </w:rPr>
        <w:t>2014</w:t>
      </w:r>
      <w:r>
        <w:rPr>
          <w:spacing w:val="-2"/>
        </w:rPr>
        <w:t>年担</w:t>
      </w:r>
      <w:r>
        <w:rPr>
          <w:spacing w:val="-60"/>
        </w:rPr>
        <w:t> </w:t>
      </w:r>
      <w:r>
        <w:rPr/>
        <w:t>任四川科学城锐锋集团有限责任公司副总经理。</w:t>
      </w:r>
    </w:p>
    <w:p>
      <w:pPr>
        <w:pStyle w:val="BodyText"/>
        <w:spacing w:line="300" w:lineRule="auto" w:before="31"/>
        <w:ind w:right="193" w:firstLine="360"/>
        <w:jc w:val="both"/>
      </w:pPr>
      <w:r>
        <w:rPr>
          <w:spacing w:val="-2"/>
        </w:rPr>
        <w:t>李慧霞</w:t>
      </w:r>
      <w:r>
        <w:rPr>
          <w:rFonts w:ascii="宋体" w:hAnsi="宋体" w:cs="宋体" w:eastAsia="宋体" w:hint="default"/>
          <w:b/>
          <w:bCs/>
          <w:spacing w:val="-2"/>
        </w:rPr>
        <w:t>，</w:t>
      </w:r>
      <w:r>
        <w:rPr>
          <w:spacing w:val="-2"/>
        </w:rPr>
        <w:t>女，出生于</w:t>
      </w:r>
      <w:r>
        <w:rPr>
          <w:rFonts w:ascii="Times New Roman" w:hAnsi="Times New Roman" w:cs="Times New Roman" w:eastAsia="Times New Roman" w:hint="default"/>
          <w:spacing w:val="-2"/>
        </w:rPr>
        <w:t>1959</w:t>
      </w:r>
      <w:r>
        <w:rPr>
          <w:spacing w:val="-2"/>
        </w:rPr>
        <w:t>年，中国国籍，无永久境外居留权，硕士学历，高级工程师。曾就职于中物院计算机应用研究</w:t>
      </w:r>
      <w:r>
        <w:rPr/>
        <w:t> 所；</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月任四川银海事业部经理；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月任四川银海总经理；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 任公司董事长及法定代表人，成都市第十五届人大代表，享受国务院政府特殊津贴。</w:t>
      </w:r>
    </w:p>
    <w:p>
      <w:pPr>
        <w:spacing w:after="0" w:line="30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4" w:lineRule="auto" w:before="44"/>
        <w:ind w:right="99" w:firstLine="300"/>
        <w:jc w:val="left"/>
      </w:pPr>
      <w:r>
        <w:rPr>
          <w:spacing w:val="-3"/>
        </w:rPr>
        <w:t>李飞，男，出生于</w:t>
      </w:r>
      <w:r>
        <w:rPr>
          <w:rFonts w:ascii="Times New Roman" w:hAnsi="Times New Roman" w:cs="Times New Roman" w:eastAsia="Times New Roman" w:hint="default"/>
          <w:spacing w:val="-3"/>
        </w:rPr>
        <w:t>1961</w:t>
      </w:r>
      <w:r>
        <w:rPr>
          <w:spacing w:val="-3"/>
        </w:rPr>
        <w:t>年，中国国籍，无永久境外居留权，经济学硕士。曾就职于北京中央马列编译局比较经济研究所、</w:t>
      </w:r>
      <w:r>
        <w:rPr/>
        <w:t> </w:t>
      </w:r>
      <w:r>
        <w:rPr>
          <w:spacing w:val="-2"/>
        </w:rPr>
        <w:t>中央财政部所属中国经济技术开发信托投资公司、湖南衡阳飞龙实业股份有限公司、成都五牛科美投资集团公司、广东远洋</w:t>
      </w:r>
      <w:r>
        <w:rPr>
          <w:spacing w:val="-63"/>
        </w:rPr>
        <w:t> </w:t>
      </w:r>
      <w:r>
        <w:rPr>
          <w:spacing w:val="-63"/>
        </w:rPr>
      </w:r>
      <w:r>
        <w:rPr>
          <w:spacing w:val="-2"/>
        </w:rPr>
        <w:t>渔业股份公司、南京宝色股份公司；</w:t>
      </w:r>
      <w:r>
        <w:rPr>
          <w:rFonts w:ascii="Times New Roman" w:hAnsi="Times New Roman" w:cs="Times New Roman" w:eastAsia="Times New Roman" w:hint="default"/>
          <w:spacing w:val="-2"/>
        </w:rPr>
        <w:t>2006</w:t>
      </w:r>
      <w:r>
        <w:rPr>
          <w:spacing w:val="-2"/>
        </w:rPr>
        <w:t>年进入成都娇子实业发展有限公司任董事长、</w:t>
      </w:r>
      <w:r>
        <w:rPr>
          <w:rFonts w:ascii="Times New Roman" w:hAnsi="Times New Roman" w:cs="Times New Roman" w:eastAsia="Times New Roman" w:hint="default"/>
          <w:spacing w:val="-2"/>
        </w:rPr>
        <w:t>2008</w:t>
      </w:r>
      <w:r>
        <w:rPr>
          <w:spacing w:val="-2"/>
        </w:rPr>
        <w:t>年至今任成都娇子投资发展有限</w:t>
      </w:r>
      <w:r>
        <w:rPr>
          <w:spacing w:val="-58"/>
        </w:rPr>
        <w:t> </w:t>
      </w:r>
      <w:r>
        <w:rPr>
          <w:spacing w:val="-2"/>
        </w:rPr>
        <w:t>公司董事长、</w:t>
      </w:r>
      <w:r>
        <w:rPr>
          <w:rFonts w:ascii="Times New Roman" w:hAnsi="Times New Roman" w:cs="Times New Roman" w:eastAsia="Times New Roman" w:hint="default"/>
          <w:spacing w:val="-2"/>
        </w:rPr>
        <w:t>2009</w:t>
      </w:r>
      <w:r>
        <w:rPr>
          <w:spacing w:val="-2"/>
        </w:rPr>
        <w:t>年至今任中国华夏文化遗产基金会副理事长、成都休旅城投资有限公司执行董事、</w:t>
      </w:r>
      <w:r>
        <w:rPr>
          <w:rFonts w:ascii="Times New Roman" w:hAnsi="Times New Roman" w:cs="Times New Roman" w:eastAsia="Times New Roman" w:hint="default"/>
          <w:spacing w:val="-2"/>
        </w:rPr>
        <w:t>2011</w:t>
      </w:r>
      <w:r>
        <w:rPr>
          <w:spacing w:val="-2"/>
        </w:rPr>
        <w:t>年至今任成都双娇</w:t>
      </w:r>
      <w:r>
        <w:rPr>
          <w:spacing w:val="-56"/>
        </w:rPr>
        <w:t> </w:t>
      </w:r>
      <w:r>
        <w:rPr>
          <w:spacing w:val="-56"/>
        </w:rPr>
      </w:r>
      <w:r>
        <w:rPr/>
        <w:t>美城投资有限公司执行董事。</w:t>
      </w:r>
    </w:p>
    <w:p>
      <w:pPr>
        <w:pStyle w:val="BodyText"/>
        <w:spacing w:line="300" w:lineRule="auto" w:before="28"/>
        <w:ind w:right="99" w:firstLine="300"/>
        <w:jc w:val="left"/>
      </w:pPr>
      <w:r>
        <w:rPr/>
        <w:t>冯建，男，出生于</w:t>
      </w:r>
      <w:r>
        <w:rPr>
          <w:rFonts w:ascii="Times New Roman" w:hAnsi="Times New Roman" w:cs="Times New Roman" w:eastAsia="Times New Roman" w:hint="default"/>
        </w:rPr>
        <w:t>1963</w:t>
      </w:r>
      <w:r>
        <w:rPr/>
        <w:t>年，博士，西南财经大学会计学院教授、博士生导师，西南财经大学出版社董事长、社长，中国 注册会计师。曾先后兼任云南马龙、成都卫士通、成渝高速、迪康药业、成都博瑞、明星电缆、洛阳银行、中科信息等</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spacing w:val="-4"/>
        </w:rPr>
        <w:t>余公司独立董事。现兼任四川九州独立董事、中国财务学年会秘书长、教育部和省市相关组织科研项目立项、结项评审专家。</w:t>
      </w:r>
    </w:p>
    <w:p>
      <w:pPr>
        <w:pStyle w:val="BodyText"/>
        <w:spacing w:line="314" w:lineRule="auto" w:before="31"/>
        <w:ind w:right="191" w:firstLine="300"/>
        <w:jc w:val="both"/>
      </w:pPr>
      <w:r>
        <w:rPr>
          <w:spacing w:val="-1"/>
        </w:rPr>
        <w:t>秦志光，男，出生于</w:t>
      </w:r>
      <w:r>
        <w:rPr>
          <w:rFonts w:ascii="Times New Roman" w:hAnsi="Times New Roman" w:cs="Times New Roman" w:eastAsia="Times New Roman" w:hint="default"/>
          <w:spacing w:val="-1"/>
        </w:rPr>
        <w:t>1956</w:t>
      </w:r>
      <w:r>
        <w:rPr>
          <w:spacing w:val="-1"/>
        </w:rPr>
        <w:t>年，博士、二级教授、博士生导师。曾任电子科技大学计算机科学与工程学院、信息与软件工</w:t>
      </w:r>
      <w:r>
        <w:rPr/>
        <w:t> </w:t>
      </w:r>
      <w:r>
        <w:rPr>
          <w:spacing w:val="-2"/>
        </w:rPr>
        <w:t>程学院院长，国家特殊津贴获得者。国务院学科评议组计算机科学技术组（第六、七届）成员；国务院学位委员会网络空间</w:t>
      </w:r>
      <w:r>
        <w:rPr>
          <w:spacing w:val="-70"/>
        </w:rPr>
        <w:t> </w:t>
      </w:r>
      <w:r>
        <w:rPr>
          <w:spacing w:val="-70"/>
        </w:rPr>
      </w:r>
      <w:r>
        <w:rPr>
          <w:spacing w:val="-2"/>
        </w:rPr>
        <w:t>安全一级学科论证专家组成员。中国计算机学会、中国密码学会理事，中国软件行业协会常务理事。四川省委省政府第二届</w:t>
      </w:r>
      <w:r>
        <w:rPr>
          <w:spacing w:val="-64"/>
        </w:rPr>
        <w:t> </w:t>
      </w:r>
      <w:r>
        <w:rPr>
          <w:spacing w:val="-64"/>
        </w:rPr>
      </w:r>
      <w:r>
        <w:rPr>
          <w:spacing w:val="-2"/>
        </w:rPr>
        <w:t>决策咨询委员会委员。四川省软件行业协会、四川省信息与软件服务业行业协会、四川省计算机用户协会理事长，四川省计</w:t>
      </w:r>
      <w:r>
        <w:rPr>
          <w:spacing w:val="-65"/>
        </w:rPr>
        <w:t> </w:t>
      </w:r>
      <w:r>
        <w:rPr>
          <w:spacing w:val="-65"/>
        </w:rPr>
      </w:r>
      <w:r>
        <w:rPr/>
        <w:t>算机学会副理事长。成都市软件行业协会、成都市两化融合企业联盟理事长。</w:t>
      </w:r>
    </w:p>
    <w:p>
      <w:pPr>
        <w:spacing w:line="240" w:lineRule="auto" w:before="6"/>
        <w:rPr>
          <w:rFonts w:ascii="宋体" w:hAnsi="宋体" w:cs="宋体" w:eastAsia="宋体" w:hint="default"/>
          <w:sz w:val="25"/>
          <w:szCs w:val="25"/>
        </w:rPr>
      </w:pPr>
    </w:p>
    <w:p>
      <w:pPr>
        <w:pStyle w:val="BodyText"/>
        <w:spacing w:line="316" w:lineRule="auto"/>
        <w:ind w:left="573" w:right="213"/>
        <w:jc w:val="left"/>
      </w:pPr>
      <w:r>
        <w:rPr/>
        <w:t>（二）监事会成员简介 侯春梅女士，中国国籍，</w:t>
      </w:r>
      <w:r>
        <w:rPr>
          <w:rFonts w:ascii="Times New Roman" w:hAnsi="Times New Roman" w:cs="Times New Roman" w:eastAsia="Times New Roman" w:hint="default"/>
        </w:rPr>
        <w:t>1973</w:t>
      </w:r>
      <w:r>
        <w:rPr/>
        <w:t>年生，无永久境外居留权，本科学历，高级会计师。曾就职于四川久远科技股份有限公</w:t>
      </w:r>
    </w:p>
    <w:p>
      <w:pPr>
        <w:pStyle w:val="BodyText"/>
        <w:spacing w:line="309" w:lineRule="auto"/>
        <w:ind w:right="188"/>
        <w:jc w:val="both"/>
      </w:pPr>
      <w:r>
        <w:rPr>
          <w:spacing w:val="-2"/>
        </w:rPr>
        <w:t>司、四川中物技术有限责任公司、成都太科光电技术有限责任公司、四川恒泰环境技术有限责任公司、四川中物科技集团有</w:t>
      </w:r>
      <w:r>
        <w:rPr>
          <w:spacing w:val="-65"/>
        </w:rPr>
        <w:t> </w:t>
      </w:r>
      <w:r>
        <w:rPr>
          <w:spacing w:val="-65"/>
        </w:rPr>
      </w:r>
      <w:r>
        <w:rPr>
          <w:spacing w:val="-2"/>
        </w:rPr>
        <w:t>限公司、四川久信科技集团有限公司；</w:t>
      </w:r>
      <w:r>
        <w:rPr>
          <w:rFonts w:ascii="Times New Roman" w:hAnsi="Times New Roman" w:cs="Times New Roman" w:eastAsia="Times New Roman" w:hint="default"/>
          <w:spacing w:val="-2"/>
        </w:rPr>
        <w:t>2012</w:t>
      </w:r>
      <w:r>
        <w:rPr>
          <w:spacing w:val="-2"/>
        </w:rPr>
        <w:t>年进入四川久远投资控股集团有限公司任财务审计部部长；</w:t>
      </w:r>
      <w:r>
        <w:rPr>
          <w:rFonts w:ascii="Times New Roman" w:hAnsi="Times New Roman" w:cs="Times New Roman" w:eastAsia="Times New Roman" w:hint="default"/>
          <w:spacing w:val="-2"/>
        </w:rPr>
        <w:t>2013</w:t>
      </w:r>
      <w:r>
        <w:rPr>
          <w:spacing w:val="-2"/>
        </w:rPr>
        <w:t>年至今任四川久</w:t>
      </w:r>
      <w:r>
        <w:rPr>
          <w:spacing w:val="-57"/>
        </w:rPr>
        <w:t> </w:t>
      </w:r>
      <w:r>
        <w:rPr>
          <w:spacing w:val="-57"/>
        </w:rPr>
      </w:r>
      <w:r>
        <w:rPr/>
        <w:t>远投资控股集团有限公司财务管理部副部长。</w:t>
      </w:r>
    </w:p>
    <w:p>
      <w:pPr>
        <w:pStyle w:val="BodyText"/>
        <w:spacing w:line="300" w:lineRule="auto" w:before="24"/>
        <w:ind w:right="188" w:firstLine="420"/>
        <w:jc w:val="both"/>
      </w:pPr>
      <w:r>
        <w:rPr>
          <w:spacing w:val="-3"/>
        </w:rPr>
        <w:t>冯梅，女，出生于</w:t>
      </w:r>
      <w:r>
        <w:rPr>
          <w:rFonts w:ascii="Times New Roman" w:hAnsi="Times New Roman" w:cs="Times New Roman" w:eastAsia="Times New Roman" w:hint="default"/>
          <w:spacing w:val="-3"/>
        </w:rPr>
        <w:t>1983</w:t>
      </w:r>
      <w:r>
        <w:rPr>
          <w:spacing w:val="-3"/>
        </w:rPr>
        <w:t>年，中国国籍，无永久境外居留权，研究生学历，中级会计师、注册会计师、注册税务师。</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年至今在中物院计算机应用研究所工作，</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月起兼任四川科学城锐锋集团有限责任公司财务总监。</w:t>
      </w:r>
    </w:p>
    <w:p>
      <w:pPr>
        <w:pStyle w:val="BodyText"/>
        <w:spacing w:line="307" w:lineRule="auto" w:before="13"/>
        <w:ind w:right="186" w:firstLine="420"/>
        <w:jc w:val="both"/>
      </w:pPr>
      <w:r>
        <w:rPr/>
        <w:t>周凯，男，</w:t>
      </w:r>
      <w:r>
        <w:rPr>
          <w:spacing w:val="-49"/>
        </w:rPr>
        <w:t> </w:t>
      </w:r>
      <w:r>
        <w:rPr/>
        <w:t>汉族，出生于</w:t>
      </w:r>
      <w:r>
        <w:rPr>
          <w:rFonts w:ascii="Times New Roman" w:hAnsi="Times New Roman" w:cs="Times New Roman" w:eastAsia="Times New Roman" w:hint="default"/>
        </w:rPr>
        <w:t>1977</w:t>
      </w:r>
      <w:r>
        <w:rPr/>
        <w:t>年。工信部认证高级项目经理。</w:t>
      </w:r>
      <w:r>
        <w:rPr>
          <w:rFonts w:ascii="Times New Roman" w:hAnsi="Times New Roman" w:cs="Times New Roman" w:eastAsia="Times New Roman" w:hint="default"/>
        </w:rPr>
        <w:t>1999</w:t>
      </w:r>
      <w:r>
        <w:rPr/>
        <w:t>年毕业于四川大学计算机软件专业（本科）。</w:t>
      </w:r>
      <w:r>
        <w:rPr>
          <w:rFonts w:ascii="Times New Roman" w:hAnsi="Times New Roman" w:cs="Times New Roman" w:eastAsia="Times New Roman" w:hint="default"/>
        </w:rPr>
        <w:t>1999</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11</w:t>
      </w:r>
      <w:r>
        <w:rPr>
          <w:spacing w:val="-2"/>
        </w:rPr>
        <w:t>月进入四川银海软件有限责任公司，从事软件开发和项目建设工作，先后担任项目经理、事业部技术总监等职务。</w:t>
      </w:r>
      <w:r>
        <w:rPr>
          <w:rFonts w:ascii="Times New Roman" w:hAnsi="Times New Roman" w:cs="Times New Roman" w:eastAsia="Times New Roman" w:hint="default"/>
          <w:spacing w:val="-2"/>
        </w:rPr>
        <w:t>2008</w:t>
      </w:r>
      <w:r>
        <w:rPr>
          <w:rFonts w:ascii="Times New Roman" w:hAnsi="Times New Roman" w:cs="Times New Roman" w:eastAsia="Times New Roman" w:hint="default"/>
          <w:spacing w:val="-10"/>
        </w:rPr>
        <w:t> </w:t>
      </w:r>
      <w:r>
        <w:rPr>
          <w:spacing w:val="-2"/>
        </w:rPr>
        <w:t>年进入四川久远银海软件股份有限公司，从事软件开发、项目建设工作及部门管理工作，先后担任工程中心总经理、事业部</w:t>
      </w:r>
      <w:r>
        <w:rPr>
          <w:spacing w:val="-64"/>
        </w:rPr>
        <w:t> </w:t>
      </w:r>
      <w:r>
        <w:rPr>
          <w:spacing w:val="-64"/>
        </w:rPr>
      </w:r>
      <w:r>
        <w:rPr/>
        <w:t>总经理等职务。</w:t>
      </w:r>
    </w:p>
    <w:p>
      <w:pPr>
        <w:pStyle w:val="BodyText"/>
        <w:spacing w:line="300" w:lineRule="auto" w:before="26"/>
        <w:ind w:right="191" w:firstLine="372"/>
        <w:jc w:val="both"/>
      </w:pPr>
      <w:r>
        <w:rPr>
          <w:spacing w:val="-1"/>
        </w:rPr>
        <w:t>程树忠，男，出生于</w:t>
      </w:r>
      <w:r>
        <w:rPr>
          <w:rFonts w:ascii="Times New Roman" w:hAnsi="Times New Roman" w:cs="Times New Roman" w:eastAsia="Times New Roman" w:hint="default"/>
          <w:spacing w:val="-1"/>
        </w:rPr>
        <w:t>1965</w:t>
      </w:r>
      <w:r>
        <w:rPr>
          <w:spacing w:val="-1"/>
        </w:rPr>
        <w:t>年，中国国籍，无永久境外居留权，</w:t>
      </w:r>
      <w:r>
        <w:rPr>
          <w:rFonts w:ascii="Times New Roman" w:hAnsi="Times New Roman" w:cs="Times New Roman" w:eastAsia="Times New Roman" w:hint="default"/>
          <w:spacing w:val="-1"/>
        </w:rPr>
        <w:t>1983</w:t>
      </w:r>
      <w:r>
        <w:rPr>
          <w:spacing w:val="-1"/>
        </w:rPr>
        <w:t>年</w:t>
      </w:r>
      <w:r>
        <w:rPr>
          <w:rFonts w:ascii="Times New Roman" w:hAnsi="Times New Roman" w:cs="Times New Roman" w:eastAsia="Times New Roman" w:hint="default"/>
          <w:spacing w:val="-1"/>
        </w:rPr>
        <w:t>11</w:t>
      </w:r>
      <w:r>
        <w:rPr>
          <w:spacing w:val="-1"/>
        </w:rPr>
        <w:t>月入伍参军；</w:t>
      </w:r>
      <w:r>
        <w:rPr>
          <w:rFonts w:ascii="Times New Roman" w:hAnsi="Times New Roman" w:cs="Times New Roman" w:eastAsia="Times New Roman" w:hint="default"/>
          <w:spacing w:val="-1"/>
        </w:rPr>
        <w:t>1989</w:t>
      </w:r>
      <w:r>
        <w:rPr>
          <w:spacing w:val="-1"/>
        </w:rPr>
        <w:t>年</w:t>
      </w:r>
      <w:r>
        <w:rPr>
          <w:rFonts w:ascii="Times New Roman" w:hAnsi="Times New Roman" w:cs="Times New Roman" w:eastAsia="Times New Roman" w:hint="default"/>
          <w:spacing w:val="-1"/>
        </w:rPr>
        <w:t>4</w:t>
      </w:r>
      <w:r>
        <w:rPr>
          <w:spacing w:val="-1"/>
        </w:rPr>
        <w:t>月退伍后在江津糖果厂工</w:t>
      </w:r>
      <w:r>
        <w:rPr/>
        <w:t> 作；</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月进入四川银海工作；</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月至今任公司运营管理中心行政管理部经理。</w:t>
      </w:r>
    </w:p>
    <w:p>
      <w:pPr>
        <w:pStyle w:val="BodyText"/>
        <w:spacing w:line="300" w:lineRule="auto" w:before="13"/>
        <w:ind w:right="188" w:firstLine="360"/>
        <w:jc w:val="both"/>
      </w:pPr>
      <w:r>
        <w:rPr>
          <w:spacing w:val="-2"/>
        </w:rPr>
        <w:t>游新，女，出生于</w:t>
      </w:r>
      <w:r>
        <w:rPr>
          <w:rFonts w:ascii="Times New Roman" w:hAnsi="Times New Roman" w:cs="Times New Roman" w:eastAsia="Times New Roman" w:hint="default"/>
          <w:spacing w:val="-2"/>
        </w:rPr>
        <w:t>1969</w:t>
      </w:r>
      <w:r>
        <w:rPr>
          <w:spacing w:val="-2"/>
        </w:rPr>
        <w:t>年，中国国籍，无永久境外居留权，中专学历，会计师；</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月在成都市电焊机</w:t>
      </w:r>
      <w:r>
        <w:rPr/>
        <w:t> 厂从事会计工作；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月在日本京瓷公司成都分公司从事会计工作；</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月进入四川银海，</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 进入本公司工作。</w:t>
      </w:r>
    </w:p>
    <w:p>
      <w:pPr>
        <w:spacing w:line="240" w:lineRule="auto" w:before="3"/>
        <w:rPr>
          <w:rFonts w:ascii="宋体" w:hAnsi="宋体" w:cs="宋体" w:eastAsia="宋体" w:hint="default"/>
          <w:sz w:val="26"/>
          <w:szCs w:val="26"/>
        </w:rPr>
      </w:pPr>
    </w:p>
    <w:p>
      <w:pPr>
        <w:pStyle w:val="BodyText"/>
        <w:spacing w:line="319" w:lineRule="auto"/>
        <w:ind w:left="597" w:right="189" w:hanging="24"/>
        <w:jc w:val="left"/>
      </w:pPr>
      <w:r>
        <w:rPr/>
        <w:t>（三）高级管理人员简介 连春华，男，出生于</w:t>
      </w:r>
      <w:r>
        <w:rPr>
          <w:rFonts w:ascii="Times New Roman" w:hAnsi="Times New Roman" w:cs="Times New Roman" w:eastAsia="Times New Roman" w:hint="default"/>
        </w:rPr>
        <w:t>1974</w:t>
      </w:r>
      <w:r>
        <w:rPr/>
        <w:t>年，中国国籍，无永久境外居留权，硕士学历，高级工程师。曾任职于深圳百利鑫股份有限</w:t>
      </w:r>
    </w:p>
    <w:p>
      <w:pPr>
        <w:pStyle w:val="BodyText"/>
        <w:spacing w:line="300" w:lineRule="auto"/>
        <w:ind w:right="188"/>
        <w:jc w:val="both"/>
      </w:pPr>
      <w:r>
        <w:rPr>
          <w:spacing w:val="-2"/>
        </w:rPr>
        <w:t>公司、四川托普软件股份有限公司，主要从事软件开发、管理工作；</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2008</w:t>
      </w:r>
      <w:r>
        <w:rPr>
          <w:spacing w:val="-2"/>
        </w:rPr>
        <w:t>年就职于四川银海，任事业部经理；</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月至今任公司总经理，</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月至今任公司董事长。</w:t>
      </w:r>
    </w:p>
    <w:p>
      <w:pPr>
        <w:pStyle w:val="BodyText"/>
        <w:spacing w:line="300" w:lineRule="auto" w:before="13"/>
        <w:ind w:right="198" w:firstLine="444"/>
        <w:jc w:val="both"/>
      </w:pPr>
      <w:r>
        <w:rPr/>
        <w:t>王卒，男，出生于</w:t>
      </w:r>
      <w:r>
        <w:rPr>
          <w:rFonts w:ascii="Times New Roman" w:hAnsi="Times New Roman" w:cs="Times New Roman" w:eastAsia="Times New Roman" w:hint="default"/>
        </w:rPr>
        <w:t>1967</w:t>
      </w:r>
      <w:r>
        <w:rPr/>
        <w:t>年，中国国籍，无永久境外居留权，本科学历，高级工程师，高级项目经理资质。曾就职于四 川内江齿轮厂，</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月在内江市社会保险局工作，任副科长；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月担任四川银海副总 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月，任公司副总经理；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月任公 司董事、副董事长。</w:t>
      </w:r>
    </w:p>
    <w:p>
      <w:pPr>
        <w:pStyle w:val="BodyText"/>
        <w:spacing w:line="300" w:lineRule="auto" w:before="31"/>
        <w:ind w:right="231" w:firstLine="420"/>
        <w:jc w:val="both"/>
      </w:pPr>
      <w:r>
        <w:rPr/>
        <w:t>单卫民，男，出生于</w:t>
      </w:r>
      <w:r>
        <w:rPr>
          <w:rFonts w:ascii="Times New Roman" w:hAnsi="Times New Roman" w:cs="Times New Roman" w:eastAsia="Times New Roman" w:hint="default"/>
        </w:rPr>
        <w:t>1966</w:t>
      </w:r>
      <w:r>
        <w:rPr/>
        <w:t>年，中国国籍，无永久境外居留权，本科学历，助理工程师。曾就职于中物院计算机应用研 究所；</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月任四川银海事业部经理；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月至今任公司副总经理。</w:t>
      </w:r>
    </w:p>
    <w:p>
      <w:pPr>
        <w:pStyle w:val="BodyText"/>
        <w:spacing w:line="300" w:lineRule="auto" w:before="13"/>
        <w:ind w:right="189" w:firstLine="432"/>
        <w:jc w:val="both"/>
      </w:pPr>
      <w:r>
        <w:rPr>
          <w:spacing w:val="-2"/>
        </w:rPr>
        <w:t>田志勇，男，出生于</w:t>
      </w:r>
      <w:r>
        <w:rPr>
          <w:rFonts w:ascii="Times New Roman" w:hAnsi="Times New Roman" w:cs="Times New Roman" w:eastAsia="Times New Roman" w:hint="default"/>
          <w:spacing w:val="-2"/>
        </w:rPr>
        <w:t>1972</w:t>
      </w:r>
      <w:r>
        <w:rPr>
          <w:spacing w:val="-2"/>
        </w:rPr>
        <w:t>年，中国国籍，无永久境外居留权，本科学历，</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月在中物院计算机应用研究</w:t>
      </w:r>
      <w:r>
        <w:rPr/>
        <w:t> 所工作；</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月就职于四川银海，任副总经理。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月至今在公司任副总经理。田志勇长期从事社保 </w:t>
      </w:r>
      <w:r>
        <w:rPr>
          <w:spacing w:val="-2"/>
        </w:rPr>
        <w:t>软件开发工作，已经完成包括成都劳动力市场项目、重庆劳动力市场项目、长春社保等十余个社保软件开发项目的开发和管</w:t>
      </w:r>
    </w:p>
    <w:p>
      <w:pPr>
        <w:spacing w:after="0" w:line="30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9"/>
        <w:jc w:val="left"/>
      </w:pPr>
      <w:r>
        <w:rPr/>
        <w:t>理工作。</w:t>
      </w:r>
    </w:p>
    <w:p>
      <w:pPr>
        <w:pStyle w:val="BodyText"/>
        <w:spacing w:line="300" w:lineRule="auto" w:before="76"/>
        <w:ind w:right="190" w:firstLine="444"/>
        <w:jc w:val="left"/>
      </w:pPr>
      <w:r>
        <w:rPr/>
        <w:t>翟峻梓，女，出生于</w:t>
      </w:r>
      <w:r>
        <w:rPr>
          <w:rFonts w:ascii="Times New Roman" w:hAnsi="Times New Roman" w:cs="Times New Roman" w:eastAsia="Times New Roman" w:hint="default"/>
        </w:rPr>
        <w:t>1970</w:t>
      </w:r>
      <w:r>
        <w:rPr/>
        <w:t>年，中国国籍，无永久境外居留权，大专学历。曾就职于四川电子信息股份有限公司；</w:t>
      </w:r>
      <w:r>
        <w:rPr>
          <w:rFonts w:ascii="Times New Roman" w:hAnsi="Times New Roman" w:cs="Times New Roman" w:eastAsia="Times New Roman" w:hint="default"/>
        </w:rPr>
        <w:t>1999 </w:t>
      </w:r>
      <w:r>
        <w:rPr/>
        <w:t>年至</w:t>
      </w:r>
      <w:r>
        <w:rPr>
          <w:rFonts w:ascii="Times New Roman" w:hAnsi="Times New Roman" w:cs="Times New Roman" w:eastAsia="Times New Roman" w:hint="default"/>
        </w:rPr>
        <w:t>2009</w:t>
      </w:r>
      <w:r>
        <w:rPr/>
        <w:t>年任四川银海事业部经理；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月至今任公司副总经理。</w:t>
      </w:r>
    </w:p>
    <w:p>
      <w:pPr>
        <w:pStyle w:val="BodyText"/>
        <w:spacing w:line="304" w:lineRule="auto" w:before="13"/>
        <w:ind w:right="184" w:firstLine="444"/>
        <w:jc w:val="left"/>
      </w:pPr>
      <w:r>
        <w:rPr/>
        <w:t>詹开明，男，出生于</w:t>
      </w:r>
      <w:r>
        <w:rPr>
          <w:rFonts w:ascii="Times New Roman" w:hAnsi="Times New Roman" w:cs="Times New Roman" w:eastAsia="Times New Roman" w:hint="default"/>
        </w:rPr>
        <w:t>1972</w:t>
      </w:r>
      <w:r>
        <w:rPr/>
        <w:t>年，中国国籍，无永久境外居留权，本科学历，高级工程师；曾就职于中物院计算机应用研 究所；</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月进入四川银海工作，先后担任过主任工程师、系统分析员、开发主管、副总经理；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月至今担任公 司副总经理。詹开明先生长期从事软件产品研发和技术工作，在研发管理、软件工程、</w:t>
      </w:r>
      <w:r>
        <w:rPr>
          <w:rFonts w:ascii="Times New Roman" w:hAnsi="Times New Roman" w:cs="Times New Roman" w:eastAsia="Times New Roman" w:hint="default"/>
        </w:rPr>
        <w:t>J2EE</w:t>
      </w:r>
      <w:r>
        <w:rPr/>
        <w:t>架构应用、数据库应用等领域 </w:t>
      </w:r>
      <w:r>
        <w:rPr>
          <w:spacing w:val="-2"/>
        </w:rPr>
        <w:t>有丰富的经验，负责公司多项软件产品研发工作和多个项目实施工作，并承担十余项科技部、工信部、四川省、成都市、中</w:t>
      </w:r>
      <w:r>
        <w:rPr>
          <w:spacing w:val="-70"/>
        </w:rPr>
        <w:t> </w:t>
      </w:r>
      <w:r>
        <w:rPr>
          <w:spacing w:val="-70"/>
        </w:rPr>
      </w:r>
      <w:r>
        <w:rPr/>
        <w:t>物院等各类基金课题研究工作，获部省级科技进步奖二等奖一项，三等奖三项。</w:t>
      </w:r>
    </w:p>
    <w:p>
      <w:pPr>
        <w:pStyle w:val="BodyText"/>
        <w:spacing w:line="300" w:lineRule="auto" w:before="28"/>
        <w:ind w:right="99" w:firstLine="492"/>
        <w:jc w:val="left"/>
      </w:pPr>
      <w:r>
        <w:rPr/>
        <w:t>杨成文，男，出生于</w:t>
      </w:r>
      <w:r>
        <w:rPr>
          <w:rFonts w:ascii="Times New Roman" w:hAnsi="Times New Roman" w:cs="Times New Roman" w:eastAsia="Times New Roman" w:hint="default"/>
        </w:rPr>
        <w:t>1969</w:t>
      </w:r>
      <w:r>
        <w:rPr/>
        <w:t>年，中国国籍，无永久境外居留权，本科学历，注册会计师。曾就职于四川省五交化股份有 </w:t>
      </w:r>
      <w:r>
        <w:rPr>
          <w:spacing w:val="-3"/>
        </w:rPr>
        <w:t>限公司、蜀报社；</w:t>
      </w:r>
      <w:r>
        <w:rPr>
          <w:rFonts w:ascii="Times New Roman" w:hAnsi="Times New Roman" w:cs="Times New Roman" w:eastAsia="Times New Roman" w:hint="default"/>
          <w:spacing w:val="-3"/>
        </w:rPr>
        <w:t>2001</w:t>
      </w:r>
      <w:r>
        <w:rPr>
          <w:spacing w:val="-3"/>
        </w:rPr>
        <w:t>年进入四川银海任财务总监；</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月至今任公司董事会秘书；</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11</w:t>
      </w:r>
      <w:r>
        <w:rPr>
          <w:spacing w:val="-3"/>
        </w:rPr>
        <w:t>月至今兼任公司副总经理，</w:t>
      </w:r>
      <w:r>
        <w:rPr>
          <w:spacing w:val="-79"/>
        </w:rPr>
        <w:t> </w:t>
      </w:r>
      <w:r>
        <w:rPr>
          <w:spacing w:val="-79"/>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日至今兼任公司财务总监。</w:t>
      </w:r>
    </w:p>
    <w:p>
      <w:pPr>
        <w:spacing w:line="240" w:lineRule="auto" w:before="0"/>
        <w:rPr>
          <w:rFonts w:ascii="宋体" w:hAnsi="宋体" w:cs="宋体" w:eastAsia="宋体" w:hint="default"/>
          <w:sz w:val="18"/>
          <w:szCs w:val="18"/>
        </w:rPr>
      </w:pPr>
    </w:p>
    <w:p>
      <w:pPr>
        <w:pStyle w:val="BodyText"/>
        <w:spacing w:line="240" w:lineRule="auto" w:before="131"/>
        <w:ind w:right="99"/>
        <w:jc w:val="left"/>
      </w:pPr>
      <w:r>
        <w:rPr/>
        <w:t>在股东单位任职情况</w:t>
      </w:r>
    </w:p>
    <w:p>
      <w:pPr>
        <w:pStyle w:val="BodyText"/>
        <w:spacing w:line="240" w:lineRule="auto" w:before="115"/>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2"/>
              <w:jc w:val="left"/>
              <w:rPr>
                <w:rFonts w:ascii="宋体" w:hAnsi="宋体" w:cs="宋体" w:eastAsia="宋体" w:hint="default"/>
                <w:sz w:val="18"/>
                <w:szCs w:val="18"/>
              </w:rPr>
            </w:pPr>
            <w:r>
              <w:rPr>
                <w:rFonts w:ascii="宋体" w:hAnsi="宋体" w:cs="宋体" w:eastAsia="宋体" w:hint="default"/>
                <w:sz w:val="18"/>
                <w:szCs w:val="18"/>
              </w:rPr>
              <w:t>财务部副部 长</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9"/>
        <w:jc w:val="left"/>
      </w:pPr>
      <w:r>
        <w:rPr/>
        <w:t>在其他单位任职情况</w:t>
      </w:r>
    </w:p>
    <w:p>
      <w:pPr>
        <w:pStyle w:val="BodyText"/>
        <w:spacing w:line="240" w:lineRule="auto" w:before="115"/>
        <w:ind w:right="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成都久银汇坚科技有限公司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成都久银汇坚科技有限公司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四川中物技术有限责任公司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四川神光石英科技有限公司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绵阳久远安全环保咨询有限公司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利尔化学股份有限公司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四川久纳新材料有限公司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四川中物环保科技有限公司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四川省水处理及资源化工程技术研究中 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四川中物环保科技有限公司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四川中物海通特种电源有限责任公司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四川恒泰环境技术有限责任公司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四川久远智能监控有限责任公司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四川高达科技有限公司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西南财经大学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四川九洲电器股份有限公司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电子科技大学信息与软件工程学院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成都博宇高科信息技术有限公司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成都博宇食安互联科技有限公司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成都娇子实业发展有限公司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成都娇子投资发展有限公司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成都休旅城投资有限公司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成都双娇美城投资有限公司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成都久银汇坚科技有限公司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0" w:hanging="361"/>
        <w:jc w:val="left"/>
      </w:pPr>
      <w:r>
        <w:rPr/>
        <w:t>董事、监事、高级管理人员报酬的决策程序、确定依据、实际支付情况 </w:t>
      </w:r>
      <w:r>
        <w:rPr>
          <w:spacing w:val="-2"/>
        </w:rPr>
        <w:t>决策程序：股东大会确定董事、监事的报酬和支付方法；高级管理人员的薪酬和支付方式由董事会薪酬与考核委员会提</w:t>
      </w:r>
    </w:p>
    <w:p>
      <w:pPr>
        <w:pStyle w:val="BodyText"/>
        <w:spacing w:line="222" w:lineRule="exact"/>
        <w:ind w:right="0"/>
        <w:jc w:val="left"/>
      </w:pPr>
      <w:r>
        <w:rPr/>
        <w:t>议，由董事会确定。</w:t>
      </w:r>
    </w:p>
    <w:p>
      <w:pPr>
        <w:pStyle w:val="BodyText"/>
        <w:spacing w:line="338" w:lineRule="auto" w:before="76"/>
        <w:ind w:right="0" w:firstLine="360"/>
        <w:jc w:val="left"/>
      </w:pPr>
      <w:r>
        <w:rPr>
          <w:spacing w:val="-2"/>
        </w:rPr>
        <w:t>确定依据：年末根据公司年度经营目标完成情况以及高级管理人员的工作业绩，由董事会薪酬与考核委员会对高级管理</w:t>
      </w:r>
      <w:r>
        <w:rPr/>
        <w:t> 人员进行年度绩效考核，并监督薪酬制度执行情况。公司根据绩效考核结果兑现其绩效年薪，并进行奖惩。 实际支付情况：报告期内，公司董事、监事、高管的薪酬根据薪酬计划按月发放。</w:t>
      </w:r>
    </w:p>
    <w:p>
      <w:pPr>
        <w:spacing w:line="240" w:lineRule="auto" w:before="9"/>
        <w:rPr>
          <w:rFonts w:ascii="宋体" w:hAnsi="宋体" w:cs="宋体" w:eastAsia="宋体" w:hint="default"/>
          <w:sz w:val="26"/>
          <w:szCs w:val="26"/>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路海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李海燕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周明天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唐定勇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侯春梅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冯梅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576.51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1,765</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w:t>
            </w:r>
          </w:p>
        </w:tc>
      </w:tr>
      <w:tr>
        <w:trPr>
          <w:trHeight w:val="409"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579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中专及高职</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2,485</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49" w:firstLine="360"/>
        <w:jc w:val="both"/>
      </w:pPr>
      <w:r>
        <w:rPr>
          <w:spacing w:val="-2"/>
        </w:rPr>
        <w:t>公司严格按照《劳动法》及《劳动合同法》等法律规定，实行全员劳动合同制。并根据公司制订的《薪酬管理办法》为</w:t>
      </w:r>
      <w:r>
        <w:rPr/>
        <w:t> </w:t>
      </w:r>
      <w:r>
        <w:rPr>
          <w:spacing w:val="-2"/>
        </w:rPr>
        <w:t>员工提供公平的待遇和均等的发展机会，及时、准确支付员工劳动报酬。对于新进员工，通过考察学历、工作经验、工作能</w:t>
      </w:r>
      <w:r>
        <w:rPr>
          <w:spacing w:val="-66"/>
        </w:rPr>
        <w:t> </w:t>
      </w:r>
      <w:r>
        <w:rPr>
          <w:spacing w:val="-66"/>
        </w:rPr>
      </w:r>
      <w:r>
        <w:rPr>
          <w:spacing w:val="-2"/>
        </w:rPr>
        <w:t>力、综合素质和所应聘职位，确定其薪资。试用期结束后，根据本人实际表现决定是否调整其薪酬。在员工任职期，根据公</w:t>
      </w:r>
      <w:r>
        <w:rPr>
          <w:spacing w:val="-66"/>
        </w:rPr>
        <w:t> </w:t>
      </w:r>
      <w:r>
        <w:rPr>
          <w:spacing w:val="-66"/>
        </w:rPr>
      </w:r>
      <w:r>
        <w:rPr/>
        <w:t>司效益和员工成长情况对其薪资进行调整，以充分调动员工的积极性。</w:t>
      </w:r>
    </w:p>
    <w:p>
      <w:pPr>
        <w:pStyle w:val="BodyText"/>
        <w:spacing w:line="316" w:lineRule="auto" w:before="19"/>
        <w:ind w:right="154" w:firstLine="360"/>
        <w:jc w:val="both"/>
      </w:pPr>
      <w:r>
        <w:rPr>
          <w:spacing w:val="-2"/>
        </w:rPr>
        <w:t>公司开通有效的岗位职级晋升通道，向员工提供平等的发展机会和稳定而具有竞争力的薪酬。同时，通过考核机制，提</w:t>
      </w:r>
      <w:r>
        <w:rPr/>
        <w:t> 升了员工执行力和责任意识，留住和吸引了优秀人才，为公司发展提供有效的人力资源保障。</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公司非常重视人才培养，通过为员工提供职业生涯规划，制定员工发展与深造计划，鼓励在职员工提升职业素质，实现</w:t>
      </w:r>
      <w:r>
        <w:rPr/>
        <w:t> </w:t>
      </w:r>
      <w:r>
        <w:rPr>
          <w:spacing w:val="-2"/>
        </w:rPr>
        <w:t>员工与企业的共同成长。公司建立了制度性的培训体系，根据员工能力情况每年制订培训计划，为不同专业的员工提供相应</w:t>
      </w:r>
      <w:r>
        <w:rPr>
          <w:spacing w:val="-63"/>
        </w:rPr>
        <w:t> </w:t>
      </w:r>
      <w:r>
        <w:rPr>
          <w:spacing w:val="-63"/>
        </w:rPr>
      </w:r>
      <w:r>
        <w:rPr>
          <w:spacing w:val="-2"/>
        </w:rPr>
        <w:t>的培训提升机会，同时建立员工培训经历记录。对公司内部培训师也建立了培养体系，不断提升内训师的能力水平。根据企</w:t>
      </w:r>
      <w:r>
        <w:rPr>
          <w:spacing w:val="-65"/>
        </w:rPr>
        <w:t> </w:t>
      </w:r>
      <w:r>
        <w:rPr>
          <w:spacing w:val="-65"/>
        </w:rPr>
      </w:r>
      <w:r>
        <w:rPr>
          <w:spacing w:val="-2"/>
        </w:rPr>
        <w:t>业特点，提供外派培训、现场集中培训、远程培训、提供资料员工自学等不同的培训方式，从而切实加强和提高各类人员的</w:t>
      </w:r>
      <w:r>
        <w:rPr>
          <w:spacing w:val="-67"/>
        </w:rPr>
        <w:t> </w:t>
      </w:r>
      <w:r>
        <w:rPr>
          <w:spacing w:val="-67"/>
        </w:rPr>
      </w:r>
      <w:r>
        <w:rPr>
          <w:spacing w:val="-2"/>
        </w:rPr>
        <w:t>专业水平，打造适应企业发展需要的员工队伍，为企业发展提供坚强保证，也实现了员工自身职业能力提升和公司可持续发</w:t>
      </w:r>
      <w:r>
        <w:rPr>
          <w:spacing w:val="-63"/>
        </w:rPr>
        <w:t> </w:t>
      </w:r>
      <w:r>
        <w:rPr>
          <w:spacing w:val="-63"/>
        </w:rPr>
      </w:r>
      <w:r>
        <w:rPr/>
        <w:t>展的共赢。</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9"/>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9" w:firstLine="372"/>
        <w:jc w:val="left"/>
      </w:pPr>
      <w:r>
        <w:rPr/>
        <w:t>本报告期，公司严格按照《公司法》、《证券法》、《深圳证券交易所股票上市规则》、《深圳证券交易所中小企业 </w:t>
      </w:r>
      <w:r>
        <w:rPr>
          <w:spacing w:val="-4"/>
        </w:rPr>
        <w:t>板上市公司规范运作指引》和中国证监会及深圳交易所颁布的其他相关法律法规的要求，逐渐完善管理制度，依法规范运作，</w:t>
      </w:r>
      <w:r>
        <w:rPr>
          <w:spacing w:val="-43"/>
        </w:rPr>
        <w:t> </w:t>
      </w:r>
      <w:r>
        <w:rPr>
          <w:spacing w:val="-43"/>
        </w:rPr>
      </w:r>
      <w:r>
        <w:rPr/>
        <w:t>管理效率不断提高，保障了公司经营管理的有序进行。</w:t>
      </w:r>
    </w:p>
    <w:p>
      <w:pPr>
        <w:pStyle w:val="BodyText"/>
        <w:spacing w:line="240" w:lineRule="auto" w:before="19"/>
        <w:ind w:left="525" w:right="99"/>
        <w:jc w:val="left"/>
      </w:pPr>
      <w:r>
        <w:rPr/>
        <w:t>报告期内，公司共召开</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5</w:t>
      </w:r>
      <w:r>
        <w:rPr/>
        <w:t>次临时股东大会，</w:t>
      </w:r>
      <w:r>
        <w:rPr>
          <w:rFonts w:ascii="Times New Roman" w:hAnsi="Times New Roman" w:cs="Times New Roman" w:eastAsia="Times New Roman" w:hint="default"/>
        </w:rPr>
        <w:t>10</w:t>
      </w:r>
      <w:r>
        <w:rPr/>
        <w:t>次董事会，</w:t>
      </w:r>
      <w:r>
        <w:rPr>
          <w:rFonts w:ascii="Times New Roman" w:hAnsi="Times New Roman" w:cs="Times New Roman" w:eastAsia="Times New Roman" w:hint="default"/>
        </w:rPr>
        <w:t>6</w:t>
      </w:r>
      <w:r>
        <w:rPr/>
        <w:t>次监事会，会议召开均符合《公司法》、</w:t>
      </w:r>
    </w:p>
    <w:p>
      <w:pPr>
        <w:pStyle w:val="BodyText"/>
        <w:spacing w:line="319" w:lineRule="auto" w:before="63"/>
        <w:ind w:right="99"/>
        <w:jc w:val="left"/>
      </w:pPr>
      <w:r>
        <w:rPr>
          <w:spacing w:val="-4"/>
        </w:rPr>
        <w:t>《证券法》、《公司章程》等相关法律法规制度的规定。公司董事、监事和高级管理人员均能认真、诚信、尽职地履行职责，</w:t>
      </w:r>
      <w:r>
        <w:rPr>
          <w:spacing w:val="-46"/>
        </w:rPr>
        <w:t> </w:t>
      </w:r>
      <w:r>
        <w:rPr>
          <w:spacing w:val="-46"/>
        </w:rPr>
      </w:r>
      <w:r>
        <w:rPr>
          <w:spacing w:val="-2"/>
        </w:rPr>
        <w:t>对董事会、监事会和股东大会负责。公司根据《信息披露事务管理制度》和《投资者关系管理制度》，认真履行信息披露义</w:t>
      </w:r>
      <w:r>
        <w:rPr>
          <w:spacing w:val="-73"/>
        </w:rPr>
        <w:t> </w:t>
      </w:r>
      <w:r>
        <w:rPr>
          <w:spacing w:val="-73"/>
        </w:rPr>
      </w:r>
      <w:r>
        <w:rPr/>
        <w:t>务，保证公司信息披露的真实、准确、完整、及时，并确保所有股东有平等的机会获得信息。</w:t>
      </w:r>
    </w:p>
    <w:p>
      <w:pPr>
        <w:pStyle w:val="BodyText"/>
        <w:spacing w:line="316" w:lineRule="auto" w:before="58"/>
        <w:ind w:right="99" w:firstLine="288"/>
        <w:jc w:val="left"/>
      </w:pPr>
      <w:r>
        <w:rPr>
          <w:spacing w:val="-1"/>
        </w:rPr>
        <w:t>公司的治理实际情况符合中国证监会关于上市公司治理的相关规范性文件要求。报告期内，公司不存在向大股东、实际</w:t>
      </w:r>
      <w:r>
        <w:rPr/>
        <w:t> 控制人提供非公开信息等公司治理非规范情况。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99"/>
        <w:jc w:val="left"/>
      </w:pPr>
      <w:r>
        <w:rPr/>
        <w:t>公司治理的实际状况与中国证监会发布的有关上市公司治理的规范性文件是否存在重大差异</w:t>
      </w:r>
    </w:p>
    <w:p>
      <w:pPr>
        <w:pStyle w:val="BodyText"/>
        <w:spacing w:line="338" w:lineRule="auto" w:before="117"/>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99"/>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441" w:right="165" w:firstLine="72"/>
        <w:jc w:val="left"/>
      </w:pPr>
      <w:r>
        <w:rPr/>
        <w:t>公司与控股股东在业务、人员、资产、机构、财务等方面完全分开，具有独立完整的业务及自主经营能力。 </w:t>
      </w:r>
      <w:r>
        <w:rPr>
          <w:rFonts w:ascii="Times New Roman" w:hAnsi="Times New Roman" w:cs="Times New Roman" w:eastAsia="Times New Roman" w:hint="default"/>
        </w:rPr>
        <w:t>1</w:t>
      </w:r>
      <w:r>
        <w:rPr/>
        <w:t>、业务独立 公司拥有包括采购、生产、销售、研发、质量控制在内的完整的主营业务体系，维持了主营业务的完整、独立与连续，</w:t>
      </w:r>
    </w:p>
    <w:p>
      <w:pPr>
        <w:pStyle w:val="BodyText"/>
        <w:spacing w:line="316" w:lineRule="auto" w:before="24"/>
        <w:ind w:right="99"/>
        <w:jc w:val="left"/>
      </w:pPr>
      <w:r>
        <w:rPr>
          <w:spacing w:val="-2"/>
        </w:rPr>
        <w:t>与控股股东、实际控制人及其控制的其他企业之间不存在竞争关系或业务上的依赖情况，也确保了公司的独立规范运营，避</w:t>
      </w:r>
      <w:r>
        <w:rPr>
          <w:spacing w:val="-63"/>
        </w:rPr>
        <w:t> </w:t>
      </w:r>
      <w:r>
        <w:rPr>
          <w:spacing w:val="-63"/>
        </w:rPr>
      </w:r>
      <w:r>
        <w:rPr/>
        <w:t>免了同业竞争和关联交易。</w:t>
      </w:r>
    </w:p>
    <w:p>
      <w:pPr>
        <w:pStyle w:val="BodyText"/>
        <w:spacing w:line="300" w:lineRule="auto" w:before="19"/>
        <w:ind w:left="513" w:right="99"/>
        <w:jc w:val="left"/>
      </w:pPr>
      <w:r>
        <w:rPr>
          <w:rFonts w:ascii="Times New Roman" w:hAnsi="Times New Roman" w:cs="Times New Roman" w:eastAsia="Times New Roman" w:hint="default"/>
        </w:rPr>
        <w:t>2</w:t>
      </w:r>
      <w:r>
        <w:rPr/>
        <w:t>、资产完整 </w:t>
      </w:r>
      <w:r>
        <w:rPr>
          <w:spacing w:val="-4"/>
        </w:rPr>
        <w:t>公司具有与生产经营有关的独立、完整的生产系统、辅助生产系统和配套设施，合法拥有与生产经营有关的土地使用权、</w:t>
      </w:r>
    </w:p>
    <w:p>
      <w:pPr>
        <w:pStyle w:val="BodyText"/>
        <w:spacing w:line="316" w:lineRule="auto" w:before="31"/>
        <w:ind w:left="513" w:right="94" w:hanging="361"/>
        <w:jc w:val="left"/>
      </w:pPr>
      <w:r>
        <w:rPr/>
        <w:t>厂房、机器设备、商标及专利等资产的所有权或使用权，公司资产与股东资产严格分开，产权界定清晰，并完全独立运营。 </w:t>
      </w:r>
      <w:r>
        <w:rPr>
          <w:spacing w:val="-2"/>
        </w:rPr>
        <w:t>公司目前业务和生产经营必需资产的权属完全由公司独立享有，不存在与股东单位共用的情况，具备资产的独立性和完</w:t>
      </w:r>
    </w:p>
    <w:p>
      <w:pPr>
        <w:pStyle w:val="BodyText"/>
        <w:spacing w:line="240" w:lineRule="auto" w:before="19"/>
        <w:ind w:right="99"/>
        <w:jc w:val="left"/>
      </w:pPr>
      <w:r>
        <w:rPr/>
        <w:t>整性。</w:t>
      </w:r>
    </w:p>
    <w:p>
      <w:pPr>
        <w:pStyle w:val="BodyText"/>
        <w:spacing w:line="316" w:lineRule="auto" w:before="76"/>
        <w:ind w:right="99" w:firstLine="360"/>
        <w:jc w:val="left"/>
      </w:pPr>
      <w:r>
        <w:rPr>
          <w:spacing w:val="-2"/>
        </w:rPr>
        <w:t>报告期内，公司不存在以自身资产、权益或信誉为股东提供担保的情形，不存在资产、资金被控股股东、实际控制人占</w:t>
      </w:r>
      <w:r>
        <w:rPr/>
        <w:t> 用而损害公司利益的情况，公司对所有资产具有完全的控制权和支配权。</w:t>
      </w:r>
    </w:p>
    <w:p>
      <w:pPr>
        <w:pStyle w:val="BodyText"/>
        <w:spacing w:line="300" w:lineRule="auto" w:before="19"/>
        <w:ind w:left="513" w:right="200"/>
        <w:jc w:val="left"/>
      </w:pPr>
      <w:r>
        <w:rPr>
          <w:rFonts w:ascii="Times New Roman" w:hAnsi="Times New Roman" w:cs="Times New Roman" w:eastAsia="Times New Roman" w:hint="default"/>
        </w:rPr>
        <w:t>3</w:t>
      </w:r>
      <w:r>
        <w:rPr/>
        <w:t>、人员独立 公司拥有完整、独立的劳动、人事及工资管理体系。公司的董事、监事及高级管理人员严格按照《公司法》、</w:t>
      </w:r>
      <w:r>
        <w:rPr>
          <w:spacing w:val="-17"/>
        </w:rPr>
        <w:t> </w:t>
      </w:r>
      <w:r>
        <w:rPr/>
        <w:t>《公司</w:t>
      </w:r>
    </w:p>
    <w:p>
      <w:pPr>
        <w:pStyle w:val="BodyText"/>
        <w:spacing w:line="316" w:lineRule="auto" w:before="31"/>
        <w:ind w:right="99"/>
        <w:jc w:val="left"/>
      </w:pPr>
      <w:r>
        <w:rPr>
          <w:spacing w:val="-2"/>
        </w:rPr>
        <w:t>章程》的相关规定选举或聘任，不存在超越公司董事会和股东大会作出人事任免决定的情况。公司的总经理、副总经理、财</w:t>
      </w:r>
      <w:r>
        <w:rPr>
          <w:spacing w:val="-67"/>
        </w:rPr>
        <w:t> </w:t>
      </w:r>
      <w:r>
        <w:rPr>
          <w:spacing w:val="-67"/>
        </w:rPr>
      </w:r>
      <w:r>
        <w:rPr>
          <w:spacing w:val="-4"/>
        </w:rPr>
        <w:t>务负责人和董事会秘书等高级管理人员未在控股股东、实际控制人及其控制的其他企业中担任除董事、监事以外的其他职务，</w:t>
      </w:r>
      <w:r>
        <w:rPr>
          <w:spacing w:val="-44"/>
        </w:rPr>
        <w:t> </w:t>
      </w:r>
      <w:r>
        <w:rPr>
          <w:spacing w:val="-44"/>
        </w:rPr>
      </w:r>
      <w:r>
        <w:rPr>
          <w:spacing w:val="-2"/>
        </w:rPr>
        <w:t>未在控股股东、实际控制人及其控制的其他企业领薪；公司的财务人员未在控股股东、实际控制人及其控制的其他企业中兼</w:t>
      </w:r>
      <w:r>
        <w:rPr>
          <w:spacing w:val="-63"/>
        </w:rPr>
        <w:t> </w:t>
      </w:r>
      <w:r>
        <w:rPr>
          <w:spacing w:val="-63"/>
        </w:rPr>
      </w:r>
      <w:r>
        <w:rPr/>
        <w:t>职。</w:t>
      </w:r>
    </w:p>
    <w:p>
      <w:pPr>
        <w:pStyle w:val="BodyText"/>
        <w:spacing w:line="319" w:lineRule="auto" w:before="19"/>
        <w:ind w:right="99" w:firstLine="360"/>
        <w:jc w:val="left"/>
      </w:pPr>
      <w:r>
        <w:rPr>
          <w:spacing w:val="-2"/>
        </w:rPr>
        <w:t>公司的劳动、人事及工资管理与股东单位完全分离，公司所有员工均在股份公司领薪；公司制订了严格的员工聘用、考</w:t>
      </w:r>
      <w:r>
        <w:rPr/>
        <w:t> 评、晋升等完整的劳动用工制度，并与员工依法签订了《劳动合同》，公司的人员与控股股东、实际控制人完全独立。</w:t>
      </w:r>
    </w:p>
    <w:p>
      <w:pPr>
        <w:pStyle w:val="BodyText"/>
        <w:spacing w:line="240" w:lineRule="auto" w:before="17"/>
        <w:ind w:left="513" w:right="99"/>
        <w:jc w:val="left"/>
      </w:pPr>
      <w:r>
        <w:rPr>
          <w:rFonts w:ascii="Times New Roman" w:hAnsi="Times New Roman" w:cs="Times New Roman" w:eastAsia="Times New Roman" w:hint="default"/>
        </w:rPr>
        <w:t>4</w:t>
      </w:r>
      <w:r>
        <w:rPr/>
        <w:t>、机构独立</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0" w:firstLine="360"/>
        <w:jc w:val="both"/>
      </w:pPr>
      <w:r>
        <w:rPr>
          <w:spacing w:val="-2"/>
        </w:rPr>
        <w:t>公司根据经营发展的需要，建立了符合公司实际情况的独立、完整的组织结构，各职能部门根据《公司章程》和相关规</w:t>
      </w:r>
      <w:r>
        <w:rPr/>
        <w:t> </w:t>
      </w:r>
      <w:r>
        <w:rPr>
          <w:spacing w:val="-2"/>
        </w:rPr>
        <w:t>章制度独立行使职权，运作正常有序。公司根据《公司法》、《公司章程》的要求建立了完善的法人治理结构和内部经营管</w:t>
      </w:r>
      <w:r>
        <w:rPr>
          <w:spacing w:val="-71"/>
        </w:rPr>
        <w:t> </w:t>
      </w:r>
      <w:r>
        <w:rPr>
          <w:spacing w:val="-71"/>
        </w:rPr>
      </w:r>
      <w:r>
        <w:rPr>
          <w:spacing w:val="-2"/>
        </w:rPr>
        <w:t>理机构，独立行使经营管理职权；股东大会、董事会、监事会严格按照《公司章程》规范运作，并建立了《独立董事工作制</w:t>
      </w:r>
      <w:r>
        <w:rPr>
          <w:spacing w:val="-65"/>
        </w:rPr>
        <w:t> </w:t>
      </w:r>
      <w:r>
        <w:rPr>
          <w:spacing w:val="-65"/>
        </w:rPr>
      </w:r>
      <w:r>
        <w:rPr/>
        <w:t>度》。</w:t>
      </w:r>
    </w:p>
    <w:p>
      <w:pPr>
        <w:pStyle w:val="BodyText"/>
        <w:spacing w:line="316" w:lineRule="auto" w:before="19"/>
        <w:ind w:right="152" w:firstLine="360"/>
        <w:jc w:val="both"/>
      </w:pPr>
      <w:r>
        <w:rPr>
          <w:spacing w:val="-2"/>
        </w:rPr>
        <w:t>公司在生产经营、办公场所和管理制度等各方面均完全独立，不存在与控股股东、实际控制人及其控制的其他企业机构</w:t>
      </w:r>
      <w:r>
        <w:rPr/>
        <w:t> 混同、混合经营或合署办公的情况。</w:t>
      </w:r>
    </w:p>
    <w:p>
      <w:pPr>
        <w:pStyle w:val="BodyText"/>
        <w:spacing w:line="340" w:lineRule="auto" w:before="19"/>
        <w:ind w:left="441" w:right="0" w:firstLine="72"/>
        <w:jc w:val="left"/>
      </w:pPr>
      <w:r>
        <w:rPr>
          <w:rFonts w:ascii="Times New Roman" w:hAnsi="Times New Roman" w:cs="Times New Roman" w:eastAsia="Times New Roman" w:hint="default"/>
        </w:rPr>
        <w:t>5</w:t>
      </w:r>
      <w:r>
        <w:rPr/>
        <w:t>、财务独立 </w:t>
      </w:r>
      <w:r>
        <w:rPr>
          <w:spacing w:val="-1"/>
        </w:rPr>
        <w:t>公司严格按照《企业会计准则》建立了独立的财务会计核算体系，制定了相关的财务管理制度和审计等制度，设立了独</w:t>
      </w:r>
    </w:p>
    <w:p>
      <w:pPr>
        <w:pStyle w:val="BodyText"/>
        <w:spacing w:line="319" w:lineRule="auto" w:before="1"/>
        <w:ind w:right="150"/>
        <w:jc w:val="both"/>
      </w:pPr>
      <w:r>
        <w:rPr>
          <w:spacing w:val="-2"/>
        </w:rPr>
        <w:t>立的财务部门和审计部门，配备了专门的财务人员和专职审计人员。公司拥有独立的银行账户，不存在与股东单位及其他关</w:t>
      </w:r>
      <w:r>
        <w:rPr>
          <w:spacing w:val="-63"/>
        </w:rPr>
        <w:t> </w:t>
      </w:r>
      <w:r>
        <w:rPr>
          <w:spacing w:val="-63"/>
        </w:rPr>
      </w:r>
      <w:r>
        <w:rPr>
          <w:spacing w:val="-2"/>
        </w:rPr>
        <w:t>联方共用银行账户的现象；公司独立进行纳税申报并履行纳税义务；公司能够依据《公司章程》和相关财务制度独立做出财</w:t>
      </w:r>
      <w:r>
        <w:rPr>
          <w:spacing w:val="-64"/>
        </w:rPr>
        <w:t> </w:t>
      </w:r>
      <w:r>
        <w:rPr>
          <w:spacing w:val="-64"/>
        </w:rPr>
      </w:r>
      <w:r>
        <w:rPr>
          <w:spacing w:val="-2"/>
        </w:rPr>
        <w:t>务决策，不存在股东或其他关联方干预公司资金使用的情况。公司已建立了独立的薪资管理制度，并在有关社会保障、工薪</w:t>
      </w:r>
      <w:r>
        <w:rPr>
          <w:spacing w:val="-64"/>
        </w:rPr>
        <w:t> </w:t>
      </w:r>
      <w:r>
        <w:rPr>
          <w:spacing w:val="-64"/>
        </w:rPr>
      </w:r>
      <w:r>
        <w:rPr/>
        <w:t>报酬等方面独立管理。公司独立对外签订合同，不受股东及其他关联方的影响。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both"/>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第一次临时股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2017-009</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2017-021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2017-042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第三次临时股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2017-049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第四次临时股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2017-069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第五次临时股 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2017-078</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9"/>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9"/>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周明天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秦志光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9"/>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99"/>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9"/>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3"/>
        <w:spacing w:line="240" w:lineRule="auto"/>
        <w:ind w:right="99"/>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9"/>
        <w:jc w:val="left"/>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41"/>
        <w:ind w:right="94" w:firstLine="288"/>
        <w:jc w:val="left"/>
      </w:pPr>
      <w:r>
        <w:rPr/>
        <w:t>报告期内，公司独立董事根据《公司法》、《关于在上市公司建立独立董事的指导意见》、《关于加强社会公股股东权 益保护的若干规定》、深圳证券交易所《中小企业板上市公司规范运作指引》、《公司章程》和公司《独立董事工作制度》 </w:t>
      </w:r>
      <w:r>
        <w:rPr>
          <w:spacing w:val="-2"/>
        </w:rPr>
        <w:t>等有关法律、法规及规范性文件的规定和要求，诚信、勤勉、尽责、忠实地履行职责，积极参与公司治理和决策活动，对公</w:t>
      </w:r>
      <w:r>
        <w:rPr>
          <w:spacing w:val="-73"/>
        </w:rPr>
        <w:t> </w:t>
      </w:r>
      <w:r>
        <w:rPr>
          <w:spacing w:val="-73"/>
        </w:rPr>
      </w:r>
      <w:r>
        <w:rPr>
          <w:spacing w:val="-2"/>
        </w:rPr>
        <w:t>司的制度完善和经营发展决策等方面提出了许多宝贵的专业性意见，并对董事、高管履职情况、关联交易等提出了富有针对</w:t>
      </w:r>
      <w:r>
        <w:rPr>
          <w:spacing w:val="-65"/>
        </w:rPr>
        <w:t> </w:t>
      </w:r>
      <w:r>
        <w:rPr>
          <w:spacing w:val="-65"/>
        </w:rPr>
      </w:r>
      <w:r>
        <w:rPr>
          <w:spacing w:val="-2"/>
        </w:rPr>
        <w:t>性的建议和意见。独立董事还通过邮件、电话、会议等途径与公司其他董事、管理层及相关工作人员交流与沟通，重点关注</w:t>
      </w:r>
      <w:r>
        <w:rPr>
          <w:spacing w:val="-67"/>
        </w:rPr>
        <w:t> </w:t>
      </w:r>
      <w:r>
        <w:rPr>
          <w:spacing w:val="-67"/>
        </w:rPr>
      </w:r>
      <w:r>
        <w:rPr>
          <w:spacing w:val="-2"/>
        </w:rPr>
        <w:t>了公司运行状态、财务管理和内部控制、子公司运营、销售与回款、采购管理等重大事项，积极有效地履行了独立董事的职</w:t>
      </w:r>
      <w:r>
        <w:rPr>
          <w:spacing w:val="-67"/>
        </w:rPr>
        <w:t> </w:t>
      </w:r>
      <w:r>
        <w:rPr>
          <w:spacing w:val="-67"/>
        </w:rPr>
      </w:r>
      <w:r>
        <w:rPr/>
        <w:t>责，对促进董事会科学决策、公司稳健经营起到了积极的作用，也为公司未来发展、规范化运作和风险防范作出了贡献。</w:t>
      </w:r>
    </w:p>
    <w:p>
      <w:pPr>
        <w:spacing w:line="240" w:lineRule="auto" w:before="9"/>
        <w:rPr>
          <w:rFonts w:ascii="宋体" w:hAnsi="宋体" w:cs="宋体" w:eastAsia="宋体" w:hint="default"/>
          <w:sz w:val="20"/>
          <w:szCs w:val="20"/>
        </w:rPr>
      </w:pPr>
    </w:p>
    <w:p>
      <w:pPr>
        <w:pStyle w:val="Heading2"/>
        <w:spacing w:line="240" w:lineRule="auto"/>
        <w:ind w:right="99"/>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88" w:firstLine="360"/>
        <w:jc w:val="both"/>
      </w:pPr>
      <w:r>
        <w:rPr>
          <w:spacing w:val="-5"/>
        </w:rPr>
        <w:t>公司董事会下设的战略委员会、薪酬与考核委员会、提名委员会与审计委员会四个专门委员会均职责明确，严格按照《董</w:t>
      </w:r>
      <w:r>
        <w:rPr/>
        <w:t> 事会战略委员会工作细则》、《董事会审计委员会工作细则》、</w:t>
      </w:r>
      <w:r>
        <w:rPr>
          <w:spacing w:val="-39"/>
        </w:rPr>
        <w:t> </w:t>
      </w:r>
      <w:r>
        <w:rPr/>
        <w:t>《董事会提名委员会工作细则》、</w:t>
      </w:r>
      <w:r>
        <w:rPr>
          <w:spacing w:val="-39"/>
        </w:rPr>
        <w:t> </w:t>
      </w:r>
      <w:r>
        <w:rPr/>
        <w:t>《董事会薪酬与考核委</w:t>
      </w:r>
      <w:r>
        <w:rPr/>
        <w:t> </w:t>
      </w:r>
      <w:r>
        <w:rPr>
          <w:spacing w:val="-2"/>
        </w:rPr>
        <w:t>员会工作细则》的规定规范运作，委员认真履行职责，充分行使各自权利，对各委员会专业性事项进行认真研究，以增强公</w:t>
      </w:r>
      <w:r>
        <w:rPr>
          <w:spacing w:val="-67"/>
        </w:rPr>
        <w:t> </w:t>
      </w:r>
      <w:r>
        <w:rPr>
          <w:spacing w:val="-67"/>
        </w:rPr>
      </w:r>
      <w:r>
        <w:rPr>
          <w:spacing w:val="-2"/>
        </w:rPr>
        <w:t>司核心竞争力提出意见及建议，为董事会科学决策提供参考，同时也为公司经营业务的长远发展和治理结构的完善奠定了坚</w:t>
      </w:r>
      <w:r>
        <w:rPr>
          <w:spacing w:val="-64"/>
        </w:rPr>
        <w:t> </w:t>
      </w:r>
      <w:r>
        <w:rPr>
          <w:spacing w:val="-64"/>
        </w:rPr>
      </w:r>
      <w:r>
        <w:rPr/>
        <w:t>实的基础。</w:t>
      </w:r>
    </w:p>
    <w:p>
      <w:pPr>
        <w:spacing w:after="0" w:line="319" w:lineRule="auto"/>
        <w:jc w:val="both"/>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99"/>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9"/>
        <w:jc w:val="left"/>
      </w:pPr>
      <w:r>
        <w:rPr/>
        <w:t>监事会在报告期内的监督活动中发现公司是否存在风险</w:t>
      </w:r>
    </w:p>
    <w:p>
      <w:pPr>
        <w:pStyle w:val="BodyText"/>
        <w:spacing w:line="340" w:lineRule="auto" w:before="115"/>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99"/>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9" w:firstLine="360"/>
        <w:jc w:val="left"/>
      </w:pPr>
      <w:r>
        <w:rPr>
          <w:spacing w:val="-4"/>
        </w:rPr>
        <w:t>公司建立了公正、合理、有效的高级管理人员绩效考核评价体系。董事会薪酬与考核委员会严格按照公司《董事、监事、</w:t>
      </w:r>
      <w:r>
        <w:rPr/>
        <w:t> </w:t>
      </w:r>
      <w:r>
        <w:rPr>
          <w:spacing w:val="-2"/>
        </w:rPr>
        <w:t>高级管理人员薪酬管理办法》执行，通过每年组织对高级管理人员的工作能力、履职情况、责任目标完成情况等进行年终考</w:t>
      </w:r>
      <w:r>
        <w:rPr>
          <w:spacing w:val="-65"/>
        </w:rPr>
        <w:t> </w:t>
      </w:r>
      <w:r>
        <w:rPr>
          <w:spacing w:val="-65"/>
        </w:rPr>
      </w:r>
      <w:r>
        <w:rPr>
          <w:spacing w:val="-4"/>
        </w:rPr>
        <w:t>评，并制定薪酬方案报董事会审批，充分调动了高级管理人员的工作积极性。报告期内，公司不断优化薪酬激励及约束机制，</w:t>
      </w:r>
      <w:r>
        <w:rPr>
          <w:spacing w:val="-46"/>
        </w:rPr>
        <w:t> </w:t>
      </w:r>
      <w:r>
        <w:rPr>
          <w:spacing w:val="-46"/>
        </w:rPr>
      </w:r>
      <w:r>
        <w:rPr>
          <w:spacing w:val="-2"/>
        </w:rPr>
        <w:t>完善对公司高级管理人员的考评标准和办法，有效提高了高级管理人员的履行意识和企业经营管理水平，为公司经营业绩的</w:t>
      </w:r>
      <w:r>
        <w:rPr>
          <w:spacing w:val="-64"/>
        </w:rPr>
        <w:t> </w:t>
      </w:r>
      <w:r>
        <w:rPr>
          <w:spacing w:val="-64"/>
        </w:rPr>
      </w:r>
      <w:r>
        <w:rPr/>
        <w:t>稳定提升打下了坚实的基础。</w:t>
      </w:r>
    </w:p>
    <w:p>
      <w:pPr>
        <w:spacing w:line="240" w:lineRule="auto" w:before="9"/>
        <w:rPr>
          <w:rFonts w:ascii="宋体" w:hAnsi="宋体" w:cs="宋体" w:eastAsia="宋体" w:hint="default"/>
          <w:sz w:val="20"/>
          <w:szCs w:val="20"/>
        </w:rPr>
      </w:pPr>
    </w:p>
    <w:p>
      <w:pPr>
        <w:pStyle w:val="Heading2"/>
        <w:spacing w:line="240" w:lineRule="auto"/>
        <w:ind w:right="99"/>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9"/>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99"/>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9" w:space="0" w:color="D2D2D2"/>
              <w:right w:val="single" w:sz="4" w:space="0" w:color="000000"/>
            </w:tcBorders>
          </w:tcPr>
          <w:p>
            <w:pPr>
              <w:pStyle w:val="TableParagraph"/>
              <w:spacing w:line="297" w:lineRule="auto" w:before="49"/>
              <w:ind w:left="18" w:right="24"/>
              <w:jc w:val="left"/>
              <w:rPr>
                <w:rFonts w:ascii="宋体" w:hAnsi="宋体" w:cs="宋体" w:eastAsia="宋体" w:hint="default"/>
                <w:sz w:val="18"/>
                <w:szCs w:val="18"/>
              </w:rPr>
            </w:pPr>
            <w:r>
              <w:rPr>
                <w:rFonts w:ascii="宋体" w:hAnsi="宋体" w:cs="宋体" w:eastAsia="宋体" w:hint="default"/>
                <w:spacing w:val="-5"/>
                <w:w w:val="99"/>
                <w:sz w:val="18"/>
                <w:szCs w:val="18"/>
              </w:rPr>
              <w:t>详见披露于公司指定信息披露网站巨潮资讯网（</w:t>
            </w:r>
            <w:hyperlink r:id="rId13">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）《四川久远银</w:t>
            </w:r>
            <w:r>
              <w:rPr>
                <w:rFonts w:ascii="宋体" w:hAnsi="宋体" w:cs="宋体" w:eastAsia="宋体" w:hint="default"/>
                <w:spacing w:val="-61"/>
                <w:w w:val="99"/>
                <w:sz w:val="18"/>
                <w:szCs w:val="18"/>
              </w:rPr>
              <w:t> </w:t>
            </w:r>
            <w:r>
              <w:rPr>
                <w:rFonts w:ascii="宋体" w:hAnsi="宋体" w:cs="宋体" w:eastAsia="宋体" w:hint="default"/>
                <w:spacing w:val="-61"/>
                <w:w w:val="99"/>
                <w:sz w:val="18"/>
                <w:szCs w:val="18"/>
              </w:rPr>
            </w:r>
            <w:r>
              <w:rPr>
                <w:rFonts w:ascii="宋体" w:hAnsi="宋体" w:cs="宋体" w:eastAsia="宋体" w:hint="default"/>
                <w:sz w:val="18"/>
                <w:szCs w:val="18"/>
              </w:rPr>
              <w:t>海软件股份有限公司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年度内部控制评价报告》</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9" w:space="0" w:color="D2D2D2"/>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9" w:space="0" w:color="D2D2D2"/>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46"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2" w:lineRule="auto"/>
              <w:ind w:left="18" w:right="21"/>
              <w:jc w:val="both"/>
              <w:rPr>
                <w:rFonts w:ascii="宋体" w:hAnsi="宋体" w:cs="宋体" w:eastAsia="宋体" w:hint="default"/>
                <w:sz w:val="18"/>
                <w:szCs w:val="18"/>
              </w:rPr>
            </w:pPr>
            <w:r>
              <w:rPr>
                <w:rFonts w:ascii="宋体" w:hAnsi="宋体" w:cs="宋体" w:eastAsia="宋体" w:hint="default"/>
                <w:sz w:val="18"/>
                <w:szCs w:val="18"/>
              </w:rPr>
              <w:t>公司根据缺陷可能导致的财务报告错报的 重要程度，将缺陷划分确定为重大缺陷、 </w:t>
            </w:r>
            <w:r>
              <w:rPr>
                <w:rFonts w:ascii="宋体" w:hAnsi="宋体" w:cs="宋体" w:eastAsia="宋体" w:hint="default"/>
                <w:spacing w:val="-4"/>
                <w:sz w:val="18"/>
                <w:szCs w:val="18"/>
              </w:rPr>
              <w:t>重要缺陷和一般缺陷：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、重大缺陷：是指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一个或多个控制缺陷的组合，可能导致企 </w:t>
            </w:r>
            <w:r>
              <w:rPr>
                <w:rFonts w:ascii="宋体" w:hAnsi="宋体" w:cs="宋体" w:eastAsia="宋体" w:hint="default"/>
                <w:spacing w:val="-4"/>
                <w:sz w:val="18"/>
                <w:szCs w:val="18"/>
              </w:rPr>
              <w:t>业严重偏离控制目标。</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、重要缺陷：指一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个或多个控制缺陷的组合，其严重程度和 经济后果低于重大缺陷，但是仍有可能导 </w:t>
            </w:r>
            <w:r>
              <w:rPr>
                <w:rFonts w:ascii="宋体" w:hAnsi="宋体" w:cs="宋体" w:eastAsia="宋体" w:hint="default"/>
                <w:spacing w:val="-4"/>
                <w:sz w:val="18"/>
                <w:szCs w:val="18"/>
              </w:rPr>
              <w:t>致企业偏离控制目标。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、一般缺陷：除重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大缺陷、重要缺陷之外的其他控制缺陷。</w:t>
            </w:r>
          </w:p>
        </w:tc>
        <w:tc>
          <w:tcPr>
            <w:tcW w:w="3053" w:type="dxa"/>
            <w:vMerge w:val="restart"/>
            <w:tcBorders>
              <w:top w:val="single" w:sz="4" w:space="0" w:color="000000"/>
              <w:left w:val="single" w:sz="4" w:space="0" w:color="000000"/>
              <w:right w:val="single" w:sz="4" w:space="0" w:color="000000"/>
            </w:tcBorders>
          </w:tcPr>
          <w:p>
            <w:pPr>
              <w:pStyle w:val="TableParagraph"/>
              <w:spacing w:line="309" w:lineRule="auto" w:before="49"/>
              <w:ind w:left="26" w:right="20"/>
              <w:jc w:val="left"/>
              <w:rPr>
                <w:rFonts w:ascii="宋体" w:hAnsi="宋体" w:cs="宋体" w:eastAsia="宋体" w:hint="default"/>
                <w:sz w:val="18"/>
                <w:szCs w:val="18"/>
              </w:rPr>
            </w:pPr>
            <w:r>
              <w:rPr>
                <w:rFonts w:ascii="宋体" w:hAnsi="宋体" w:cs="宋体" w:eastAsia="宋体" w:hint="default"/>
                <w:spacing w:val="-4"/>
                <w:sz w:val="18"/>
                <w:szCs w:val="18"/>
              </w:rPr>
              <w:t>以本年度的合并报表数据为基准，根据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该内部缺陷可能导致财务报表错报（包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括漏报）的重要程度，将缺陷划分确定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重大缺陷、重要缺陷和一般缺陷。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重大缺陷：</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董事、监事和高级 管理人员舞弊；</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对已经公告的 财务报告出现的重大差错进行错报更 正；</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当期财务报告存在重大错 报，而</w:t>
            </w:r>
            <w:r>
              <w:rPr>
                <w:rFonts w:ascii="宋体" w:hAnsi="宋体" w:cs="宋体" w:eastAsia="宋体" w:hint="default"/>
                <w:spacing w:val="1"/>
                <w:sz w:val="18"/>
                <w:szCs w:val="18"/>
              </w:rPr>
              <w:t> </w:t>
            </w:r>
            <w:r>
              <w:rPr>
                <w:rFonts w:ascii="宋体" w:hAnsi="宋体" w:cs="宋体" w:eastAsia="宋体" w:hint="default"/>
                <w:sz w:val="18"/>
                <w:szCs w:val="18"/>
              </w:rPr>
              <w:t>内部控制在运行过程中未能发</w:t>
            </w:r>
            <w:r>
              <w:rPr>
                <w:rFonts w:ascii="宋体" w:hAnsi="宋体" w:cs="宋体" w:eastAsia="宋体" w:hint="default"/>
                <w:sz w:val="18"/>
                <w:szCs w:val="18"/>
              </w:rPr>
              <w:t> 现该错报；</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审计委员会以及内 部审计部对财务报告内部控制监督无</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154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0"/>
        <w:rPr>
          <w:rFonts w:ascii="宋体" w:hAnsi="宋体" w:cs="宋体" w:eastAsia="宋体" w:hint="default"/>
          <w:b/>
          <w:bCs/>
          <w:sz w:val="20"/>
          <w:szCs w:val="20"/>
        </w:rPr>
      </w:pPr>
      <w:r>
        <w:rPr/>
        <w:pict>
          <v:shape style="position:absolute;margin-left:56.459999pt;margin-top:71.999985pt;width:479.2pt;height:692.0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597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6" w:right="44"/>
                          <w:jc w:val="both"/>
                          <w:rPr>
                            <w:rFonts w:ascii="宋体" w:hAnsi="宋体" w:cs="宋体" w:eastAsia="宋体" w:hint="default"/>
                            <w:sz w:val="18"/>
                            <w:szCs w:val="18"/>
                          </w:rPr>
                        </w:pPr>
                        <w:r>
                          <w:rPr>
                            <w:rFonts w:ascii="宋体" w:hAnsi="宋体" w:cs="宋体" w:eastAsia="宋体" w:hint="default"/>
                            <w:spacing w:val="-6"/>
                            <w:sz w:val="18"/>
                            <w:szCs w:val="18"/>
                          </w:rPr>
                          <w:t>效。（</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公司主要会计政策、会计估</w:t>
                        </w:r>
                        <w:r>
                          <w:rPr>
                            <w:rFonts w:ascii="宋体" w:hAnsi="宋体" w:cs="宋体" w:eastAsia="宋体" w:hint="default"/>
                            <w:spacing w:val="-73"/>
                            <w:sz w:val="18"/>
                            <w:szCs w:val="18"/>
                          </w:rPr>
                          <w:t> </w:t>
                        </w:r>
                        <w:r>
                          <w:rPr>
                            <w:rFonts w:ascii="宋体" w:hAnsi="宋体" w:cs="宋体" w:eastAsia="宋体" w:hint="default"/>
                            <w:sz w:val="18"/>
                            <w:szCs w:val="18"/>
                          </w:rPr>
                          <w:t>计变</w:t>
                        </w:r>
                        <w:r>
                          <w:rPr>
                            <w:rFonts w:ascii="宋体" w:hAnsi="宋体" w:cs="宋体" w:eastAsia="宋体" w:hint="default"/>
                            <w:spacing w:val="1"/>
                            <w:sz w:val="18"/>
                            <w:szCs w:val="18"/>
                          </w:rPr>
                          <w:t> </w:t>
                        </w:r>
                        <w:r>
                          <w:rPr>
                            <w:rFonts w:ascii="宋体" w:hAnsi="宋体" w:cs="宋体" w:eastAsia="宋体" w:hint="default"/>
                            <w:sz w:val="18"/>
                            <w:szCs w:val="18"/>
                          </w:rPr>
                          <w:t>更或会计差错更正事项未按规定</w:t>
                        </w:r>
                        <w:r>
                          <w:rPr>
                            <w:rFonts w:ascii="宋体" w:hAnsi="宋体" w:cs="宋体" w:eastAsia="宋体" w:hint="default"/>
                            <w:sz w:val="18"/>
                            <w:szCs w:val="18"/>
                          </w:rPr>
                          <w:t> 披露的；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主要税种及税率、税 收优惠及其依据未按规定披露的；</w:t>
                        </w:r>
                      </w:p>
                      <w:p>
                        <w:pPr>
                          <w:pStyle w:val="TableParagraph"/>
                          <w:spacing w:line="304" w:lineRule="auto" w:before="26"/>
                          <w:ind w:left="26" w:right="17"/>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公司合并财务报表范围信息披露</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 注释不充分完整的；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母公司财 务报表主要项目注释遗漏的；</w:t>
                        </w:r>
                        <w:r>
                          <w:rPr>
                            <w:rFonts w:ascii="宋体" w:hAnsi="宋体" w:cs="宋体" w:eastAsia="宋体" w:hint="default"/>
                            <w:spacing w:val="-19"/>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关联方及关联交易未按规定披露的；</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重要缺陷：（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未依照公认会计准则</w:t>
                        </w:r>
                        <w:r>
                          <w:rPr>
                            <w:rFonts w:ascii="宋体" w:hAnsi="宋体" w:cs="宋体" w:eastAsia="宋体" w:hint="default"/>
                            <w:spacing w:val="-73"/>
                            <w:sz w:val="18"/>
                            <w:szCs w:val="18"/>
                          </w:rPr>
                          <w:t> </w:t>
                        </w:r>
                        <w:r>
                          <w:rPr>
                            <w:rFonts w:ascii="宋体" w:hAnsi="宋体" w:cs="宋体" w:eastAsia="宋体" w:hint="default"/>
                            <w:sz w:val="18"/>
                            <w:szCs w:val="18"/>
                          </w:rPr>
                          <w:t>选择和应用会计政策；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未建立 反舞弊程序和控制措施；</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对于 非常规或特殊交易的账务处有实施且 </w:t>
                        </w:r>
                        <w:r>
                          <w:rPr>
                            <w:rFonts w:ascii="宋体" w:hAnsi="宋体" w:cs="宋体" w:eastAsia="宋体" w:hint="default"/>
                            <w:spacing w:val="-6"/>
                            <w:sz w:val="18"/>
                            <w:szCs w:val="18"/>
                          </w:rPr>
                          <w:t>没有相应的补偿性控制；（</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对于期</w:t>
                        </w:r>
                        <w:r>
                          <w:rPr>
                            <w:rFonts w:ascii="宋体" w:hAnsi="宋体" w:cs="宋体" w:eastAsia="宋体" w:hint="default"/>
                            <w:spacing w:val="-73"/>
                            <w:sz w:val="18"/>
                            <w:szCs w:val="18"/>
                          </w:rPr>
                          <w:t> </w:t>
                        </w:r>
                        <w:r>
                          <w:rPr>
                            <w:rFonts w:ascii="宋体" w:hAnsi="宋体" w:cs="宋体" w:eastAsia="宋体" w:hint="default"/>
                            <w:sz w:val="18"/>
                            <w:szCs w:val="18"/>
                          </w:rPr>
                          <w:t>末财务报告过程的控制存在一项或多 项缺陷且不能合理保证编制的财务报 表达到真实、准确的目标。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 </w:t>
                        </w:r>
                        <w:r>
                          <w:rPr>
                            <w:rFonts w:ascii="宋体" w:hAnsi="宋体" w:cs="宋体" w:eastAsia="宋体" w:hint="default"/>
                            <w:spacing w:val="-4"/>
                            <w:sz w:val="18"/>
                            <w:szCs w:val="18"/>
                          </w:rPr>
                          <w:t>陷：除上述重大缺陷、重要缺陷之外的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其他控制缺陷</w:t>
                        </w:r>
                      </w:p>
                    </w:tc>
                  </w:tr>
                  <w:tr>
                    <w:trPr>
                      <w:trHeight w:val="785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、重大缺陷：（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资产、负债错报＞资</w:t>
                        </w:r>
                        <w:r>
                          <w:rPr>
                            <w:rFonts w:ascii="宋体" w:hAnsi="宋体" w:cs="宋体" w:eastAsia="宋体" w:hint="default"/>
                            <w:sz w:val="18"/>
                            <w:szCs w:val="18"/>
                          </w:rPr>
                          <w:t> 产总额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营业收入错报＞营业收入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以上，且绝对金额超过</w:t>
                        </w:r>
                        <w:r>
                          <w:rPr>
                            <w:rFonts w:ascii="宋体" w:hAnsi="宋体" w:cs="宋体" w:eastAsia="宋体" w:hint="default"/>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5"/>
                            <w:sz w:val="18"/>
                            <w:szCs w:val="18"/>
                          </w:rPr>
                          <w:t> </w:t>
                        </w:r>
                        <w:r>
                          <w:rPr>
                            <w:rFonts w:ascii="宋体" w:hAnsi="宋体" w:cs="宋体" w:eastAsia="宋体" w:hint="default"/>
                            <w:spacing w:val="-20"/>
                            <w:sz w:val="18"/>
                            <w:szCs w:val="18"/>
                          </w:rPr>
                          <w:t>万元；（</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利润错报＞净利润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以上，且绝对</w:t>
                        </w:r>
                        <w:r>
                          <w:rPr>
                            <w:rFonts w:ascii="宋体" w:hAnsi="宋体" w:cs="宋体" w:eastAsia="宋体" w:hint="default"/>
                            <w:spacing w:val="53"/>
                            <w:sz w:val="18"/>
                            <w:szCs w:val="18"/>
                          </w:rPr>
                          <w:t> </w:t>
                        </w:r>
                        <w:r>
                          <w:rPr>
                            <w:rFonts w:ascii="宋体" w:hAnsi="宋体" w:cs="宋体" w:eastAsia="宋体" w:hint="default"/>
                            <w:sz w:val="18"/>
                            <w:szCs w:val="18"/>
                          </w:rPr>
                          <w:t>超过</w:t>
                        </w:r>
                        <w:r>
                          <w:rPr>
                            <w:rFonts w:ascii="宋体" w:hAnsi="宋体" w:cs="宋体" w:eastAsia="宋体" w:hint="default"/>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所有者权益错报＞所 有者权益总额的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，且绝对金额超过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会计差错金额直接影响盈 </w:t>
                        </w:r>
                        <w:r>
                          <w:rPr>
                            <w:rFonts w:ascii="宋体" w:hAnsi="宋体" w:cs="宋体" w:eastAsia="宋体" w:hint="default"/>
                            <w:spacing w:val="-5"/>
                            <w:sz w:val="18"/>
                            <w:szCs w:val="18"/>
                          </w:rPr>
                          <w:t>亏性质，即由于会计差错使得</w:t>
                        </w:r>
                        <w:r>
                          <w:rPr>
                            <w:rFonts w:ascii="宋体" w:hAnsi="宋体" w:cs="宋体" w:eastAsia="宋体" w:hint="default"/>
                            <w:sz w:val="18"/>
                            <w:szCs w:val="18"/>
                          </w:rPr>
                          <w:t> 原来为亏损</w:t>
                        </w:r>
                        <w:r>
                          <w:rPr>
                            <w:rFonts w:ascii="宋体" w:hAnsi="宋体" w:cs="宋体" w:eastAsia="宋体" w:hint="default"/>
                            <w:sz w:val="18"/>
                            <w:szCs w:val="18"/>
                          </w:rPr>
                          <w:t> 的转变为盈利，或者由盈利转变为亏损；</w:t>
                        </w:r>
                      </w:p>
                      <w:p>
                        <w:pPr>
                          <w:pStyle w:val="TableParagraph"/>
                          <w:spacing w:line="302" w:lineRule="auto" w:before="29"/>
                          <w:ind w:left="24" w:right="-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经注册会计师审计对以前年度财务 报告进行更正的，</w:t>
                        </w:r>
                        <w:r>
                          <w:rPr>
                            <w:rFonts w:ascii="宋体" w:hAnsi="宋体" w:cs="宋体" w:eastAsia="宋体" w:hint="default"/>
                            <w:spacing w:val="-64"/>
                            <w:sz w:val="18"/>
                            <w:szCs w:val="18"/>
                          </w:rPr>
                          <w:t> </w:t>
                        </w:r>
                        <w:r>
                          <w:rPr>
                            <w:rFonts w:ascii="宋体" w:hAnsi="宋体" w:cs="宋体" w:eastAsia="宋体" w:hint="default"/>
                            <w:sz w:val="18"/>
                            <w:szCs w:val="18"/>
                          </w:rPr>
                          <w:t>会计差错金额占最近一</w:t>
                        </w:r>
                        <w:r>
                          <w:rPr>
                            <w:rFonts w:ascii="宋体" w:hAnsi="宋体" w:cs="宋体" w:eastAsia="宋体" w:hint="default"/>
                            <w:sz w:val="18"/>
                            <w:szCs w:val="18"/>
                          </w:rPr>
                          <w:t> 个会计年度净利润</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以上，且绝对金额超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、重要缺陷：（</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资产总 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资产、负债错报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且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 入总额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，且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宋体" w:hAnsi="宋体" w:cs="宋体" w:eastAsia="宋体" w:hint="default"/>
                            <w:spacing w:val="-35"/>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利润错报</w:t>
                        </w:r>
                        <w:r>
                          <w:rPr>
                            <w:rFonts w:ascii="Times New Roman" w:hAnsi="Times New Roman" w:cs="Times New Roman" w:eastAsia="Times New Roman" w:hint="default"/>
                            <w:sz w:val="18"/>
                            <w:szCs w:val="18"/>
                          </w:rPr>
                          <w:t>≤</w:t>
                        </w:r>
                        <w:r>
                          <w:rPr>
                            <w:rFonts w:ascii="宋体" w:hAnsi="宋体" w:cs="宋体" w:eastAsia="宋体" w:hint="default"/>
                            <w:sz w:val="18"/>
                            <w:szCs w:val="18"/>
                          </w:rPr>
                          <w:t>净利 润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，且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p>
                        <w:pPr>
                          <w:pStyle w:val="TableParagraph"/>
                          <w:spacing w:line="300" w:lineRule="auto" w:before="11"/>
                          <w:ind w:left="24" w:right="14"/>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所有者权益总额的</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 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9" w:lineRule="auto" w:before="13"/>
                          <w:ind w:left="24" w:right="23"/>
                          <w:jc w:val="both"/>
                          <w:rPr>
                            <w:rFonts w:ascii="宋体" w:hAnsi="宋体" w:cs="宋体" w:eastAsia="宋体" w:hint="default"/>
                            <w:sz w:val="18"/>
                            <w:szCs w:val="18"/>
                          </w:rPr>
                        </w:pP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绝对金额</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w w:val="100"/>
                            <w:sz w:val="18"/>
                            <w:szCs w:val="18"/>
                          </w:rPr>
                          <w:t>800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经注册会计 师审计对以前年度财务报告进行更正的， 不直接影响盈亏性质，净利润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会计差</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00" w:lineRule="auto"/>
                          <w:ind w:left="26"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、重大缺陷：损失＞净利润的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且超过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、重要缺陷：净利 润的</w:t>
                        </w:r>
                        <w:r>
                          <w:rPr>
                            <w:rFonts w:ascii="宋体" w:hAnsi="宋体" w:cs="宋体" w:eastAsia="宋体" w:hint="default"/>
                            <w:spacing w:val="-68"/>
                            <w:sz w:val="18"/>
                            <w:szCs w:val="18"/>
                          </w:rPr>
                          <w:t> </w:t>
                        </w:r>
                        <w:r>
                          <w:rPr>
                            <w:rFonts w:ascii="Times New Roman" w:hAnsi="Times New Roman" w:cs="Times New Roman" w:eastAsia="Times New Roman" w:hint="default"/>
                            <w:spacing w:val="-1"/>
                            <w:w w:val="100"/>
                            <w:sz w:val="18"/>
                            <w:szCs w:val="18"/>
                          </w:rPr>
                          <w:t>2%</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损失</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净利润的</w:t>
                        </w:r>
                        <w:r>
                          <w:rPr>
                            <w:rFonts w:ascii="宋体" w:hAnsi="宋体" w:cs="宋体" w:eastAsia="宋体" w:hint="default"/>
                            <w:spacing w:val="-67"/>
                            <w:w w:val="100"/>
                            <w:sz w:val="18"/>
                            <w:szCs w:val="18"/>
                          </w:rPr>
                          <w:t> </w:t>
                        </w:r>
                        <w:r>
                          <w:rPr>
                            <w:rFonts w:ascii="Times New Roman" w:hAnsi="Times New Roman" w:cs="Times New Roman" w:eastAsia="Times New Roman" w:hint="default"/>
                            <w:spacing w:val="-23"/>
                            <w:sz w:val="18"/>
                            <w:szCs w:val="18"/>
                          </w:rPr>
                          <w:t>5%</w:t>
                        </w:r>
                        <w:r>
                          <w:rPr>
                            <w:rFonts w:ascii="宋体" w:hAnsi="宋体" w:cs="宋体" w:eastAsia="宋体" w:hint="default"/>
                            <w:spacing w:val="-23"/>
                            <w:sz w:val="18"/>
                            <w:szCs w:val="18"/>
                          </w:rPr>
                          <w:t>，且</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、一般缺陷</w:t>
                        </w:r>
                        <w:r>
                          <w:rPr>
                            <w:rFonts w:ascii="宋体" w:hAnsi="宋体" w:cs="宋体" w:eastAsia="宋体" w:hint="default"/>
                            <w:sz w:val="18"/>
                            <w:szCs w:val="18"/>
                          </w:rPr>
                          <w:t> 损失＜净利润的</w:t>
                        </w:r>
                        <w:r>
                          <w:rPr>
                            <w:rFonts w:ascii="宋体" w:hAnsi="宋体" w:cs="宋体" w:eastAsia="宋体" w:hint="default"/>
                            <w:spacing w:val="3"/>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，且绝对金额超过</w:t>
                        </w:r>
                        <w:r>
                          <w:rPr>
                            <w:rFonts w:ascii="宋体" w:hAnsi="宋体" w:cs="宋体" w:eastAsia="宋体" w:hint="default"/>
                            <w:sz w:val="18"/>
                            <w:szCs w:val="18"/>
                          </w:rPr>
                          <w:t> </w:t>
                        </w: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9"/>
                            <w:szCs w:val="19"/>
                          </w:rPr>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before="44"/>
        <w:ind w:left="0" w:right="15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4"/>
        <w:ind w:left="0" w:right="158"/>
        <w:jc w:val="right"/>
      </w:pPr>
      <w:r>
        <w:rPr/>
        <w:pict>
          <v:shape style="position:absolute;margin-left:376.869995pt;margin-top:50.631729pt;width:158.1pt;height:147.3pt;mso-position-horizontal-relative:page;mso-position-vertical-relative:paragraph;z-index:-917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8"/>
                    <w:ind w:left="0" w:right="0"/>
                    <w:jc w:val="left"/>
                  </w:pPr>
                  <w:r>
                    <w:rPr/>
                    <w:t>；</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2945" w:lineRule="exact"/>
        <w:ind w:left="6677" w:right="0" w:firstLine="0"/>
        <w:rPr>
          <w:rFonts w:ascii="宋体" w:hAnsi="宋体" w:cs="宋体" w:eastAsia="宋体" w:hint="default"/>
          <w:sz w:val="20"/>
          <w:szCs w:val="20"/>
        </w:rPr>
      </w:pPr>
      <w:r>
        <w:rPr>
          <w:rFonts w:ascii="宋体" w:hAnsi="宋体" w:cs="宋体" w:eastAsia="宋体" w:hint="default"/>
          <w:position w:val="-58"/>
          <w:sz w:val="20"/>
          <w:szCs w:val="20"/>
        </w:rPr>
        <w:pict>
          <v:group style="width:152.1pt;height:147.3pt;mso-position-horizontal-relative:char;mso-position-vertical-relative:line" coordorigin="0,0" coordsize="3042,2946">
            <v:group style="position:absolute;left:0;top:0;width:3042;height:2946" coordorigin="0,0" coordsize="3042,2946">
              <v:shape style="position:absolute;left:0;top:0;width:3042;height:2946" coordorigin="0,0" coordsize="3042,2946" path="m0,2945l3041,2945,3041,0,0,0,0,2945xe" filled="true" fillcolor="#ffffff" stroked="false">
                <v:path arrowok="t"/>
                <v:fill type="solid"/>
              </v:shape>
            </v:group>
          </v:group>
        </w:pict>
      </w:r>
      <w:r>
        <w:rPr>
          <w:rFonts w:ascii="宋体" w:hAnsi="宋体" w:cs="宋体" w:eastAsia="宋体" w:hint="default"/>
          <w:position w:val="-58"/>
          <w:sz w:val="20"/>
          <w:szCs w:val="20"/>
        </w:rPr>
      </w:r>
    </w:p>
    <w:p>
      <w:pPr>
        <w:spacing w:after="0" w:line="2945"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32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w:t>
            </w:r>
          </w:p>
        </w:tc>
        <w:tc>
          <w:tcPr>
            <w:tcW w:w="305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8"/>
                <w:sz w:val="18"/>
                <w:szCs w:val="18"/>
              </w:rPr>
              <w:t>、</w:t>
            </w:r>
            <w:r>
              <w:rPr>
                <w:rFonts w:ascii="宋体" w:hAnsi="宋体" w:cs="宋体" w:eastAsia="宋体" w:hint="default"/>
                <w:sz w:val="18"/>
                <w:szCs w:val="18"/>
              </w:rPr>
              <w:t>一般缺陷</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负债错报＜资产总额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以下</w:t>
            </w:r>
            <w:r>
              <w:rPr>
                <w:rFonts w:ascii="宋体" w:hAnsi="宋体" w:cs="宋体" w:eastAsia="宋体" w:hint="default"/>
                <w:spacing w:val="-80"/>
                <w:sz w:val="18"/>
                <w:szCs w:val="18"/>
              </w:rPr>
              <w:t>，</w:t>
            </w:r>
            <w:r>
              <w:rPr>
                <w:rFonts w:ascii="宋体" w:hAnsi="宋体" w:cs="宋体" w:eastAsia="宋体" w:hint="default"/>
                <w:sz w:val="18"/>
                <w:szCs w:val="18"/>
              </w:rPr>
              <w:t>且绝对金额</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营业</w:t>
            </w:r>
            <w:r>
              <w:rPr>
                <w:rFonts w:ascii="宋体" w:hAnsi="宋体" w:cs="宋体" w:eastAsia="宋体" w:hint="default"/>
                <w:spacing w:val="-3"/>
                <w:sz w:val="18"/>
                <w:szCs w:val="18"/>
              </w:rPr>
              <w:t>收</w:t>
            </w:r>
            <w:r>
              <w:rPr>
                <w:rFonts w:ascii="宋体" w:hAnsi="宋体" w:cs="宋体" w:eastAsia="宋体" w:hint="default"/>
                <w:sz w:val="18"/>
                <w:szCs w:val="18"/>
              </w:rPr>
              <w:t>入错报＜营</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，且绝对金额超过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104"/>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2"/>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利润错报＜净利润</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且绝对</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金额超过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所</w:t>
            </w:r>
            <w:r>
              <w:rPr>
                <w:rFonts w:ascii="宋体" w:hAnsi="宋体" w:cs="宋体" w:eastAsia="宋体" w:hint="default"/>
                <w:sz w:val="18"/>
                <w:szCs w:val="18"/>
              </w:rPr>
              <w:t>有者权益错</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报＜所有者权益总额的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1"/>
                <w:sz w:val="18"/>
                <w:szCs w:val="18"/>
              </w:rPr>
              <w:t>%</w:t>
            </w:r>
            <w:r>
              <w:rPr>
                <w:rFonts w:ascii="宋体" w:hAnsi="宋体" w:cs="宋体" w:eastAsia="宋体" w:hint="default"/>
                <w:spacing w:val="-77"/>
                <w:sz w:val="18"/>
                <w:szCs w:val="18"/>
              </w:rPr>
              <w:t>，</w:t>
            </w:r>
            <w:r>
              <w:rPr>
                <w:rFonts w:ascii="宋体" w:hAnsi="宋体" w:cs="宋体" w:eastAsia="宋体" w:hint="default"/>
                <w:spacing w:val="-3"/>
                <w:sz w:val="18"/>
                <w:szCs w:val="18"/>
              </w:rPr>
              <w:t>且</w:t>
            </w:r>
            <w:r>
              <w:rPr>
                <w:rFonts w:ascii="宋体" w:hAnsi="宋体" w:cs="宋体" w:eastAsia="宋体" w:hint="default"/>
                <w:sz w:val="18"/>
                <w:szCs w:val="18"/>
              </w:rPr>
              <w:t>绝对金额超</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经注册</w:t>
            </w:r>
            <w:r>
              <w:rPr>
                <w:rFonts w:ascii="宋体" w:hAnsi="宋体" w:cs="宋体" w:eastAsia="宋体" w:hint="default"/>
                <w:spacing w:val="-3"/>
                <w:sz w:val="18"/>
                <w:szCs w:val="18"/>
              </w:rPr>
              <w:t>会</w:t>
            </w:r>
            <w:r>
              <w:rPr>
                <w:rFonts w:ascii="宋体" w:hAnsi="宋体" w:cs="宋体" w:eastAsia="宋体" w:hint="default"/>
                <w:sz w:val="18"/>
                <w:szCs w:val="18"/>
              </w:rPr>
              <w:t>计师审计对</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以前年度财务报告进行更正的，不直接影</w:t>
            </w:r>
          </w:p>
        </w:tc>
        <w:tc>
          <w:tcPr>
            <w:tcW w:w="3053"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响盈亏性质，会计差错金额＜净利润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p>
        </w:tc>
        <w:tc>
          <w:tcPr>
            <w:tcW w:w="30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33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且绝对金额超过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3"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376.869995pt;margin-top:-281.974396pt;width:158.1pt;height:189.3pt;mso-position-horizontal-relative:page;mso-position-vertical-relative:paragraph;z-index:-917608"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pict>
          <v:group style="position:absolute;margin-left:382.869995pt;margin-top:-281.974396pt;width:152.1pt;height:189.3pt;mso-position-horizontal-relative:page;mso-position-vertical-relative:paragraph;z-index:-917584" coordorigin="7657,-5639" coordsize="3042,3786">
            <v:shape style="position:absolute;left:7657;top:-5639;width:3042;height:3786" coordorigin="7657,-5639" coordsize="3042,3786" path="m7657,-1854l10699,-1854,10699,-5639,7657,-5639,7657,-1854xe" filled="true" fillcolor="#ffffff" stroked="false">
              <v:path arrowok="t"/>
              <v:fill type="solid"/>
            </v:shape>
            <w10:wrap type="none"/>
          </v:group>
        </w:pict>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29" w:right="3470"/>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ZA12781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周琪</w:t>
            </w:r>
            <w:r>
              <w:rPr>
                <w:rFonts w:ascii="宋体" w:hAnsi="宋体" w:cs="宋体" w:eastAsia="宋体" w:hint="default"/>
                <w:spacing w:val="1"/>
                <w:sz w:val="18"/>
                <w:szCs w:val="18"/>
              </w:rPr>
              <w:t> </w:t>
            </w:r>
            <w:r>
              <w:rPr>
                <w:rFonts w:ascii="宋体" w:hAnsi="宋体" w:cs="宋体" w:eastAsia="宋体" w:hint="default"/>
                <w:sz w:val="18"/>
                <w:szCs w:val="18"/>
              </w:rPr>
              <w:t>钱骁玲</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spacing w:line="316" w:lineRule="auto" w:before="0"/>
        <w:ind w:left="513" w:right="-20" w:hanging="361"/>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160" w:left="980" w:right="940"/>
          <w:cols w:num="2" w:equalWidth="0">
            <w:col w:w="3573" w:space="707"/>
            <w:col w:w="5710"/>
          </w:cols>
        </w:sectPr>
      </w:pPr>
    </w:p>
    <w:p>
      <w:pPr>
        <w:pStyle w:val="BodyText"/>
        <w:spacing w:line="300" w:lineRule="auto" w:before="19"/>
        <w:ind w:right="99" w:firstLine="360"/>
        <w:jc w:val="left"/>
      </w:pPr>
      <w:r>
        <w:rPr>
          <w:spacing w:val="-2"/>
        </w:rPr>
        <w:t>我们审计了四川久远银海软件股份有限公司（以下简称久远银海）财务报表，包括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w:t>
      </w:r>
      <w:r>
        <w:rPr/>
        <w:t> </w:t>
      </w:r>
      <w:r>
        <w:rPr>
          <w:spacing w:val="-4"/>
        </w:rPr>
        <w:t>负债表，</w:t>
      </w:r>
      <w:r>
        <w:rPr>
          <w:rFonts w:ascii="Times New Roman" w:hAnsi="Times New Roman" w:cs="Times New Roman" w:eastAsia="Times New Roman" w:hint="default"/>
          <w:spacing w:val="-4"/>
        </w:rPr>
        <w:t>2017</w:t>
      </w:r>
      <w:r>
        <w:rPr>
          <w:spacing w:val="-4"/>
        </w:rPr>
        <w:t>年度的合并及母公司利润表、合并及母公司现金流量表、合并及母公司股东权益变动表以及相关财务报表附注。</w:t>
      </w:r>
    </w:p>
    <w:p>
      <w:pPr>
        <w:pStyle w:val="BodyText"/>
        <w:spacing w:line="300" w:lineRule="auto" w:before="13"/>
        <w:ind w:right="99" w:firstLine="360"/>
        <w:jc w:val="left"/>
      </w:pPr>
      <w:r>
        <w:rPr>
          <w:spacing w:val="-2"/>
        </w:rPr>
        <w:t>我们认为，后附的财务报表在所有重大方面按照企业会计准则的规定编制，公允反映了久远银海</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9" w:lineRule="auto" w:before="13"/>
        <w:ind w:left="513" w:right="99"/>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99"/>
        <w:jc w:val="left"/>
      </w:pPr>
      <w:r>
        <w:rPr>
          <w:spacing w:val="-2"/>
        </w:rPr>
        <w:t>阐述了我们在这些准则下的责任。按照中国注册会计师职业道德守则，我们独立于久远银海，并履行了职业道德方面的其他</w:t>
      </w:r>
      <w:r>
        <w:rPr>
          <w:spacing w:val="-63"/>
        </w:rPr>
        <w:t> </w:t>
      </w:r>
      <w:r>
        <w:rPr>
          <w:spacing w:val="-63"/>
        </w:rPr>
      </w:r>
      <w:r>
        <w:rPr/>
        <w:t>责任。我们相信，我们获取的审计证据是充分、适当的，为发表审计意见提供了基础。</w:t>
      </w:r>
    </w:p>
    <w:p>
      <w:pPr>
        <w:pStyle w:val="BodyText"/>
        <w:spacing w:line="316" w:lineRule="auto" w:before="19"/>
        <w:ind w:left="513" w:right="99"/>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1"/>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4679"/>
        <w:gridCol w:w="4962"/>
      </w:tblGrid>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关键审计事项</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06" w:right="0"/>
              <w:jc w:val="left"/>
              <w:rPr>
                <w:rFonts w:ascii="宋体" w:hAnsi="宋体" w:cs="宋体" w:eastAsia="宋体" w:hint="default"/>
                <w:sz w:val="18"/>
                <w:szCs w:val="18"/>
              </w:rPr>
            </w:pPr>
            <w:r>
              <w:rPr>
                <w:rFonts w:ascii="宋体" w:hAnsi="宋体" w:cs="宋体" w:eastAsia="宋体" w:hint="default"/>
                <w:sz w:val="18"/>
                <w:szCs w:val="18"/>
              </w:rPr>
              <w:t>该事项在审计中是如何应对的</w:t>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（一）应收账款减值</w:t>
            </w:r>
          </w:p>
        </w:tc>
      </w:tr>
      <w:tr>
        <w:trPr>
          <w:trHeight w:val="2221"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3"/>
              <w:jc w:val="both"/>
              <w:rPr>
                <w:rFonts w:ascii="宋体" w:hAnsi="宋体" w:cs="宋体" w:eastAsia="宋体" w:hint="default"/>
                <w:sz w:val="18"/>
                <w:szCs w:val="18"/>
              </w:rPr>
            </w:pPr>
            <w:r>
              <w:rPr>
                <w:rFonts w:ascii="宋体" w:hAnsi="宋体" w:cs="宋体" w:eastAsia="宋体" w:hint="default"/>
                <w:spacing w:val="-3"/>
                <w:sz w:val="18"/>
                <w:szCs w:val="18"/>
              </w:rPr>
              <w:t>久远银海期末应收账款金额</w:t>
            </w:r>
            <w:r>
              <w:rPr>
                <w:rFonts w:ascii="Times New Roman" w:hAnsi="Times New Roman" w:cs="Times New Roman" w:eastAsia="Times New Roman" w:hint="default"/>
                <w:spacing w:val="-3"/>
                <w:sz w:val="18"/>
                <w:szCs w:val="18"/>
              </w:rPr>
              <w:t>139,484,172.56</w:t>
            </w:r>
            <w:r>
              <w:rPr>
                <w:rFonts w:ascii="宋体" w:hAnsi="宋体" w:cs="宋体" w:eastAsia="宋体" w:hint="default"/>
                <w:spacing w:val="-3"/>
                <w:sz w:val="18"/>
                <w:szCs w:val="18"/>
              </w:rPr>
              <w:t>元，占期末总资产</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比重较大。由于评估应收账款的可收回性时，很大程度上依</w:t>
            </w:r>
            <w:r>
              <w:rPr>
                <w:rFonts w:ascii="宋体" w:hAnsi="宋体" w:cs="宋体" w:eastAsia="宋体" w:hint="default"/>
                <w:sz w:val="18"/>
                <w:szCs w:val="18"/>
              </w:rPr>
              <w:t> </w:t>
            </w:r>
            <w:r>
              <w:rPr>
                <w:rFonts w:ascii="宋体" w:hAnsi="宋体" w:cs="宋体" w:eastAsia="宋体" w:hint="default"/>
                <w:spacing w:val="-1"/>
                <w:sz w:val="18"/>
                <w:szCs w:val="18"/>
              </w:rPr>
              <w:t>赖管理层的判断。因此，我们将应收账款减值作为关键审计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事项。</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）我们获取久远银海的坏账准备计提政策，检查本报告期坏 账准备计提政策是否保持一致；</w:t>
            </w:r>
          </w:p>
          <w:p>
            <w:pPr>
              <w:pStyle w:val="TableParagraph"/>
              <w:spacing w:line="309" w:lineRule="auto" w:before="31"/>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）我们获取应收账款账龄，关注账龄划分的正确性，根据管 理层的坏账计提准备政策及客户信誉情况，结合函证及回款查 验，复核测试公司应收款项的坏账准备计提是否充分；</w:t>
            </w:r>
          </w:p>
          <w:p>
            <w:pPr>
              <w:pStyle w:val="TableParagraph"/>
              <w:spacing w:line="300" w:lineRule="auto" w:before="24"/>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）我们获取了同行业可比上市公司的坏账计提政策与应收账 款周转率，并与久远银海进行对比。</w:t>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（二）存货存在性</w:t>
            </w:r>
          </w:p>
        </w:tc>
      </w:tr>
      <w:tr>
        <w:trPr>
          <w:trHeight w:val="190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
              <w:jc w:val="left"/>
              <w:rPr>
                <w:rFonts w:ascii="宋体" w:hAnsi="宋体" w:cs="宋体" w:eastAsia="宋体" w:hint="default"/>
                <w:sz w:val="18"/>
                <w:szCs w:val="18"/>
              </w:rPr>
            </w:pPr>
            <w:r>
              <w:rPr>
                <w:rFonts w:ascii="宋体" w:hAnsi="宋体" w:cs="宋体" w:eastAsia="宋体" w:hint="default"/>
                <w:spacing w:val="-3"/>
                <w:sz w:val="18"/>
                <w:szCs w:val="18"/>
              </w:rPr>
              <w:t>久远银海期末存货金额</w:t>
            </w:r>
            <w:r>
              <w:rPr>
                <w:rFonts w:ascii="Times New Roman" w:hAnsi="Times New Roman" w:cs="Times New Roman" w:eastAsia="Times New Roman" w:hint="default"/>
                <w:spacing w:val="-3"/>
                <w:sz w:val="18"/>
                <w:szCs w:val="18"/>
              </w:rPr>
              <w:t>337,810,413.19</w:t>
            </w:r>
            <w:r>
              <w:rPr>
                <w:rFonts w:ascii="宋体" w:hAnsi="宋体" w:cs="宋体" w:eastAsia="宋体" w:hint="default"/>
                <w:spacing w:val="-3"/>
                <w:sz w:val="18"/>
                <w:szCs w:val="18"/>
              </w:rPr>
              <w:t>元，占期末总资产比重</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较大，因此，我们将存货的存在性作为关键审计事项。</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8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）我们获取久远银海《存货管理办法》，检查久远银海内控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管理制度的建立健全与流程、判断久远银海存货盘点制度是否 完善。</w:t>
            </w:r>
          </w:p>
          <w:p>
            <w:pPr>
              <w:pStyle w:val="TableParagraph"/>
              <w:spacing w:line="300" w:lineRule="auto" w:before="24"/>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）我们获取久远银海期末存货余额，编制存货构成表，分析 报告期存货构成变动的合理性。</w:t>
            </w:r>
          </w:p>
          <w:p>
            <w:pPr>
              <w:pStyle w:val="TableParagraph"/>
              <w:spacing w:line="240" w:lineRule="auto" w:before="31"/>
              <w:ind w:left="4"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）我们获取久远银海报告期大额的采购合同、请购单、收货</w:t>
            </w:r>
          </w:p>
        </w:tc>
      </w:tr>
    </w:tbl>
    <w:p>
      <w:pPr>
        <w:spacing w:after="0" w:line="240" w:lineRule="auto"/>
        <w:jc w:val="both"/>
        <w:rPr>
          <w:rFonts w:ascii="宋体" w:hAnsi="宋体" w:cs="宋体" w:eastAsia="宋体" w:hint="default"/>
          <w:sz w:val="18"/>
          <w:szCs w:val="18"/>
        </w:rPr>
        <w:sectPr>
          <w:type w:val="continuous"/>
          <w:pgSz w:w="11910" w:h="16840"/>
          <w:pgMar w:top="1060" w:bottom="1160" w:left="980" w:right="94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679"/>
        <w:gridCol w:w="4962"/>
      </w:tblGrid>
      <w:tr>
        <w:trPr>
          <w:trHeight w:val="1284" w:hRule="exact"/>
        </w:trPr>
        <w:tc>
          <w:tcPr>
            <w:tcW w:w="4679" w:type="dxa"/>
            <w:tcBorders>
              <w:top w:val="single" w:sz="6" w:space="0" w:color="000000"/>
              <w:left w:val="single" w:sz="6" w:space="0" w:color="000000"/>
              <w:bottom w:val="single" w:sz="6" w:space="0" w:color="000000"/>
              <w:right w:val="single" w:sz="6" w:space="0" w:color="000000"/>
            </w:tcBorders>
          </w:tcPr>
          <w:p>
            <w:pP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记录、采购发票、会计凭证、付款单据，核查采购的真实性。</w:t>
            </w:r>
          </w:p>
          <w:p>
            <w:pPr>
              <w:pStyle w:val="TableParagraph"/>
              <w:spacing w:line="309"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）我们获取公司期末原材料清单，实施存货的现场监盘，异 地的在产品通过函证、复核等程序，确定存货余额的真实性、 合理性。</w:t>
            </w:r>
          </w:p>
        </w:tc>
      </w:tr>
      <w:tr>
        <w:trPr>
          <w:trHeight w:val="346" w:hRule="exact"/>
        </w:trPr>
        <w:tc>
          <w:tcPr>
            <w:tcW w:w="96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（三）收入确认</w:t>
            </w:r>
          </w:p>
        </w:tc>
      </w:tr>
      <w:tr>
        <w:trPr>
          <w:trHeight w:val="3781"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3"/>
              <w:jc w:val="both"/>
              <w:rPr>
                <w:rFonts w:ascii="宋体" w:hAnsi="宋体" w:cs="宋体" w:eastAsia="宋体" w:hint="default"/>
                <w:sz w:val="18"/>
                <w:szCs w:val="18"/>
              </w:rPr>
            </w:pPr>
            <w:r>
              <w:rPr>
                <w:rFonts w:ascii="宋体" w:hAnsi="宋体" w:cs="宋体" w:eastAsia="宋体" w:hint="default"/>
                <w:spacing w:val="-2"/>
                <w:sz w:val="18"/>
                <w:szCs w:val="18"/>
              </w:rPr>
              <w:t>本报告期久远银海营业收入金额</w:t>
            </w:r>
            <w:r>
              <w:rPr>
                <w:rFonts w:ascii="Times New Roman" w:hAnsi="Times New Roman" w:cs="Times New Roman" w:eastAsia="Times New Roman" w:hint="default"/>
                <w:spacing w:val="-2"/>
                <w:sz w:val="18"/>
                <w:szCs w:val="18"/>
              </w:rPr>
              <w:t>690,447,976.82</w:t>
            </w:r>
            <w:r>
              <w:rPr>
                <w:rFonts w:ascii="宋体" w:hAnsi="宋体" w:cs="宋体" w:eastAsia="宋体" w:hint="default"/>
                <w:spacing w:val="-2"/>
                <w:sz w:val="18"/>
                <w:szCs w:val="18"/>
              </w:rPr>
              <w:t>元，增长幅度</w:t>
            </w:r>
            <w:r>
              <w:rPr>
                <w:rFonts w:ascii="宋体" w:hAnsi="宋体" w:cs="宋体" w:eastAsia="宋体" w:hint="default"/>
                <w:sz w:val="18"/>
                <w:szCs w:val="18"/>
              </w:rPr>
              <w:t> </w:t>
            </w:r>
            <w:r>
              <w:rPr>
                <w:rFonts w:ascii="宋体" w:hAnsi="宋体" w:cs="宋体" w:eastAsia="宋体" w:hint="default"/>
                <w:spacing w:val="-1"/>
                <w:sz w:val="18"/>
                <w:szCs w:val="18"/>
              </w:rPr>
              <w:t>较大且对财务报表具有重大影响，因此我们将收入的确认作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为关键审计事项。</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）我们获取久远银海销售与收款相关内部控制制度，检查制 度相关条款设计是否合理，并通过穿行测试评价相关内部控制 制度是否有效执行；</w:t>
            </w:r>
          </w:p>
          <w:p>
            <w:pPr>
              <w:pStyle w:val="TableParagraph"/>
              <w:spacing w:line="300" w:lineRule="auto" w:before="24"/>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）我们获取久远银海本报告期主营业务收入结构变动表，分 析主营业收入波动是否合理；</w:t>
            </w:r>
          </w:p>
          <w:p>
            <w:pPr>
              <w:pStyle w:val="TableParagraph"/>
              <w:spacing w:line="300" w:lineRule="auto" w:before="31"/>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）我们获取久远银海本报告期主营业务毛利率，并结合同行 业上市公司毛利率情况进行比较分析；</w:t>
            </w:r>
          </w:p>
          <w:p>
            <w:pPr>
              <w:pStyle w:val="TableParagraph"/>
              <w:spacing w:line="309" w:lineRule="auto" w:before="31"/>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）我们获取久远银海本报告期销售合同及验收文件，关注与 商品所有权相关的主要风险和报酬是否已经发生转移、收入所 属期是否准确；</w:t>
            </w:r>
          </w:p>
          <w:p>
            <w:pPr>
              <w:pStyle w:val="TableParagraph"/>
              <w:spacing w:line="300" w:lineRule="auto" w:before="24"/>
              <w:ind w:left="4"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）我们通过久远银海主要客户进行函证，判断久远银海收入 确认的真实性。</w:t>
            </w:r>
          </w:p>
        </w:tc>
      </w:tr>
    </w:tbl>
    <w:p>
      <w:pPr>
        <w:pStyle w:val="BodyText"/>
        <w:spacing w:line="316" w:lineRule="auto" w:before="8"/>
        <w:ind w:left="513" w:right="0"/>
        <w:jc w:val="left"/>
      </w:pPr>
      <w:r>
        <w:rPr>
          <w:rFonts w:ascii="宋体" w:hAnsi="宋体" w:cs="宋体" w:eastAsia="宋体" w:hint="default"/>
          <w:b/>
          <w:bCs/>
        </w:rPr>
        <w:t>四、其他信息</w:t>
      </w:r>
      <w:r>
        <w:rPr>
          <w:rFonts w:ascii="宋体" w:hAnsi="宋体" w:cs="宋体" w:eastAsia="宋体" w:hint="default"/>
          <w:b/>
          <w:bCs/>
          <w:w w:val="99"/>
        </w:rPr>
        <w:t> </w:t>
      </w:r>
      <w:r>
        <w:rPr>
          <w:spacing w:val="-2"/>
        </w:rPr>
        <w:t>久远银海管理层（以下简称管理层）对其他信息负责。其他信息包括久远银海</w:t>
      </w:r>
      <w:r>
        <w:rPr>
          <w:rFonts w:ascii="Times New Roman" w:hAnsi="Times New Roman" w:cs="Times New Roman" w:eastAsia="Times New Roman" w:hint="default"/>
          <w:spacing w:val="-2"/>
        </w:rPr>
        <w:t>2017</w:t>
      </w:r>
      <w:r>
        <w:rPr>
          <w:spacing w:val="-2"/>
        </w:rPr>
        <w:t>年年度报告中涵盖的信息，但不包括</w:t>
      </w:r>
    </w:p>
    <w:p>
      <w:pPr>
        <w:pStyle w:val="BodyText"/>
        <w:spacing w:line="319" w:lineRule="auto"/>
        <w:ind w:left="513" w:right="0" w:hanging="361"/>
        <w:jc w:val="left"/>
      </w:pP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7"/>
        <w:ind w:left="513" w:right="0"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0"/>
        <w:jc w:val="left"/>
      </w:pPr>
      <w:r>
        <w:rPr/>
        <w:t>报告。</w:t>
      </w:r>
    </w:p>
    <w:p>
      <w:pPr>
        <w:spacing w:line="316" w:lineRule="auto" w:before="76"/>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13" w:right="157" w:hanging="361"/>
        <w:jc w:val="left"/>
      </w:pPr>
      <w:r>
        <w:rPr/>
        <w:t>务报表不存在由于舞弊或错误导致的重大错报。 </w:t>
      </w:r>
      <w:r>
        <w:rPr>
          <w:spacing w:val="-2"/>
        </w:rPr>
        <w:t>在编制财务报表时，管理层负责评估久远银海的持续经营能力，披露与持续经营相关的事项（如适用），并运用持续经</w:t>
      </w:r>
    </w:p>
    <w:p>
      <w:pPr>
        <w:spacing w:line="319" w:lineRule="auto" w:before="19"/>
        <w:ind w:left="513" w:right="4734" w:hanging="361"/>
        <w:jc w:val="left"/>
        <w:rPr>
          <w:rFonts w:ascii="宋体" w:hAnsi="宋体" w:cs="宋体" w:eastAsia="宋体" w:hint="default"/>
          <w:sz w:val="18"/>
          <w:szCs w:val="18"/>
        </w:rPr>
      </w:pPr>
      <w:r>
        <w:rPr>
          <w:rFonts w:ascii="宋体" w:hAnsi="宋体" w:cs="宋体" w:eastAsia="宋体" w:hint="default"/>
          <w:sz w:val="18"/>
          <w:szCs w:val="18"/>
        </w:rPr>
        <w:t>营假设，除非计划进行清算、终止运营或别无其他现实的选择。 治理层负责监督久远银海的财务报告过程。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7"/>
        <w:ind w:right="15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0"/>
        <w:jc w:val="left"/>
      </w:pPr>
      <w:r>
        <w:rPr/>
        <w:t>在按照审计准则执行审计工作的过程中，我们运用职业判断，并保持职业怀疑。同时，我们也执行以下工作：</w:t>
      </w:r>
    </w:p>
    <w:p>
      <w:pPr>
        <w:pStyle w:val="BodyText"/>
        <w:spacing w:line="309" w:lineRule="auto" w:before="76"/>
        <w:ind w:right="152" w:firstLine="271"/>
        <w:jc w:val="both"/>
      </w:pPr>
      <w:r>
        <w:rPr>
          <w:spacing w:val="-2"/>
        </w:rPr>
        <w:t>（</w:t>
      </w:r>
      <w:r>
        <w:rPr>
          <w:rFonts w:ascii="Times New Roman" w:hAnsi="Times New Roman" w:cs="Times New Roman" w:eastAsia="Times New Roman" w:hint="default"/>
          <w:spacing w:val="-2"/>
        </w:rPr>
        <w:t>1</w:t>
      </w:r>
      <w:r>
        <w:rPr>
          <w:spacing w:val="-2"/>
        </w:rPr>
        <w:t>）识别和评估由于舞弊或错误导致的财务报表重大错报风险，设计和实施审计程序以应对这些风险，并获取充分、适</w:t>
      </w:r>
      <w:r>
        <w:rPr/>
        <w:t>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p>
    <w:p>
      <w:pPr>
        <w:pStyle w:val="BodyText"/>
        <w:spacing w:line="240" w:lineRule="auto" w:before="24"/>
        <w:ind w:left="513"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0" w:lineRule="auto" w:before="63"/>
        <w:ind w:right="150" w:firstLine="271"/>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）对管理层使用持续经营假设的恰当性得出结论。同时，根据获取的审计证据，就可能导致对久远银海持续经营能力</w:t>
      </w:r>
      <w:r>
        <w:rPr/>
        <w:t> </w:t>
      </w:r>
      <w:r>
        <w:rPr>
          <w:spacing w:val="-2"/>
        </w:rPr>
        <w:t>产生重大疑虑的事项或情况是否存在重大不确定性得出结论。如果我们得出结论认为存在重大不确定性，审计准则要求我们</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9"/>
        <w:jc w:val="left"/>
      </w:pPr>
      <w:r>
        <w:rPr>
          <w:spacing w:val="-2"/>
        </w:rPr>
        <w:t>在审计报告中提请报表使用者注意财务报表中的相关披露；如果披露不充分，我们应当发表非无保留意见。我们的结论基于</w:t>
      </w:r>
      <w:r>
        <w:rPr>
          <w:spacing w:val="-63"/>
        </w:rPr>
        <w:t> </w:t>
      </w:r>
      <w:r>
        <w:rPr>
          <w:spacing w:val="-63"/>
        </w:rPr>
      </w:r>
      <w:r>
        <w:rPr/>
        <w:t>截至审计报告日可获得的信息。然而，未来的事项或情况可能导致久远银海不能持续经营。</w:t>
      </w:r>
    </w:p>
    <w:p>
      <w:pPr>
        <w:pStyle w:val="BodyText"/>
        <w:spacing w:line="240" w:lineRule="auto" w:before="19"/>
        <w:ind w:left="424" w:right="99"/>
        <w:jc w:val="left"/>
      </w:pPr>
      <w:r>
        <w:rPr/>
        <w:t>（</w:t>
      </w:r>
      <w:r>
        <w:rPr>
          <w:rFonts w:ascii="Times New Roman" w:hAnsi="Times New Roman" w:cs="Times New Roman" w:eastAsia="Times New Roman" w:hint="default"/>
          <w:spacing w:val="1"/>
        </w:rPr>
        <w:t>5</w:t>
      </w:r>
      <w:r>
        <w:rPr/>
        <w:t>）评价财务报表的总体列报、结构和内容（包括披露</w:t>
      </w:r>
      <w:r>
        <w:rPr>
          <w:spacing w:val="-92"/>
        </w:rPr>
        <w:t>）</w:t>
      </w:r>
      <w:r>
        <w:rPr/>
        <w:t>，</w:t>
      </w:r>
      <w:r>
        <w:rPr>
          <w:spacing w:val="2"/>
        </w:rPr>
        <w:t>并</w:t>
      </w:r>
      <w:r>
        <w:rPr/>
        <w:t>评价财务报表是否公允反映相关交易和事项。</w:t>
      </w:r>
    </w:p>
    <w:p>
      <w:pPr>
        <w:pStyle w:val="BodyText"/>
        <w:spacing w:line="300" w:lineRule="auto" w:before="63"/>
        <w:ind w:right="101" w:firstLine="271"/>
        <w:jc w:val="both"/>
      </w:pPr>
      <w:r>
        <w:rPr>
          <w:spacing w:val="-4"/>
        </w:rPr>
        <w:t>（</w:t>
      </w:r>
      <w:r>
        <w:rPr>
          <w:rFonts w:ascii="Times New Roman" w:hAnsi="Times New Roman" w:cs="Times New Roman" w:eastAsia="Times New Roman" w:hint="default"/>
          <w:spacing w:val="-4"/>
        </w:rPr>
        <w:t>6</w:t>
      </w:r>
      <w:r>
        <w:rPr>
          <w:spacing w:val="-4"/>
        </w:rPr>
        <w:t>）就久远银海中实体或业务活动的财务信息获取充分、适当的审计证据，以对财务报表发表审计意见。我们负责指导、</w:t>
      </w:r>
      <w:r>
        <w:rPr/>
        <w:t> 监督和执行集团审计，并对审计意见承担全部责任。</w:t>
      </w:r>
    </w:p>
    <w:p>
      <w:pPr>
        <w:pStyle w:val="BodyText"/>
        <w:spacing w:line="316" w:lineRule="auto" w:before="31"/>
        <w:ind w:right="19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92"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2"/>
        </w:rPr>
        <w:t>）</w:t>
      </w:r>
      <w:r>
        <w:rPr/>
        <w:t>。</w:t>
      </w:r>
    </w:p>
    <w:p>
      <w:pPr>
        <w:pStyle w:val="BodyText"/>
        <w:spacing w:line="319" w:lineRule="auto" w:before="19"/>
        <w:ind w:right="19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99"/>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9"/>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99"/>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40"/>
        </w:sectPr>
      </w:pPr>
    </w:p>
    <w:p>
      <w:pPr>
        <w:pStyle w:val="BodyText"/>
        <w:spacing w:line="240" w:lineRule="auto" w:before="44"/>
        <w:ind w:right="-20"/>
        <w:jc w:val="left"/>
      </w:pPr>
      <w:r>
        <w:rPr/>
        <w:t>编制单位：四川久远银海软件股份有限公司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40"/>
          <w:cols w:num="3" w:equalWidth="0">
            <w:col w:w="3573" w:space="503"/>
            <w:col w:w="1642" w:space="3202"/>
            <w:col w:w="107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581,375,548.20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532,422,202.16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139,484,172.56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87,802,737.12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5,781,428.37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7,628,661.63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861,377.70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732,177.48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51,886,836.93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39,073,282.67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337,810,413.19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299,674,771.54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1,341,602.22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12,037,004.20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1,118,541,379.17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981,585,336.80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4,057,290.92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9,784,342.40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7,242,611.46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73,827,738.07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61,777,346.79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5,937,820.98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342,550.51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48,054,749.00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38,657,595.14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28,778,337.40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16,619,010.31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3,955,639.80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2,523,322.10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7,230,966.17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3,846,669.62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2,187,618.26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179,069,593.82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138,754,015.11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1,297,610,972.99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1,120,339,351.91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86,232,063.92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33,765,339.52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462,908,063.57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416,945,224.94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38,815,397.44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30,179,590.34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23,185,115.42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19,991,896.17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8,399,023.23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5,380,675.65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619,559,663.58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506,285,226.62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25,173,532.97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20,019,333.30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100,173,532.97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95,019,333.30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719,733,196.55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601,304,559.92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4.889999pt;margin-top:407.335602pt;width:480.85pt;height:80.850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4"/>
                    <w:gridCol w:w="4040"/>
                    <w:gridCol w:w="2782"/>
                  </w:tblGrid>
                  <w:tr>
                    <w:trPr>
                      <w:trHeight w:val="1124" w:hRule="exact"/>
                    </w:trPr>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法定代表人：连春华</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tc>
                    <w:tc>
                      <w:tcPr>
                        <w:tcW w:w="40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0"/>
                          <w:jc w:val="center"/>
                          <w:rPr>
                            <w:rFonts w:ascii="宋体" w:hAnsi="宋体" w:cs="宋体" w:eastAsia="宋体" w:hint="default"/>
                            <w:sz w:val="18"/>
                            <w:szCs w:val="18"/>
                          </w:rPr>
                        </w:pPr>
                        <w:r>
                          <w:rPr>
                            <w:rFonts w:ascii="宋体" w:hAnsi="宋体" w:cs="宋体" w:eastAsia="宋体" w:hint="default"/>
                            <w:sz w:val="18"/>
                            <w:szCs w:val="18"/>
                          </w:rPr>
                          <w:t>主管会计工作负责人：杨成文</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47" w:right="0"/>
                          <w:jc w:val="left"/>
                          <w:rPr>
                            <w:rFonts w:ascii="宋体" w:hAnsi="宋体" w:cs="宋体" w:eastAsia="宋体" w:hint="default"/>
                            <w:sz w:val="18"/>
                            <w:szCs w:val="18"/>
                          </w:rPr>
                        </w:pPr>
                        <w:r>
                          <w:rPr>
                            <w:rFonts w:ascii="宋体" w:hAnsi="宋体" w:cs="宋体" w:eastAsia="宋体" w:hint="default"/>
                            <w:sz w:val="18"/>
                            <w:szCs w:val="18"/>
                          </w:rPr>
                          <w:t>会计机构负责人：张昕</w:t>
                        </w:r>
                      </w:p>
                    </w:tc>
                  </w:tr>
                  <w:tr>
                    <w:trPr>
                      <w:trHeight w:val="492" w:hRule="exact"/>
                    </w:trPr>
                    <w:tc>
                      <w:tcPr>
                        <w:tcW w:w="2794" w:type="dxa"/>
                        <w:tcBorders>
                          <w:top w:val="nil" w:sz="6" w:space="0" w:color="auto"/>
                          <w:left w:val="nil" w:sz="6" w:space="0" w:color="auto"/>
                          <w:bottom w:val="nil" w:sz="6" w:space="0" w:color="auto"/>
                          <w:right w:val="nil" w:sz="6" w:space="0" w:color="auto"/>
                        </w:tcBorders>
                      </w:tcPr>
                      <w:p>
                        <w:pPr/>
                      </w:p>
                    </w:tc>
                    <w:tc>
                      <w:tcPr>
                        <w:tcW w:w="404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444" w:right="0"/>
                          <w:jc w:val="left"/>
                          <w:rPr>
                            <w:rFonts w:ascii="宋体" w:hAnsi="宋体" w:cs="宋体" w:eastAsia="宋体" w:hint="default"/>
                            <w:sz w:val="18"/>
                            <w:szCs w:val="18"/>
                          </w:rPr>
                        </w:pPr>
                        <w:r>
                          <w:rPr>
                            <w:rFonts w:ascii="宋体" w:hAnsi="宋体" w:cs="宋体" w:eastAsia="宋体" w:hint="default"/>
                            <w:spacing w:val="-11"/>
                            <w:sz w:val="18"/>
                            <w:szCs w:val="18"/>
                          </w:rPr>
                          <w:t>单位：元</w:t>
                        </w:r>
                      </w:p>
                    </w:tc>
                  </w:tr>
                </w:tbl>
                <w:p>
                  <w:pP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122,052,472.57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202,052,472.57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45,353,076.17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37,614,672.04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180,615,447.70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137,558,343.64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508,020,996.44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457,225,488.25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69,856,780.00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61,809,303.74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577,877,776.44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519,034,791.99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1,297,610,972.99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1,120,339,351.91</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430,705,598.41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400,549,586.24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2,214,500.00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121,518,555.85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77,052,698.93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4,916,326.51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4,123,270.44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796,745.49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350,962.28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49,621,692.22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36,544,640.99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281,470,876.33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269,274,301.20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0"/>
              <w:jc w:val="righ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201,214.11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236,552.66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889,231,008.92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790,346,512.74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157,332,520.20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156,632,520.20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8,113,346.98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8,450,053.54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56,419,024.69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58,011,270.64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342,550.51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40,966,479.40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24,680,765.24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26,035,957.45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16,070,324.15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3,653,522.38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2,387,920.43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6,159,368.03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3,640,846.31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300,180,219.13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271,716,251.02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1,189,411,228.05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1,062,062,763.76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99,657,907.78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59,450,463.47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399,559,944.58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357,118,226.66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24,323,998.08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22,062,357.77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17,953,912.40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16,600,168.04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59,084,046.61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55,785,870.15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600,599,809.45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511,039,586.09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18,123,532.97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17,719,333.30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93,123,532.97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92,719,333.30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693,723,342.42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603,758,919.39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129,794,647.90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209,794,647.90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44,889,323.77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37,150,919.64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161,003,913.96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131,358,276.83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495,687,885.63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458,303,844.37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1,189,411,228.05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1,062,062,763.76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8"/>
          <w:szCs w:val="28"/>
        </w:rPr>
      </w:pPr>
      <w:r>
        <w:rPr/>
        <w:pict>
          <v:group style="position:absolute;margin-left:211.009995pt;margin-top:629.440002pt;width:158.9pt;height:20.65pt;mso-position-horizontal-relative:page;mso-position-vertical-relative:page;z-index:-917536" coordorigin="4220,12589" coordsize="3178,413">
            <v:group style="position:absolute;left:4231;top:12600;width:2;height:392" coordorigin="4231,12600" coordsize="2,392">
              <v:shape style="position:absolute;left:4231;top:12600;width:2;height:392" coordorigin="4231,12600" coordsize="0,392" path="m4231,12600l4231,12991e" filled="false" stroked="true" strokeweight="1.08pt" strokecolor="#ffffff">
                <v:path arrowok="t"/>
              </v:shape>
            </v:group>
            <v:group style="position:absolute;left:4242;top:12600;width:3157;height:392" coordorigin="4242,12600" coordsize="3157,392">
              <v:shape style="position:absolute;left:4242;top:12600;width:3157;height:392" coordorigin="4242,12600" coordsize="3157,392" path="m4242,12991l7398,12991,7398,12600,4242,12600,4242,12991xe" filled="true" fillcolor="#ffffff" stroked="false">
                <v:path arrowok="t"/>
                <v:fill type="solid"/>
              </v:shape>
            </v:group>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tabs>
          <w:tab w:pos="8396" w:val="left" w:leader="none"/>
        </w:tabs>
        <w:spacing w:line="240" w:lineRule="auto" w:before="44"/>
        <w:ind w:left="3036" w:right="0"/>
        <w:jc w:val="left"/>
      </w:pP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w:t>
      </w:r>
      <w:r>
        <w:rPr>
          <w:spacing w:val="87"/>
        </w:rPr>
        <w:t> </w:t>
      </w:r>
      <w:r>
        <w:rPr/>
        <w:t>至</w:t>
      </w:r>
      <w:r>
        <w:rPr>
          <w:spacing w:val="-46"/>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w:t>
        <w:tab/>
      </w:r>
      <w:r>
        <w:rPr>
          <w:spacing w:val="-11"/>
        </w:rPr>
        <w:t>单位：元</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690,447,976.82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527,433,146.18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690,447,976.82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527,433,146.18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575,341,421.15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441,379,629.06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391,734,600.46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295,670,802.77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6,258,630.55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4,440,066.98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64,781,184.26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56,368,939.44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100,822,314.24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84,253,059.81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-3,002,094.32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-3,763,307.19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14,746,785.96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4,410,067.25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-976,198.09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-1,716,367.19</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-896,207.69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-1,716,367.19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60,193.85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12,736.70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6,543,091.84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120,733,643.27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84,349,886.63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238,435.03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10,438,165.26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613,765.06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5982pt;width:158.9pt;height:20.7pt;mso-position-horizontal-relative:page;mso-position-vertical-relative:page;z-index:-917512" coordorigin="4220,1439" coordsize="3178,414">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120,358,313.24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93,788,051.89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14,565,328.79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9,446,927.64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105,792,984.45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84,341,124.25</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55" w:right="0"/>
              <w:jc w:val="left"/>
              <w:rPr>
                <w:rFonts w:ascii="Times New Roman" w:hAnsi="Times New Roman" w:cs="Times New Roman" w:eastAsia="Times New Roman" w:hint="default"/>
                <w:sz w:val="18"/>
                <w:szCs w:val="18"/>
              </w:rPr>
            </w:pPr>
            <w:r>
              <w:rPr>
                <w:rFonts w:ascii="Times New Roman"/>
                <w:sz w:val="18"/>
              </w:rPr>
              <w:t>105,792,984.45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84,341,124.25</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90,795,508.19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77,266,341.24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14,997,476.26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7,074,783.01</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105,792,984.45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84,341,124.25</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90,795,508.19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77,266,341.24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14,997,476.26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7,074,783.01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r>
    </w:tbl>
    <w:p>
      <w:pPr>
        <w:pStyle w:val="BodyText"/>
        <w:spacing w:line="240" w:lineRule="auto" w:before="49"/>
        <w:ind w:right="0"/>
        <w:jc w:val="left"/>
      </w:pPr>
      <w:r>
        <w:rPr/>
        <w:pict>
          <v:shape style="position:absolute;margin-left:54.889999pt;margin-top:30.707319pt;width:480.85pt;height:80.850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7"/>
                    <w:gridCol w:w="4662"/>
                    <w:gridCol w:w="2488"/>
                  </w:tblGrid>
                  <w:tr>
                    <w:trPr>
                      <w:trHeight w:val="1124" w:hRule="exact"/>
                    </w:trPr>
                    <w:tc>
                      <w:tcPr>
                        <w:tcW w:w="24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法定代表人：连春华</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tc>
                    <w:tc>
                      <w:tcPr>
                        <w:tcW w:w="46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2" w:right="0"/>
                          <w:jc w:val="left"/>
                          <w:rPr>
                            <w:rFonts w:ascii="宋体" w:hAnsi="宋体" w:cs="宋体" w:eastAsia="宋体" w:hint="default"/>
                            <w:sz w:val="18"/>
                            <w:szCs w:val="18"/>
                          </w:rPr>
                        </w:pPr>
                        <w:r>
                          <w:rPr>
                            <w:rFonts w:ascii="宋体" w:hAnsi="宋体" w:cs="宋体" w:eastAsia="宋体" w:hint="default"/>
                            <w:sz w:val="18"/>
                            <w:szCs w:val="18"/>
                          </w:rPr>
                          <w:t>主管会计工作负责人：杨成文</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53" w:right="0"/>
                          <w:jc w:val="left"/>
                          <w:rPr>
                            <w:rFonts w:ascii="宋体" w:hAnsi="宋体" w:cs="宋体" w:eastAsia="宋体" w:hint="default"/>
                            <w:sz w:val="18"/>
                            <w:szCs w:val="18"/>
                          </w:rPr>
                        </w:pPr>
                        <w:r>
                          <w:rPr>
                            <w:rFonts w:ascii="宋体" w:hAnsi="宋体" w:cs="宋体" w:eastAsia="宋体" w:hint="default"/>
                            <w:sz w:val="18"/>
                            <w:szCs w:val="18"/>
                          </w:rPr>
                          <w:t>会计机构负责人：张昕</w:t>
                        </w:r>
                      </w:p>
                    </w:tc>
                  </w:tr>
                  <w:tr>
                    <w:trPr>
                      <w:trHeight w:val="492" w:hRule="exact"/>
                    </w:trPr>
                    <w:tc>
                      <w:tcPr>
                        <w:tcW w:w="2467" w:type="dxa"/>
                        <w:tcBorders>
                          <w:top w:val="nil" w:sz="6" w:space="0" w:color="auto"/>
                          <w:left w:val="nil" w:sz="6" w:space="0" w:color="auto"/>
                          <w:bottom w:val="nil" w:sz="6" w:space="0" w:color="auto"/>
                          <w:right w:val="nil" w:sz="6" w:space="0" w:color="auto"/>
                        </w:tcBorders>
                      </w:tcPr>
                      <w:p>
                        <w:pPr/>
                      </w:p>
                    </w:tc>
                    <w:tc>
                      <w:tcPr>
                        <w:tcW w:w="466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8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宋体" w:hAnsi="宋体" w:cs="宋体" w:eastAsia="宋体" w:hint="default"/>
                            <w:spacing w:val="85"/>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88"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147" w:right="0"/>
                          <w:jc w:val="left"/>
                          <w:rPr>
                            <w:rFonts w:ascii="宋体" w:hAnsi="宋体" w:cs="宋体" w:eastAsia="宋体" w:hint="default"/>
                            <w:sz w:val="18"/>
                            <w:szCs w:val="18"/>
                          </w:rPr>
                        </w:pPr>
                        <w:r>
                          <w:rPr>
                            <w:rFonts w:ascii="宋体" w:hAnsi="宋体" w:cs="宋体" w:eastAsia="宋体" w:hint="default"/>
                            <w:spacing w:val="-10"/>
                            <w:sz w:val="18"/>
                            <w:szCs w:val="18"/>
                          </w:rPr>
                          <w:t>单位：元</w:t>
                        </w:r>
                      </w:p>
                    </w:tc>
                  </w:tr>
                </w:tbl>
                <w:p>
                  <w:pPr/>
                </w:p>
              </w:txbxContent>
            </v:textbox>
            <w10:wrap type="none"/>
          </v:shape>
        </w:pict>
      </w: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548,467,383.87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434,601,952.88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335,827,177.03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256,490,617.63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4,477,134.18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3,335,532.24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46,277,365.94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36,024,706.74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71,900,354.40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59,797,484.54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-1,762,879.77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-2,545,975.83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13,670,144.79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6,806,349.88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12,736.70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1,989,637.53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87,134,080.05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75,725,974.38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215,833.16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7,420,365.12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9,434.06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87,340,479.15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82,146,339.50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9,956,437.89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8,415,235.89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77,384,041.26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73,731,103.61</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77,384,041.26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73,731,103.61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77,384,041.26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73,731,103.61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tabs>
          <w:tab w:pos="8396" w:val="left" w:leader="none"/>
        </w:tabs>
        <w:spacing w:line="240" w:lineRule="auto" w:before="44"/>
        <w:ind w:left="3127" w:right="0"/>
        <w:jc w:val="left"/>
      </w:pP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w:t>
      </w:r>
      <w:r>
        <w:rPr>
          <w:spacing w:val="88"/>
        </w:rPr>
        <w:t> </w:t>
      </w:r>
      <w:r>
        <w:rPr/>
        <w:t>至</w:t>
      </w:r>
      <w:r>
        <w:rPr>
          <w:spacing w:val="-48"/>
        </w:rPr>
        <w:t> </w:t>
      </w: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tab/>
      </w:r>
      <w:r>
        <w:rPr>
          <w:spacing w:val="-11"/>
        </w:rPr>
        <w:t>单位：元</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741,902,971.77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609,012,993.27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22,529,378.22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16,446,004.29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764,432,349.99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625,458,997.56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219,424,692.04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240,378,440.27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254,961,266.10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199,737,875.16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58,920,080.02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38,207,173.39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92,049,901.04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68,582,109.31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625,355,939.20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546,905,598.13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139,076,410.79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78,553,399.43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13,081,092.83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81,936.51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23,520.00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13,163,029.34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23,520.00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52,114,516.37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40,370,682.47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52,114,516.37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50,370,682.47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-38,951,487.03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-50,347,162.47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41,207,500.00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4,972,400.00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46,179,900.00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29,220,100.00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52,262,423.76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57,426,336.96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524,907,372.34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467,481,035.38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577,169,796.10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524,907,372.34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tabs>
          <w:tab w:pos="8393" w:val="left" w:leader="none"/>
        </w:tabs>
        <w:spacing w:line="240" w:lineRule="auto" w:before="44"/>
        <w:ind w:left="2947" w:right="0"/>
        <w:jc w:val="left"/>
      </w:pP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w:t>
      </w:r>
      <w:r>
        <w:rPr>
          <w:spacing w:val="87"/>
        </w:rPr>
        <w:t> </w:t>
      </w:r>
      <w:r>
        <w:rPr/>
        <w:t>至</w:t>
      </w:r>
      <w:r>
        <w:rPr>
          <w:spacing w:val="-48"/>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w:t>
        <w:tab/>
      </w:r>
      <w:r>
        <w:rPr>
          <w:spacing w:val="-10"/>
        </w:rPr>
        <w:t>单位：元</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585,611,642.09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492,227,240.16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10,424,246.05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8,691,583.68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596,035,888.14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500,918,823.84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216,159,561.21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236,591,497.09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169,458,709.87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125,025,778.62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44,044,771.19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27,551,977.99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69,380,691.15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45,552,828.17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499,043,733.42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434,722,081.87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96,992,154.72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66,196,741.97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25,625.83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23,520.00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7,075,625.83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1,043,520.00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28,990,190.66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36,842,981.90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29,690,190.66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37,442,981.90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-22,614,564.83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-36,399,461.90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40,912,500.00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40,227,500.00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4,972,400.00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40,912,500.00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45,199,900.00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29,800,100.00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33,465,089.89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59,597,380.07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393,034,756.42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333,437,376.35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426,499,846.31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393,034,756.42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672.04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137,558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,343.64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61,809,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303.74</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519,034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,791.99</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672.04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137,558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,343.64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61,809,</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303.74</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519,034</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,791.99</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04.13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43,057,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104.06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8,047,4</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76.26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58,842,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984.45</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90,795,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508.19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14,997,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476.26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105,792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,984.45</w:t>
            </w: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04.13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-47,738,</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404.13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-6,950,0</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-46,950,</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-6,950,0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-46,950,</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45,353,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076.17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180,615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,447.70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69,856,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780.00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577,877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,776.44</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1594"/>
        <w:gridCol w:w="662"/>
        <w:gridCol w:w="665"/>
        <w:gridCol w:w="668"/>
        <w:gridCol w:w="665"/>
        <w:gridCol w:w="662"/>
        <w:gridCol w:w="665"/>
        <w:gridCol w:w="680"/>
        <w:gridCol w:w="653"/>
        <w:gridCol w:w="658"/>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22"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4"/>
              <w:ind w:left="55" w:right="50"/>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9"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4"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tcPr>
          <w:p>
            <w:pPr/>
          </w:p>
        </w:tc>
      </w:tr>
      <w:tr>
        <w:trPr>
          <w:trHeight w:val="194"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8"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561.68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107,665</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,112.76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55,314,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520.73</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475,273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,667.74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561.68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107,665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,112.76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55,314,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520.73</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475,273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,667.74</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7,373,1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10.36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29,893,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230.88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6,494,7</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83.01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43,761,</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124.25</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77,266,</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341.24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7,074,7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83.01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84,341,</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124.25</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7,373,1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10.36</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-47,373,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110.36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-40,980,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7,373,1</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10.36</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center"/>
              <w:rPr>
                <w:rFonts w:ascii="Times New Roman" w:hAnsi="Times New Roman" w:cs="Times New Roman" w:eastAsia="Times New Roman" w:hint="default"/>
                <w:sz w:val="18"/>
                <w:szCs w:val="18"/>
              </w:rPr>
            </w:pPr>
            <w:r>
              <w:rPr>
                <w:rFonts w:ascii="Times New Roman"/>
                <w:sz w:val="18"/>
              </w:rPr>
              <w:t>-7,373,1</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10.36</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3"/>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3"/>
              <w:ind w:left="304" w:right="0"/>
              <w:jc w:val="lef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-40,980,</w:t>
            </w:r>
          </w:p>
          <w:p>
            <w:pPr>
              <w:pStyle w:val="TableParagraph"/>
              <w:spacing w:line="240" w:lineRule="auto" w:before="103"/>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37,614,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672.04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137,558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,343.64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61,809,</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303.74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519,034</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,791.99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vMerge w:val="restart"/>
            <w:tcBorders>
              <w:top w:val="single" w:sz="18" w:space="0" w:color="D2D2D2"/>
              <w:left w:val="single" w:sz="4" w:space="0" w:color="000000"/>
              <w:right w:val="single" w:sz="4" w:space="0" w:color="000000"/>
            </w:tcBorders>
          </w:tcPr>
          <w:p>
            <w:pPr/>
          </w:p>
        </w:tc>
        <w:tc>
          <w:tcPr>
            <w:tcW w:w="797" w:type="dxa"/>
            <w:vMerge w:val="restart"/>
            <w:tcBorders>
              <w:top w:val="single" w:sz="18"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37,150,91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9.64</w:t>
            </w:r>
          </w:p>
        </w:tc>
        <w:tc>
          <w:tcPr>
            <w:tcW w:w="677" w:type="dxa"/>
            <w:vMerge w:val="restart"/>
            <w:tcBorders>
              <w:top w:val="single" w:sz="18" w:space="0" w:color="D2D2D2"/>
              <w:left w:val="single" w:sz="4" w:space="0" w:color="000000"/>
              <w:right w:val="single" w:sz="4" w:space="0" w:color="000000"/>
            </w:tcBorders>
          </w:tcPr>
          <w:p>
            <w:pPr>
              <w:pStyle w:val="TableParagraph"/>
              <w:spacing w:line="240" w:lineRule="auto" w:before="73"/>
              <w:ind w:left="57" w:right="0"/>
              <w:jc w:val="left"/>
              <w:rPr>
                <w:rFonts w:ascii="Times New Roman" w:hAnsi="Times New Roman" w:cs="Times New Roman" w:eastAsia="Times New Roman" w:hint="default"/>
                <w:sz w:val="18"/>
                <w:szCs w:val="18"/>
              </w:rPr>
            </w:pPr>
            <w:r>
              <w:rPr>
                <w:rFonts w:ascii="Times New Roman"/>
                <w:sz w:val="18"/>
              </w:rPr>
              <w:t>131,358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,276.83</w:t>
            </w:r>
          </w:p>
        </w:tc>
        <w:tc>
          <w:tcPr>
            <w:tcW w:w="780" w:type="dxa"/>
            <w:vMerge w:val="restart"/>
            <w:tcBorders>
              <w:top w:val="single" w:sz="18" w:space="0" w:color="D2D2D2"/>
              <w:left w:val="single" w:sz="4" w:space="0" w:color="000000"/>
              <w:right w:val="single" w:sz="4" w:space="0" w:color="000000"/>
            </w:tcBorders>
          </w:tcPr>
          <w:p>
            <w:pPr>
              <w:pStyle w:val="TableParagraph"/>
              <w:spacing w:line="240" w:lineRule="auto" w:before="73"/>
              <w:ind w:left="28" w:right="0"/>
              <w:jc w:val="left"/>
              <w:rPr>
                <w:rFonts w:ascii="Times New Roman" w:hAnsi="Times New Roman" w:cs="Times New Roman" w:eastAsia="Times New Roman" w:hint="default"/>
                <w:sz w:val="18"/>
                <w:szCs w:val="18"/>
              </w:rPr>
            </w:pPr>
            <w:r>
              <w:rPr>
                <w:rFonts w:ascii="Times New Roman"/>
                <w:sz w:val="18"/>
              </w:rPr>
              <w:t>458,303,8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44.37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37,150,91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9.64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131,358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,276.83</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458,303,8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44.37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7,738,404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29,645,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637.13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37,384,04</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1.26</w:t>
            </w: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041.26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77,384,04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7,738,404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-47,738,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404.13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7,738,404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-7,738,4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04.13</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129,794,6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44,889,32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3.77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161,003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,913.96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495,687,8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85.63</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9"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29,777,80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,283.58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424,572,7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40.76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29,777,80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,283.58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424,572,7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40.76</w:t>
            </w: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7,373,110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26,357,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993.25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33,731,10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3.61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73,731,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103.61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73,731,10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3.61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7,373,110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-47,373,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110.36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7,373,110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 w:right="0"/>
              <w:jc w:val="center"/>
              <w:rPr>
                <w:rFonts w:ascii="Times New Roman" w:hAnsi="Times New Roman" w:cs="Times New Roman" w:eastAsia="Times New Roman" w:hint="default"/>
                <w:sz w:val="18"/>
                <w:szCs w:val="18"/>
              </w:rPr>
            </w:pPr>
            <w:r>
              <w:rPr>
                <w:rFonts w:ascii="Times New Roman"/>
                <w:sz w:val="18"/>
              </w:rPr>
              <w:t>-7,373,1</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10.36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37,150,91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131,358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,276.83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458,303,8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44.37</w:t>
            </w:r>
          </w:p>
        </w:tc>
      </w:tr>
    </w:tbl>
    <w:p>
      <w:pPr>
        <w:spacing w:line="240" w:lineRule="auto" w:before="2"/>
        <w:rPr>
          <w:rFonts w:ascii="Times New Roman" w:hAnsi="Times New Roman" w:cs="Times New Roman" w:eastAsia="Times New Roman" w:hint="default"/>
          <w:sz w:val="23"/>
          <w:szCs w:val="23"/>
        </w:rPr>
      </w:pPr>
    </w:p>
    <w:p>
      <w:pPr>
        <w:spacing w:before="44"/>
        <w:ind w:left="152" w:right="99" w:firstLine="0"/>
        <w:jc w:val="left"/>
        <w:rPr>
          <w:rFonts w:ascii="宋体" w:hAnsi="宋体" w:cs="宋体" w:eastAsia="宋体" w:hint="default"/>
          <w:sz w:val="18"/>
          <w:szCs w:val="18"/>
        </w:rPr>
      </w:pPr>
      <w:r>
        <w:rPr>
          <w:rFonts w:ascii="宋体" w:hAnsi="宋体" w:cs="宋体" w:eastAsia="宋体" w:hint="default"/>
          <w:b/>
          <w:bCs/>
          <w:sz w:val="18"/>
          <w:szCs w:val="18"/>
        </w:rPr>
        <w:t>三、公司基本情况</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BodyText"/>
        <w:spacing w:line="316" w:lineRule="auto" w:before="141"/>
        <w:ind w:right="100" w:firstLine="362"/>
        <w:jc w:val="both"/>
      </w:pPr>
      <w:r>
        <w:rPr>
          <w:spacing w:val="-2"/>
        </w:rPr>
        <w:t>四川久远银海软件股份有限公司（以下简称“本公司”或“久远银海”）成立于</w:t>
      </w:r>
      <w:r>
        <w:rPr>
          <w:rFonts w:ascii="宋体" w:hAnsi="宋体" w:cs="宋体" w:eastAsia="宋体" w:hint="default"/>
          <w:spacing w:val="-2"/>
        </w:rPr>
        <w:t>2008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日，系由四川久远投资控</w:t>
      </w:r>
      <w:r>
        <w:rPr/>
        <w:t> </w:t>
      </w:r>
      <w:r>
        <w:rPr>
          <w:spacing w:val="-2"/>
        </w:rPr>
        <w:t>股集团有限公司（以下简称“久远集团”）、四川科学城锐锋集团有限责任公司（以下简称“锐锋集团”）、四川银海软件</w:t>
      </w:r>
      <w:r>
        <w:rPr>
          <w:spacing w:val="-71"/>
        </w:rPr>
        <w:t> </w:t>
      </w:r>
      <w:r>
        <w:rPr>
          <w:spacing w:val="-71"/>
        </w:rPr>
      </w:r>
      <w:r>
        <w:rPr>
          <w:spacing w:val="-2"/>
        </w:rPr>
        <w:t>有限责任公司（以下简称“四川银海”）及李慧霞等</w:t>
      </w:r>
      <w:r>
        <w:rPr>
          <w:rFonts w:ascii="宋体" w:hAnsi="宋体" w:cs="宋体" w:eastAsia="宋体" w:hint="default"/>
          <w:spacing w:val="-2"/>
        </w:rPr>
        <w:t>20</w:t>
      </w:r>
      <w:r>
        <w:rPr>
          <w:spacing w:val="-2"/>
        </w:rPr>
        <w:t>名自然人经中国工程物理研究院（以下简称“中物院”）以《关于发</w:t>
      </w:r>
      <w:r>
        <w:rPr>
          <w:spacing w:val="-70"/>
        </w:rPr>
        <w:t> </w:t>
      </w:r>
      <w:r>
        <w:rPr>
          <w:spacing w:val="-70"/>
        </w:rPr>
      </w:r>
      <w:r>
        <w:rPr/>
        <w:t>起设立四川久远银海软件股份有限公司的批复》（院军转民</w:t>
      </w:r>
      <w:r>
        <w:rPr>
          <w:rFonts w:ascii="宋体" w:hAnsi="宋体" w:cs="宋体" w:eastAsia="宋体" w:hint="default"/>
        </w:rPr>
        <w:t>[2008]216</w:t>
      </w:r>
      <w:r>
        <w:rPr/>
        <w:t>号）文批准共同发起设立的股份有限公司。企业法人</w:t>
      </w:r>
      <w:r>
        <w:rPr>
          <w:spacing w:val="-85"/>
        </w:rPr>
        <w:t> </w:t>
      </w:r>
      <w:r>
        <w:rPr>
          <w:spacing w:val="-85"/>
        </w:rPr>
      </w:r>
      <w:r>
        <w:rPr>
          <w:spacing w:val="-3"/>
        </w:rPr>
        <w:t>营业执照统一社会信用代码：</w:t>
      </w:r>
      <w:r>
        <w:rPr>
          <w:rFonts w:ascii="宋体" w:hAnsi="宋体" w:cs="宋体" w:eastAsia="宋体" w:hint="default"/>
          <w:spacing w:val="-3"/>
        </w:rPr>
        <w:t>915101006818136552</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日在深圳证券交易所上市。所属行业为计算机应用服务业。</w:t>
      </w:r>
    </w:p>
    <w:p>
      <w:pPr>
        <w:pStyle w:val="BodyText"/>
        <w:spacing w:line="316" w:lineRule="auto" w:before="19"/>
        <w:ind w:right="188" w:firstLine="362"/>
        <w:jc w:val="both"/>
      </w:pPr>
      <w:r>
        <w:rPr>
          <w:spacing w:val="-2"/>
        </w:rPr>
        <w:t>根据本公司司第三届董事会第十一次（临时）会议、</w:t>
      </w:r>
      <w:r>
        <w:rPr>
          <w:rFonts w:ascii="宋体" w:hAnsi="宋体" w:cs="宋体" w:eastAsia="宋体" w:hint="default"/>
          <w:spacing w:val="-2"/>
        </w:rPr>
        <w:t>2017</w:t>
      </w:r>
      <w:r>
        <w:rPr>
          <w:spacing w:val="-2"/>
        </w:rPr>
        <w:t>年第三次临时股东大会审议通过了《关于</w:t>
      </w:r>
      <w:r>
        <w:rPr>
          <w:rFonts w:ascii="宋体" w:hAnsi="宋体" w:cs="宋体" w:eastAsia="宋体" w:hint="default"/>
          <w:spacing w:val="-2"/>
        </w:rPr>
        <w:t>2017</w:t>
      </w:r>
      <w:r>
        <w:rPr>
          <w:spacing w:val="-2"/>
        </w:rPr>
        <w:t>年半年度利润分</w:t>
      </w:r>
      <w:r>
        <w:rPr/>
        <w:t> </w:t>
      </w:r>
      <w:r>
        <w:rPr>
          <w:spacing w:val="-2"/>
        </w:rPr>
        <w:t>配及资本公积金转增股本预案的议案》，以资本公积金向全体股东每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股，不送红股、不进行现金分红。转股后贵</w:t>
      </w:r>
      <w:r>
        <w:rPr>
          <w:spacing w:val="-64"/>
        </w:rPr>
        <w:t> </w:t>
      </w:r>
      <w:r>
        <w:rPr>
          <w:spacing w:val="-64"/>
        </w:rPr>
      </w:r>
      <w:r>
        <w:rPr/>
        <w:t>公司总股本为</w:t>
      </w:r>
      <w:r>
        <w:rPr>
          <w:rFonts w:ascii="宋体" w:hAnsi="宋体" w:cs="宋体" w:eastAsia="宋体" w:hint="default"/>
        </w:rPr>
        <w:t>16,000</w:t>
      </w:r>
      <w:r>
        <w:rPr/>
        <w:t>万股。</w:t>
      </w:r>
    </w:p>
    <w:p>
      <w:pPr>
        <w:pStyle w:val="BodyText"/>
        <w:spacing w:line="319" w:lineRule="auto" w:before="19"/>
        <w:ind w:right="194" w:firstLine="360"/>
        <w:jc w:val="both"/>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日止，本公司累计发行股本总数为</w:t>
      </w:r>
      <w:r>
        <w:rPr>
          <w:rFonts w:ascii="宋体" w:hAnsi="宋体" w:cs="宋体" w:eastAsia="宋体" w:hint="default"/>
        </w:rPr>
        <w:t>16,000</w:t>
      </w:r>
      <w:r>
        <w:rPr/>
        <w:t>万股，注册资本为</w:t>
      </w:r>
      <w:r>
        <w:rPr>
          <w:spacing w:val="-2"/>
        </w:rPr>
        <w:t> </w:t>
      </w:r>
      <w:r>
        <w:rPr>
          <w:rFonts w:ascii="宋体" w:hAnsi="宋体" w:cs="宋体" w:eastAsia="宋体" w:hint="default"/>
        </w:rPr>
        <w:t>16,000</w:t>
      </w:r>
      <w:r>
        <w:rPr/>
        <w:t>万元，注册地：成都高新区科园 一路</w:t>
      </w:r>
      <w:r>
        <w:rPr>
          <w:rFonts w:ascii="宋体" w:hAnsi="宋体" w:cs="宋体" w:eastAsia="宋体" w:hint="default"/>
        </w:rPr>
        <w:t>3</w:t>
      </w:r>
      <w:r>
        <w:rPr/>
        <w:t>号</w:t>
      </w:r>
      <w:r>
        <w:rPr>
          <w:rFonts w:ascii="宋体" w:hAnsi="宋体" w:cs="宋体" w:eastAsia="宋体" w:hint="default"/>
        </w:rPr>
        <w:t>2</w:t>
      </w:r>
      <w:r>
        <w:rPr/>
        <w:t>幢，总部地址：成都高新区科园一路</w:t>
      </w:r>
      <w:r>
        <w:rPr>
          <w:rFonts w:ascii="宋体" w:hAnsi="宋体" w:cs="宋体" w:eastAsia="宋体" w:hint="default"/>
        </w:rPr>
        <w:t>3</w:t>
      </w:r>
      <w:r>
        <w:rPr/>
        <w:t>号</w:t>
      </w:r>
      <w:r>
        <w:rPr>
          <w:rFonts w:ascii="宋体" w:hAnsi="宋体" w:cs="宋体" w:eastAsia="宋体" w:hint="default"/>
        </w:rPr>
        <w:t>2</w:t>
      </w:r>
      <w:r>
        <w:rPr/>
        <w:t>幢。</w:t>
      </w:r>
    </w:p>
    <w:p>
      <w:pPr>
        <w:pStyle w:val="BodyText"/>
        <w:spacing w:line="316" w:lineRule="auto" w:before="17"/>
        <w:ind w:right="94" w:firstLine="362"/>
        <w:jc w:val="left"/>
      </w:pPr>
      <w:r>
        <w:rPr>
          <w:spacing w:val="-2"/>
        </w:rPr>
        <w:t>本公司主要经营活动为：研制、开发、生产计算机软硬件、网络设备、办公机械、货币专用设备、机电设备（不含九座</w:t>
      </w:r>
      <w:r>
        <w:rPr/>
        <w:t> </w:t>
      </w:r>
      <w:r>
        <w:rPr>
          <w:spacing w:val="-2"/>
        </w:rPr>
        <w:t>以下乘用车）；智能弱电工程设计、施工；公共安全技术防范工程的设计、施工（以上工程类经营项目凭资质许可证从事经</w:t>
      </w:r>
      <w:r>
        <w:rPr>
          <w:spacing w:val="-67"/>
        </w:rPr>
        <w:t> </w:t>
      </w:r>
      <w:r>
        <w:rPr>
          <w:spacing w:val="-67"/>
        </w:rPr>
      </w:r>
      <w:r>
        <w:rPr>
          <w:spacing w:val="-2"/>
        </w:rPr>
        <w:t>营）；货物进出口、技术进出口；医药、医疗咨询服务；开发、销售电子产品、通讯产品（不含无线广播电视发射设备和卫</w:t>
      </w:r>
      <w:r>
        <w:rPr>
          <w:spacing w:val="-68"/>
        </w:rPr>
        <w:t> </w:t>
      </w:r>
      <w:r>
        <w:rPr>
          <w:spacing w:val="-68"/>
        </w:rPr>
      </w:r>
      <w:r>
        <w:rPr/>
        <w:t>星地面接收设备）；增值电信业务经营（未取得相关行政审批，不得开展经营活动）；零售：药品（未取得相关行政审批，</w:t>
      </w:r>
      <w:r>
        <w:rPr/>
        <w:t> </w:t>
      </w:r>
      <w:r>
        <w:rPr>
          <w:spacing w:val="-2"/>
        </w:rPr>
        <w:t>不得开展经营活动）；销售医疗器械（未取得相关行政审批，不得开展经营活动）；（依法须经批准的项目，经相关部门批</w:t>
      </w:r>
      <w:r>
        <w:rPr>
          <w:spacing w:val="-65"/>
        </w:rPr>
        <w:t> </w:t>
      </w:r>
      <w:r>
        <w:rPr>
          <w:spacing w:val="-65"/>
        </w:rPr>
      </w:r>
      <w:r>
        <w:rPr/>
        <w:t>准后方可开展经营活动）。</w:t>
      </w:r>
    </w:p>
    <w:p>
      <w:pPr>
        <w:pStyle w:val="BodyText"/>
        <w:spacing w:line="316" w:lineRule="auto" w:before="19"/>
        <w:ind w:left="604" w:right="1620" w:firstLine="2"/>
        <w:jc w:val="left"/>
      </w:pPr>
      <w:r>
        <w:rPr/>
        <w:t>本公司的母公司为四川久远投资控股集团有限公司，本公司的实际控制人为中国工程物理研究院。 本财务报表业经公司董事会于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日批准报出。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p>
    <w:tbl>
      <w:tblPr>
        <w:tblW w:w="0" w:type="auto"/>
        <w:jc w:val="left"/>
        <w:tblInd w:w="575" w:type="dxa"/>
        <w:tblLayout w:type="fixed"/>
        <w:tblCellMar>
          <w:top w:w="0" w:type="dxa"/>
          <w:left w:w="0" w:type="dxa"/>
          <w:bottom w:w="0" w:type="dxa"/>
          <w:right w:w="0" w:type="dxa"/>
        </w:tblCellMar>
        <w:tblLook w:val="01E0"/>
      </w:tblPr>
      <w:tblGrid>
        <w:gridCol w:w="7814"/>
      </w:tblGrid>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四川银海软件有限责任公司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天津银海环球信息技术有限公司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重庆久远银海软件有限公司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北京久远银海技术有限公司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北京银海奥尼思特咨询有限公司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山西久远爱思普软件股份有限公司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新疆银海鼎峰软件有限公司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四川久远银海畅辉软件有限公司</w:t>
            </w:r>
          </w:p>
        </w:tc>
      </w:tr>
      <w:tr>
        <w:trPr>
          <w:trHeight w:val="341"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四川久远国基科技有限公司</w:t>
            </w:r>
          </w:p>
        </w:tc>
      </w:tr>
      <w:tr>
        <w:trPr>
          <w:trHeight w:val="343" w:hRule="exact"/>
        </w:trPr>
        <w:tc>
          <w:tcPr>
            <w:tcW w:w="7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成都兴联汇智科技有限公司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12"/>
        <w:rPr>
          <w:rFonts w:ascii="宋体" w:hAnsi="宋体" w:cs="宋体" w:eastAsia="宋体" w:hint="default"/>
          <w:sz w:val="25"/>
          <w:szCs w:val="25"/>
        </w:rPr>
      </w:pPr>
    </w:p>
    <w:p>
      <w:pPr>
        <w:pStyle w:val="BodyText"/>
        <w:spacing w:line="626" w:lineRule="auto" w:before="44"/>
        <w:ind w:right="7834"/>
        <w:jc w:val="left"/>
      </w:pPr>
      <w:r>
        <w:rPr/>
        <w:t>四、财务报表的编制基础 </w:t>
      </w:r>
      <w:r>
        <w:rPr>
          <w:rFonts w:ascii="宋体" w:hAnsi="宋体" w:cs="宋体" w:eastAsia="宋体" w:hint="default"/>
        </w:rPr>
        <w:t>1</w:t>
      </w:r>
      <w:r>
        <w:rPr/>
        <w:t>、编制基础</w:t>
      </w:r>
    </w:p>
    <w:p>
      <w:pPr>
        <w:pStyle w:val="BodyText"/>
        <w:spacing w:line="316" w:lineRule="auto" w:before="84"/>
        <w:ind w:right="191" w:firstLine="360"/>
        <w:jc w:val="both"/>
      </w:pPr>
      <w:r>
        <w:rPr>
          <w:spacing w:val="-2"/>
        </w:rPr>
        <w:t>公司以持续经营为基础，根据实际发生的交易和事项，按照财政部颁布的《企业会计准则——基本准则》和各项具体会</w:t>
      </w:r>
      <w:r>
        <w:rPr/>
        <w:t> </w:t>
      </w:r>
      <w:r>
        <w:rPr>
          <w:spacing w:val="-2"/>
        </w:rPr>
        <w:t>计准则、企业会计准则应用指南、企业会计准则解释及其他相关规定（以下合称“企业会计准则”），以及中国证券监督管</w:t>
      </w:r>
      <w:r>
        <w:rPr>
          <w:spacing w:val="-70"/>
        </w:rPr>
        <w:t> </w:t>
      </w:r>
      <w:r>
        <w:rPr>
          <w:spacing w:val="-70"/>
        </w:rPr>
      </w:r>
      <w:r>
        <w:rPr/>
        <w:t>理委员会《公开发行证券的公司信息披露编报规则第</w:t>
      </w:r>
      <w:r>
        <w:rPr>
          <w:rFonts w:ascii="宋体" w:hAnsi="宋体" w:cs="宋体" w:eastAsia="宋体" w:hint="default"/>
        </w:rPr>
        <w:t>15</w:t>
      </w:r>
      <w:r>
        <w:rPr>
          <w:rFonts w:ascii="宋体" w:hAnsi="宋体" w:cs="宋体" w:eastAsia="宋体" w:hint="default"/>
          <w:spacing w:val="1"/>
        </w:rPr>
        <w:t> </w:t>
      </w:r>
      <w:r>
        <w:rPr/>
        <w:t>号——财务报告的一般规定》的披露规定编制财务报表。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right="99"/>
        <w:jc w:val="left"/>
      </w:pPr>
      <w:r>
        <w:rPr>
          <w:rFonts w:ascii="宋体" w:hAnsi="宋体" w:cs="宋体" w:eastAsia="宋体" w:hint="default"/>
        </w:rPr>
        <w:t>2</w:t>
      </w:r>
      <w:r>
        <w:rPr/>
        <w:t>、持续经营</w:t>
      </w:r>
    </w:p>
    <w:p>
      <w:pPr>
        <w:spacing w:line="240" w:lineRule="auto" w:before="0"/>
        <w:rPr>
          <w:rFonts w:ascii="宋体" w:hAnsi="宋体" w:cs="宋体" w:eastAsia="宋体" w:hint="default"/>
          <w:sz w:val="18"/>
          <w:szCs w:val="18"/>
        </w:rPr>
      </w:pPr>
    </w:p>
    <w:p>
      <w:pPr>
        <w:pStyle w:val="BodyText"/>
        <w:spacing w:line="316" w:lineRule="auto" w:before="141"/>
        <w:ind w:right="99" w:firstLine="360"/>
        <w:jc w:val="left"/>
      </w:pPr>
      <w:r>
        <w:rPr>
          <w:spacing w:val="-2"/>
        </w:rPr>
        <w:t>公司考虑宏观政策风险、市场经营风险、目前或长期的盈利能力、偿债能力、财务弹性等因素后，认为公司自报告期末</w:t>
      </w:r>
      <w:r>
        <w:rPr/>
        <w:t> 起至少</w:t>
      </w:r>
      <w:r>
        <w:rPr>
          <w:rFonts w:ascii="宋体" w:hAnsi="宋体" w:cs="宋体" w:eastAsia="宋体" w:hint="default"/>
        </w:rPr>
        <w:t>12</w:t>
      </w:r>
      <w:r>
        <w:rPr/>
        <w:t>个月内可持续经营。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ind w:right="99"/>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60" w:lineRule="auto" w:before="25"/>
        <w:ind w:left="513" w:right="99" w:hanging="361"/>
        <w:jc w:val="left"/>
      </w:pPr>
      <w:r>
        <w:rPr/>
        <w:t>具体会计政策和会计估计提示： </w:t>
      </w:r>
      <w:r>
        <w:rPr>
          <w:spacing w:val="-2"/>
        </w:rPr>
        <w:t>本公司及各子公司从事计算机应用服务。本公司及各子公司根据实际生产经营特点，依据相关企业会计准则的规定，对</w:t>
      </w:r>
    </w:p>
    <w:p>
      <w:pPr>
        <w:pStyle w:val="BodyText"/>
        <w:spacing w:line="236" w:lineRule="exact"/>
        <w:ind w:right="0"/>
        <w:jc w:val="left"/>
      </w:pPr>
      <w:r>
        <w:rPr/>
        <w:t>应收款项坏账准备计提、固定资产折旧、收入确认等交易或事项制定了具体会计政策与会计估计，详见本附注五之</w:t>
      </w:r>
      <w:r>
        <w:rPr>
          <w:rFonts w:ascii="Times New Roman" w:hAnsi="Times New Roman" w:cs="Times New Roman" w:eastAsia="Times New Roman" w:hint="default"/>
        </w:rPr>
        <w:t>“</w:t>
      </w:r>
      <w:r>
        <w:rPr/>
        <w:t>（十一）</w:t>
      </w:r>
    </w:p>
    <w:p>
      <w:pPr>
        <w:pStyle w:val="BodyText"/>
        <w:spacing w:line="240" w:lineRule="auto" w:before="63"/>
        <w:ind w:right="99"/>
        <w:jc w:val="left"/>
      </w:pPr>
      <w:r>
        <w:rPr/>
        <w:t>应收款项坏账准备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（十二）存货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（十六）固定资产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（二十八）收入</w:t>
      </w:r>
      <w:r>
        <w:rPr>
          <w:rFonts w:ascii="Times New Roman" w:hAnsi="Times New Roman" w:cs="Times New Roman" w:eastAsia="Times New Roman" w:hint="default"/>
        </w:rPr>
        <w:t>”</w:t>
      </w:r>
      <w:r>
        <w:rPr/>
        <w:t>等各项说明。</w:t>
      </w:r>
    </w:p>
    <w:p>
      <w:pPr>
        <w:spacing w:line="240" w:lineRule="auto" w:before="2"/>
        <w:rPr>
          <w:rFonts w:ascii="宋体" w:hAnsi="宋体" w:cs="宋体" w:eastAsia="宋体" w:hint="default"/>
          <w:sz w:val="26"/>
          <w:szCs w:val="26"/>
        </w:rPr>
      </w:pPr>
    </w:p>
    <w:p>
      <w:pPr>
        <w:pStyle w:val="Heading3"/>
        <w:spacing w:line="240" w:lineRule="auto"/>
        <w:ind w:right="99"/>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9" w:firstLine="360"/>
        <w:jc w:val="left"/>
      </w:pPr>
      <w:r>
        <w:rPr>
          <w:spacing w:val="-2"/>
        </w:rPr>
        <w:t>公司所编制的财务报表符合企业会计准则的要求，真实、完整地反映了报告期公司的财务状况、经营成果、现金流量等</w:t>
      </w:r>
      <w:r>
        <w:rPr/>
        <w:t> 有关信息。</w:t>
      </w:r>
    </w:p>
    <w:p>
      <w:pPr>
        <w:spacing w:line="240" w:lineRule="auto" w:before="10"/>
        <w:rPr>
          <w:rFonts w:ascii="宋体" w:hAnsi="宋体" w:cs="宋体" w:eastAsia="宋体" w:hint="default"/>
          <w:sz w:val="22"/>
          <w:szCs w:val="22"/>
        </w:rPr>
      </w:pPr>
    </w:p>
    <w:p>
      <w:pPr>
        <w:pStyle w:val="Heading3"/>
        <w:spacing w:line="240" w:lineRule="auto"/>
        <w:ind w:right="99"/>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9"/>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pStyle w:val="Heading3"/>
        <w:spacing w:line="240" w:lineRule="auto" w:before="121"/>
        <w:ind w:right="99"/>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9"/>
        <w:jc w:val="left"/>
      </w:pPr>
      <w:r>
        <w:rPr/>
        <w:t>本公司营业周期为</w:t>
      </w:r>
      <w:r>
        <w:rPr>
          <w:rFonts w:ascii="宋体" w:hAnsi="宋体" w:cs="宋体" w:eastAsia="宋体"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99"/>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9"/>
        <w:jc w:val="left"/>
      </w:pPr>
      <w:r>
        <w:rPr/>
        <w:t>本公司采用人民币为记账本位币。</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9"/>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2" w:firstLine="252"/>
        <w:jc w:val="both"/>
      </w:pPr>
      <w:r>
        <w:rPr/>
        <w:t>同一控制下企业合并：本公司在企业合并中取得的资产和负债，按照合并日被合并方资产、负债（包括最终控制方收购 </w:t>
      </w:r>
      <w:r>
        <w:rPr>
          <w:spacing w:val="-2"/>
        </w:rPr>
        <w:t>被合并方而形成的商誉）在最终控制方合并财务报表中的账面价值计量。在合并中取得的净资产账面价值与支付的合并对价</w:t>
      </w:r>
      <w:r>
        <w:rPr>
          <w:spacing w:val="-64"/>
        </w:rPr>
        <w:t> </w:t>
      </w:r>
      <w:r>
        <w:rPr>
          <w:spacing w:val="-64"/>
        </w:rPr>
      </w:r>
      <w:r>
        <w:rPr>
          <w:spacing w:val="-4"/>
        </w:rPr>
        <w:t>账面价值（或发行股份面值总额）的差额，调整资本公积中的股本溢价，资本公积中的股本溢价不足冲减的，调整留存收益。</w:t>
      </w:r>
    </w:p>
    <w:p>
      <w:pPr>
        <w:pStyle w:val="BodyText"/>
        <w:spacing w:line="316" w:lineRule="auto" w:before="19"/>
        <w:ind w:right="99" w:firstLine="274"/>
        <w:jc w:val="left"/>
      </w:pPr>
      <w:r>
        <w:rPr/>
        <w:t>非同一控制下企业合并：本公司在购买日对作为企业合并对价付出的资产、发生或承担的负债按照公允价值计量，公允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9"/>
        <w:ind w:right="193" w:firstLine="274"/>
        <w:jc w:val="both"/>
      </w:pPr>
      <w:r>
        <w:rPr/>
        <w:t>为企业合并发生的审计、法律服务、评估咨询等中介费用以及其他直接相关费用，于发生时计入当期损益；为企业合并 而发行权益性证券的交易费用，冲减权益。</w:t>
      </w:r>
    </w:p>
    <w:p>
      <w:pPr>
        <w:spacing w:line="240" w:lineRule="auto" w:before="11"/>
        <w:rPr>
          <w:rFonts w:ascii="宋体" w:hAnsi="宋体" w:cs="宋体" w:eastAsia="宋体" w:hint="default"/>
          <w:sz w:val="22"/>
          <w:szCs w:val="22"/>
        </w:rPr>
      </w:pPr>
    </w:p>
    <w:p>
      <w:pPr>
        <w:pStyle w:val="Heading3"/>
        <w:spacing w:line="240" w:lineRule="auto"/>
        <w:ind w:right="99"/>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489" w:right="99" w:firstLine="24"/>
        <w:jc w:val="left"/>
      </w:pPr>
      <w:r>
        <w:rPr/>
        <w:t>合并范围： </w:t>
      </w:r>
      <w:r>
        <w:rPr>
          <w:spacing w:val="-2"/>
        </w:rPr>
        <w:t>本公司合并财务报表的合并范围以控制为基础确定，所有子公司（包括本公司所控制的被投资方可分割的部分）均纳入</w:t>
      </w:r>
    </w:p>
    <w:p>
      <w:pPr>
        <w:pStyle w:val="BodyText"/>
        <w:spacing w:line="316" w:lineRule="auto" w:before="19"/>
        <w:ind w:left="513" w:right="8553" w:hanging="361"/>
        <w:jc w:val="left"/>
      </w:pPr>
      <w:r>
        <w:rPr/>
        <w:t>合并财务报表。 合并程序：</w:t>
      </w:r>
    </w:p>
    <w:p>
      <w:pPr>
        <w:pStyle w:val="BodyText"/>
        <w:spacing w:line="316" w:lineRule="auto" w:before="19"/>
        <w:ind w:right="188" w:firstLine="362"/>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9" w:lineRule="auto" w:before="19"/>
        <w:ind w:right="99" w:firstLine="274"/>
        <w:jc w:val="left"/>
      </w:pPr>
      <w:r>
        <w:rPr/>
        <w:t>所有纳入合并财务报表合并范围的子公司所采用的会计政策、会计期间与本公司一致，如子公司采用的会计政策、会计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4"/>
        </w:rPr>
        <w:t> </w:t>
      </w:r>
      <w:r>
        <w:rPr>
          <w:spacing w:val="-44"/>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7"/>
        <w:ind w:right="193" w:firstLine="274"/>
        <w:jc w:val="both"/>
      </w:pPr>
      <w:r>
        <w:rPr/>
        <w:t>子公司所有者权益、当期净损益和当期综合收益中属于少数股东的份额分别在合并资产负债表中所有者权益项目下、合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left="515" w:right="99" w:hanging="180"/>
        <w:jc w:val="left"/>
      </w:pPr>
      <w:r>
        <w:rPr/>
        <w:t>（</w:t>
      </w:r>
      <w:r>
        <w:rPr>
          <w:rFonts w:ascii="宋体" w:hAnsi="宋体" w:cs="宋体" w:eastAsia="宋体"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19"/>
        <w:ind w:right="99"/>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91" w:firstLine="362"/>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3"/>
        </w:rPr>
        <w:t> </w:t>
      </w:r>
      <w:r>
        <w:rPr>
          <w:spacing w:val="-63"/>
        </w:rPr>
      </w:r>
      <w:r>
        <w:rPr/>
        <w:t>期损益。</w:t>
      </w:r>
    </w:p>
    <w:p>
      <w:pPr>
        <w:pStyle w:val="BodyText"/>
        <w:spacing w:line="316" w:lineRule="auto" w:before="19"/>
        <w:ind w:right="190" w:firstLine="362"/>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91" w:firstLine="362"/>
        <w:jc w:val="both"/>
      </w:pPr>
      <w:r>
        <w:rPr>
          <w:spacing w:val="-2"/>
        </w:rPr>
        <w:t>因追加投资等原因能够对非同一控制下的被投资方实施控制的，对于购买日之前持有的被购买方的股权，本公司按照该</w:t>
      </w:r>
      <w:r>
        <w:rPr/>
        <w:t> 股权在购买日的公允价</w:t>
      </w:r>
      <w:r>
        <w:rPr>
          <w:spacing w:val="9"/>
        </w:rPr>
        <w:t> </w:t>
      </w:r>
      <w:r>
        <w:rPr/>
        <w:t>值进行重新计量，公允价值与其账面价值的差额计入当期投资收益。购买日之前持有的被购买方</w:t>
      </w:r>
      <w:r>
        <w:rPr/>
        <w:t> </w:t>
      </w:r>
      <w:r>
        <w:rPr>
          <w:spacing w:val="-2"/>
        </w:rPr>
        <w:t>的股权涉及权益法核算下的其他综合收益以及除净损益、其他综合收益和利润分配之外的其他所有者权益变动的，与其相关</w:t>
      </w:r>
      <w:r>
        <w:rPr>
          <w:spacing w:val="-63"/>
        </w:rPr>
        <w:t> </w:t>
      </w:r>
      <w:r>
        <w:rPr>
          <w:spacing w:val="-63"/>
        </w:rPr>
      </w:r>
      <w:r>
        <w:rPr>
          <w:spacing w:val="-2"/>
        </w:rPr>
        <w:t>的其他综合收益、其他所有者权益变动转为购买日所属当期投资收益，由于被投资方重新计量设定受益计划净负债或净资产</w:t>
      </w:r>
      <w:r>
        <w:rPr>
          <w:spacing w:val="-64"/>
        </w:rPr>
        <w:t> </w:t>
      </w:r>
      <w:r>
        <w:rPr>
          <w:spacing w:val="-64"/>
        </w:rPr>
      </w:r>
      <w:r>
        <w:rPr/>
        <w:t>变动而产生的其他综合收益除外。</w:t>
      </w:r>
    </w:p>
    <w:p>
      <w:pPr>
        <w:spacing w:after="0" w:line="319"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9"/>
        <w:jc w:val="left"/>
      </w:pPr>
      <w:r>
        <w:rPr/>
        <w:t>（</w:t>
      </w:r>
      <w:r>
        <w:rPr>
          <w:rFonts w:ascii="宋体" w:hAnsi="宋体" w:cs="宋体" w:eastAsia="宋体" w:hint="default"/>
        </w:rPr>
        <w:t>2</w:t>
      </w:r>
      <w:r>
        <w:rPr/>
        <w:t>）处置子公司或业务</w:t>
      </w:r>
    </w:p>
    <w:p>
      <w:pPr>
        <w:pStyle w:val="BodyText"/>
        <w:spacing w:line="316" w:lineRule="auto" w:before="76"/>
        <w:ind w:left="513" w:right="99" w:hanging="361"/>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99"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9"/>
        <w:ind w:left="513" w:right="99"/>
        <w:jc w:val="left"/>
      </w:pPr>
      <w:r>
        <w:rPr/>
        <w:t>因其他投资方对子公司增资而导致本公司持股比例下降从而丧失控制权的，按照上述原则进行会计处理。</w:t>
      </w:r>
    </w:p>
    <w:p>
      <w:pPr>
        <w:pStyle w:val="BodyText"/>
        <w:spacing w:line="319" w:lineRule="auto" w:before="76"/>
        <w:ind w:left="513" w:right="99" w:hanging="361"/>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6" w:lineRule="auto" w:before="17"/>
        <w:ind w:right="2614"/>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9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9" w:lineRule="auto" w:before="19"/>
        <w:ind w:right="19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16" w:lineRule="auto" w:before="17"/>
        <w:ind w:left="335" w:right="99" w:hanging="183"/>
        <w:jc w:val="left"/>
      </w:pPr>
      <w:r>
        <w:rPr/>
        <w:t>（</w:t>
      </w:r>
      <w:r>
        <w:rPr>
          <w:rFonts w:ascii="宋体" w:hAnsi="宋体" w:cs="宋体" w:eastAsia="宋体" w:hint="default"/>
        </w:rPr>
        <w:t>3</w:t>
      </w:r>
      <w:r>
        <w:rPr/>
        <w:t>）购买子公司少数股权 </w:t>
      </w:r>
      <w:r>
        <w:rPr>
          <w:spacing w:val="-2"/>
        </w:rPr>
        <w:t>本公司因购买少数股权新取得的长期股权投资与按照新增持股比例计算应享有子公司自购买日（或合并日）开始持续计算</w:t>
      </w:r>
    </w:p>
    <w:p>
      <w:pPr>
        <w:pStyle w:val="BodyText"/>
        <w:spacing w:line="316" w:lineRule="auto" w:before="19"/>
        <w:ind w:right="99"/>
        <w:jc w:val="left"/>
      </w:pPr>
      <w:r>
        <w:rPr>
          <w:spacing w:val="-2"/>
        </w:rPr>
        <w:t>的净资产份额之间的差额，调整合并资产负债表中的资本公积中的股本溢价，资本公积中的股本溢价不足冲减的，调整留存</w:t>
      </w:r>
      <w:r>
        <w:rPr>
          <w:spacing w:val="-63"/>
        </w:rPr>
        <w:t> </w:t>
      </w:r>
      <w:r>
        <w:rPr>
          <w:spacing w:val="-63"/>
        </w:rPr>
      </w:r>
      <w:r>
        <w:rPr/>
        <w:t>收益。</w:t>
      </w:r>
    </w:p>
    <w:p>
      <w:pPr>
        <w:pStyle w:val="BodyText"/>
        <w:spacing w:line="316" w:lineRule="auto" w:before="19"/>
        <w:ind w:left="426" w:right="180" w:hanging="275"/>
        <w:jc w:val="left"/>
      </w:pPr>
      <w:r>
        <w:rPr/>
        <w:t>（</w:t>
      </w:r>
      <w:r>
        <w:rPr>
          <w:rFonts w:ascii="宋体" w:hAnsi="宋体" w:cs="宋体" w:eastAsia="宋体" w:hint="default"/>
        </w:rPr>
        <w:t>4</w:t>
      </w:r>
      <w:r>
        <w:rPr/>
        <w:t>）不丧失控制权的情况下部分处置对子公司的股权投资 在不丧失控制权的情况下因部分处置对子公司的长期股权投资而取得的处置价款与处置长期股权投资相对应享有子公司</w:t>
      </w:r>
    </w:p>
    <w:p>
      <w:pPr>
        <w:pStyle w:val="BodyText"/>
        <w:spacing w:line="316" w:lineRule="auto" w:before="19"/>
        <w:ind w:right="99"/>
        <w:jc w:val="left"/>
      </w:pPr>
      <w:r>
        <w:rPr>
          <w:spacing w:val="-2"/>
        </w:rPr>
        <w:t>自购买日或合并日开始持续计算的净资产份额之间的差额，调整合并资产负债表中的资本公积中的股本溢价，资本公积中的</w:t>
      </w:r>
      <w:r>
        <w:rPr>
          <w:spacing w:val="-64"/>
        </w:rPr>
        <w:t> </w:t>
      </w:r>
      <w:r>
        <w:rPr>
          <w:spacing w:val="-64"/>
        </w:rPr>
      </w:r>
      <w:r>
        <w:rPr/>
        <w:t>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99"/>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265" w:right="1781"/>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265" w:right="99"/>
        <w:jc w:val="left"/>
      </w:pPr>
      <w:r>
        <w:rPr/>
        <w:t>（</w:t>
      </w:r>
      <w:r>
        <w:rPr>
          <w:rFonts w:ascii="宋体" w:hAnsi="宋体" w:cs="宋体" w:eastAsia="宋体" w:hint="default"/>
        </w:rPr>
        <w:t>1</w:t>
      </w:r>
      <w:r>
        <w:rPr/>
        <w:t>）确认本公司单独所持有的资产，以及按本公司份额确认共同持有的资产；</w:t>
      </w:r>
    </w:p>
    <w:p>
      <w:pPr>
        <w:pStyle w:val="BodyText"/>
        <w:spacing w:line="240" w:lineRule="auto" w:before="76"/>
        <w:ind w:left="265" w:right="99"/>
        <w:jc w:val="left"/>
      </w:pPr>
      <w:r>
        <w:rPr/>
        <w:t>（</w:t>
      </w: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left="265" w:right="99"/>
        <w:jc w:val="left"/>
      </w:pPr>
      <w:r>
        <w:rPr/>
        <w:t>（</w:t>
      </w:r>
      <w:r>
        <w:rPr>
          <w:rFonts w:ascii="宋体" w:hAnsi="宋体" w:cs="宋体" w:eastAsia="宋体" w:hint="default"/>
        </w:rPr>
        <w:t>3</w:t>
      </w:r>
      <w:r>
        <w:rPr/>
        <w:t>）确认出售本公司享有的共同经营产出份额所产生的收入；</w:t>
      </w:r>
    </w:p>
    <w:p>
      <w:pPr>
        <w:pStyle w:val="BodyText"/>
        <w:spacing w:line="240" w:lineRule="auto" w:before="76"/>
        <w:ind w:left="265" w:right="99"/>
        <w:jc w:val="left"/>
      </w:pPr>
      <w:r>
        <w:rPr/>
        <w:t>（</w:t>
      </w:r>
      <w:r>
        <w:rPr>
          <w:rFonts w:ascii="宋体" w:hAnsi="宋体" w:cs="宋体" w:eastAsia="宋体" w:hint="default"/>
        </w:rPr>
        <w:t>4</w:t>
      </w:r>
      <w:r>
        <w:rPr/>
        <w:t>）按本公司份额确认共同经营因出售产出所产生的收入；</w:t>
      </w:r>
    </w:p>
    <w:p>
      <w:pPr>
        <w:pStyle w:val="BodyText"/>
        <w:spacing w:line="297" w:lineRule="auto" w:before="76"/>
        <w:ind w:left="265" w:right="3551"/>
        <w:jc w:val="left"/>
        <w:rPr>
          <w:sz w:val="21"/>
          <w:szCs w:val="21"/>
        </w:rPr>
      </w:pPr>
      <w:r>
        <w:rPr/>
        <w:t>（</w:t>
      </w:r>
      <w:r>
        <w:rPr>
          <w:rFonts w:ascii="宋体" w:hAnsi="宋体" w:cs="宋体" w:eastAsia="宋体" w:hint="default"/>
        </w:rPr>
        <w:t>5</w:t>
      </w:r>
      <w:r>
        <w:rPr/>
        <w:t>）确认单独所发生的费用，以及按本公司份额确认共同经营发生的费用。 本公司对合营企业投资的会计政策见本附注“五、（十四）长期股权投资”</w:t>
      </w:r>
      <w:r>
        <w:rPr>
          <w:sz w:val="21"/>
          <w:szCs w:val="21"/>
        </w:rPr>
        <w:t>。</w:t>
      </w:r>
    </w:p>
    <w:p>
      <w:pPr>
        <w:spacing w:after="0" w:line="297" w:lineRule="auto"/>
        <w:jc w:val="left"/>
        <w:rPr>
          <w:sz w:val="21"/>
          <w:szCs w:val="21"/>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5"/>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37" w:right="0" w:hanging="20"/>
        <w:jc w:val="left"/>
      </w:pPr>
      <w:r>
        <w:rPr/>
        <w:t>外币业务采用交易发生日的即期汇率作为折算汇率将外币金额折合成人民币记账。 资产负债表日外币货币性项目余额按资产负债表日即期汇率折算，由此产生的汇兑差额，除属于与购建符合资本化条</w:t>
      </w:r>
    </w:p>
    <w:p>
      <w:pPr>
        <w:pStyle w:val="BodyText"/>
        <w:spacing w:line="240" w:lineRule="auto" w:before="19"/>
        <w:ind w:left="265" w:right="0"/>
        <w:jc w:val="left"/>
      </w:pPr>
      <w:r>
        <w:rPr/>
        <w:t>件的资产相关的外币专门借款产生的汇兑差额按照借款费用资本化的原则处理外，均计入当期损益。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65" w:right="0"/>
        <w:jc w:val="left"/>
      </w:pPr>
      <w:r>
        <w:rPr/>
        <w:t>金融工具包括金融资产、金融负债和权益工具。</w:t>
      </w:r>
    </w:p>
    <w:p>
      <w:pPr>
        <w:pStyle w:val="BodyText"/>
        <w:spacing w:line="316" w:lineRule="auto" w:before="76"/>
        <w:ind w:left="628" w:right="0" w:hanging="363"/>
        <w:jc w:val="left"/>
      </w:pPr>
      <w:r>
        <w:rPr/>
        <w:t>（</w:t>
      </w:r>
      <w:r>
        <w:rPr>
          <w:rFonts w:ascii="宋体" w:hAnsi="宋体" w:cs="宋体" w:eastAsia="宋体" w:hint="default"/>
        </w:rPr>
        <w:t>1</w:t>
      </w:r>
      <w:r>
        <w:rPr/>
        <w:t>）金融工具的分类 </w:t>
      </w:r>
      <w:r>
        <w:rPr>
          <w:spacing w:val="-1"/>
        </w:rPr>
        <w:t>金融资产和金融负债于初始确认时分类为：以公允价值计量且其变动计入当期损益的金融资产或金融负债，包括交易</w:t>
      </w:r>
    </w:p>
    <w:p>
      <w:pPr>
        <w:pStyle w:val="BodyText"/>
        <w:spacing w:line="316" w:lineRule="auto" w:before="19"/>
        <w:ind w:left="265" w:right="0"/>
        <w:jc w:val="left"/>
      </w:pPr>
      <w:r>
        <w:rPr>
          <w:spacing w:val="-1"/>
        </w:rPr>
        <w:t>性金融资产或金融负债和直接指定为以公允价值计量且其变动计入当期损益的金融资产或金融负债；持有至到期投资；应</w:t>
      </w:r>
      <w:r>
        <w:rPr>
          <w:spacing w:val="-55"/>
        </w:rPr>
        <w:t> </w:t>
      </w:r>
      <w:r>
        <w:rPr>
          <w:spacing w:val="-55"/>
        </w:rPr>
      </w:r>
      <w:r>
        <w:rPr/>
        <w:t>收款项；可供出售金融资产；其他金融负债等。</w:t>
      </w:r>
    </w:p>
    <w:p>
      <w:pPr>
        <w:pStyle w:val="BodyText"/>
        <w:spacing w:line="240" w:lineRule="auto" w:before="19"/>
        <w:ind w:left="357" w:right="0"/>
        <w:jc w:val="left"/>
      </w:pPr>
      <w:r>
        <w:rPr/>
        <w:t>（</w:t>
      </w:r>
      <w:r>
        <w:rPr>
          <w:rFonts w:ascii="宋体" w:hAnsi="宋体" w:cs="宋体" w:eastAsia="宋体" w:hint="default"/>
        </w:rPr>
        <w:t>2</w:t>
      </w:r>
      <w:r>
        <w:rPr/>
        <w:t>）金融工具的确认依据和计量方法</w:t>
      </w:r>
    </w:p>
    <w:p>
      <w:pPr>
        <w:pStyle w:val="BodyText"/>
        <w:spacing w:line="316" w:lineRule="auto" w:before="76"/>
        <w:ind w:left="265" w:right="0" w:firstLine="91"/>
        <w:jc w:val="left"/>
      </w:pPr>
      <w:r>
        <w:rPr/>
        <w:t>（</w:t>
      </w:r>
      <w:r>
        <w:rPr>
          <w:rFonts w:ascii="宋体" w:hAnsi="宋体" w:cs="宋体" w:eastAsia="宋体" w:hint="default"/>
        </w:rPr>
        <w:t>A</w:t>
      </w:r>
      <w:r>
        <w:rPr/>
        <w:t>）以公允价值计量且其变动计入当期损益的金融资产（金融负债） </w:t>
      </w:r>
      <w:r>
        <w:rPr>
          <w:spacing w:val="-1"/>
        </w:rPr>
        <w:t>取得时以公允价值（扣除已宣告但尚未发放的现金股利或已到付息期但尚未领取的债券利息）作为初始确认金额，相关的</w:t>
      </w:r>
      <w:r>
        <w:rPr>
          <w:spacing w:val="-52"/>
        </w:rPr>
        <w:t> </w:t>
      </w:r>
      <w:r>
        <w:rPr>
          <w:spacing w:val="-52"/>
        </w:rPr>
      </w:r>
      <w:r>
        <w:rPr/>
        <w:t>交易费用计入当期损益。</w:t>
      </w:r>
    </w:p>
    <w:p>
      <w:pPr>
        <w:pStyle w:val="BodyText"/>
        <w:spacing w:line="316" w:lineRule="auto" w:before="19"/>
        <w:ind w:left="265" w:right="2101"/>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6" w:lineRule="auto" w:before="19"/>
        <w:ind w:left="265" w:right="0"/>
        <w:jc w:val="left"/>
      </w:pPr>
      <w:r>
        <w:rPr/>
        <w:t>（</w:t>
      </w:r>
      <w:r>
        <w:rPr>
          <w:rFonts w:ascii="宋体" w:hAnsi="宋体" w:cs="宋体" w:eastAsia="宋体" w:hint="default"/>
        </w:rPr>
        <w:t>B</w:t>
      </w:r>
      <w:r>
        <w:rPr/>
        <w:t>）持有至到期投资 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持有期间按照摊余成本和实际利率计算确认利息收入，计入投资收益。实际利率在取得时确定，在该预期存续期间或适用</w:t>
      </w:r>
      <w:r>
        <w:rPr>
          <w:spacing w:val="-51"/>
        </w:rPr>
        <w:t> </w:t>
      </w:r>
      <w:r>
        <w:rPr>
          <w:spacing w:val="-51"/>
        </w:rPr>
      </w:r>
      <w:r>
        <w:rPr/>
        <w:t>的更短期间内保持不变。</w:t>
      </w:r>
    </w:p>
    <w:p>
      <w:pPr>
        <w:pStyle w:val="BodyText"/>
        <w:spacing w:line="240" w:lineRule="auto" w:before="19"/>
        <w:ind w:left="265" w:right="0"/>
        <w:jc w:val="left"/>
      </w:pPr>
      <w:r>
        <w:rPr/>
        <w:t>处置时，将所取得价款与该投资账面价值之间的差额计入投资收益。</w:t>
      </w:r>
    </w:p>
    <w:p>
      <w:pPr>
        <w:pStyle w:val="BodyText"/>
        <w:spacing w:line="319" w:lineRule="auto" w:before="76"/>
        <w:ind w:left="265" w:right="0"/>
        <w:jc w:val="left"/>
      </w:pPr>
      <w:r>
        <w:rPr/>
        <w:t>（</w:t>
      </w:r>
      <w:r>
        <w:rPr>
          <w:rFonts w:ascii="宋体" w:hAnsi="宋体" w:cs="宋体" w:eastAsia="宋体" w:hint="default"/>
        </w:rPr>
        <w:t>C</w:t>
      </w:r>
      <w:r>
        <w:rPr/>
        <w:t>）应收款项 </w:t>
      </w:r>
      <w:r>
        <w:rPr>
          <w:spacing w:val="2"/>
        </w:rPr>
        <w:t>公司对外销售商品或提供劳务形成的应收债权，以及公司持有的其他企业的不包括在活跃市场上有报价的债务工具的债</w:t>
      </w:r>
      <w:r>
        <w:rPr>
          <w:spacing w:val="-59"/>
        </w:rPr>
        <w:t> </w:t>
      </w:r>
      <w:r>
        <w:rPr>
          <w:spacing w:val="-59"/>
        </w:rPr>
      </w:r>
      <w:r>
        <w:rPr>
          <w:spacing w:val="-1"/>
        </w:rPr>
        <w:t>权，包括应收账款、其他应收款等，以向购货方应收的合同或协议价款作为初始确认金额；具有融资性质的，按其现值进</w:t>
      </w:r>
      <w:r>
        <w:rPr>
          <w:spacing w:val="-58"/>
        </w:rPr>
        <w:t> </w:t>
      </w:r>
      <w:r>
        <w:rPr>
          <w:spacing w:val="-58"/>
        </w:rPr>
      </w:r>
      <w:r>
        <w:rPr/>
        <w:t>行初始确认。</w:t>
      </w:r>
    </w:p>
    <w:p>
      <w:pPr>
        <w:pStyle w:val="BodyText"/>
        <w:spacing w:line="240" w:lineRule="auto" w:before="17"/>
        <w:ind w:left="265" w:right="0"/>
        <w:jc w:val="left"/>
      </w:pPr>
      <w:r>
        <w:rPr/>
        <w:t>收回或处置时，将取得的价款与该应收款项账面价值之间的差额计入当期损益。</w:t>
      </w:r>
    </w:p>
    <w:p>
      <w:pPr>
        <w:pStyle w:val="BodyText"/>
        <w:spacing w:line="316" w:lineRule="auto" w:before="76"/>
        <w:ind w:left="265" w:right="0"/>
        <w:jc w:val="left"/>
      </w:pPr>
      <w:r>
        <w:rPr/>
        <w:t>（</w:t>
      </w:r>
      <w:r>
        <w:rPr>
          <w:rFonts w:ascii="宋体" w:hAnsi="宋体" w:cs="宋体" w:eastAsia="宋体" w:hint="default"/>
        </w:rPr>
        <w:t>D</w:t>
      </w:r>
      <w:r>
        <w:rPr/>
        <w:t>）可供出售金融资产 </w:t>
      </w:r>
      <w:r>
        <w:rPr>
          <w:spacing w:val="-1"/>
        </w:rPr>
        <w:t>取得时按公允价值（扣除已宣告但尚未发放的现金股利或已到付息期但尚未领取的债券利息）和相关交易费用之和作为初</w:t>
      </w:r>
      <w:r>
        <w:rPr>
          <w:spacing w:val="-52"/>
        </w:rPr>
        <w:t> </w:t>
      </w:r>
      <w:r>
        <w:rPr>
          <w:spacing w:val="-52"/>
        </w:rPr>
      </w:r>
      <w:r>
        <w:rPr/>
        <w:t>始确认金额。 </w:t>
      </w:r>
      <w:r>
        <w:rPr>
          <w:spacing w:val="-1"/>
        </w:rPr>
        <w:t>持有期间将取得的利息或现金股利确认为投资收益。期末以公允价值计量且将公允价值变动计入其他综合收益。但是，在</w:t>
      </w:r>
      <w:r>
        <w:rPr>
          <w:spacing w:val="-52"/>
        </w:rPr>
        <w:t> </w:t>
      </w:r>
      <w:r>
        <w:rPr>
          <w:spacing w:val="-52"/>
        </w:rPr>
      </w:r>
      <w:r>
        <w:rPr>
          <w:spacing w:val="-1"/>
        </w:rPr>
        <w:t>活跃市场中没有报价且其公允价值不能可靠计量的权益工具投资，以及与该权益工具挂钩并须通过交付该权益工具结算的</w:t>
      </w:r>
      <w:r>
        <w:rPr>
          <w:spacing w:val="-54"/>
        </w:rPr>
        <w:t> </w:t>
      </w:r>
      <w:r>
        <w:rPr>
          <w:spacing w:val="-54"/>
        </w:rPr>
      </w:r>
      <w:r>
        <w:rPr/>
        <w:t>衍生金融资产，按照成本计量。 </w:t>
      </w:r>
      <w:r>
        <w:rPr>
          <w:spacing w:val="-1"/>
        </w:rPr>
        <w:t>处置时，将取得的价款与该金融资产账面价值之间的差额，计入投资损益；同时，将原直接计入其他综合收益的公允价值</w:t>
      </w:r>
      <w:r>
        <w:rPr>
          <w:spacing w:val="-55"/>
        </w:rPr>
        <w:t> </w:t>
      </w:r>
      <w:r>
        <w:rPr>
          <w:spacing w:val="-55"/>
        </w:rPr>
      </w:r>
      <w:r>
        <w:rPr/>
        <w:t>变动累计额对应处置部分的金额转出，计入当期损益。</w:t>
      </w:r>
    </w:p>
    <w:p>
      <w:pPr>
        <w:pStyle w:val="BodyText"/>
        <w:spacing w:line="316" w:lineRule="auto" w:before="19"/>
        <w:ind w:left="265" w:right="3001"/>
        <w:jc w:val="left"/>
      </w:pPr>
      <w:r>
        <w:rPr/>
        <w:t>（</w:t>
      </w:r>
      <w:r>
        <w:rPr>
          <w:rFonts w:ascii="宋体" w:hAnsi="宋体" w:cs="宋体" w:eastAsia="宋体" w:hint="default"/>
        </w:rPr>
        <w:t>E</w:t>
      </w:r>
      <w:r>
        <w:rPr/>
        <w:t>）其他金融负债 按其公允价值和相关交易费用之和作为初始确认金额。采用摊余成本进行后续计量。</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628" w:right="158" w:hanging="363"/>
        <w:jc w:val="left"/>
      </w:pPr>
      <w:r>
        <w:rPr>
          <w:rFonts w:ascii="宋体" w:hAnsi="宋体" w:cs="宋体" w:eastAsia="宋体" w:hint="default"/>
        </w:rPr>
        <w:t>(3)</w:t>
      </w:r>
      <w:r>
        <w:rPr/>
        <w:t>金融资产转移的确认依据和计量方法 公司发生金融资产转移时，如已将金融资产所有权上几乎所有的风险和报酬转移给转入方，则终止确认该金融资产；</w:t>
      </w:r>
    </w:p>
    <w:p>
      <w:pPr>
        <w:pStyle w:val="BodyText"/>
        <w:spacing w:line="316" w:lineRule="auto" w:before="19"/>
        <w:ind w:left="628" w:right="99" w:hanging="363"/>
        <w:jc w:val="left"/>
      </w:pPr>
      <w:r>
        <w:rPr/>
        <w:t>如保留了金融资产所有权上几乎所有的风险和报酬的，则不终止确认该金融资产。 </w:t>
      </w:r>
      <w:r>
        <w:rPr>
          <w:spacing w:val="-1"/>
        </w:rPr>
        <w:t>在判断金融资产转移是否满足上述金融资产终止确认条件时，采用实质重于形式的原则。公司将金融资产转移区分为</w:t>
      </w:r>
    </w:p>
    <w:p>
      <w:pPr>
        <w:pStyle w:val="BodyText"/>
        <w:spacing w:line="240" w:lineRule="auto" w:before="19"/>
        <w:ind w:left="265" w:right="99"/>
        <w:jc w:val="left"/>
      </w:pPr>
      <w:r>
        <w:rPr/>
        <w:t>金融资产整体转移和部分转移。金融资产整体转移满足终止确认条件的，将下列两项金额的差额计入当期损益：</w:t>
      </w:r>
    </w:p>
    <w:p>
      <w:pPr>
        <w:pStyle w:val="BodyText"/>
        <w:spacing w:line="240" w:lineRule="auto" w:before="76"/>
        <w:ind w:left="265" w:right="99"/>
        <w:jc w:val="left"/>
      </w:pPr>
      <w:r>
        <w:rPr/>
        <w:t>（</w:t>
      </w:r>
      <w:r>
        <w:rPr>
          <w:rFonts w:ascii="宋体" w:hAnsi="宋体" w:cs="宋体" w:eastAsia="宋体" w:hint="default"/>
        </w:rPr>
        <w:t>A</w:t>
      </w:r>
      <w:r>
        <w:rPr/>
        <w:t>）所转移金融资产的账面价值；</w:t>
      </w:r>
    </w:p>
    <w:p>
      <w:pPr>
        <w:pStyle w:val="BodyText"/>
        <w:spacing w:line="316" w:lineRule="auto" w:before="76"/>
        <w:ind w:left="265" w:right="99"/>
        <w:jc w:val="left"/>
      </w:pPr>
      <w:r>
        <w:rPr/>
        <w:t>（</w:t>
      </w:r>
      <w:r>
        <w:rPr>
          <w:rFonts w:ascii="宋体" w:hAnsi="宋体" w:cs="宋体" w:eastAsia="宋体" w:hint="default"/>
        </w:rPr>
        <w:t>B</w:t>
      </w:r>
      <w:r>
        <w:rPr/>
        <w:t>）因转移而收到的对价，与原直接计入所有者权益的公允价值变动累计额（涉及转移的金融资产为可供出售金融资产</w:t>
      </w:r>
      <w:r>
        <w:rPr>
          <w:spacing w:val="-26"/>
        </w:rPr>
        <w:t> </w:t>
      </w:r>
      <w:r>
        <w:rPr>
          <w:spacing w:val="-26"/>
        </w:rPr>
      </w:r>
      <w:r>
        <w:rPr/>
        <w:t>的情形）之和。</w:t>
      </w:r>
    </w:p>
    <w:p>
      <w:pPr>
        <w:pStyle w:val="BodyText"/>
        <w:spacing w:line="316" w:lineRule="auto" w:before="19"/>
        <w:ind w:left="265" w:right="99" w:firstLine="362"/>
        <w:jc w:val="left"/>
      </w:pPr>
      <w:r>
        <w:rPr>
          <w:spacing w:val="-3"/>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19"/>
        <w:ind w:left="265" w:right="99"/>
        <w:jc w:val="left"/>
      </w:pPr>
      <w:r>
        <w:rPr/>
        <w:t>（</w:t>
      </w:r>
      <w:r>
        <w:rPr>
          <w:rFonts w:ascii="宋体" w:hAnsi="宋体" w:cs="宋体" w:eastAsia="宋体" w:hint="default"/>
        </w:rPr>
        <w:t>A</w:t>
      </w:r>
      <w:r>
        <w:rPr/>
        <w:t>）终止确认部分的账面价值；</w:t>
      </w:r>
    </w:p>
    <w:p>
      <w:pPr>
        <w:pStyle w:val="BodyText"/>
        <w:spacing w:line="316" w:lineRule="auto" w:before="77"/>
        <w:ind w:left="265" w:right="99"/>
        <w:jc w:val="left"/>
      </w:pPr>
      <w:r>
        <w:rPr/>
        <w:t>（</w:t>
      </w:r>
      <w:r>
        <w:rPr>
          <w:rFonts w:ascii="宋体" w:hAnsi="宋体" w:cs="宋体" w:eastAsia="宋体" w:hint="default"/>
        </w:rPr>
        <w:t>B</w:t>
      </w:r>
      <w:r>
        <w:rPr/>
        <w:t>）终止确认部分的对价，与原直接计入所有者权益的公允价值变动累计额中对应终止确认部分的金额（涉及转移的金</w:t>
      </w:r>
      <w:r>
        <w:rPr>
          <w:spacing w:val="-26"/>
        </w:rPr>
        <w:t> </w:t>
      </w:r>
      <w:r>
        <w:rPr>
          <w:spacing w:val="-26"/>
        </w:rPr>
      </w:r>
      <w:r>
        <w:rPr/>
        <w:t>融资产为可供出售金融资产的情形）之和。 金融资产转移不满足终止确认条件的，继续确认该金融资产，所收到的对价确认为一项金融负债。 </w:t>
      </w:r>
      <w:r>
        <w:rPr>
          <w:rFonts w:ascii="宋体" w:hAnsi="宋体" w:cs="宋体" w:eastAsia="宋体" w:hint="default"/>
        </w:rPr>
        <w:t>(4)</w:t>
      </w:r>
      <w:r>
        <w:rPr/>
        <w:t>金融负债终止确认条件</w:t>
      </w:r>
    </w:p>
    <w:p>
      <w:pPr>
        <w:pStyle w:val="BodyText"/>
        <w:spacing w:line="316" w:lineRule="auto" w:before="19"/>
        <w:ind w:left="265" w:right="89" w:firstLine="362"/>
        <w:jc w:val="left"/>
      </w:pPr>
      <w:r>
        <w:rPr/>
        <w:t>金融负债的现时义务全部或部分已经解除的，则终止确认该金融负债或其一部分；本公司若与债权人签定协议，以承 </w:t>
      </w:r>
      <w:r>
        <w:rPr>
          <w:spacing w:val="-2"/>
        </w:rPr>
        <w:t>担新金融负债方式替换现存金融负债，且新金融负债与现存金融负债的合同条款实质上不同的，则终止确认现存金融负债，</w:t>
      </w:r>
      <w:r>
        <w:rPr>
          <w:spacing w:val="-88"/>
        </w:rPr>
        <w:t> </w:t>
      </w:r>
      <w:r>
        <w:rPr>
          <w:spacing w:val="-88"/>
        </w:rPr>
      </w:r>
      <w:r>
        <w:rPr/>
        <w:t>并同时确认新金融负债。</w:t>
      </w:r>
    </w:p>
    <w:p>
      <w:pPr>
        <w:pStyle w:val="BodyText"/>
        <w:spacing w:line="316" w:lineRule="auto" w:before="19"/>
        <w:ind w:left="265" w:right="99" w:firstLine="362"/>
        <w:jc w:val="left"/>
      </w:pPr>
      <w:r>
        <w:rPr>
          <w:spacing w:val="-1"/>
        </w:rPr>
        <w:t>对现存金融负债全部或部分合同条款作出实质性修改的，则终止确认现存金融负债或其一部分，同时将修改条款后的</w:t>
      </w:r>
      <w:r>
        <w:rPr/>
        <w:t> 金融负债确认为一项新金融负债。</w:t>
      </w:r>
    </w:p>
    <w:p>
      <w:pPr>
        <w:pStyle w:val="BodyText"/>
        <w:spacing w:line="319" w:lineRule="auto" w:before="19"/>
        <w:ind w:left="265" w:right="99" w:firstLine="362"/>
        <w:jc w:val="left"/>
      </w:pPr>
      <w:r>
        <w:rPr>
          <w:spacing w:val="-1"/>
        </w:rPr>
        <w:t>金融负债全部或部分终止确认时，终止确认的金融负债账面价值与支付对价（包括转出的非现金资产或承担的新金融</w:t>
      </w:r>
      <w:r>
        <w:rPr/>
        <w:t> 负债）之间的差额，计入当期损益。</w:t>
      </w:r>
    </w:p>
    <w:p>
      <w:pPr>
        <w:pStyle w:val="BodyText"/>
        <w:spacing w:line="316" w:lineRule="auto" w:before="17"/>
        <w:ind w:left="265" w:right="192" w:firstLine="362"/>
        <w:jc w:val="both"/>
      </w:pPr>
      <w:r>
        <w:rPr>
          <w:spacing w:val="-1"/>
        </w:rPr>
        <w:t>本公司若回购部分金融负债的，在回购日按照继续确认部分与终止确认部分的相对公允价值，将该金融负债整体的账</w:t>
      </w:r>
      <w:r>
        <w:rPr/>
        <w:t> </w:t>
      </w:r>
      <w:r>
        <w:rPr>
          <w:spacing w:val="-1"/>
        </w:rPr>
        <w:t>面价值进行分配。分配给终止确认部分的账面价值与支付的对价（包括转出的非现金资产或承担的新金融负债）之间的差</w:t>
      </w:r>
      <w:r>
        <w:rPr>
          <w:spacing w:val="-52"/>
        </w:rPr>
        <w:t> </w:t>
      </w:r>
      <w:r>
        <w:rPr>
          <w:spacing w:val="-52"/>
        </w:rPr>
      </w:r>
      <w:r>
        <w:rPr/>
        <w:t>额，计入当期损益。</w:t>
      </w:r>
    </w:p>
    <w:p>
      <w:pPr>
        <w:pStyle w:val="BodyText"/>
        <w:spacing w:line="316" w:lineRule="auto" w:before="19"/>
        <w:ind w:left="717" w:right="99" w:hanging="452"/>
        <w:jc w:val="left"/>
      </w:pPr>
      <w:r>
        <w:rPr>
          <w:rFonts w:ascii="宋体" w:hAnsi="宋体" w:cs="宋体" w:eastAsia="宋体" w:hint="default"/>
        </w:rPr>
        <w:t>(5)</w:t>
      </w:r>
      <w:r>
        <w:rPr/>
        <w:t>金融资产和金融负债的公允价值的确定方法 存在活跃市场的金融工具，以活跃市场中的报价确定其公允价值。不存在活跃市场的金融工具，采用估值技术确定</w:t>
      </w:r>
    </w:p>
    <w:p>
      <w:pPr>
        <w:pStyle w:val="BodyText"/>
        <w:spacing w:line="316" w:lineRule="auto" w:before="19"/>
        <w:ind w:left="265" w:right="99"/>
        <w:jc w:val="left"/>
      </w:pPr>
      <w:r>
        <w:rPr>
          <w:spacing w:val="-1"/>
        </w:rPr>
        <w:t>其公允价值。在估值时，本公司采用在当前情况下适用并且有足够可利用数据和其他信息支持的估值技术，选择与市场参</w:t>
      </w:r>
      <w:r>
        <w:rPr>
          <w:spacing w:val="-52"/>
        </w:rPr>
        <w:t> </w:t>
      </w:r>
      <w:r>
        <w:rPr>
          <w:spacing w:val="-52"/>
        </w:rPr>
      </w:r>
      <w:r>
        <w:rPr>
          <w:spacing w:val="-1"/>
        </w:rPr>
        <w:t>与者在相关资产或负债的交易中所考虑的资产或负债特征相一致的输入值，并优先使用相关可观察输入值。只有在相关可</w:t>
      </w:r>
      <w:r>
        <w:rPr>
          <w:spacing w:val="-53"/>
        </w:rPr>
        <w:t> </w:t>
      </w:r>
      <w:r>
        <w:rPr>
          <w:spacing w:val="-53"/>
        </w:rPr>
      </w:r>
      <w:r>
        <w:rPr/>
        <w:t>观察输入值无法取得或取得不切实可行的情况下，才使用不可观察输入值。 </w:t>
      </w:r>
      <w:r>
        <w:rPr>
          <w:rFonts w:ascii="宋体" w:hAnsi="宋体" w:cs="宋体" w:eastAsia="宋体" w:hint="default"/>
        </w:rPr>
        <w:t>(6)</w:t>
      </w:r>
      <w:r>
        <w:rPr/>
        <w:t>金融资产（不含应收款项）减值的测试方法及会计处理方法</w:t>
      </w:r>
    </w:p>
    <w:p>
      <w:pPr>
        <w:pStyle w:val="BodyText"/>
        <w:spacing w:line="319" w:lineRule="auto" w:before="19"/>
        <w:ind w:left="265" w:right="99" w:firstLine="362"/>
        <w:jc w:val="left"/>
      </w:pPr>
      <w:r>
        <w:rPr>
          <w:spacing w:val="-1"/>
        </w:rPr>
        <w:t>除以公允价值计量且其变动计入当期损益的金融资产外，本公司于资产负债表日对金融资产的账面价值进行检查，如</w:t>
      </w:r>
      <w:r>
        <w:rPr/>
        <w:t> 果有客观证据表明某项金融资产发生减值的，计提减值准备。</w:t>
      </w:r>
    </w:p>
    <w:p>
      <w:pPr>
        <w:pStyle w:val="BodyText"/>
        <w:spacing w:line="316" w:lineRule="auto" w:before="17"/>
        <w:ind w:left="628" w:right="99" w:hanging="363"/>
        <w:jc w:val="left"/>
      </w:pPr>
      <w:r>
        <w:rPr/>
        <w:t>（</w:t>
      </w:r>
      <w:r>
        <w:rPr>
          <w:rFonts w:ascii="宋体" w:hAnsi="宋体" w:cs="宋体" w:eastAsia="宋体" w:hint="default"/>
        </w:rPr>
        <w:t>A</w:t>
      </w:r>
      <w:r>
        <w:rPr/>
        <w:t>）可供出售金融资产的减值准备： </w:t>
      </w:r>
      <w:r>
        <w:rPr>
          <w:spacing w:val="-1"/>
        </w:rPr>
        <w:t>期末如果可供出售金融资产的公允价值发生严重下降，或在综合考虑各种相关因素后，预期这种下降趋势属于非暂时</w:t>
      </w:r>
    </w:p>
    <w:p>
      <w:pPr>
        <w:pStyle w:val="BodyText"/>
        <w:spacing w:line="316" w:lineRule="auto" w:before="19"/>
        <w:ind w:left="628" w:right="99" w:hanging="363"/>
        <w:jc w:val="left"/>
      </w:pPr>
      <w:r>
        <w:rPr/>
        <w:t>性的，就认定其已发生减值，将原直接计入所有者权益的公允价值下降形成的累计损失一并转出，确认减值损失。 </w:t>
      </w:r>
      <w:r>
        <w:rPr>
          <w:spacing w:val="-1"/>
        </w:rPr>
        <w:t>对于已确认减值损失的可供出售债务工具，在随后的会计期间公允价值已上升且客观上与确认原减值损失确认后发生</w:t>
      </w:r>
    </w:p>
    <w:p>
      <w:pPr>
        <w:pStyle w:val="BodyText"/>
        <w:spacing w:line="316" w:lineRule="auto" w:before="19"/>
        <w:ind w:left="265" w:right="4841"/>
        <w:jc w:val="left"/>
      </w:pPr>
      <w:r>
        <w:rPr/>
        <w:t>的事项有关的，原确认的减值损失予以转回，计入当期损益。 可供出售权益工具投资发生的减值损失，不通过损益转回。</w:t>
      </w:r>
    </w:p>
    <w:p>
      <w:pPr>
        <w:pStyle w:val="BodyText"/>
        <w:spacing w:line="316" w:lineRule="auto" w:before="19"/>
        <w:ind w:left="265" w:right="4121"/>
        <w:jc w:val="left"/>
      </w:pPr>
      <w:r>
        <w:rPr/>
        <w:t>（</w:t>
      </w:r>
      <w:r>
        <w:rPr>
          <w:rFonts w:ascii="宋体" w:hAnsi="宋体" w:cs="宋体" w:eastAsia="宋体" w:hint="default"/>
        </w:rPr>
        <w:t>B</w:t>
      </w:r>
      <w:r>
        <w:rPr/>
        <w:t>）持有至到期投资的减值准备： 持有至到期投资减值损失的计量比照应收款项减值损失计量方法处理。</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133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除已单独计提减值准备以外的应收账款和其他应收款，公司 根据以前年度与之相同或相类似的、按账龄段划分的具有类 似信用风险特征的应收款项组合的实际损失率为基础，结合 现时情况分析法确定坏账准备计提的比例。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164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年末对于不适用按类似信用风险特征组合的应收票据、预付 账款和长期应收款均进行单项减值测试。如有客观证据表明 其发生了减值的，根据其未来现金流量现值低于其账面价值 的差额，确认减值损失，计提坏账准备。如经减值测试未发 现减值的，则不计提坏账准备。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的应收款应进行单项减值测试。</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结合现时情况分析法确认坏账准备计提的比例。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14"/>
        <w:jc w:val="left"/>
      </w:pPr>
      <w:r>
        <w:rPr/>
        <w:t>公司是否需要遵守特殊行业的披露要求 否</w:t>
      </w:r>
    </w:p>
    <w:p>
      <w:pPr>
        <w:pStyle w:val="BodyText"/>
        <w:spacing w:line="300" w:lineRule="auto" w:before="29"/>
        <w:ind w:left="424" w:right="5002" w:hanging="272"/>
        <w:jc w:val="left"/>
      </w:pPr>
      <w:r>
        <w:rPr>
          <w:rFonts w:ascii="Times New Roman" w:hAnsi="Times New Roman" w:cs="Times New Roman" w:eastAsia="Times New Roman" w:hint="default"/>
        </w:rPr>
        <w:t>(1)</w:t>
      </w:r>
      <w:r>
        <w:rPr/>
        <w:t>存货的分类</w:t>
      </w:r>
      <w:r>
        <w:rPr>
          <w:w w:val="99"/>
        </w:rPr>
        <w:t> </w:t>
      </w:r>
      <w:r>
        <w:rPr/>
        <w:t>存货分类为：原材料、周转材料、库存商品、在产品等。</w:t>
      </w:r>
    </w:p>
    <w:p>
      <w:pPr>
        <w:pStyle w:val="BodyText"/>
        <w:spacing w:line="300" w:lineRule="auto" w:before="31"/>
        <w:ind w:left="424" w:right="6982" w:hanging="272"/>
        <w:jc w:val="left"/>
      </w:pPr>
      <w:r>
        <w:rPr>
          <w:rFonts w:ascii="Times New Roman" w:hAnsi="Times New Roman" w:cs="Times New Roman" w:eastAsia="Times New Roman" w:hint="default"/>
        </w:rPr>
        <w:t>(2)</w:t>
      </w:r>
      <w:r>
        <w:rPr/>
        <w:t>发出存货的计价方法</w:t>
      </w:r>
      <w:r>
        <w:rPr>
          <w:w w:val="99"/>
        </w:rPr>
        <w:t> </w:t>
      </w:r>
      <w:r>
        <w:rPr/>
        <w:t>存货发出时按个别认定法计价。</w:t>
      </w:r>
    </w:p>
    <w:p>
      <w:pPr>
        <w:pStyle w:val="BodyText"/>
        <w:spacing w:line="300" w:lineRule="auto" w:before="31"/>
        <w:ind w:left="448" w:right="0" w:hanging="296"/>
        <w:jc w:val="left"/>
      </w:pPr>
      <w:r>
        <w:rPr>
          <w:rFonts w:ascii="Times New Roman" w:hAnsi="Times New Roman" w:cs="Times New Roman" w:eastAsia="Times New Roman" w:hint="default"/>
        </w:rPr>
        <w:t>(3)</w:t>
      </w:r>
      <w:r>
        <w:rPr/>
        <w:t>不同类别存货可变现净值的确定依据</w:t>
      </w:r>
      <w:r>
        <w:rPr>
          <w:w w:val="99"/>
        </w:rPr>
        <w:t> </w:t>
      </w:r>
      <w:r>
        <w:rPr>
          <w:spacing w:val="-1"/>
        </w:rPr>
        <w:t>产成品、库存商品和用于出售的材料等直接用于出售的商品存货，在正常生产经营过程中，以该存货的估计售价减去估</w:t>
      </w:r>
    </w:p>
    <w:p>
      <w:pPr>
        <w:pStyle w:val="BodyText"/>
        <w:spacing w:line="319" w:lineRule="auto" w:before="31"/>
        <w:ind w:right="15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5"/>
        </w:rPr>
        <w:t> </w:t>
      </w:r>
      <w:r>
        <w:rPr>
          <w:spacing w:val="-65"/>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6" w:lineRule="auto" w:before="17"/>
        <w:ind w:right="150" w:firstLine="362"/>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594" w:firstLine="360"/>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3"/>
        <w:rPr>
          <w:rFonts w:ascii="宋体" w:hAnsi="宋体" w:cs="宋体" w:eastAsia="宋体" w:hint="default"/>
          <w:sz w:val="26"/>
          <w:szCs w:val="26"/>
        </w:rPr>
      </w:pPr>
    </w:p>
    <w:p>
      <w:pPr>
        <w:pStyle w:val="BodyText"/>
        <w:spacing w:line="283" w:lineRule="auto"/>
        <w:ind w:right="8154"/>
        <w:jc w:val="left"/>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rPr>
        <w:t>4)</w:t>
      </w:r>
      <w:r>
        <w:rPr/>
        <w:t>存货的盘存制度</w:t>
      </w:r>
      <w:r>
        <w:rPr>
          <w:w w:val="99"/>
        </w:rPr>
        <w:t> </w:t>
      </w:r>
      <w:r>
        <w:rPr/>
        <w:t>采用永续盘存制。</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rFonts w:ascii="Times New Roman" w:hAnsi="Times New Roman" w:cs="Times New Roman" w:eastAsia="Times New Roman" w:hint="default"/>
        </w:rPr>
        <w:t>(5)</w:t>
      </w:r>
      <w:r>
        <w:rPr/>
        <w:t>低值易耗品和包装物的摊销方法</w:t>
      </w:r>
    </w:p>
    <w:p>
      <w:pPr>
        <w:pStyle w:val="BodyText"/>
        <w:spacing w:line="240" w:lineRule="auto" w:before="63"/>
        <w:ind w:left="265" w:right="0"/>
        <w:jc w:val="left"/>
      </w:pPr>
      <w:r>
        <w:rPr/>
        <w:t>（</w:t>
      </w:r>
      <w:r>
        <w:rPr>
          <w:rFonts w:ascii="Times New Roman" w:hAnsi="Times New Roman" w:cs="Times New Roman" w:eastAsia="Times New Roman" w:hint="default"/>
        </w:rPr>
        <w:t>A</w:t>
      </w:r>
      <w:r>
        <w:rPr/>
        <w:t>）低值易耗品采用一次转销法；</w:t>
      </w:r>
    </w:p>
    <w:p>
      <w:pPr>
        <w:pStyle w:val="BodyText"/>
        <w:spacing w:line="240" w:lineRule="auto" w:before="63"/>
        <w:ind w:left="265" w:right="0"/>
        <w:jc w:val="left"/>
      </w:pPr>
      <w:r>
        <w:rPr/>
        <w:t>（</w:t>
      </w:r>
      <w:r>
        <w:rPr>
          <w:rFonts w:ascii="Times New Roman" w:hAnsi="Times New Roman" w:cs="Times New Roman" w:eastAsia="Times New Roman" w:hint="default"/>
        </w:rPr>
        <w:t>B</w:t>
      </w:r>
      <w:r>
        <w:rPr/>
        <w:t>）包装物采用一次转销法。</w:t>
      </w:r>
    </w:p>
    <w:p>
      <w:pPr>
        <w:spacing w:line="240" w:lineRule="auto" w:before="0"/>
        <w:rPr>
          <w:rFonts w:ascii="宋体" w:hAnsi="宋体" w:cs="宋体" w:eastAsia="宋体" w:hint="default"/>
          <w:sz w:val="18"/>
          <w:szCs w:val="18"/>
        </w:rPr>
      </w:pPr>
    </w:p>
    <w:p>
      <w:pPr>
        <w:pStyle w:val="BodyText"/>
        <w:spacing w:line="607" w:lineRule="auto" w:before="129"/>
        <w:ind w:right="8334"/>
        <w:jc w:val="left"/>
      </w:pPr>
      <w:r>
        <w:rPr>
          <w:rFonts w:ascii="Times New Roman" w:hAnsi="Times New Roman" w:cs="Times New Roman" w:eastAsia="Times New Roman" w:hint="default"/>
        </w:rPr>
        <w:t>13</w:t>
      </w:r>
      <w:r>
        <w:rPr/>
        <w:t>、持有待售资产 无 </w:t>
      </w:r>
      <w:r>
        <w:rPr>
          <w:rFonts w:ascii="Times New Roman" w:hAnsi="Times New Roman" w:cs="Times New Roman" w:eastAsia="Times New Roman" w:hint="default"/>
        </w:rPr>
        <w:t>14</w:t>
      </w:r>
      <w:r>
        <w:rPr/>
        <w:t>、长期股权投资</w:t>
      </w:r>
    </w:p>
    <w:p>
      <w:pPr>
        <w:pStyle w:val="BodyText"/>
        <w:spacing w:line="300" w:lineRule="auto" w:before="58"/>
        <w:ind w:left="626" w:right="0" w:hanging="474"/>
        <w:jc w:val="left"/>
      </w:pPr>
      <w:r>
        <w:rPr/>
        <w:t>（</w:t>
      </w:r>
      <w:r>
        <w:rPr>
          <w:rFonts w:ascii="Times New Roman" w:hAnsi="Times New Roman" w:cs="Times New Roman" w:eastAsia="Times New Roman" w:hint="default"/>
        </w:rPr>
        <w:t>1</w:t>
      </w:r>
      <w:r>
        <w:rPr/>
        <w:t>）共同控制、重大影响的判断标准 </w:t>
      </w:r>
      <w:r>
        <w:rPr>
          <w:spacing w:val="-1"/>
        </w:rPr>
        <w:t>共同控制，是指按照相关约定对某项安排所共有的控制，并且该安排的相关活动必须经过分享控制权的参与方一致同</w:t>
      </w:r>
    </w:p>
    <w:p>
      <w:pPr>
        <w:pStyle w:val="BodyText"/>
        <w:spacing w:line="316" w:lineRule="auto" w:before="31"/>
        <w:ind w:left="265" w:right="0"/>
        <w:jc w:val="left"/>
      </w:pPr>
      <w:r>
        <w:rPr>
          <w:spacing w:val="-1"/>
        </w:rPr>
        <w:t>意后才能决策。本公司与其他合营方一同对被投资单位实施共同控制且对被投资单位净资产享有权利的，被投资单位为本</w:t>
      </w:r>
      <w:r>
        <w:rPr>
          <w:spacing w:val="-52"/>
        </w:rPr>
        <w:t> </w:t>
      </w:r>
      <w:r>
        <w:rPr>
          <w:spacing w:val="-52"/>
        </w:rPr>
      </w:r>
      <w:r>
        <w:rPr/>
        <w:t>公司的合营企业。</w:t>
      </w:r>
    </w:p>
    <w:p>
      <w:pPr>
        <w:pStyle w:val="BodyText"/>
        <w:spacing w:line="316" w:lineRule="auto" w:before="19"/>
        <w:ind w:left="265" w:right="0" w:firstLine="360"/>
        <w:jc w:val="left"/>
      </w:pPr>
      <w:r>
        <w:rPr>
          <w:spacing w:val="-1"/>
        </w:rPr>
        <w:t>重大影响，是指对一个企业的财务和经营决策有参与决策的权力，但并不能够控制或者与其他方一起共同控制这些政</w:t>
      </w:r>
      <w:r>
        <w:rPr/>
        <w:t> 策的制定。本公司能够对被投资单位施加重大影响的，被投资单位为本公司联营企业。</w:t>
      </w:r>
    </w:p>
    <w:p>
      <w:pPr>
        <w:spacing w:line="240" w:lineRule="auto" w:before="4"/>
        <w:rPr>
          <w:rFonts w:ascii="宋体" w:hAnsi="宋体" w:cs="宋体" w:eastAsia="宋体" w:hint="default"/>
          <w:sz w:val="25"/>
          <w:szCs w:val="25"/>
        </w:rPr>
      </w:pPr>
    </w:p>
    <w:p>
      <w:pPr>
        <w:pStyle w:val="BodyText"/>
        <w:spacing w:line="240" w:lineRule="auto"/>
        <w:ind w:right="0"/>
        <w:jc w:val="left"/>
      </w:pPr>
      <w:r>
        <w:rPr/>
        <w:t>（</w:t>
      </w:r>
      <w:r>
        <w:rPr>
          <w:rFonts w:ascii="Times New Roman" w:hAnsi="Times New Roman" w:cs="Times New Roman" w:eastAsia="Times New Roman" w:hint="default"/>
        </w:rPr>
        <w:t>2</w:t>
      </w:r>
      <w:r>
        <w:rPr/>
        <w:t>）初始投资成本的确定</w:t>
      </w:r>
    </w:p>
    <w:p>
      <w:pPr>
        <w:pStyle w:val="BodyText"/>
        <w:spacing w:line="300" w:lineRule="auto" w:before="63"/>
        <w:ind w:left="626" w:right="120" w:hanging="361"/>
        <w:jc w:val="left"/>
      </w:pPr>
      <w:r>
        <w:rPr/>
        <w:t>（</w:t>
      </w:r>
      <w:r>
        <w:rPr>
          <w:rFonts w:ascii="Times New Roman" w:hAnsi="Times New Roman" w:cs="Times New Roman" w:eastAsia="Times New Roman" w:hint="default"/>
        </w:rPr>
        <w:t>A</w:t>
      </w:r>
      <w:r>
        <w:rPr/>
        <w:t>）企业合并形成的长期股权投资 同一控制下的企业合并：公司以支付现金、转让非现金资产或承担债务方式以及以发行权益性证券作为合并对价的，</w:t>
      </w:r>
    </w:p>
    <w:p>
      <w:pPr>
        <w:pStyle w:val="BodyText"/>
        <w:spacing w:line="240" w:lineRule="auto" w:before="31"/>
        <w:ind w:left="265" w:right="0"/>
        <w:jc w:val="left"/>
      </w:pPr>
      <w:r>
        <w:rPr>
          <w:spacing w:val="2"/>
        </w:rPr>
        <w:t>在合并日按照取得被合并方所有者权益在最终控制方合并财务报表中的账面价值的份额作为长期股权投资的初始投资成</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265" w:right="152"/>
        <w:jc w:val="both"/>
      </w:pPr>
      <w:r>
        <w:rPr>
          <w:spacing w:val="-1"/>
        </w:rPr>
        <w:t>本。因追加投资等原因能够对同一控制下的被投资单位实施控制的，在合并日根据合并后应享有被合并方净资产在最终控</w:t>
      </w:r>
      <w:r>
        <w:rPr>
          <w:spacing w:val="-52"/>
        </w:rPr>
        <w:t> </w:t>
      </w:r>
      <w:r>
        <w:rPr>
          <w:spacing w:val="-52"/>
        </w:rPr>
      </w:r>
      <w:r>
        <w:rPr>
          <w:spacing w:val="-1"/>
        </w:rPr>
        <w:t>制方合并财务报表中的账面价值的份额，确定长期股权投资的初始投资成本。合并日长期股权投资的初始投资成本，与达</w:t>
      </w:r>
      <w:r>
        <w:rPr>
          <w:spacing w:val="-52"/>
        </w:rPr>
        <w:t> </w:t>
      </w:r>
      <w:r>
        <w:rPr>
          <w:spacing w:val="-52"/>
        </w:rPr>
      </w:r>
      <w:r>
        <w:rPr>
          <w:spacing w:val="-1"/>
        </w:rPr>
        <w:t>到合并前的长期股权投资账面价值加上合并日进一步取得股份新支付对价的账面价值之和的差额，调整股本溢价，股本溢</w:t>
      </w:r>
      <w:r>
        <w:rPr>
          <w:spacing w:val="-56"/>
        </w:rPr>
        <w:t> </w:t>
      </w:r>
      <w:r>
        <w:rPr>
          <w:spacing w:val="-56"/>
        </w:rPr>
      </w:r>
      <w:r>
        <w:rPr/>
        <w:t>价不足冲减的，冲减留存收益。</w:t>
      </w:r>
    </w:p>
    <w:p>
      <w:pPr>
        <w:pStyle w:val="BodyText"/>
        <w:spacing w:line="316" w:lineRule="auto" w:before="19"/>
        <w:ind w:left="265" w:right="151" w:firstLine="360"/>
        <w:jc w:val="both"/>
      </w:pPr>
      <w:r>
        <w:rPr>
          <w:spacing w:val="-1"/>
        </w:rPr>
        <w:t>非同一控制下的企业合并：公司按照购买日确定的合并成本作为长期股权投资的初始投资成本。因追加投资等原因能</w:t>
      </w:r>
      <w:r>
        <w:rPr/>
        <w:t> </w:t>
      </w:r>
      <w:r>
        <w:rPr>
          <w:spacing w:val="-1"/>
        </w:rPr>
        <w:t>够对非同一控制下的被投资单位实施控制的，按照原持有的股权投资账面价值加上新增投资成本之和，作为改按成本法核</w:t>
      </w:r>
      <w:r>
        <w:rPr>
          <w:spacing w:val="-52"/>
        </w:rPr>
        <w:t> </w:t>
      </w:r>
      <w:r>
        <w:rPr>
          <w:spacing w:val="-52"/>
        </w:rPr>
      </w:r>
      <w:r>
        <w:rPr/>
        <w:t>算的初始投资成本。</w:t>
      </w:r>
    </w:p>
    <w:p>
      <w:pPr>
        <w:pStyle w:val="BodyText"/>
        <w:spacing w:line="309" w:lineRule="auto" w:before="19"/>
        <w:ind w:left="626" w:right="1920" w:hanging="361"/>
        <w:jc w:val="left"/>
      </w:pPr>
      <w:r>
        <w:rPr/>
        <w:t>（</w:t>
      </w:r>
      <w:r>
        <w:rPr>
          <w:rFonts w:ascii="Times New Roman" w:hAnsi="Times New Roman" w:cs="Times New Roman" w:eastAsia="Times New Roman" w:hint="default"/>
        </w:rPr>
        <w:t>B</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9" w:lineRule="auto" w:before="24"/>
        <w:ind w:left="265" w:right="152" w:firstLine="360"/>
        <w:jc w:val="both"/>
      </w:pPr>
      <w:r>
        <w:rPr>
          <w:spacing w:val="-1"/>
        </w:rPr>
        <w:t>在非货币性资产交换具备商业实质和换入资产或换出资产的公允价值能够可靠计量的前提下，非货币性资产交换换入</w:t>
      </w:r>
      <w:r>
        <w:rPr/>
        <w:t> </w:t>
      </w:r>
      <w:r>
        <w:rPr>
          <w:spacing w:val="-1"/>
        </w:rPr>
        <w:t>的长期股权投资以换出资产的公允价值和应支付的相关税费确定其初始投资成本，除非有确凿证据表明换入资产的公允价</w:t>
      </w:r>
      <w:r>
        <w:rPr>
          <w:spacing w:val="-54"/>
        </w:rPr>
        <w:t> </w:t>
      </w:r>
      <w:r>
        <w:rPr>
          <w:spacing w:val="-54"/>
        </w:rPr>
      </w:r>
      <w:r>
        <w:rPr>
          <w:spacing w:val="-1"/>
        </w:rPr>
        <w:t>值更加可靠；不满足上述前提的非货币性资产交换，以换出资产的账面价值和应支付的相关税费作为换入长期股权投资的</w:t>
      </w:r>
      <w:r>
        <w:rPr>
          <w:spacing w:val="-52"/>
        </w:rPr>
        <w:t> </w:t>
      </w:r>
      <w:r>
        <w:rPr>
          <w:spacing w:val="-52"/>
        </w:rPr>
      </w:r>
      <w:r>
        <w:rPr/>
        <w:t>初始投资成本。</w:t>
      </w:r>
    </w:p>
    <w:p>
      <w:pPr>
        <w:pStyle w:val="BodyText"/>
        <w:spacing w:line="240" w:lineRule="auto" w:before="17"/>
        <w:ind w:left="626"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626" w:right="0" w:hanging="361"/>
        <w:jc w:val="left"/>
      </w:pPr>
      <w:r>
        <w:rPr/>
        <w:t>（</w:t>
      </w:r>
      <w:r>
        <w:rPr>
          <w:rFonts w:ascii="Times New Roman" w:hAnsi="Times New Roman" w:cs="Times New Roman" w:eastAsia="Times New Roman" w:hint="default"/>
        </w:rPr>
        <w:t>A</w:t>
      </w:r>
      <w:r>
        <w:rPr/>
        <w:t>）成本法核算的长期股权投资 </w:t>
      </w:r>
      <w:r>
        <w:rPr>
          <w:spacing w:val="-1"/>
        </w:rPr>
        <w:t>公司对子公司的长期股权投资，采用成本法核算。除取得投资时实际支付的价款或对价中包含的已宣告但尚未发放的</w:t>
      </w:r>
    </w:p>
    <w:p>
      <w:pPr>
        <w:pStyle w:val="BodyText"/>
        <w:spacing w:line="240" w:lineRule="auto" w:before="31"/>
        <w:ind w:left="265" w:right="0"/>
        <w:jc w:val="left"/>
      </w:pPr>
      <w:r>
        <w:rPr/>
        <w:t>现金股利或利润外，公司按照享有被投资单位宣告发放的现金股利或利润确认当期投资收益。</w:t>
      </w:r>
    </w:p>
    <w:p>
      <w:pPr>
        <w:pStyle w:val="BodyText"/>
        <w:spacing w:line="300" w:lineRule="auto" w:before="76"/>
        <w:ind w:left="626" w:right="0" w:hanging="361"/>
        <w:jc w:val="left"/>
      </w:pPr>
      <w:r>
        <w:rPr/>
        <w:t>（</w:t>
      </w:r>
      <w:r>
        <w:rPr>
          <w:rFonts w:ascii="Times New Roman" w:hAnsi="Times New Roman" w:cs="Times New Roman" w:eastAsia="Times New Roman" w:hint="default"/>
        </w:rPr>
        <w:t>B</w:t>
      </w:r>
      <w:r>
        <w:rPr/>
        <w:t>）权益法核算的长期股权投资 </w:t>
      </w:r>
      <w:r>
        <w:rPr>
          <w:spacing w:val="-1"/>
        </w:rPr>
        <w:t>对联营企业和合营企业的长期股权投资，采用权益法核算。初始投资成本大于投资时应享有被投资单位可辨认净资产</w:t>
      </w:r>
    </w:p>
    <w:p>
      <w:pPr>
        <w:pStyle w:val="BodyText"/>
        <w:spacing w:line="316" w:lineRule="auto" w:before="31"/>
        <w:ind w:left="265" w:right="153"/>
        <w:jc w:val="both"/>
      </w:pPr>
      <w:r>
        <w:rPr>
          <w:spacing w:val="-1"/>
        </w:rPr>
        <w:t>公允价值份额的差额，不调整长期股权投资的初始投资成本；初始投资成本小于投资时应享有被投资单位可辨认净资产公</w:t>
      </w:r>
      <w:r>
        <w:rPr>
          <w:spacing w:val="-53"/>
        </w:rPr>
        <w:t> </w:t>
      </w:r>
      <w:r>
        <w:rPr>
          <w:spacing w:val="-53"/>
        </w:rPr>
      </w:r>
      <w:r>
        <w:rPr/>
        <w:t>允价值份额的差额，计入当期损益。</w:t>
      </w:r>
    </w:p>
    <w:p>
      <w:pPr>
        <w:pStyle w:val="BodyText"/>
        <w:spacing w:line="316" w:lineRule="auto" w:before="19"/>
        <w:ind w:left="265" w:right="152" w:firstLine="360"/>
        <w:jc w:val="both"/>
      </w:pPr>
      <w:r>
        <w:rPr>
          <w:spacing w:val="-1"/>
        </w:rPr>
        <w:t>公司按照应享有或应分担的被投资单位实现的净损益和其他综合收益的份额，分别确认投资收益和其他综合收益，同</w:t>
      </w:r>
      <w:r>
        <w:rPr/>
        <w:t> </w:t>
      </w:r>
      <w:r>
        <w:rPr>
          <w:spacing w:val="-1"/>
        </w:rPr>
        <w:t>时调整长期股权投资的账面价值；按照被投资单位宣告分派的利润或现金股利计算应享有的部分，相应减少长期股权投资</w:t>
      </w:r>
      <w:r>
        <w:rPr>
          <w:spacing w:val="-53"/>
        </w:rPr>
        <w:t> </w:t>
      </w:r>
      <w:r>
        <w:rPr>
          <w:spacing w:val="-53"/>
        </w:rPr>
      </w:r>
      <w:r>
        <w:rPr>
          <w:spacing w:val="-1"/>
        </w:rPr>
        <w:t>的账面价值；对于被投资单位除净损益、其他综合收益和利润分配以外所有者权益的其他变动，调整长期股权投资的账面</w:t>
      </w:r>
      <w:r>
        <w:rPr>
          <w:spacing w:val="-52"/>
        </w:rPr>
        <w:t> </w:t>
      </w:r>
      <w:r>
        <w:rPr>
          <w:spacing w:val="-52"/>
        </w:rPr>
      </w:r>
      <w:r>
        <w:rPr/>
        <w:t>价值并计入所有者权益。</w:t>
      </w:r>
    </w:p>
    <w:p>
      <w:pPr>
        <w:pStyle w:val="BodyText"/>
        <w:spacing w:line="316" w:lineRule="auto" w:before="19"/>
        <w:ind w:left="265" w:right="152" w:firstLine="360"/>
        <w:jc w:val="both"/>
      </w:pPr>
      <w:r>
        <w:rPr>
          <w:spacing w:val="-1"/>
        </w:rPr>
        <w:t>在确认应享有被投资单位净损益的份额时，以取得投资时被投资单位可辨认净资产的公允价值为基础，并按照公司的</w:t>
      </w:r>
      <w:r>
        <w:rPr/>
        <w:t> </w:t>
      </w:r>
      <w:r>
        <w:rPr>
          <w:spacing w:val="-1"/>
        </w:rPr>
        <w:t>会计政策及会计期间，对被投资单位的净利润进行调整后确认。在持有投资期间，被投资单位编制合并财务报表的，以合</w:t>
      </w:r>
      <w:r>
        <w:rPr>
          <w:spacing w:val="-55"/>
        </w:rPr>
        <w:t> </w:t>
      </w:r>
      <w:r>
        <w:rPr>
          <w:spacing w:val="-55"/>
        </w:rPr>
      </w:r>
      <w:r>
        <w:rPr/>
        <w:t>并财务报表中的净利润、其他综合收益和其他所有者权益变动中归属于被投资单位的金额为基础进行核算。</w:t>
      </w:r>
    </w:p>
    <w:p>
      <w:pPr>
        <w:pStyle w:val="BodyText"/>
        <w:spacing w:line="312" w:lineRule="auto" w:before="19"/>
        <w:ind w:left="265" w:right="138" w:firstLine="360"/>
        <w:jc w:val="both"/>
      </w:pPr>
      <w:r>
        <w:rPr>
          <w:spacing w:val="-1"/>
        </w:rPr>
        <w:t>公司与联营企业、合营企业之间发生的未实现内部交易损益按照应享有的比例计算归属于公司的部分，予以抵销，在</w:t>
      </w:r>
      <w:r>
        <w:rPr/>
        <w:t> 此基础上确认投资收益。与被投资单位发生的未实现内部交易损失，属于资产减值损失的，全额确认。公司与联营企业、 </w:t>
      </w:r>
      <w:r>
        <w:rPr>
          <w:spacing w:val="-2"/>
        </w:rPr>
        <w:t>合营企业之间发生投出或出售资产的交易，该资产构成业务的，按照本附注</w:t>
      </w:r>
      <w:r>
        <w:rPr>
          <w:rFonts w:ascii="Times New Roman" w:hAnsi="Times New Roman" w:cs="Times New Roman" w:eastAsia="Times New Roman" w:hint="default"/>
          <w:spacing w:val="-2"/>
        </w:rPr>
        <w:t>“</w:t>
      </w:r>
      <w:r>
        <w:rPr>
          <w:spacing w:val="-2"/>
        </w:rPr>
        <w:t>三、（五）同一控制下和非同一控制下企业合</w:t>
      </w:r>
      <w:r>
        <w:rPr>
          <w:spacing w:val="-82"/>
        </w:rPr>
        <w:t> </w:t>
      </w:r>
      <w:r>
        <w:rPr>
          <w:spacing w:val="-82"/>
        </w:rPr>
      </w:r>
      <w:r>
        <w:rPr>
          <w:spacing w:val="-3"/>
          <w:w w:val="100"/>
        </w:rPr>
        <w:t>并的会计处理方法</w:t>
      </w:r>
      <w:r>
        <w:rPr>
          <w:rFonts w:ascii="Times New Roman" w:hAnsi="Times New Roman" w:cs="Times New Roman" w:eastAsia="Times New Roman" w:hint="default"/>
          <w:spacing w:val="-3"/>
          <w:w w:val="100"/>
        </w:rPr>
        <w:t>”</w:t>
      </w:r>
      <w:r>
        <w:rPr>
          <w:spacing w:val="-3"/>
          <w:w w:val="100"/>
        </w:rPr>
        <w:t>和</w:t>
      </w:r>
      <w:r>
        <w:rPr>
          <w:rFonts w:ascii="Times New Roman" w:hAnsi="Times New Roman" w:cs="Times New Roman" w:eastAsia="Times New Roman" w:hint="default"/>
          <w:spacing w:val="-3"/>
          <w:w w:val="100"/>
        </w:rPr>
        <w:t>“</w:t>
      </w:r>
      <w:r>
        <w:rPr>
          <w:spacing w:val="-3"/>
          <w:w w:val="100"/>
        </w:rPr>
        <w:t>三、（六）合并财务报表的编制方法</w:t>
      </w:r>
      <w:r>
        <w:rPr>
          <w:rFonts w:ascii="Times New Roman" w:hAnsi="Times New Roman" w:cs="Times New Roman" w:eastAsia="Times New Roman" w:hint="default"/>
          <w:spacing w:val="-3"/>
          <w:w w:val="100"/>
        </w:rPr>
        <w:t>”</w:t>
      </w:r>
      <w:r>
        <w:rPr>
          <w:spacing w:val="-3"/>
          <w:w w:val="100"/>
        </w:rPr>
        <w:t>中披露的相关政策进行会计处理。</w:t>
      </w:r>
    </w:p>
    <w:p>
      <w:pPr>
        <w:pStyle w:val="BodyText"/>
        <w:spacing w:line="316" w:lineRule="auto" w:before="3"/>
        <w:ind w:left="265" w:right="138" w:firstLine="360"/>
        <w:jc w:val="both"/>
      </w:pPr>
      <w:r>
        <w:rPr/>
        <w:t>在公司确认应分担被投资单位发生的亏损时，按照以下顺序进行处理：首先，冲减长期股权投资的账面价值。其次， </w:t>
      </w:r>
      <w:r>
        <w:rPr>
          <w:spacing w:val="-1"/>
        </w:rPr>
        <w:t>长期股权投资的账面价值不足以冲减的，以其他实质上构成对被投资单位净投资的长期权益账面价值为限继续确认投资损</w:t>
      </w:r>
      <w:r>
        <w:rPr>
          <w:spacing w:val="-54"/>
        </w:rPr>
        <w:t> </w:t>
      </w:r>
      <w:r>
        <w:rPr>
          <w:spacing w:val="-54"/>
        </w:rPr>
      </w:r>
      <w:r>
        <w:rPr>
          <w:spacing w:val="-1"/>
        </w:rPr>
        <w:t>失，冲减长期应收项目等的账面价值。最后，经过上述处理，按照投资合同或协议约定企业仍承担额外义务的，按预计承</w:t>
      </w:r>
      <w:r>
        <w:rPr>
          <w:spacing w:val="-55"/>
        </w:rPr>
        <w:t> </w:t>
      </w:r>
      <w:r>
        <w:rPr>
          <w:spacing w:val="-55"/>
        </w:rPr>
      </w:r>
      <w:r>
        <w:rPr/>
        <w:t>担的义务确认预计负债，计入当期投资损失。</w:t>
      </w:r>
    </w:p>
    <w:p>
      <w:pPr>
        <w:pStyle w:val="BodyText"/>
        <w:spacing w:line="300" w:lineRule="auto" w:before="19"/>
        <w:ind w:left="626" w:right="3540" w:hanging="361"/>
        <w:jc w:val="left"/>
      </w:pPr>
      <w:r>
        <w:rPr/>
        <w:t>（</w:t>
      </w:r>
      <w:r>
        <w:rPr>
          <w:rFonts w:ascii="Times New Roman" w:hAnsi="Times New Roman" w:cs="Times New Roman" w:eastAsia="Times New Roman" w:hint="default"/>
        </w:rPr>
        <w:t>C</w:t>
      </w:r>
      <w:r>
        <w:rPr/>
        <w:t>）长期股权投资的处置 处置长期股权投资，其账面价值与实际取得价款的差额，计入当期损益。</w:t>
      </w:r>
    </w:p>
    <w:p>
      <w:pPr>
        <w:pStyle w:val="BodyText"/>
        <w:spacing w:line="319" w:lineRule="auto" w:before="31"/>
        <w:ind w:left="265" w:right="152" w:firstLine="360"/>
        <w:jc w:val="both"/>
      </w:pPr>
      <w:r>
        <w:rPr>
          <w:spacing w:val="-1"/>
        </w:rPr>
        <w:t>采用权益法核算的长期股权投资，在处置该项投资时，采用与被投资单位直接处置相关资产或负债相同的基础，按相</w:t>
      </w:r>
      <w:r>
        <w:rPr/>
        <w:t> </w:t>
      </w:r>
      <w:r>
        <w:rPr>
          <w:spacing w:val="-1"/>
        </w:rPr>
        <w:t>应比例对原计入其他综合收益的部分进行会计处理。因被投资单位除净损益、其他综合收益和利润分配以外的其他所有者</w:t>
      </w:r>
      <w:r>
        <w:rPr>
          <w:spacing w:val="-53"/>
        </w:rPr>
        <w:t> </w:t>
      </w:r>
      <w:r>
        <w:rPr>
          <w:spacing w:val="-53"/>
        </w:rPr>
      </w:r>
      <w:r>
        <w:rPr>
          <w:spacing w:val="-1"/>
        </w:rPr>
        <w:t>权益变动而确认的所有者权益，按比例结转入当期损益，由于被投资方重新计量设定受益计划净负债或净资产变动而产生</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626" w:right="0" w:hanging="361"/>
        <w:jc w:val="left"/>
      </w:pPr>
      <w:r>
        <w:rPr/>
        <w:t>的其他综合收益除外。 </w:t>
      </w:r>
      <w:r>
        <w:rPr>
          <w:spacing w:val="-1"/>
        </w:rPr>
        <w:t>因处置部分股权投资等原因丧失了对被投资单位的共同控制或重大影响的，处置后的剩余股权改按金融工具确认和计</w:t>
      </w:r>
    </w:p>
    <w:p>
      <w:pPr>
        <w:pStyle w:val="BodyText"/>
        <w:spacing w:line="316" w:lineRule="auto" w:before="19"/>
        <w:ind w:left="265" w:right="153"/>
        <w:jc w:val="both"/>
      </w:pPr>
      <w:r>
        <w:rPr>
          <w:spacing w:val="-1"/>
        </w:rPr>
        <w:t>量准则核算，其在丧失共同控制或重大影响之日的公允价值与账面价值之间的差额计入当期损益。原股权投资因采用权益</w:t>
      </w:r>
      <w:r>
        <w:rPr>
          <w:spacing w:val="-53"/>
        </w:rPr>
        <w:t> </w:t>
      </w:r>
      <w:r>
        <w:rPr>
          <w:spacing w:val="-53"/>
        </w:rPr>
      </w:r>
      <w:r>
        <w:rPr>
          <w:spacing w:val="-1"/>
        </w:rPr>
        <w:t>法核算而确认的其他综合收益，在终止采用权益法核算时采用与被投资单位直接处置相关资产或负债相同的基础进行会计</w:t>
      </w:r>
      <w:r>
        <w:rPr>
          <w:spacing w:val="-54"/>
        </w:rPr>
        <w:t> </w:t>
      </w:r>
      <w:r>
        <w:rPr>
          <w:spacing w:val="-54"/>
        </w:rPr>
      </w:r>
      <w:r>
        <w:rPr>
          <w:spacing w:val="-1"/>
        </w:rPr>
        <w:t>处理。因被投资方除净损益、其他综合收益和利润分配以外的其他所有者权益变动而确认的所有者权益，在终止采用权益</w:t>
      </w:r>
      <w:r>
        <w:rPr>
          <w:spacing w:val="-52"/>
        </w:rPr>
        <w:t> </w:t>
      </w:r>
      <w:r>
        <w:rPr>
          <w:spacing w:val="-52"/>
        </w:rPr>
      </w:r>
      <w:r>
        <w:rPr/>
        <w:t>法核算时全部转入当期损益。</w:t>
      </w:r>
    </w:p>
    <w:p>
      <w:pPr>
        <w:pStyle w:val="BodyText"/>
        <w:spacing w:line="316" w:lineRule="auto" w:before="19"/>
        <w:ind w:left="265" w:right="138" w:firstLine="360"/>
        <w:jc w:val="both"/>
      </w:pPr>
      <w:r>
        <w:rPr/>
        <w:t>因处置部分股权投资、因其他投资方对子公司增资而导致本公司持股比例下降等原因丧失了对被投资单位控制权的， </w:t>
      </w:r>
      <w:r>
        <w:rPr>
          <w:spacing w:val="-1"/>
        </w:rPr>
        <w:t>在编制个别财务报表时，剩余股权能够对被投资单位实施共同控制或重大影响的，改按权益法核算，并对该剩余股权视同</w:t>
      </w:r>
      <w:r>
        <w:rPr>
          <w:spacing w:val="-52"/>
        </w:rPr>
        <w:t> </w:t>
      </w:r>
      <w:r>
        <w:rPr>
          <w:spacing w:val="-52"/>
        </w:rPr>
      </w:r>
      <w:r>
        <w:rPr>
          <w:spacing w:val="-1"/>
        </w:rPr>
        <w:t>自取得时即采用权益法核算进行调整；剩余股权不能对被投资单位实施共同控制或施加重大影响的，改按金融工具确认和</w:t>
      </w:r>
      <w:r>
        <w:rPr>
          <w:spacing w:val="-53"/>
        </w:rPr>
        <w:t> </w:t>
      </w:r>
      <w:r>
        <w:rPr>
          <w:spacing w:val="-53"/>
        </w:rPr>
      </w:r>
      <w:r>
        <w:rPr/>
        <w:t>计量准则的有关规定进行会计处理，其在丧失控制之日的公允价值与账面价值间的差额计入当期损益。</w:t>
      </w:r>
    </w:p>
    <w:p>
      <w:pPr>
        <w:pStyle w:val="BodyText"/>
        <w:spacing w:line="319" w:lineRule="auto" w:before="19"/>
        <w:ind w:left="265" w:right="152" w:firstLine="360"/>
        <w:jc w:val="both"/>
      </w:pPr>
      <w:r>
        <w:rPr>
          <w:spacing w:val="-1"/>
        </w:rPr>
        <w:t>处置的股权是因追加投资等原因通过企业合并取得的，在编制个别财务报表时，处置后的剩余股权采用成本法或权益</w:t>
      </w:r>
      <w:r>
        <w:rPr/>
        <w:t> </w:t>
      </w:r>
      <w:r>
        <w:rPr>
          <w:spacing w:val="-1"/>
        </w:rPr>
        <w:t>法核算的，购买日之前持有的股权投资因采用权益法核算而确认的其他综合收益和其他所有者权益按比例结转；处置后的</w:t>
      </w:r>
      <w:r>
        <w:rPr>
          <w:spacing w:val="-53"/>
        </w:rPr>
        <w:t> </w:t>
      </w:r>
      <w:r>
        <w:rPr>
          <w:spacing w:val="-53"/>
        </w:rPr>
      </w:r>
      <w:r>
        <w:rPr/>
        <w:t>剩余股权改按金融工具确认和计量准则进行会计处理的，其他综合收益和其他所有者权益全部结转。</w:t>
      </w:r>
    </w:p>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15</w:t>
      </w:r>
      <w:r>
        <w:rPr/>
        <w:t>、投资性房地产</w:t>
      </w:r>
    </w:p>
    <w:p>
      <w:pPr>
        <w:spacing w:line="240" w:lineRule="auto" w:before="0"/>
        <w:rPr>
          <w:rFonts w:ascii="宋体" w:hAnsi="宋体" w:cs="宋体" w:eastAsia="宋体" w:hint="default"/>
          <w:sz w:val="18"/>
          <w:szCs w:val="18"/>
        </w:rPr>
      </w:pPr>
    </w:p>
    <w:p>
      <w:pPr>
        <w:pStyle w:val="BodyText"/>
        <w:spacing w:line="357" w:lineRule="auto" w:before="127"/>
        <w:ind w:right="7974"/>
        <w:jc w:val="left"/>
      </w:pPr>
      <w:r>
        <w:rPr/>
        <w:t>投资性房地产计量模式 成本法计量 折旧或摊销方法</w:t>
      </w:r>
    </w:p>
    <w:p>
      <w:pPr>
        <w:pStyle w:val="BodyText"/>
        <w:spacing w:line="319" w:lineRule="auto" w:before="29"/>
        <w:ind w:left="265" w:right="153" w:firstLine="271"/>
        <w:jc w:val="both"/>
      </w:pPr>
      <w:r>
        <w:rPr/>
        <w:t>投资性房地产是指为赚取租金或资本增值，或两者兼有而持有的房地产，包括已出租的土地使用权、持有并准备增值 </w:t>
      </w:r>
      <w:r>
        <w:rPr>
          <w:spacing w:val="-1"/>
        </w:rPr>
        <w:t>后转让的土地使用权、已出租的建筑物（含自行建造或开发活动完成后用于出租的建筑物以及正在建造或开发过程中将来</w:t>
      </w:r>
      <w:r>
        <w:rPr>
          <w:spacing w:val="-53"/>
        </w:rPr>
        <w:t> </w:t>
      </w:r>
      <w:r>
        <w:rPr>
          <w:spacing w:val="-53"/>
        </w:rPr>
      </w:r>
      <w:r>
        <w:rPr>
          <w:spacing w:val="-10"/>
        </w:rPr>
        <w:t>用于出租的建筑物）。</w:t>
      </w:r>
    </w:p>
    <w:p>
      <w:pPr>
        <w:pStyle w:val="BodyText"/>
        <w:spacing w:line="316" w:lineRule="auto" w:before="17"/>
        <w:ind w:left="265" w:right="160" w:firstLine="271"/>
        <w:jc w:val="both"/>
      </w:pPr>
      <w:r>
        <w:rPr/>
        <w:t>公司对现有投资性房地产采用成本模式计量。对按照成本模式计量的投资性房地产－出租用建筑物采用与本公司固定 资产相同的折旧政策，出租用土地使用权按与无形资产相同的摊销政策执行。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right="0"/>
        <w:jc w:val="left"/>
      </w:pPr>
      <w:r>
        <w:rPr>
          <w:rFonts w:ascii="Times New Roman" w:hAnsi="Times New Roman" w:cs="Times New Roman" w:eastAsia="Times New Roman" w:hint="default"/>
        </w:rPr>
        <w:t>16</w:t>
      </w:r>
      <w:r>
        <w:rPr/>
        <w:t>、固定资产</w:t>
      </w:r>
    </w:p>
    <w:p>
      <w:pPr>
        <w:spacing w:line="240" w:lineRule="auto" w:before="0"/>
        <w:rPr>
          <w:rFonts w:ascii="宋体" w:hAnsi="宋体" w:cs="宋体" w:eastAsia="宋体" w:hint="default"/>
          <w:sz w:val="18"/>
          <w:szCs w:val="18"/>
        </w:rPr>
      </w:pPr>
    </w:p>
    <w:p>
      <w:pPr>
        <w:pStyle w:val="BodyText"/>
        <w:spacing w:line="240" w:lineRule="auto" w:before="127"/>
        <w:ind w:right="0"/>
        <w:jc w:val="left"/>
      </w:pPr>
      <w:r>
        <w:rPr/>
        <w:t>（</w:t>
      </w:r>
      <w:r>
        <w:rPr>
          <w:rFonts w:ascii="Times New Roman" w:hAnsi="Times New Roman" w:cs="Times New Roman" w:eastAsia="Times New Roman" w:hint="default"/>
        </w:rPr>
        <w:t>1</w:t>
      </w:r>
      <w:r>
        <w:rPr/>
        <w:t>）确认条件</w:t>
      </w:r>
    </w:p>
    <w:p>
      <w:pPr>
        <w:spacing w:line="240" w:lineRule="auto" w:before="0"/>
        <w:rPr>
          <w:rFonts w:ascii="宋体" w:hAnsi="宋体" w:cs="宋体" w:eastAsia="宋体" w:hint="default"/>
          <w:sz w:val="18"/>
          <w:szCs w:val="18"/>
        </w:rPr>
      </w:pPr>
    </w:p>
    <w:p>
      <w:pPr>
        <w:pStyle w:val="BodyText"/>
        <w:spacing w:line="316" w:lineRule="auto" w:before="127"/>
        <w:ind w:right="0"/>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w w:val="99"/>
        </w:rPr>
        <w:t>满足下列条件时予以确认：（</w:t>
      </w:r>
      <w:r>
        <w:rPr>
          <w:rFonts w:ascii="Times New Roman" w:hAnsi="Times New Roman" w:cs="Times New Roman" w:eastAsia="Times New Roman" w:hint="default"/>
          <w:spacing w:val="-4"/>
          <w:w w:val="99"/>
        </w:rPr>
        <w:t>A</w:t>
      </w:r>
      <w:r>
        <w:rPr>
          <w:spacing w:val="-4"/>
          <w:w w:val="99"/>
        </w:rPr>
        <w:t>）与该固定资产有关的经济利益很可能流入企业；（</w:t>
      </w:r>
      <w:r>
        <w:rPr>
          <w:rFonts w:ascii="Times New Roman" w:hAnsi="Times New Roman" w:cs="Times New Roman" w:eastAsia="Times New Roman" w:hint="default"/>
          <w:spacing w:val="-4"/>
          <w:w w:val="99"/>
        </w:rPr>
        <w:t>B</w:t>
      </w:r>
      <w:r>
        <w:rPr>
          <w:spacing w:val="-4"/>
          <w:w w:val="99"/>
        </w:rPr>
        <w:t>）该固定资产的成本能够可靠地计量。</w:t>
      </w:r>
    </w:p>
    <w:p>
      <w:pPr>
        <w:spacing w:line="240" w:lineRule="auto" w:before="12"/>
        <w:rPr>
          <w:rFonts w:ascii="宋体" w:hAnsi="宋体" w:cs="宋体" w:eastAsia="宋体" w:hint="default"/>
          <w:sz w:val="22"/>
          <w:szCs w:val="22"/>
        </w:rPr>
      </w:pPr>
    </w:p>
    <w:p>
      <w:pPr>
        <w:pStyle w:val="BodyText"/>
        <w:spacing w:line="240" w:lineRule="auto"/>
        <w:ind w:right="0"/>
        <w:jc w:val="left"/>
      </w:pPr>
      <w:r>
        <w:rPr/>
        <w:t>（</w:t>
      </w:r>
      <w:r>
        <w:rPr>
          <w:rFonts w:ascii="Times New Roman" w:hAnsi="Times New Roman" w:cs="Times New Roman" w:eastAsia="Times New Roman" w:hint="default"/>
        </w:rPr>
        <w:t>2</w:t>
      </w:r>
      <w:r>
        <w:rPr/>
        <w:t>）折旧方法</w:t>
      </w:r>
    </w:p>
    <w:p>
      <w:pPr>
        <w:spacing w:line="240" w:lineRule="auto" w:before="1"/>
        <w:rPr>
          <w:rFonts w:ascii="宋体" w:hAnsi="宋体" w:cs="宋体" w:eastAsia="宋体"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2.38-3.17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918"/>
        <w:gridCol w:w="1913"/>
        <w:gridCol w:w="1916"/>
        <w:gridCol w:w="1913"/>
        <w:gridCol w:w="1916"/>
      </w:tblGrid>
      <w:tr>
        <w:trPr>
          <w:trHeight w:val="404"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sz w:val="19"/>
          <w:szCs w:val="19"/>
        </w:rPr>
      </w:pPr>
    </w:p>
    <w:p>
      <w:pPr>
        <w:pStyle w:val="Heading3"/>
        <w:spacing w:line="240" w:lineRule="auto" w:before="36"/>
        <w:ind w:right="20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0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74"/>
        <w:jc w:val="left"/>
      </w:pPr>
      <w:r>
        <w:rPr/>
        <w:t>公司是否需要遵守特殊行业的披露要求 否</w:t>
      </w:r>
    </w:p>
    <w:p>
      <w:pPr>
        <w:pStyle w:val="Heading4"/>
        <w:spacing w:line="273" w:lineRule="auto" w:before="9"/>
        <w:ind w:left="152" w:right="103" w:firstLine="252"/>
        <w:jc w:val="both"/>
      </w:pPr>
      <w:r>
        <w:rPr>
          <w:spacing w:val="-3"/>
        </w:rPr>
        <w:t>在建工程项目按建造该项资产达到预定可使用状态前所发生的必要支出，作为固定资产的入账价值。所</w:t>
      </w:r>
      <w:r>
        <w:rPr>
          <w:w w:val="100"/>
        </w:rPr>
        <w:t> </w:t>
      </w:r>
      <w:r>
        <w:rPr/>
        <w:t>建造的固定资产在工程已达到预定可使用状态，但尚未办理竣工决算的，自达到预定可使用状态之日起，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4"/>
        </w:rPr>
        <w:t> </w:t>
      </w:r>
      <w:r>
        <w:rPr>
          <w:spacing w:val="-44"/>
        </w:rPr>
      </w:r>
      <w:r>
        <w:rPr>
          <w:spacing w:val="-5"/>
        </w:rPr>
        <w:t>提固定资产的折旧，待办理竣工决算后，再按实际成本调整原来的暂估价值，但不调整原已计提的折旧额。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20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Heading4"/>
        <w:spacing w:line="268" w:lineRule="auto"/>
        <w:ind w:right="48" w:hanging="70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100"/>
        </w:rPr>
        <w:t> </w:t>
      </w:r>
      <w:r>
        <w:rPr>
          <w:spacing w:val="-2"/>
        </w:rPr>
        <w:t>借款费用，包括借款利息、折价或者溢价的摊销、辅助费用以及因外币借款而发生的汇兑差额等。</w:t>
      </w:r>
      <w:r>
        <w:rPr>
          <w:w w:val="100"/>
        </w:rPr>
        <w:t> </w:t>
      </w:r>
      <w:r>
        <w:rPr>
          <w:spacing w:val="-4"/>
        </w:rPr>
        <w:t>公司发生的借款费用，可直接归属于符合资本化条件的资产的购建或者生产的，予以资本化，计入</w:t>
      </w:r>
      <w:r>
        <w:rPr>
          <w:w w:val="100"/>
        </w:rPr>
        <w:t> </w:t>
      </w:r>
      <w:r>
        <w:rPr/>
        <w:t>相关资产成本；其他借款费用，在发生时根据其发生额确认为费用，计入当期损益。</w:t>
      </w:r>
      <w:r>
        <w:rPr>
          <w:w w:val="100"/>
        </w:rPr>
        <w:t> </w:t>
      </w:r>
      <w:r>
        <w:rPr>
          <w:spacing w:val="-4"/>
          <w:w w:val="100"/>
        </w:rPr>
        <w:t>符合资本化条件的资产，是指需要经过相当长时间的购建或者生产活动才能达到预定可使用或者可</w:t>
      </w:r>
      <w:r>
        <w:rPr>
          <w:w w:val="100"/>
        </w:rPr>
        <w:t> </w:t>
      </w:r>
      <w:r>
        <w:rPr/>
        <w:t>销售状态的固定资产、投资性房地产和存货等资产。</w:t>
      </w:r>
    </w:p>
    <w:p>
      <w:pPr>
        <w:pStyle w:val="Heading4"/>
        <w:spacing w:line="240" w:lineRule="auto" w:before="12"/>
        <w:ind w:right="204"/>
        <w:jc w:val="left"/>
      </w:pPr>
      <w:r>
        <w:rPr/>
        <w:t>借款费用同时满足下列条件时开始资本化：</w:t>
      </w:r>
    </w:p>
    <w:p>
      <w:pPr>
        <w:pStyle w:val="Heading4"/>
        <w:spacing w:line="256" w:lineRule="auto" w:before="37"/>
        <w:ind w:right="204"/>
        <w:jc w:val="left"/>
      </w:pPr>
      <w:r>
        <w:rPr>
          <w:spacing w:val="-3"/>
        </w:rPr>
        <w:t>（</w:t>
      </w:r>
      <w:r>
        <w:rPr>
          <w:rFonts w:ascii="Times New Roman" w:hAnsi="Times New Roman" w:cs="Times New Roman" w:eastAsia="Times New Roman" w:hint="default"/>
          <w:spacing w:val="-3"/>
        </w:rPr>
        <w:t>A</w:t>
      </w:r>
      <w:r>
        <w:rPr>
          <w:spacing w:val="-3"/>
        </w:rPr>
        <w:t>）资产支出已经发生，资产支出包括为购建或者生产符合资本化条件的资产而以支付现金、转</w:t>
      </w:r>
      <w:r>
        <w:rPr>
          <w:spacing w:val="-26"/>
        </w:rPr>
        <w:t> </w:t>
      </w:r>
      <w:r>
        <w:rPr>
          <w:spacing w:val="-26"/>
        </w:rPr>
      </w:r>
      <w:r>
        <w:rPr/>
        <w:t>移非现金资产或者承担带息债务形式发生的支出；</w:t>
      </w:r>
    </w:p>
    <w:p>
      <w:pPr>
        <w:pStyle w:val="Heading4"/>
        <w:spacing w:line="240" w:lineRule="auto" w:before="22"/>
        <w:ind w:right="204"/>
        <w:jc w:val="left"/>
      </w:pPr>
      <w:r>
        <w:rPr/>
        <w:t>（</w:t>
      </w:r>
      <w:r>
        <w:rPr>
          <w:rFonts w:ascii="Times New Roman" w:hAnsi="Times New Roman" w:cs="Times New Roman" w:eastAsia="Times New Roman" w:hint="default"/>
        </w:rPr>
        <w:t>B</w:t>
      </w:r>
      <w:r>
        <w:rPr/>
        <w:t>）借款费用已经发生；</w:t>
      </w:r>
    </w:p>
    <w:p>
      <w:pPr>
        <w:pStyle w:val="Heading4"/>
        <w:spacing w:line="240" w:lineRule="auto" w:before="21"/>
        <w:ind w:right="204"/>
        <w:jc w:val="left"/>
      </w:pPr>
      <w:r>
        <w:rPr/>
        <w:t>（</w:t>
      </w:r>
      <w:r>
        <w:rPr>
          <w:rFonts w:ascii="Times New Roman" w:hAnsi="Times New Roman" w:cs="Times New Roman" w:eastAsia="Times New Roman" w:hint="default"/>
        </w:rPr>
        <w:t>C</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Heading3"/>
        <w:spacing w:line="240" w:lineRule="auto"/>
        <w:ind w:right="204"/>
        <w:jc w:val="left"/>
        <w:rPr>
          <w:b w:val="0"/>
          <w:bCs w:val="0"/>
        </w:rPr>
      </w:pPr>
      <w:r>
        <w:rPr>
          <w:rFonts w:ascii="Times New Roman" w:hAnsi="Times New Roman" w:cs="Times New Roman" w:eastAsia="Times New Roman" w:hint="default"/>
        </w:rPr>
        <w:t>(2)</w:t>
      </w:r>
      <w:r>
        <w:rPr/>
        <w:t>借款费用资本化期间</w:t>
      </w:r>
      <w:r>
        <w:rPr>
          <w:b w:val="0"/>
          <w:bCs w:val="0"/>
        </w:rPr>
      </w:r>
    </w:p>
    <w:p>
      <w:pPr>
        <w:pStyle w:val="Heading4"/>
        <w:spacing w:line="273" w:lineRule="auto" w:before="22"/>
        <w:ind w:right="48"/>
        <w:jc w:val="left"/>
      </w:pPr>
      <w:r>
        <w:rPr>
          <w:spacing w:val="-4"/>
        </w:rPr>
        <w:t>资本化期间，指从借款费用开始资本化时点到停止资本化时点的期间，借款费用暂停资本化的期间</w:t>
      </w:r>
      <w:r>
        <w:rPr>
          <w:spacing w:val="-40"/>
        </w:rPr>
        <w:t> </w:t>
      </w:r>
      <w:r>
        <w:rPr>
          <w:spacing w:val="-40"/>
        </w:rPr>
      </w:r>
      <w:r>
        <w:rPr/>
        <w:t>不包括在内。</w:t>
      </w:r>
      <w:r>
        <w:rPr>
          <w:w w:val="100"/>
        </w:rPr>
        <w:t> </w:t>
      </w:r>
      <w:r>
        <w:rPr>
          <w:spacing w:val="-2"/>
        </w:rPr>
        <w:t>当购建或者生产符合资本化条件的资产达到预定可使用或者可销售状态时，借款费用停止资本化。</w:t>
      </w:r>
      <w:r>
        <w:rPr>
          <w:spacing w:val="-28"/>
        </w:rPr>
        <w:t> </w:t>
      </w:r>
      <w:r>
        <w:rPr>
          <w:spacing w:val="-28"/>
        </w:rPr>
      </w:r>
      <w:r>
        <w:rPr>
          <w:spacing w:val="-4"/>
          <w:w w:val="100"/>
        </w:rPr>
        <w:t>当购建或者生产符合资本化条件的资产中部分项目分别完工且可单独使用时，该部分资产借款费用</w:t>
      </w:r>
      <w:r>
        <w:rPr>
          <w:spacing w:val="-92"/>
          <w:w w:val="100"/>
        </w:rPr>
        <w:t> </w:t>
      </w:r>
      <w:r>
        <w:rPr>
          <w:spacing w:val="-92"/>
          <w:w w:val="100"/>
        </w:rPr>
      </w:r>
      <w:r>
        <w:rPr/>
        <w:t>停止资本化。</w:t>
      </w:r>
      <w:r>
        <w:rPr>
          <w:w w:val="100"/>
        </w:rPr>
        <w:t> </w:t>
      </w:r>
      <w:r>
        <w:rPr>
          <w:spacing w:val="-4"/>
        </w:rPr>
        <w:t>购建或者生产的资产的各部分分别完工，但必须等到整体完工后才可使用或可对外销售的，在该资</w:t>
      </w:r>
      <w:r>
        <w:rPr>
          <w:spacing w:val="-39"/>
        </w:rPr>
        <w:t> </w:t>
      </w:r>
      <w:r>
        <w:rPr>
          <w:spacing w:val="-39"/>
        </w:rPr>
      </w:r>
      <w:r>
        <w:rPr/>
        <w:t>产整体完工时停止借款费用资本化。</w:t>
      </w:r>
    </w:p>
    <w:p>
      <w:pPr>
        <w:spacing w:line="240" w:lineRule="auto" w:before="6"/>
        <w:rPr>
          <w:rFonts w:ascii="宋体" w:hAnsi="宋体" w:cs="宋体" w:eastAsia="宋体" w:hint="default"/>
          <w:sz w:val="24"/>
          <w:szCs w:val="24"/>
        </w:rPr>
      </w:pPr>
    </w:p>
    <w:p>
      <w:pPr>
        <w:pStyle w:val="Heading3"/>
        <w:spacing w:line="240" w:lineRule="auto"/>
        <w:ind w:right="204"/>
        <w:jc w:val="left"/>
        <w:rPr>
          <w:b w:val="0"/>
          <w:bCs w:val="0"/>
        </w:rPr>
      </w:pPr>
      <w:r>
        <w:rPr>
          <w:rFonts w:ascii="Times New Roman" w:hAnsi="Times New Roman" w:cs="Times New Roman" w:eastAsia="Times New Roman" w:hint="default"/>
        </w:rPr>
        <w:t>(3)</w:t>
      </w:r>
      <w:r>
        <w:rPr/>
        <w:t>暂停资本化期间</w:t>
      </w:r>
      <w:r>
        <w:rPr>
          <w:b w:val="0"/>
          <w:bCs w:val="0"/>
        </w:rPr>
      </w:r>
    </w:p>
    <w:p>
      <w:pPr>
        <w:pStyle w:val="Heading4"/>
        <w:spacing w:line="268" w:lineRule="auto" w:before="21"/>
        <w:ind w:right="48"/>
        <w:jc w:val="left"/>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w:t>
      </w:r>
      <w:r>
        <w:rPr>
          <w:w w:val="100"/>
        </w:rPr>
        <w:t> </w:t>
      </w:r>
      <w:r>
        <w:rPr>
          <w:spacing w:val="-4"/>
          <w:w w:val="100"/>
        </w:rPr>
        <w:t>借款费用暂停资本化；该项中断如是所购建或生产的符合资本化条件的资产达到预定可使用状态或</w:t>
      </w:r>
      <w:r>
        <w:rPr>
          <w:spacing w:val="-92"/>
          <w:w w:val="100"/>
        </w:rPr>
        <w:t> </w:t>
      </w:r>
      <w:r>
        <w:rPr>
          <w:spacing w:val="-92"/>
          <w:w w:val="100"/>
        </w:rPr>
      </w:r>
      <w:r>
        <w:rPr>
          <w:spacing w:val="-2"/>
        </w:rPr>
        <w:t>者可销售状态必要的程序，则借款费用继续资本化。在中断期间发生的借款费用确认为当期损益，</w:t>
      </w:r>
      <w:r>
        <w:rPr>
          <w:spacing w:val="-25"/>
        </w:rPr>
        <w:t> </w:t>
      </w:r>
      <w:r>
        <w:rPr>
          <w:spacing w:val="-25"/>
        </w:rPr>
      </w:r>
      <w:r>
        <w:rPr/>
        <w:t>直至资产的购建或者生产活动重新开始后借款费用继续资本化。</w:t>
      </w:r>
    </w:p>
    <w:p>
      <w:pPr>
        <w:spacing w:after="0" w:line="268" w:lineRule="auto"/>
        <w:jc w:val="left"/>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71" w:lineRule="auto" w:before="36"/>
        <w:ind w:left="830" w:right="0" w:hanging="678"/>
        <w:jc w:val="left"/>
      </w:pPr>
      <w:r>
        <w:rPr>
          <w:rFonts w:ascii="Times New Roman" w:hAnsi="Times New Roman" w:cs="Times New Roman" w:eastAsia="Times New Roman" w:hint="default"/>
          <w:b/>
          <w:bCs/>
        </w:rPr>
        <w:t>(4)</w:t>
      </w:r>
      <w:r>
        <w:rPr>
          <w:rFonts w:ascii="宋体" w:hAnsi="宋体" w:cs="宋体" w:eastAsia="宋体" w:hint="default"/>
          <w:b/>
          <w:bCs/>
        </w:rPr>
        <w:t>借款费用资本化率、资本化金额的计算方法</w:t>
      </w:r>
      <w:r>
        <w:rPr>
          <w:rFonts w:ascii="宋体" w:hAnsi="宋体" w:cs="宋体" w:eastAsia="宋体" w:hint="default"/>
          <w:b/>
          <w:bCs/>
          <w:spacing w:val="-103"/>
        </w:rPr>
        <w:t> </w:t>
      </w:r>
      <w:r>
        <w:rPr>
          <w:rFonts w:ascii="宋体" w:hAnsi="宋体" w:cs="宋体" w:eastAsia="宋体" w:hint="default"/>
          <w:b/>
          <w:bCs/>
          <w:spacing w:val="-103"/>
        </w:rPr>
      </w:r>
      <w:r>
        <w:rPr>
          <w:spacing w:val="-3"/>
        </w:rPr>
        <w:t>对于为购建或者生产符合资本化条件的资产而借入的专门借款，以专门借款当期实际发生的借款费</w:t>
      </w:r>
      <w:r>
        <w:rPr>
          <w:w w:val="100"/>
        </w:rPr>
        <w:t> </w:t>
      </w:r>
      <w:r>
        <w:rPr/>
        <w:t>用，减去尚未动用的借款资金存入银行取得的利息收入或进行暂时性投资取得的投资收益后的金</w:t>
      </w:r>
      <w:r>
        <w:rPr>
          <w:spacing w:val="2"/>
          <w:w w:val="100"/>
        </w:rPr>
        <w:t> </w:t>
      </w:r>
      <w:r>
        <w:rPr/>
        <w:t>额，来确定借款费用的资本化金额。</w:t>
      </w:r>
      <w:r>
        <w:rPr>
          <w:w w:val="100"/>
        </w:rPr>
        <w:t> </w:t>
      </w:r>
      <w:r>
        <w:rPr>
          <w:spacing w:val="-3"/>
        </w:rPr>
        <w:t>对于为购建或者生产符合资本化条件的资产而占用的一般借款，根据累计资产支出超过专门借款部</w:t>
      </w:r>
      <w:r>
        <w:rPr>
          <w:w w:val="100"/>
        </w:rPr>
        <w:t> </w:t>
      </w:r>
      <w:r>
        <w:rPr>
          <w:spacing w:val="-3"/>
        </w:rPr>
        <w:t>分的资产支出加权平均数乘以所占用一般借款的资本化率，计算确定一般借款应予资本化的借款费</w:t>
      </w:r>
      <w:r>
        <w:rPr>
          <w:w w:val="100"/>
        </w:rPr>
        <w:t> </w:t>
      </w:r>
      <w:r>
        <w:rPr/>
        <w:t>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A</w:t>
      </w:r>
      <w:r>
        <w:rPr/>
        <w:t>、无形资产的计价方法</w:t>
      </w:r>
      <w:r>
        <w:rPr>
          <w:b w:val="0"/>
          <w:bCs w:val="0"/>
        </w:rPr>
      </w:r>
    </w:p>
    <w:p>
      <w:pPr>
        <w:pStyle w:val="Heading4"/>
        <w:spacing w:line="264" w:lineRule="auto" w:before="21"/>
        <w:ind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4"/>
        </w:rPr>
        <w:t>外购无形资产的成本，包括购买价款、相关税费以及直接归属于使该项资产达到预定用途所发生的</w:t>
      </w:r>
      <w:r>
        <w:rPr>
          <w:spacing w:val="-41"/>
        </w:rPr>
        <w:t> </w:t>
      </w:r>
      <w:r>
        <w:rPr>
          <w:spacing w:val="-41"/>
        </w:rPr>
      </w:r>
      <w:r>
        <w:rPr/>
        <w:t>其他支出。</w:t>
      </w:r>
    </w:p>
    <w:p>
      <w:pPr>
        <w:pStyle w:val="Heading4"/>
        <w:spacing w:line="256" w:lineRule="auto" w:before="16"/>
        <w:ind w:right="401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Heading4"/>
        <w:spacing w:line="273" w:lineRule="auto" w:before="22"/>
        <w:ind w:right="0"/>
        <w:jc w:val="left"/>
      </w:pPr>
      <w:r>
        <w:rPr>
          <w:spacing w:val="-4"/>
        </w:rPr>
        <w:t>对于使用寿命有限的无形资产，在为企业带来经济利益的期限内按直线法摊销；无法预见无形资产</w:t>
      </w:r>
      <w:r>
        <w:rPr>
          <w:spacing w:val="-40"/>
        </w:rPr>
        <w:t> </w:t>
      </w:r>
      <w:r>
        <w:rPr>
          <w:spacing w:val="-40"/>
        </w:rPr>
      </w:r>
      <w:r>
        <w:rPr/>
        <w:t>为企业带来经济利益期限的，视为使用寿命不确定的无形资产，不予摊销。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B</w:t>
      </w:r>
      <w:r>
        <w:rPr/>
        <w:t>、使用寿命有限的无形资产的使用寿命估计情况：</w:t>
      </w:r>
      <w:r>
        <w:rPr>
          <w:b w:val="0"/>
          <w:bCs w:val="0"/>
        </w:rPr>
      </w:r>
    </w:p>
    <w:p>
      <w:pPr>
        <w:spacing w:line="240" w:lineRule="auto" w:before="6"/>
        <w:rPr>
          <w:rFonts w:ascii="宋体" w:hAnsi="宋体" w:cs="宋体" w:eastAsia="宋体" w:hint="default"/>
          <w:b/>
          <w:bCs/>
          <w:sz w:val="26"/>
          <w:szCs w:val="26"/>
        </w:rPr>
      </w:pPr>
    </w:p>
    <w:tbl>
      <w:tblPr>
        <w:tblW w:w="0" w:type="auto"/>
        <w:jc w:val="left"/>
        <w:tblInd w:w="753" w:type="dxa"/>
        <w:tblLayout w:type="fixed"/>
        <w:tblCellMar>
          <w:top w:w="0" w:type="dxa"/>
          <w:left w:w="0" w:type="dxa"/>
          <w:bottom w:w="0" w:type="dxa"/>
          <w:right w:w="0" w:type="dxa"/>
        </w:tblCellMar>
        <w:tblLook w:val="01E0"/>
      </w:tblPr>
      <w:tblGrid>
        <w:gridCol w:w="3053"/>
        <w:gridCol w:w="1916"/>
        <w:gridCol w:w="2844"/>
      </w:tblGrid>
      <w:tr>
        <w:trPr>
          <w:trHeight w:val="355" w:hRule="exact"/>
        </w:trPr>
        <w:tc>
          <w:tcPr>
            <w:tcW w:w="305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2844"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0"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sz w:val="21"/>
                <w:szCs w:val="21"/>
              </w:rPr>
              <w:t>预计可使用年限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BOT</w:t>
            </w:r>
            <w:r>
              <w:rPr>
                <w:rFonts w:ascii="宋体" w:hAnsi="宋体" w:cs="宋体" w:eastAsia="宋体" w:hint="default"/>
                <w:sz w:val="21"/>
                <w:szCs w:val="21"/>
              </w:rPr>
              <w:t>项目收费权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5</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项目合同年限</w:t>
            </w:r>
          </w:p>
        </w:tc>
      </w:tr>
      <w:tr>
        <w:trPr>
          <w:trHeight w:val="353" w:hRule="exact"/>
        </w:trPr>
        <w:tc>
          <w:tcPr>
            <w:tcW w:w="305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40-50</w:t>
            </w:r>
          </w:p>
        </w:tc>
        <w:tc>
          <w:tcPr>
            <w:tcW w:w="284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sz w:val="21"/>
                <w:szCs w:val="21"/>
              </w:rPr>
              <w:t>土地使用权证</w:t>
            </w:r>
          </w:p>
        </w:tc>
      </w:tr>
    </w:tbl>
    <w:p>
      <w:pPr>
        <w:pStyle w:val="Heading4"/>
        <w:spacing w:line="273" w:lineRule="auto"/>
        <w:ind w:left="830" w:right="0"/>
        <w:jc w:val="left"/>
      </w:pPr>
      <w:r>
        <w:rPr>
          <w:spacing w:val="-2"/>
        </w:rPr>
        <w:t>每年度终了，对使用寿命有限的无形资产的使用寿命及摊销方法进行复核。</w:t>
      </w:r>
      <w:r>
        <w:rPr>
          <w:spacing w:val="-42"/>
        </w:rPr>
        <w:t> </w:t>
      </w:r>
      <w:r>
        <w:rPr>
          <w:spacing w:val="-42"/>
        </w:rPr>
      </w:r>
      <w:r>
        <w:rPr/>
        <w:t>经复核，本年期末无形资产的使用寿命及摊销方法与以前估计未有不同。</w:t>
      </w:r>
    </w:p>
    <w:p>
      <w:pPr>
        <w:spacing w:line="240" w:lineRule="auto" w:before="6"/>
        <w:rPr>
          <w:rFonts w:ascii="宋体" w:hAnsi="宋体" w:cs="宋体" w:eastAsia="宋体" w:hint="default"/>
          <w:sz w:val="24"/>
          <w:szCs w:val="24"/>
        </w:rPr>
      </w:pPr>
    </w:p>
    <w:p>
      <w:pPr>
        <w:pStyle w:val="Heading3"/>
        <w:spacing w:line="240" w:lineRule="auto"/>
        <w:ind w:left="241" w:right="0"/>
        <w:jc w:val="left"/>
        <w:rPr>
          <w:b w:val="0"/>
          <w:bCs w:val="0"/>
        </w:rPr>
      </w:pPr>
      <w:r>
        <w:rPr>
          <w:rFonts w:ascii="Times New Roman" w:hAnsi="Times New Roman" w:cs="Times New Roman" w:eastAsia="Times New Roman" w:hint="default"/>
        </w:rPr>
        <w:t>C</w:t>
      </w:r>
      <w:r>
        <w:rPr/>
        <w:t>、使用寿命不确定的无形资产的判断依据以及对其使用寿命进行复核的程序</w:t>
      </w:r>
      <w:r>
        <w:rPr>
          <w:b w:val="0"/>
          <w:bCs w:val="0"/>
        </w:rPr>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4"/>
        <w:spacing w:line="273" w:lineRule="auto" w:before="36"/>
        <w:ind w:left="830" w:right="204"/>
        <w:jc w:val="left"/>
      </w:pPr>
      <w:r>
        <w:rPr>
          <w:spacing w:val="-2"/>
        </w:rPr>
        <w:t>每期末，对使用寿命不确定的无形资产的使用寿命进行复核。</w:t>
      </w:r>
      <w:r>
        <w:rPr>
          <w:spacing w:val="-53"/>
        </w:rPr>
        <w:t> </w:t>
      </w:r>
      <w:r>
        <w:rPr>
          <w:spacing w:val="-53"/>
        </w:rPr>
      </w:r>
      <w:r>
        <w:rPr/>
        <w:t>经复核，该类无形资产的使用寿命仍为不确定。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20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宋体" w:hAnsi="宋体" w:cs="宋体" w:eastAsia="宋体" w:hint="default"/>
          <w:b/>
          <w:bCs/>
          <w:sz w:val="24"/>
          <w:szCs w:val="24"/>
        </w:rPr>
      </w:pPr>
    </w:p>
    <w:p>
      <w:pPr>
        <w:pStyle w:val="Heading4"/>
        <w:spacing w:line="268" w:lineRule="auto"/>
        <w:ind w:right="48" w:hanging="709"/>
        <w:jc w:val="left"/>
      </w:pPr>
      <w:r>
        <w:rPr>
          <w:rFonts w:ascii="Times New Roman" w:hAnsi="Times New Roman" w:cs="Times New Roman" w:eastAsia="Times New Roman" w:hint="default"/>
          <w:b/>
          <w:bCs/>
        </w:rPr>
        <w:t>A</w:t>
      </w:r>
      <w:r>
        <w:rPr>
          <w:rFonts w:ascii="宋体" w:hAnsi="宋体" w:cs="宋体" w:eastAsia="宋体" w:hint="default"/>
          <w:b/>
          <w:bCs/>
        </w:rPr>
        <w:t>、划分研究阶段和开发阶段的具体标准</w:t>
      </w:r>
      <w:r>
        <w:rPr>
          <w:rFonts w:ascii="宋体" w:hAnsi="宋体" w:cs="宋体" w:eastAsia="宋体" w:hint="default"/>
          <w:b/>
          <w:bCs/>
          <w:spacing w:val="-103"/>
        </w:rPr>
        <w:t> </w:t>
      </w:r>
      <w:r>
        <w:rPr>
          <w:rFonts w:ascii="宋体" w:hAnsi="宋体" w:cs="宋体" w:eastAsia="宋体" w:hint="default"/>
          <w:b/>
          <w:bCs/>
          <w:spacing w:val="-103"/>
        </w:rPr>
      </w:r>
      <w:r>
        <w:rPr/>
        <w:t>公司内部研究开发项目的支出分为研究阶段支出和开发阶段支出。</w:t>
      </w:r>
      <w:r>
        <w:rPr>
          <w:w w:val="100"/>
        </w:rPr>
        <w:t> </w:t>
      </w:r>
      <w:r>
        <w:rPr>
          <w:spacing w:val="-2"/>
        </w:rPr>
        <w:t>研究阶段：为获取并理解新的科学或技术知识等而进行的独创性的有计划调查、研究活动的阶段。</w:t>
      </w:r>
      <w:r>
        <w:rPr>
          <w:w w:val="100"/>
        </w:rPr>
        <w:t> </w:t>
      </w:r>
      <w:r>
        <w:rPr>
          <w:spacing w:val="-4"/>
        </w:rPr>
        <w:t>开发阶段：在进行商业性生产或使用前，将研究成果或其他知识应用于某项计划或设计，以生产出</w:t>
      </w:r>
      <w:r>
        <w:rPr>
          <w:w w:val="100"/>
        </w:rPr>
        <w:t> </w:t>
      </w:r>
      <w:r>
        <w:rPr/>
        <w:t>新的或具有实质性改进的材料、装置、产品等活动的阶段。</w:t>
      </w:r>
    </w:p>
    <w:p>
      <w:pPr>
        <w:spacing w:line="240" w:lineRule="auto" w:before="11"/>
        <w:rPr>
          <w:rFonts w:ascii="宋体" w:hAnsi="宋体" w:cs="宋体" w:eastAsia="宋体" w:hint="default"/>
          <w:sz w:val="24"/>
          <w:szCs w:val="24"/>
        </w:rPr>
      </w:pPr>
    </w:p>
    <w:p>
      <w:pPr>
        <w:spacing w:line="256" w:lineRule="auto" w:before="0"/>
        <w:ind w:left="830" w:right="204" w:hanging="67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Heading4"/>
        <w:spacing w:line="240" w:lineRule="auto" w:before="22"/>
        <w:ind w:left="698" w:right="204"/>
        <w:jc w:val="left"/>
      </w:pPr>
      <w:r>
        <w:rPr/>
        <w:t>（</w:t>
      </w:r>
      <w:r>
        <w:rPr>
          <w:rFonts w:ascii="Times New Roman" w:hAnsi="Times New Roman" w:cs="Times New Roman" w:eastAsia="Times New Roman" w:hint="default"/>
        </w:rPr>
        <w:t>A</w:t>
      </w:r>
      <w:r>
        <w:rPr/>
        <w:t>）完成该无形资产以使其能够使用或出售在技术上具有可行性；</w:t>
      </w:r>
    </w:p>
    <w:p>
      <w:pPr>
        <w:pStyle w:val="Heading4"/>
        <w:spacing w:line="240" w:lineRule="auto" w:before="21"/>
        <w:ind w:left="698" w:right="204"/>
        <w:jc w:val="left"/>
      </w:pPr>
      <w:r>
        <w:rPr/>
        <w:t>（</w:t>
      </w:r>
      <w:r>
        <w:rPr>
          <w:rFonts w:ascii="Times New Roman" w:hAnsi="Times New Roman" w:cs="Times New Roman" w:eastAsia="Times New Roman" w:hint="default"/>
        </w:rPr>
        <w:t>B</w:t>
      </w:r>
      <w:r>
        <w:rPr/>
        <w:t>）具有完成该无形资产并使用或出售的意图；</w:t>
      </w:r>
    </w:p>
    <w:p>
      <w:pPr>
        <w:pStyle w:val="Heading4"/>
        <w:spacing w:line="256" w:lineRule="auto" w:before="21"/>
        <w:ind w:left="530" w:right="204" w:firstLine="168"/>
        <w:jc w:val="left"/>
      </w:pPr>
      <w:r>
        <w:rPr>
          <w:spacing w:val="-4"/>
        </w:rPr>
        <w:t>（</w:t>
      </w:r>
      <w:r>
        <w:rPr>
          <w:rFonts w:ascii="Times New Roman" w:hAnsi="Times New Roman" w:cs="Times New Roman" w:eastAsia="Times New Roman" w:hint="default"/>
          <w:spacing w:val="-4"/>
        </w:rPr>
        <w:t>C</w:t>
      </w:r>
      <w:r>
        <w:rPr>
          <w:spacing w:val="-4"/>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Heading4"/>
        <w:spacing w:line="256" w:lineRule="auto" w:before="22"/>
        <w:ind w:left="530" w:right="204" w:firstLine="168"/>
        <w:jc w:val="left"/>
      </w:pPr>
      <w:r>
        <w:rPr>
          <w:spacing w:val="-4"/>
        </w:rPr>
        <w:t>（</w:t>
      </w:r>
      <w:r>
        <w:rPr>
          <w:rFonts w:ascii="Times New Roman" w:hAnsi="Times New Roman" w:cs="Times New Roman" w:eastAsia="Times New Roman" w:hint="default"/>
          <w:spacing w:val="-4"/>
        </w:rPr>
        <w:t>D</w:t>
      </w:r>
      <w:r>
        <w:rPr>
          <w:spacing w:val="-4"/>
        </w:rPr>
        <w:t>）有足够的技术、财务资源和其他资源支持，以完成该无形资产的开发，并有能力使用或出售该</w:t>
      </w:r>
      <w:r>
        <w:rPr>
          <w:w w:val="100"/>
        </w:rPr>
        <w:t> </w:t>
      </w:r>
      <w:r>
        <w:rPr/>
        <w:t>无形资产；</w:t>
      </w:r>
    </w:p>
    <w:p>
      <w:pPr>
        <w:pStyle w:val="Heading4"/>
        <w:spacing w:line="266" w:lineRule="auto" w:before="22"/>
        <w:ind w:left="830" w:right="204" w:hanging="132"/>
        <w:jc w:val="left"/>
      </w:pPr>
      <w:r>
        <w:rPr/>
        <w:t>（</w:t>
      </w:r>
      <w:r>
        <w:rPr>
          <w:rFonts w:ascii="Times New Roman" w:hAnsi="Times New Roman" w:cs="Times New Roman" w:eastAsia="Times New Roman" w:hint="default"/>
        </w:rPr>
        <w:t>E</w:t>
      </w:r>
      <w:r>
        <w:rPr/>
        <w:t>）归属于该无形资产开发阶段的支出能够可靠地计量。</w:t>
      </w:r>
      <w:r>
        <w:rPr>
          <w:w w:val="100"/>
        </w:rPr>
        <w:t> </w:t>
      </w:r>
      <w:r>
        <w:rPr>
          <w:spacing w:val="-4"/>
        </w:rPr>
        <w:t>开发阶段的支出，若不满足上列条件的，于发生时计入当期损益。研究阶段的支出，在发生时计入</w:t>
      </w:r>
      <w:r>
        <w:rPr>
          <w:w w:val="100"/>
        </w:rPr>
        <w:t> </w:t>
      </w:r>
      <w:r>
        <w:rPr/>
        <w:t>当期损益。</w:t>
      </w:r>
    </w:p>
    <w:p>
      <w:pPr>
        <w:spacing w:line="240" w:lineRule="auto" w:before="13"/>
        <w:rPr>
          <w:rFonts w:ascii="宋体" w:hAnsi="宋体" w:cs="宋体" w:eastAsia="宋体" w:hint="default"/>
          <w:sz w:val="24"/>
          <w:szCs w:val="24"/>
        </w:rPr>
      </w:pPr>
    </w:p>
    <w:p>
      <w:pPr>
        <w:pStyle w:val="Heading4"/>
        <w:spacing w:line="590" w:lineRule="atLeast"/>
        <w:ind w:left="489" w:right="204" w:hanging="337"/>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100"/>
        </w:rPr>
        <w:t> </w:t>
      </w:r>
      <w:r>
        <w:rPr/>
        <w:t>长期股权投资、采用成本模式计量的投资性房地产、固定资产、在建工程、使用寿命有限的无形资产</w:t>
      </w:r>
    </w:p>
    <w:p>
      <w:pPr>
        <w:pStyle w:val="Heading4"/>
        <w:spacing w:line="273" w:lineRule="auto" w:before="37"/>
        <w:ind w:left="152" w:right="206"/>
        <w:jc w:val="both"/>
      </w:pPr>
      <w:r>
        <w:rPr>
          <w:spacing w:val="-2"/>
        </w:rPr>
        <w:t>等长期资产，于资产负债表日存在减值迹象的，进行减值测试。减值测试结果表明资产的可收回金额低于</w:t>
      </w:r>
      <w:r>
        <w:rPr>
          <w:spacing w:val="-43"/>
        </w:rPr>
        <w:t> </w:t>
      </w:r>
      <w:r>
        <w:rPr>
          <w:spacing w:val="-43"/>
        </w:rPr>
      </w:r>
      <w:r>
        <w:rPr>
          <w:spacing w:val="-2"/>
        </w:rPr>
        <w:t>其账面价值的，按其差额计提减值准备并计入减值损失。可收回金额为资产的公允价值减去处置费用后的</w:t>
      </w:r>
      <w:r>
        <w:rPr>
          <w:spacing w:val="-42"/>
        </w:rPr>
        <w:t> </w:t>
      </w:r>
      <w:r>
        <w:rPr>
          <w:spacing w:val="-42"/>
        </w:rPr>
      </w:r>
      <w:r>
        <w:rPr>
          <w:spacing w:val="-2"/>
        </w:rPr>
        <w:t>净额与资产预计未来现金流量的现值两者之间的较高者。资产减值准备按单项资产为基础计算并确认，如</w:t>
      </w:r>
      <w:r>
        <w:rPr>
          <w:spacing w:val="-43"/>
        </w:rPr>
        <w:t> </w:t>
      </w:r>
      <w:r>
        <w:rPr>
          <w:spacing w:val="-43"/>
        </w:rPr>
      </w:r>
      <w:r>
        <w:rPr>
          <w:spacing w:val="-2"/>
        </w:rPr>
        <w:t>果难以对单项资产的可收回金额进行估计的，以该资产所属的资产组确定资产组的可收回金额。资产组是</w:t>
      </w:r>
      <w:r>
        <w:rPr>
          <w:spacing w:val="-42"/>
        </w:rPr>
        <w:t> </w:t>
      </w:r>
      <w:r>
        <w:rPr>
          <w:spacing w:val="-42"/>
        </w:rPr>
      </w:r>
      <w:r>
        <w:rPr/>
        <w:t>能够独立产生现金流入的最小资产组合。</w:t>
      </w:r>
    </w:p>
    <w:p>
      <w:pPr>
        <w:spacing w:line="240" w:lineRule="auto" w:before="10"/>
        <w:rPr>
          <w:rFonts w:ascii="宋体" w:hAnsi="宋体" w:cs="宋体" w:eastAsia="宋体" w:hint="default"/>
          <w:sz w:val="23"/>
          <w:szCs w:val="23"/>
        </w:rPr>
      </w:pPr>
    </w:p>
    <w:p>
      <w:pPr>
        <w:pStyle w:val="Heading4"/>
        <w:spacing w:line="600" w:lineRule="atLeast"/>
        <w:ind w:left="405" w:right="204" w:hanging="253"/>
        <w:jc w:val="left"/>
      </w:pP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100"/>
        </w:rPr>
        <w:t> </w:t>
      </w:r>
      <w:r>
        <w:rPr>
          <w:spacing w:val="-3"/>
        </w:rPr>
        <w:t>长期待摊费用为已经发生但应由本期和以后各期负担的分摊期限在一年以上的各项费用。本公司长期待</w:t>
      </w:r>
    </w:p>
    <w:p>
      <w:pPr>
        <w:pStyle w:val="Heading4"/>
        <w:spacing w:line="240" w:lineRule="auto" w:before="37"/>
        <w:ind w:left="152" w:right="204"/>
        <w:jc w:val="left"/>
      </w:pPr>
      <w:r>
        <w:rPr/>
        <w:t>摊费用主要包括租入固定资产改良支出、长期借款担保费。</w:t>
      </w:r>
    </w:p>
    <w:p>
      <w:pPr>
        <w:spacing w:line="256" w:lineRule="auto" w:before="37"/>
        <w:ind w:left="152" w:right="54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z w:val="21"/>
          <w:szCs w:val="21"/>
        </w:rPr>
        <w:t>长期待摊费用在受益期内平均摊销。</w:t>
      </w:r>
    </w:p>
    <w:p>
      <w:pPr>
        <w:spacing w:line="240" w:lineRule="auto" w:before="8"/>
        <w:rPr>
          <w:rFonts w:ascii="宋体" w:hAnsi="宋体" w:cs="宋体" w:eastAsia="宋体" w:hint="default"/>
          <w:sz w:val="25"/>
          <w:szCs w:val="25"/>
        </w:rPr>
      </w:pPr>
    </w:p>
    <w:p>
      <w:pPr>
        <w:pStyle w:val="Heading3"/>
        <w:spacing w:line="240" w:lineRule="auto"/>
        <w:ind w:right="204"/>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8"/>
        <w:rPr>
          <w:rFonts w:ascii="宋体" w:hAnsi="宋体" w:cs="宋体" w:eastAsia="宋体" w:hint="default"/>
          <w:b/>
          <w:bCs/>
          <w:sz w:val="2"/>
          <w:szCs w:val="2"/>
        </w:rPr>
      </w:pPr>
    </w:p>
    <w:tbl>
      <w:tblPr>
        <w:tblW w:w="0" w:type="auto"/>
        <w:jc w:val="left"/>
        <w:tblInd w:w="998" w:type="dxa"/>
        <w:tblLayout w:type="fixed"/>
        <w:tblCellMar>
          <w:top w:w="0" w:type="dxa"/>
          <w:left w:w="0" w:type="dxa"/>
          <w:bottom w:w="0" w:type="dxa"/>
          <w:right w:w="0" w:type="dxa"/>
        </w:tblCellMar>
        <w:tblLook w:val="01E0"/>
      </w:tblPr>
      <w:tblGrid>
        <w:gridCol w:w="2991"/>
        <w:gridCol w:w="1980"/>
        <w:gridCol w:w="2504"/>
      </w:tblGrid>
      <w:tr>
        <w:trPr>
          <w:trHeight w:val="355" w:hRule="exact"/>
        </w:trPr>
        <w:tc>
          <w:tcPr>
            <w:tcW w:w="2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63" w:right="0"/>
              <w:jc w:val="left"/>
              <w:rPr>
                <w:rFonts w:ascii="宋体" w:hAnsi="宋体" w:cs="宋体" w:eastAsia="宋体" w:hint="default"/>
                <w:sz w:val="18"/>
                <w:szCs w:val="18"/>
              </w:rPr>
            </w:pPr>
            <w:r>
              <w:rPr>
                <w:rFonts w:ascii="宋体" w:hAnsi="宋体" w:cs="宋体" w:eastAsia="宋体" w:hint="default"/>
                <w:sz w:val="18"/>
                <w:szCs w:val="18"/>
              </w:rPr>
              <w:t>预计收益期（年）</w:t>
            </w:r>
          </w:p>
        </w:tc>
        <w:tc>
          <w:tcPr>
            <w:tcW w:w="25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after="0" w:line="240" w:lineRule="auto"/>
        <w:jc w:val="center"/>
        <w:rPr>
          <w:rFonts w:ascii="宋体" w:hAnsi="宋体" w:cs="宋体" w:eastAsia="宋体" w:hint="default"/>
          <w:sz w:val="18"/>
          <w:szCs w:val="18"/>
        </w:rPr>
        <w:sectPr>
          <w:footerReference w:type="default" r:id="rId16"/>
          <w:pgSz w:w="11910" w:h="16840"/>
          <w:pgMar w:footer="979" w:header="745" w:top="1060" w:bottom="1160" w:left="980" w:right="920"/>
          <w:pgNumType w:start="93"/>
        </w:sectPr>
      </w:pPr>
    </w:p>
    <w:p>
      <w:pPr>
        <w:spacing w:line="240" w:lineRule="auto" w:before="6"/>
        <w:rPr>
          <w:rFonts w:ascii="宋体" w:hAnsi="宋体" w:cs="宋体" w:eastAsia="宋体" w:hint="default"/>
          <w:b/>
          <w:bCs/>
          <w:sz w:val="28"/>
          <w:szCs w:val="28"/>
        </w:rPr>
      </w:pPr>
    </w:p>
    <w:tbl>
      <w:tblPr>
        <w:tblW w:w="0" w:type="auto"/>
        <w:jc w:val="left"/>
        <w:tblInd w:w="998" w:type="dxa"/>
        <w:tblLayout w:type="fixed"/>
        <w:tblCellMar>
          <w:top w:w="0" w:type="dxa"/>
          <w:left w:w="0" w:type="dxa"/>
          <w:bottom w:w="0" w:type="dxa"/>
          <w:right w:w="0" w:type="dxa"/>
        </w:tblCellMar>
        <w:tblLook w:val="01E0"/>
      </w:tblPr>
      <w:tblGrid>
        <w:gridCol w:w="2991"/>
        <w:gridCol w:w="1980"/>
        <w:gridCol w:w="2504"/>
      </w:tblGrid>
      <w:tr>
        <w:trPr>
          <w:trHeight w:val="356" w:hRule="exact"/>
        </w:trPr>
        <w:tc>
          <w:tcPr>
            <w:tcW w:w="2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9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4-5</w:t>
            </w:r>
          </w:p>
        </w:tc>
        <w:tc>
          <w:tcPr>
            <w:tcW w:w="25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sz w:val="18"/>
                <w:szCs w:val="18"/>
              </w:rPr>
              <w:t>租赁合同</w:t>
            </w:r>
          </w:p>
        </w:tc>
      </w:tr>
      <w:tr>
        <w:trPr>
          <w:trHeight w:val="353" w:hRule="exact"/>
        </w:trPr>
        <w:tc>
          <w:tcPr>
            <w:tcW w:w="2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长期借款担保费</w:t>
            </w:r>
          </w:p>
        </w:tc>
        <w:tc>
          <w:tcPr>
            <w:tcW w:w="19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借款期限</w:t>
            </w:r>
          </w:p>
        </w:tc>
        <w:tc>
          <w:tcPr>
            <w:tcW w:w="25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借款合同</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204"/>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20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73" w:lineRule="auto"/>
        <w:ind w:left="530" w:right="204"/>
        <w:jc w:val="left"/>
      </w:pPr>
      <w:r>
        <w:rPr>
          <w:spacing w:val="-1"/>
        </w:rPr>
        <w:t>本公司在职工为本公司提供服务的会计期间，将实际发生的短期薪酬确认为负债，并计入当期损益或</w:t>
      </w:r>
      <w:r>
        <w:rPr>
          <w:spacing w:val="-42"/>
        </w:rPr>
        <w:t> </w:t>
      </w:r>
      <w:r>
        <w:rPr>
          <w:spacing w:val="-42"/>
        </w:rPr>
      </w:r>
      <w:r>
        <w:rPr/>
        <w:t>相关资产成本。</w:t>
      </w:r>
      <w:r>
        <w:rPr>
          <w:spacing w:val="-103"/>
        </w:rPr>
        <w:t> </w:t>
      </w:r>
      <w:r>
        <w:rPr>
          <w:spacing w:val="-103"/>
        </w:rPr>
      </w:r>
      <w:r>
        <w:rPr>
          <w:spacing w:val="-1"/>
        </w:rPr>
        <w:t>本公司为职工缴纳的社会保险费和住房公积金，以及按规定提取的工会经费和职工教育经费，在职工</w:t>
      </w:r>
      <w:r>
        <w:rPr>
          <w:spacing w:val="-42"/>
        </w:rPr>
        <w:t> </w:t>
      </w:r>
      <w:r>
        <w:rPr>
          <w:spacing w:val="-42"/>
        </w:rPr>
      </w:r>
      <w:r>
        <w:rPr/>
        <w:t>为本公司提供服务的会计期间，根据规定的计提基础和计提比例计算确定相应的职工薪酬金额。</w:t>
      </w:r>
      <w:r>
        <w:rPr>
          <w:w w:val="100"/>
        </w:rPr>
        <w:t> </w:t>
      </w:r>
      <w:r>
        <w:rPr/>
        <w:t>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20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66" w:lineRule="auto"/>
        <w:ind w:left="530" w:right="204"/>
        <w:jc w:val="left"/>
      </w:pPr>
      <w:r>
        <w:rPr/>
        <w:t>（</w:t>
      </w:r>
      <w:r>
        <w:rPr>
          <w:rFonts w:ascii="Times New Roman" w:hAnsi="Times New Roman" w:cs="Times New Roman" w:eastAsia="Times New Roman" w:hint="default"/>
        </w:rPr>
        <w:t>A</w:t>
      </w:r>
      <w:r>
        <w:rPr/>
        <w:t>）设定提存计划</w:t>
      </w:r>
      <w:r>
        <w:rPr>
          <w:w w:val="100"/>
        </w:rPr>
        <w:t> </w:t>
      </w:r>
      <w:r>
        <w:rPr>
          <w:spacing w:val="-1"/>
        </w:rPr>
        <w:t>本公司按当地政府的相关规定为职工缴纳基本养老保险和失业保险，在职工为本公司提供服务的会计</w:t>
      </w:r>
      <w:r>
        <w:rPr>
          <w:spacing w:val="-42"/>
        </w:rPr>
        <w:t> </w:t>
      </w:r>
      <w:r>
        <w:rPr>
          <w:spacing w:val="-42"/>
        </w:rPr>
      </w:r>
      <w:r>
        <w:rPr>
          <w:spacing w:val="-1"/>
        </w:rPr>
        <w:t>期间，按以当地规定的缴纳基数和比例计算应缴纳金额，确认为负债，并计入当期损益或相关资产成</w:t>
      </w:r>
      <w:r>
        <w:rPr>
          <w:spacing w:val="-42"/>
        </w:rPr>
        <w:t> </w:t>
      </w:r>
      <w:r>
        <w:rPr>
          <w:spacing w:val="-42"/>
        </w:rPr>
      </w:r>
      <w:r>
        <w:rPr/>
        <w:t>本。</w:t>
      </w:r>
    </w:p>
    <w:p>
      <w:pPr>
        <w:pStyle w:val="Heading4"/>
        <w:spacing w:line="256" w:lineRule="auto" w:before="14"/>
        <w:ind w:left="530" w:right="6774"/>
        <w:jc w:val="left"/>
      </w:pPr>
      <w:r>
        <w:rPr/>
        <w:t>（</w:t>
      </w:r>
      <w:r>
        <w:rPr>
          <w:rFonts w:ascii="Times New Roman" w:hAnsi="Times New Roman" w:cs="Times New Roman" w:eastAsia="Times New Roman" w:hint="default"/>
        </w:rPr>
        <w:t>B</w:t>
      </w:r>
      <w:r>
        <w:rPr/>
        <w:t>）设定受益计划</w:t>
      </w:r>
      <w:r>
        <w:rPr>
          <w:w w:val="100"/>
        </w:rPr>
        <w:t> </w:t>
      </w:r>
      <w:r>
        <w:rPr>
          <w:spacing w:val="-2"/>
        </w:rPr>
        <w:t>本公司暂无设定收益计划。</w:t>
      </w:r>
    </w:p>
    <w:p>
      <w:pPr>
        <w:spacing w:line="240" w:lineRule="auto" w:before="11"/>
        <w:rPr>
          <w:rFonts w:ascii="宋体" w:hAnsi="宋体" w:cs="宋体" w:eastAsia="宋体" w:hint="default"/>
          <w:sz w:val="24"/>
          <w:szCs w:val="24"/>
        </w:rPr>
      </w:pPr>
    </w:p>
    <w:p>
      <w:pPr>
        <w:spacing w:line="600" w:lineRule="atLeast" w:before="0"/>
        <w:ind w:left="482" w:right="204" w:hanging="33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z w:val="21"/>
          <w:szCs w:val="21"/>
        </w:rPr>
        <w:t>本公司在不能单方面撤回因解除劳动关系计划或裁减建议所提供的辞退福利时，或确认与涉及支付辞</w:t>
      </w:r>
    </w:p>
    <w:p>
      <w:pPr>
        <w:pStyle w:val="Heading4"/>
        <w:spacing w:line="240" w:lineRule="auto" w:before="37"/>
        <w:ind w:left="229" w:right="48"/>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20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204"/>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04"/>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04"/>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04"/>
        <w:jc w:val="left"/>
      </w:pPr>
      <w:r>
        <w:rPr/>
        <w:t>无</w:t>
      </w:r>
    </w:p>
    <w:p>
      <w:pPr>
        <w:spacing w:after="0" w:line="240"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204"/>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74"/>
        <w:jc w:val="left"/>
      </w:pPr>
      <w:r>
        <w:rPr/>
        <w:t>公司是否需要遵守特殊行业的披露要求 否</w:t>
      </w:r>
    </w:p>
    <w:p>
      <w:pPr>
        <w:spacing w:line="261" w:lineRule="auto" w:before="8"/>
        <w:ind w:left="861" w:right="4582" w:hanging="709"/>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9"/>
          <w:sz w:val="21"/>
          <w:szCs w:val="21"/>
        </w:rPr>
        <w:t> </w:t>
      </w:r>
      <w:r>
        <w:rPr>
          <w:rFonts w:ascii="宋体" w:hAnsi="宋体" w:cs="宋体" w:eastAsia="宋体" w:hint="default"/>
          <w:b/>
          <w:bCs/>
          <w:sz w:val="21"/>
          <w:szCs w:val="21"/>
        </w:rPr>
        <w:t>销售商品、提供劳务收入确认时间的具体判断标准</w:t>
      </w:r>
      <w:r>
        <w:rPr>
          <w:rFonts w:ascii="宋体" w:hAnsi="宋体" w:cs="宋体" w:eastAsia="宋体" w:hint="default"/>
          <w:b/>
          <w:bCs/>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、软件产品销售</w:t>
      </w:r>
      <w:r>
        <w:rPr>
          <w:rFonts w:ascii="宋体" w:hAnsi="宋体" w:cs="宋体" w:eastAsia="宋体" w:hint="default"/>
          <w:w w:val="100"/>
          <w:sz w:val="21"/>
          <w:szCs w:val="21"/>
        </w:rPr>
        <w:t> </w:t>
      </w:r>
      <w:r>
        <w:rPr>
          <w:rFonts w:ascii="宋体" w:hAnsi="宋体" w:cs="宋体" w:eastAsia="宋体" w:hint="default"/>
          <w:sz w:val="21"/>
          <w:szCs w:val="21"/>
        </w:rPr>
        <w:t>包括定制产品化软件以及定制工程化软件</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a</w:t>
      </w:r>
      <w:r>
        <w:rPr>
          <w:rFonts w:ascii="宋体" w:hAnsi="宋体" w:cs="宋体" w:eastAsia="宋体" w:hint="default"/>
          <w:sz w:val="21"/>
          <w:szCs w:val="21"/>
        </w:rPr>
        <w:t>、定制产品化软件</w:t>
      </w:r>
    </w:p>
    <w:p>
      <w:pPr>
        <w:pStyle w:val="Heading4"/>
        <w:spacing w:line="273" w:lineRule="auto"/>
        <w:ind w:right="204"/>
        <w:jc w:val="left"/>
      </w:pPr>
      <w:r>
        <w:rPr>
          <w:spacing w:val="-4"/>
          <w:w w:val="100"/>
        </w:rPr>
        <w:t>主要指针对具体实施工程项目的定点医院和定点药店定制的医疗保险支付软件产品。该类软件通过</w:t>
      </w:r>
      <w:r>
        <w:rPr>
          <w:spacing w:val="-92"/>
          <w:w w:val="100"/>
        </w:rPr>
        <w:t> </w:t>
      </w:r>
      <w:r>
        <w:rPr>
          <w:spacing w:val="-92"/>
          <w:w w:val="100"/>
        </w:rPr>
      </w:r>
      <w:r>
        <w:rPr/>
        <w:t>产品配置、技术培训，就能够满足客户对产品的应用需求，具有区域性推广特点。</w:t>
      </w:r>
    </w:p>
    <w:p>
      <w:pPr>
        <w:pStyle w:val="Heading4"/>
        <w:spacing w:line="268" w:lineRule="auto" w:before="7"/>
        <w:ind w:right="204"/>
        <w:jc w:val="left"/>
      </w:pPr>
      <w:r>
        <w:rPr/>
        <w:t>（</w:t>
      </w:r>
      <w:r>
        <w:rPr>
          <w:rFonts w:ascii="Times New Roman" w:hAnsi="Times New Roman" w:cs="Times New Roman" w:eastAsia="Times New Roman" w:hint="default"/>
        </w:rPr>
        <w:t>a</w:t>
      </w:r>
      <w:r>
        <w:rPr/>
        <w:t>）收入确认原则：</w:t>
      </w:r>
      <w:r>
        <w:rPr>
          <w:w w:val="100"/>
        </w:rPr>
        <w:t> </w:t>
      </w:r>
      <w:r>
        <w:rPr>
          <w:spacing w:val="-4"/>
          <w:w w:val="100"/>
        </w:rPr>
        <w:t>公司在软件产品使用权的主要风险和报酬转移给买方，不再对该软件产品使用权实施继续管理权和</w:t>
      </w:r>
      <w:r>
        <w:rPr>
          <w:spacing w:val="-92"/>
          <w:w w:val="100"/>
        </w:rPr>
        <w:t> </w:t>
      </w:r>
      <w:r>
        <w:rPr>
          <w:spacing w:val="-92"/>
          <w:w w:val="100"/>
        </w:rPr>
      </w:r>
      <w:r>
        <w:rPr>
          <w:spacing w:val="-4"/>
        </w:rPr>
        <w:t>实际控制权、相关的收入已经收到或取得了收款的证据、并且与销售该软件产品有关的成本能够可</w:t>
      </w:r>
      <w:r>
        <w:rPr>
          <w:spacing w:val="-41"/>
        </w:rPr>
        <w:t> </w:t>
      </w:r>
      <w:r>
        <w:rPr>
          <w:spacing w:val="-41"/>
        </w:rPr>
      </w:r>
      <w:r>
        <w:rPr/>
        <w:t>靠地计量时，确认销售收入。</w:t>
      </w:r>
    </w:p>
    <w:p>
      <w:pPr>
        <w:pStyle w:val="Heading4"/>
        <w:spacing w:line="240" w:lineRule="auto" w:before="12"/>
        <w:ind w:right="204"/>
        <w:jc w:val="left"/>
      </w:pPr>
      <w:r>
        <w:rPr/>
        <w:t>（</w:t>
      </w:r>
      <w:r>
        <w:rPr>
          <w:rFonts w:ascii="Times New Roman" w:hAnsi="Times New Roman" w:cs="Times New Roman" w:eastAsia="Times New Roman" w:hint="default"/>
        </w:rPr>
        <w:t>b</w:t>
      </w:r>
      <w:r>
        <w:rPr/>
        <w:t>）收入确认方法：</w:t>
      </w:r>
    </w:p>
    <w:p>
      <w:pPr>
        <w:pStyle w:val="Heading4"/>
        <w:spacing w:line="240" w:lineRule="auto" w:before="21"/>
        <w:ind w:right="204"/>
        <w:jc w:val="left"/>
      </w:pPr>
      <w:r>
        <w:rPr/>
        <w:t>①如销售合同规定需要安装验收的，在取得客户的安装验收报告时确认为销售收入；</w:t>
      </w:r>
    </w:p>
    <w:p>
      <w:pPr>
        <w:pStyle w:val="Heading4"/>
        <w:spacing w:line="266" w:lineRule="auto" w:before="37"/>
        <w:ind w:right="204"/>
        <w:jc w:val="left"/>
      </w:pPr>
      <w:r>
        <w:rPr/>
        <w:t>②如销售合同未规定需要安装验收的，则在取得到货验收证明时确认为销售收入。</w:t>
      </w:r>
      <w:r>
        <w:rPr>
          <w:w w:val="100"/>
        </w:rPr>
        <w:t> </w:t>
      </w:r>
      <w:r>
        <w:rPr>
          <w:rFonts w:ascii="Times New Roman" w:hAnsi="Times New Roman" w:cs="Times New Roman" w:eastAsia="Times New Roman" w:hint="default"/>
        </w:rPr>
        <w:t>b</w:t>
      </w:r>
      <w:r>
        <w:rPr/>
        <w:t>、定制工程化软件</w:t>
      </w:r>
      <w:r>
        <w:rPr>
          <w:w w:val="100"/>
        </w:rPr>
        <w:t> </w:t>
      </w:r>
      <w:r>
        <w:rPr>
          <w:spacing w:val="-4"/>
        </w:rPr>
        <w:t>是指接受客户委托，根据客户的具体业务需求，采用软件技术进行应用软件产品研究开发，由此开</w:t>
      </w:r>
      <w:r>
        <w:rPr>
          <w:spacing w:val="-39"/>
        </w:rPr>
        <w:t> </w:t>
      </w:r>
      <w:r>
        <w:rPr>
          <w:spacing w:val="-39"/>
        </w:rPr>
      </w:r>
      <w:r>
        <w:rPr/>
        <w:t>发出来的软件为定制工程化软件、一般不具有通用性。</w:t>
      </w:r>
    </w:p>
    <w:p>
      <w:pPr>
        <w:pStyle w:val="Heading4"/>
        <w:spacing w:line="240" w:lineRule="auto" w:before="14"/>
        <w:ind w:right="204"/>
        <w:jc w:val="left"/>
      </w:pPr>
      <w:r>
        <w:rPr/>
        <w:t>（</w:t>
      </w:r>
      <w:r>
        <w:rPr>
          <w:rFonts w:ascii="Times New Roman" w:hAnsi="Times New Roman" w:cs="Times New Roman" w:eastAsia="Times New Roman" w:hint="default"/>
        </w:rPr>
        <w:t>a</w:t>
      </w:r>
      <w:r>
        <w:rPr/>
        <w:t>）收入确认原则：</w:t>
      </w:r>
    </w:p>
    <w:p>
      <w:pPr>
        <w:pStyle w:val="Heading4"/>
        <w:spacing w:line="273" w:lineRule="auto" w:before="21"/>
        <w:ind w:right="204"/>
        <w:jc w:val="left"/>
      </w:pPr>
      <w:r>
        <w:rPr>
          <w:spacing w:val="-4"/>
        </w:rPr>
        <w:t>①在资产负债表日提供劳务交易的结果能够可靠估计的软件开发项目，采用完工百分比法（项目完</w:t>
      </w:r>
      <w:r>
        <w:rPr>
          <w:spacing w:val="-40"/>
        </w:rPr>
        <w:t> </w:t>
      </w:r>
      <w:r>
        <w:rPr>
          <w:spacing w:val="-40"/>
        </w:rPr>
      </w:r>
      <w:r>
        <w:rPr/>
        <w:t>工进度）确认软件开发收入。</w:t>
      </w:r>
      <w:r>
        <w:rPr>
          <w:w w:val="100"/>
        </w:rPr>
        <w:t> </w:t>
      </w:r>
      <w:r>
        <w:rPr/>
        <w:t>完工百分比的确定方法：按已经提供的工作量占应提供的工作总量的比例确定。</w:t>
      </w:r>
    </w:p>
    <w:p>
      <w:pPr>
        <w:pStyle w:val="Heading4"/>
        <w:spacing w:line="273" w:lineRule="auto" w:before="7"/>
        <w:ind w:right="206"/>
        <w:jc w:val="both"/>
      </w:pPr>
      <w:r>
        <w:rPr>
          <w:spacing w:val="-4"/>
          <w:w w:val="100"/>
        </w:rPr>
        <w:t>②对在资产负债表日提供劳务交易结果不能可靠估计的软件开发项目，如果已经发生的成本预计能</w:t>
      </w:r>
      <w:r>
        <w:rPr>
          <w:spacing w:val="-92"/>
          <w:w w:val="100"/>
        </w:rPr>
        <w:t> </w:t>
      </w:r>
      <w:r>
        <w:rPr>
          <w:spacing w:val="-92"/>
          <w:w w:val="100"/>
        </w:rPr>
      </w:r>
      <w:r>
        <w:rPr>
          <w:spacing w:val="-4"/>
        </w:rPr>
        <w:t>够得到补偿，按能够得到补偿的金额确认收入，并按相同的金额结转成本；如果已经发生的成本预</w:t>
      </w:r>
      <w:r>
        <w:rPr>
          <w:spacing w:val="-40"/>
        </w:rPr>
        <w:t> </w:t>
      </w:r>
      <w:r>
        <w:rPr>
          <w:spacing w:val="-40"/>
        </w:rPr>
      </w:r>
      <w:r>
        <w:rPr>
          <w:spacing w:val="-4"/>
        </w:rPr>
        <w:t>计不能全部得到补偿，按能够得到补偿的开发成本金额确认收入，并按已发生的成本结转成本，确</w:t>
      </w:r>
      <w:r>
        <w:rPr>
          <w:spacing w:val="-39"/>
        </w:rPr>
        <w:t> </w:t>
      </w:r>
      <w:r>
        <w:rPr>
          <w:spacing w:val="-39"/>
        </w:rPr>
      </w:r>
      <w:r>
        <w:rPr>
          <w:spacing w:val="-4"/>
        </w:rPr>
        <w:t>认的收入金额小于已经发生的成本的差额，确认为损失；如果已发生的成本全部不能得到补偿，则</w:t>
      </w:r>
      <w:r>
        <w:rPr>
          <w:spacing w:val="-40"/>
        </w:rPr>
        <w:t> </w:t>
      </w:r>
      <w:r>
        <w:rPr>
          <w:spacing w:val="-40"/>
        </w:rPr>
      </w:r>
      <w:r>
        <w:rPr/>
        <w:t>不确认收入，但将已发生的成本确认为费用。</w:t>
      </w:r>
    </w:p>
    <w:p>
      <w:pPr>
        <w:pStyle w:val="Heading4"/>
        <w:spacing w:line="264" w:lineRule="auto" w:before="7"/>
        <w:ind w:right="204"/>
        <w:jc w:val="left"/>
      </w:pPr>
      <w:r>
        <w:rPr/>
        <w:t>（</w:t>
      </w:r>
      <w:r>
        <w:rPr>
          <w:rFonts w:ascii="Times New Roman" w:hAnsi="Times New Roman" w:cs="Times New Roman" w:eastAsia="Times New Roman" w:hint="default"/>
        </w:rPr>
        <w:t>b</w:t>
      </w:r>
      <w:r>
        <w:rPr/>
        <w:t>）收入确认方法：</w:t>
      </w:r>
      <w:r>
        <w:rPr>
          <w:w w:val="100"/>
        </w:rPr>
        <w:t> </w:t>
      </w:r>
      <w:r>
        <w:rPr>
          <w:spacing w:val="-4"/>
        </w:rPr>
        <w:t>合同中明确约定合同总金额中包含质保金的，在确认收入时，先扣除质保金部分，然后按如下方法</w:t>
      </w:r>
      <w:r>
        <w:rPr>
          <w:spacing w:val="-39"/>
        </w:rPr>
        <w:t> </w:t>
      </w:r>
      <w:r>
        <w:rPr>
          <w:spacing w:val="-39"/>
        </w:rPr>
      </w:r>
      <w:r>
        <w:rPr/>
        <w:t>确认收入；质保期届满后，再将该质保金确认收入。</w:t>
      </w:r>
    </w:p>
    <w:p>
      <w:pPr>
        <w:pStyle w:val="Heading4"/>
        <w:spacing w:line="273" w:lineRule="auto" w:before="16"/>
        <w:ind w:right="48"/>
        <w:jc w:val="left"/>
      </w:pPr>
      <w:r>
        <w:rPr/>
        <w:t>①取得初验报告开始确认收入。</w:t>
      </w:r>
      <w:r>
        <w:rPr>
          <w:w w:val="100"/>
        </w:rPr>
        <w:t> </w:t>
      </w:r>
      <w:r>
        <w:rPr>
          <w:spacing w:val="-7"/>
        </w:rPr>
        <w:t>定制工程化软件一般包括软件功能的开发、现场安装调试、旧系统数据迁移、系统培训、用户测试、</w:t>
      </w:r>
      <w:r>
        <w:rPr>
          <w:spacing w:val="-11"/>
        </w:rPr>
        <w:t> </w:t>
      </w:r>
      <w:r>
        <w:rPr>
          <w:spacing w:val="-11"/>
        </w:rPr>
      </w:r>
      <w:r>
        <w:rPr>
          <w:spacing w:val="-4"/>
        </w:rPr>
        <w:t>初验（系统试运行）和终验等环节，其中初验和终验是客户对系统运行情况作出的评价（用户也可</w:t>
      </w:r>
      <w:r>
        <w:rPr>
          <w:spacing w:val="-40"/>
        </w:rPr>
        <w:t> </w:t>
      </w:r>
      <w:r>
        <w:rPr>
          <w:spacing w:val="-40"/>
        </w:rPr>
      </w:r>
      <w:r>
        <w:rPr>
          <w:spacing w:val="-4"/>
        </w:rPr>
        <w:t>直接终验），也是公司与客户结算的主要依据和环节。在初验阶段完成时，围绕项目的大部分工作</w:t>
      </w:r>
      <w:r>
        <w:rPr>
          <w:spacing w:val="-40"/>
        </w:rPr>
        <w:t> </w:t>
      </w:r>
      <w:r>
        <w:rPr>
          <w:spacing w:val="-40"/>
        </w:rPr>
      </w:r>
      <w:r>
        <w:rPr>
          <w:spacing w:val="-7"/>
        </w:rPr>
        <w:t>均已完成，之后只是在运行期间可能进行部分系统功能的修改，所涉工作内容很少、工作量也不大。</w:t>
      </w:r>
      <w:r>
        <w:rPr>
          <w:spacing w:val="-12"/>
        </w:rPr>
        <w:t> </w:t>
      </w:r>
      <w:r>
        <w:rPr>
          <w:spacing w:val="-12"/>
        </w:rPr>
      </w:r>
      <w:r>
        <w:rPr/>
        <w:t>因此，公司在取得初验报告后开始确认收入。</w:t>
      </w:r>
    </w:p>
    <w:p>
      <w:pPr>
        <w:pStyle w:val="Heading4"/>
        <w:spacing w:line="266" w:lineRule="auto" w:before="7"/>
        <w:ind w:right="204"/>
        <w:jc w:val="left"/>
      </w:pPr>
      <w:r>
        <w:rPr/>
        <w:t>②初验确认收入的比例。</w:t>
      </w:r>
      <w:r>
        <w:rPr>
          <w:w w:val="100"/>
        </w:rPr>
        <w:t> </w:t>
      </w:r>
      <w:r>
        <w:rPr>
          <w:spacing w:val="-4"/>
        </w:rPr>
        <w:t>由于公司定制工程化软件主要依靠项目实施人员及自有软件技术的整合来进行开发，因此，公司以</w:t>
      </w:r>
      <w:r>
        <w:rPr>
          <w:spacing w:val="-40"/>
        </w:rPr>
        <w:t> </w:t>
      </w:r>
      <w:r>
        <w:rPr>
          <w:spacing w:val="-40"/>
        </w:rPr>
      </w:r>
      <w:r>
        <w:rPr>
          <w:spacing w:val="-4"/>
        </w:rPr>
        <w:t>投入工时为计算基础，以完工进度作为确认收入的依据。根据历年已完工典型合同统计，初验时项</w:t>
      </w:r>
      <w:r>
        <w:rPr>
          <w:spacing w:val="-42"/>
        </w:rPr>
        <w:t> </w:t>
      </w:r>
      <w:r>
        <w:rPr>
          <w:spacing w:val="-42"/>
        </w:rPr>
      </w:r>
      <w:r>
        <w:rPr/>
        <w:t>目投入工时约为</w:t>
      </w:r>
      <w:r>
        <w:rPr>
          <w:rFonts w:ascii="Times New Roman" w:hAnsi="Times New Roman" w:cs="Times New Roman" w:eastAsia="Times New Roman" w:hint="default"/>
        </w:rPr>
        <w:t>80%</w:t>
      </w:r>
      <w:r>
        <w:rPr/>
        <w:t>左右，因此，公司按照以下标准孰低的原则确定初验收入的确认比例：</w:t>
      </w:r>
      <w:r>
        <w:rPr>
          <w:w w:val="100"/>
        </w:rPr>
        <w:t> </w:t>
      </w:r>
      <w:r>
        <w:rPr/>
        <w:t>Ⅰ初验时合同约定的付款比例等于或高于</w:t>
      </w:r>
      <w:r>
        <w:rPr>
          <w:rFonts w:ascii="Times New Roman" w:hAnsi="Times New Roman" w:cs="Times New Roman" w:eastAsia="Times New Roman" w:hint="default"/>
        </w:rPr>
        <w:t>80%</w:t>
      </w:r>
      <w:r>
        <w:rPr/>
        <w:t>，则以</w:t>
      </w:r>
      <w:r>
        <w:rPr>
          <w:rFonts w:ascii="Times New Roman" w:hAnsi="Times New Roman" w:cs="Times New Roman" w:eastAsia="Times New Roman" w:hint="default"/>
        </w:rPr>
        <w:t>80%</w:t>
      </w:r>
      <w:r>
        <w:rPr/>
        <w:t>确认收入；</w:t>
      </w:r>
      <w:r>
        <w:rPr>
          <w:w w:val="100"/>
        </w:rPr>
        <w:t> </w:t>
      </w:r>
      <w:r>
        <w:rPr/>
        <w:t>Ⅱ初验时合同约定的付款比例低于</w:t>
      </w:r>
      <w:r>
        <w:rPr>
          <w:rFonts w:ascii="Times New Roman" w:hAnsi="Times New Roman" w:cs="Times New Roman" w:eastAsia="Times New Roman" w:hint="default"/>
        </w:rPr>
        <w:t>80%</w:t>
      </w:r>
      <w:r>
        <w:rPr/>
        <w:t>，则以合同约定的比例确认收入。</w:t>
      </w:r>
    </w:p>
    <w:p>
      <w:pPr>
        <w:spacing w:after="0" w:line="266"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40" w:lineRule="auto" w:before="36"/>
        <w:ind w:right="204"/>
        <w:jc w:val="left"/>
      </w:pPr>
      <w:r>
        <w:rPr/>
        <w:t>公司每年年末会根据当年完工合同情况，对初验完工进度进行复核。</w:t>
      </w:r>
    </w:p>
    <w:p>
      <w:pPr>
        <w:pStyle w:val="Heading4"/>
        <w:spacing w:line="273" w:lineRule="auto" w:before="37"/>
        <w:ind w:right="204"/>
        <w:jc w:val="left"/>
      </w:pPr>
      <w:r>
        <w:rPr/>
        <w:t>③终验时的收入确认：</w:t>
      </w:r>
      <w:r>
        <w:rPr>
          <w:w w:val="100"/>
        </w:rPr>
        <w:t> </w:t>
      </w:r>
      <w:r>
        <w:rPr>
          <w:spacing w:val="-4"/>
        </w:rPr>
        <w:t>取得客户终验报告确认时，公司扣除终验前已确认的比例后，将其余部分确认收入，如合同中明确</w:t>
      </w:r>
      <w:r>
        <w:rPr>
          <w:spacing w:val="-40"/>
        </w:rPr>
        <w:t> </w:t>
      </w:r>
      <w:r>
        <w:rPr>
          <w:spacing w:val="-40"/>
        </w:rPr>
      </w:r>
      <w:r>
        <w:rPr/>
        <w:t>约定合同总金额中包含质保金的，先扣除质保金部分，再按前述办法确认收入。</w:t>
      </w:r>
    </w:p>
    <w:p>
      <w:pPr>
        <w:spacing w:line="240" w:lineRule="auto" w:before="6"/>
        <w:rPr>
          <w:rFonts w:ascii="宋体" w:hAnsi="宋体" w:cs="宋体" w:eastAsia="宋体" w:hint="default"/>
          <w:sz w:val="24"/>
          <w:szCs w:val="24"/>
        </w:rPr>
      </w:pPr>
    </w:p>
    <w:p>
      <w:pPr>
        <w:pStyle w:val="Heading4"/>
        <w:spacing w:line="264" w:lineRule="auto"/>
        <w:ind w:right="48"/>
        <w:jc w:val="left"/>
      </w:pPr>
      <w:r>
        <w:rPr>
          <w:rFonts w:ascii="Times New Roman" w:hAnsi="Times New Roman" w:cs="Times New Roman" w:eastAsia="Times New Roman" w:hint="default"/>
        </w:rPr>
        <w:t>B</w:t>
      </w:r>
      <w:r>
        <w:rPr/>
        <w:t>、运维服务</w:t>
      </w:r>
      <w:r>
        <w:rPr>
          <w:w w:val="100"/>
        </w:rPr>
        <w:t> </w:t>
      </w:r>
      <w:r>
        <w:rPr>
          <w:spacing w:val="-7"/>
        </w:rPr>
        <w:t>运维服务包括公司向客户提供的技术支持、技术咨询、技术开发、系统维护、运营管理等服务内容。</w:t>
      </w:r>
      <w:r>
        <w:rPr>
          <w:spacing w:val="-10"/>
        </w:rPr>
        <w:t> </w:t>
      </w:r>
      <w:r>
        <w:rPr>
          <w:spacing w:val="-10"/>
        </w:rPr>
      </w:r>
      <w:r>
        <w:rPr/>
        <w:t>服务合同期限过后，合同自动终止。</w:t>
      </w:r>
    </w:p>
    <w:p>
      <w:pPr>
        <w:pStyle w:val="Heading4"/>
        <w:spacing w:line="264" w:lineRule="auto" w:before="16"/>
        <w:ind w:right="204"/>
        <w:jc w:val="left"/>
      </w:pPr>
      <w:r>
        <w:rPr/>
        <w:t>（</w:t>
      </w:r>
      <w:r>
        <w:rPr>
          <w:rFonts w:ascii="Times New Roman" w:hAnsi="Times New Roman" w:cs="Times New Roman" w:eastAsia="Times New Roman" w:hint="default"/>
        </w:rPr>
        <w:t>a</w:t>
      </w:r>
      <w:r>
        <w:rPr/>
        <w:t>）收入确认原则：</w:t>
      </w:r>
      <w:r>
        <w:rPr>
          <w:w w:val="100"/>
        </w:rPr>
        <w:t> </w:t>
      </w:r>
      <w:r>
        <w:rPr>
          <w:spacing w:val="-4"/>
        </w:rPr>
        <w:t>公司在已根据合同约定提供了相应服务，取得明确的收款证据，相关成本能够可靠地计量时，确认</w:t>
      </w:r>
      <w:r>
        <w:rPr>
          <w:spacing w:val="-40"/>
        </w:rPr>
        <w:t> </w:t>
      </w:r>
      <w:r>
        <w:rPr>
          <w:spacing w:val="-40"/>
        </w:rPr>
      </w:r>
      <w:r>
        <w:rPr/>
        <w:t>收入。</w:t>
      </w:r>
    </w:p>
    <w:p>
      <w:pPr>
        <w:pStyle w:val="Heading4"/>
        <w:spacing w:line="240" w:lineRule="auto" w:before="16"/>
        <w:ind w:right="204"/>
        <w:jc w:val="left"/>
      </w:pPr>
      <w:r>
        <w:rPr/>
        <w:t>（</w:t>
      </w:r>
      <w:r>
        <w:rPr>
          <w:rFonts w:ascii="Times New Roman" w:hAnsi="Times New Roman" w:cs="Times New Roman" w:eastAsia="Times New Roman" w:hint="default"/>
        </w:rPr>
        <w:t>b</w:t>
      </w:r>
      <w:r>
        <w:rPr/>
        <w:t>）收入确认方法：</w:t>
      </w:r>
    </w:p>
    <w:p>
      <w:pPr>
        <w:pStyle w:val="Heading4"/>
        <w:spacing w:line="240" w:lineRule="auto" w:before="21"/>
        <w:ind w:right="204"/>
        <w:jc w:val="left"/>
      </w:pPr>
      <w:r>
        <w:rPr/>
        <w:t>①合同明确约定服务期限的，在合同约定的服务期限内分期确认收入。</w:t>
      </w:r>
    </w:p>
    <w:p>
      <w:pPr>
        <w:pStyle w:val="Heading4"/>
        <w:spacing w:line="240" w:lineRule="auto" w:before="37"/>
        <w:ind w:right="204"/>
        <w:jc w:val="left"/>
      </w:pPr>
      <w:r>
        <w:rPr/>
        <w:t>②合同明确约定服务成果需经客户验收确认的，根据客户验收情况确认收入。</w:t>
      </w:r>
    </w:p>
    <w:p>
      <w:pPr>
        <w:spacing w:line="240" w:lineRule="auto" w:before="9"/>
        <w:rPr>
          <w:rFonts w:ascii="宋体" w:hAnsi="宋体" w:cs="宋体" w:eastAsia="宋体" w:hint="default"/>
          <w:sz w:val="26"/>
          <w:szCs w:val="26"/>
        </w:rPr>
      </w:pPr>
    </w:p>
    <w:p>
      <w:pPr>
        <w:pStyle w:val="Heading4"/>
        <w:spacing w:line="264" w:lineRule="auto"/>
        <w:ind w:right="2567"/>
        <w:jc w:val="left"/>
      </w:pPr>
      <w:r>
        <w:rPr>
          <w:rFonts w:ascii="Times New Roman" w:hAnsi="Times New Roman" w:cs="Times New Roman" w:eastAsia="Times New Roman" w:hint="default"/>
        </w:rPr>
        <w:t>C</w:t>
      </w:r>
      <w:r>
        <w:rPr/>
        <w:t>、系统集成</w:t>
      </w:r>
      <w:r>
        <w:rPr>
          <w:w w:val="100"/>
        </w:rPr>
        <w:t> </w:t>
      </w:r>
      <w:r>
        <w:rPr>
          <w:spacing w:val="-2"/>
        </w:rPr>
        <w:t>系统集成包括外购软硬件产品和公司软件产品的安装调试。</w:t>
      </w:r>
      <w:r>
        <w:rPr>
          <w:spacing w:val="-55"/>
        </w:rPr>
        <w:t> </w:t>
      </w:r>
      <w:r>
        <w:rPr>
          <w:spacing w:val="-55"/>
        </w:rPr>
      </w:r>
      <w:r>
        <w:rPr>
          <w:rFonts w:ascii="Times New Roman" w:hAnsi="Times New Roman" w:cs="Times New Roman" w:eastAsia="Times New Roman" w:hint="default"/>
        </w:rPr>
        <w:t>1</w:t>
      </w:r>
      <w:r>
        <w:rPr/>
        <w:t>、收入确认原则：</w:t>
      </w:r>
    </w:p>
    <w:p>
      <w:pPr>
        <w:pStyle w:val="Heading4"/>
        <w:spacing w:line="273" w:lineRule="auto"/>
        <w:ind w:right="105"/>
        <w:jc w:val="both"/>
      </w:pPr>
      <w:r>
        <w:rPr>
          <w:spacing w:val="-2"/>
        </w:rPr>
        <w:t>公司已将产品所有权上的主要风险和报酬转移给购货方，并且不再对该产品实施继续管理和控制，</w:t>
      </w:r>
      <w:r>
        <w:rPr>
          <w:spacing w:val="-25"/>
        </w:rPr>
        <w:t> </w:t>
      </w:r>
      <w:r>
        <w:rPr>
          <w:spacing w:val="-25"/>
        </w:rPr>
      </w:r>
      <w:r>
        <w:rPr>
          <w:spacing w:val="-2"/>
        </w:rPr>
        <w:t>与交易相关的经济利益能够流入本公司，相关的收入和成本能够可靠计量时确认销售收入的实现。</w:t>
      </w:r>
      <w:r>
        <w:rPr>
          <w:spacing w:val="-28"/>
        </w:rPr>
        <w:t> </w:t>
      </w:r>
      <w:r>
        <w:rPr>
          <w:spacing w:val="-28"/>
        </w:rPr>
      </w:r>
      <w:r>
        <w:rPr>
          <w:rFonts w:ascii="Times New Roman" w:hAnsi="Times New Roman" w:cs="Times New Roman" w:eastAsia="Times New Roman" w:hint="default"/>
        </w:rPr>
        <w:t>2</w:t>
      </w:r>
      <w:r>
        <w:rPr/>
        <w:t>、收入确认方法：</w:t>
      </w:r>
    </w:p>
    <w:p>
      <w:pPr>
        <w:pStyle w:val="Heading4"/>
        <w:spacing w:line="273" w:lineRule="auto"/>
        <w:ind w:right="204"/>
        <w:jc w:val="left"/>
      </w:pPr>
      <w:r>
        <w:rPr>
          <w:spacing w:val="-4"/>
          <w:w w:val="100"/>
        </w:rPr>
        <w:t>①如销售合同规定需要安装验收的，在取得客户的安装验收报告时按合同金额扣除增值税后的余额</w:t>
      </w:r>
      <w:r>
        <w:rPr>
          <w:spacing w:val="-92"/>
          <w:w w:val="100"/>
        </w:rPr>
        <w:t> </w:t>
      </w:r>
      <w:r>
        <w:rPr>
          <w:spacing w:val="-92"/>
          <w:w w:val="100"/>
        </w:rPr>
      </w:r>
      <w:r>
        <w:rPr/>
        <w:t>确认为销售收入；</w:t>
      </w:r>
    </w:p>
    <w:p>
      <w:pPr>
        <w:pStyle w:val="Heading4"/>
        <w:spacing w:line="273" w:lineRule="auto" w:before="7"/>
        <w:ind w:right="204"/>
        <w:jc w:val="left"/>
      </w:pPr>
      <w:r>
        <w:rPr>
          <w:spacing w:val="-4"/>
          <w:w w:val="100"/>
        </w:rPr>
        <w:t>②如销售合同未规定需要安装验收的，则在取得到货验收证明时按合同金额扣除增值税后的余额确</w:t>
      </w:r>
      <w:r>
        <w:rPr>
          <w:spacing w:val="-92"/>
          <w:w w:val="100"/>
        </w:rPr>
        <w:t> </w:t>
      </w:r>
      <w:r>
        <w:rPr>
          <w:spacing w:val="-92"/>
          <w:w w:val="100"/>
        </w:rPr>
      </w:r>
      <w:r>
        <w:rPr/>
        <w:t>认为销售收入。</w:t>
      </w:r>
    </w:p>
    <w:p>
      <w:pPr>
        <w:spacing w:line="240" w:lineRule="auto" w:before="6"/>
        <w:rPr>
          <w:rFonts w:ascii="宋体" w:hAnsi="宋体" w:cs="宋体" w:eastAsia="宋体" w:hint="default"/>
          <w:sz w:val="24"/>
          <w:szCs w:val="24"/>
        </w:rPr>
      </w:pPr>
    </w:p>
    <w:p>
      <w:pPr>
        <w:pStyle w:val="Heading4"/>
        <w:spacing w:line="256" w:lineRule="auto"/>
        <w:ind w:right="4524"/>
        <w:jc w:val="left"/>
      </w:pPr>
      <w:r>
        <w:rPr>
          <w:rFonts w:ascii="Times New Roman" w:hAnsi="Times New Roman" w:cs="Times New Roman" w:eastAsia="Times New Roman" w:hint="default"/>
        </w:rPr>
        <w:t>D</w:t>
      </w:r>
      <w:r>
        <w:rPr/>
        <w:t>、综合工程</w:t>
      </w:r>
      <w:r>
        <w:rPr>
          <w:w w:val="100"/>
        </w:rPr>
        <w:t> </w:t>
      </w:r>
      <w:r>
        <w:rPr>
          <w:spacing w:val="-2"/>
        </w:rPr>
        <w:t>本公司综合工程包括弱电系统安装、综合布线等。</w:t>
      </w:r>
    </w:p>
    <w:p>
      <w:pPr>
        <w:pStyle w:val="Heading4"/>
        <w:spacing w:line="268" w:lineRule="auto" w:before="22"/>
        <w:ind w:right="204"/>
        <w:jc w:val="left"/>
      </w:pPr>
      <w:r>
        <w:rPr/>
        <w:t>（</w:t>
      </w:r>
      <w:r>
        <w:rPr>
          <w:rFonts w:ascii="Times New Roman" w:hAnsi="Times New Roman" w:cs="Times New Roman" w:eastAsia="Times New Roman" w:hint="default"/>
        </w:rPr>
        <w:t>a</w:t>
      </w:r>
      <w:r>
        <w:rPr/>
        <w:t>）收入确认原则：</w:t>
      </w:r>
      <w:r>
        <w:rPr>
          <w:w w:val="100"/>
        </w:rPr>
        <w:t> </w:t>
      </w:r>
      <w:r>
        <w:rPr/>
        <w:t>在资产负债表日，合同的结果能够可靠估计的，根据完工百分比法确认合同收入和合同费用。</w:t>
      </w:r>
      <w:r>
        <w:rPr>
          <w:w w:val="100"/>
        </w:rPr>
        <w:t> </w:t>
      </w:r>
      <w:r>
        <w:rPr>
          <w:spacing w:val="-4"/>
        </w:rPr>
        <w:t>如果合同的结果不能可靠地估计，区别以下情况处理：合同成本能够收回的，合同收入根据能够收</w:t>
      </w:r>
      <w:r>
        <w:rPr>
          <w:spacing w:val="-39"/>
        </w:rPr>
        <w:t> </w:t>
      </w:r>
      <w:r>
        <w:rPr>
          <w:spacing w:val="-39"/>
        </w:rPr>
      </w:r>
      <w:r>
        <w:rPr/>
        <w:t>回的实际合同成本加以确认；合同成本不可能收回的，在发生时立即确认为费用，不确认收入。</w:t>
      </w:r>
      <w:r>
        <w:rPr>
          <w:w w:val="100"/>
        </w:rPr>
        <w:t> </w:t>
      </w:r>
      <w:r>
        <w:rPr/>
        <w:t>合同的结果能够可靠估计是指同时具备下列条件：</w:t>
      </w:r>
    </w:p>
    <w:p>
      <w:pPr>
        <w:pStyle w:val="Heading4"/>
        <w:spacing w:line="240" w:lineRule="auto" w:before="12"/>
        <w:ind w:right="204"/>
        <w:jc w:val="left"/>
      </w:pPr>
      <w:r>
        <w:rPr/>
        <w:t>①合同总收入能够可靠地计量；</w:t>
      </w:r>
    </w:p>
    <w:p>
      <w:pPr>
        <w:pStyle w:val="Heading4"/>
        <w:spacing w:line="240" w:lineRule="auto" w:before="37"/>
        <w:ind w:right="204"/>
        <w:jc w:val="left"/>
      </w:pPr>
      <w:r>
        <w:rPr/>
        <w:t>②与合同相关的经济利益能够流入企业；</w:t>
      </w:r>
    </w:p>
    <w:p>
      <w:pPr>
        <w:pStyle w:val="Heading4"/>
        <w:spacing w:line="240" w:lineRule="auto" w:before="37"/>
        <w:ind w:right="204"/>
        <w:jc w:val="left"/>
      </w:pPr>
      <w:r>
        <w:rPr/>
        <w:t>③在资产负债表日合同完工进度和为完成合同尚需发生的成本能够可靠地确定；</w:t>
      </w:r>
    </w:p>
    <w:p>
      <w:pPr>
        <w:pStyle w:val="Heading4"/>
        <w:spacing w:line="273" w:lineRule="auto" w:before="37"/>
        <w:ind w:right="204"/>
        <w:jc w:val="left"/>
      </w:pPr>
      <w:r>
        <w:rPr>
          <w:spacing w:val="-4"/>
          <w:w w:val="100"/>
        </w:rPr>
        <w:t>④为完成合同已经发生的合同成本能够清楚地区分和可靠地计量，以便实际合同成本能够与以前的</w:t>
      </w:r>
      <w:r>
        <w:rPr>
          <w:spacing w:val="-92"/>
          <w:w w:val="100"/>
        </w:rPr>
        <w:t> </w:t>
      </w:r>
      <w:r>
        <w:rPr>
          <w:spacing w:val="-92"/>
          <w:w w:val="100"/>
        </w:rPr>
      </w:r>
      <w:r>
        <w:rPr/>
        <w:t>预计成本相比较。</w:t>
      </w:r>
    </w:p>
    <w:p>
      <w:pPr>
        <w:pStyle w:val="Heading4"/>
        <w:spacing w:line="240" w:lineRule="auto" w:before="7"/>
        <w:ind w:right="204"/>
        <w:jc w:val="left"/>
      </w:pPr>
      <w:r>
        <w:rPr/>
        <w:t>（</w:t>
      </w:r>
      <w:r>
        <w:rPr>
          <w:rFonts w:ascii="Times New Roman" w:hAnsi="Times New Roman" w:cs="Times New Roman" w:eastAsia="Times New Roman" w:hint="default"/>
        </w:rPr>
        <w:t>b</w:t>
      </w:r>
      <w:r>
        <w:rPr/>
        <w:t>）收入确认方法：</w:t>
      </w:r>
    </w:p>
    <w:p>
      <w:pPr>
        <w:pStyle w:val="Heading4"/>
        <w:spacing w:line="273" w:lineRule="auto" w:before="21"/>
        <w:ind w:right="206"/>
        <w:jc w:val="both"/>
      </w:pPr>
      <w:r>
        <w:rPr>
          <w:spacing w:val="-4"/>
        </w:rPr>
        <w:t>①在资产负债表日，按照合同总收入乘以完工进度扣除以前会计期间累计已确认收入后的金额，确</w:t>
      </w:r>
      <w:r>
        <w:rPr>
          <w:spacing w:val="-39"/>
        </w:rPr>
        <w:t> </w:t>
      </w:r>
      <w:r>
        <w:rPr>
          <w:spacing w:val="-39"/>
        </w:rPr>
      </w:r>
      <w:r>
        <w:rPr>
          <w:spacing w:val="-4"/>
        </w:rPr>
        <w:t>认为当期合同收入；同时，按照合同预计总成本乘以完工进度扣除以前会计期间累计已确认费用后</w:t>
      </w:r>
      <w:r>
        <w:rPr>
          <w:spacing w:val="-39"/>
        </w:rPr>
        <w:t> </w:t>
      </w:r>
      <w:r>
        <w:rPr>
          <w:spacing w:val="-39"/>
        </w:rPr>
      </w:r>
      <w:r>
        <w:rPr/>
        <w:t>的金额，确认为当期合同费用。</w:t>
      </w:r>
    </w:p>
    <w:p>
      <w:pPr>
        <w:pStyle w:val="Heading4"/>
        <w:spacing w:line="273" w:lineRule="auto" w:before="8"/>
        <w:ind w:right="204"/>
        <w:jc w:val="left"/>
      </w:pPr>
      <w:r>
        <w:rPr>
          <w:spacing w:val="-4"/>
        </w:rPr>
        <w:t>②当期完成的建造合同，按照实际合同总收入扣除以前会计期间累计已确认收入后的金额，确认为</w:t>
      </w:r>
      <w:r>
        <w:rPr>
          <w:spacing w:val="-39"/>
        </w:rPr>
        <w:t> </w:t>
      </w:r>
      <w:r>
        <w:rPr>
          <w:spacing w:val="-39"/>
        </w:rPr>
      </w:r>
      <w:r>
        <w:rPr>
          <w:spacing w:val="-4"/>
        </w:rPr>
        <w:t>当期合同收入，如果合同约定质保条款的，先扣除质保金部分，然后按前述方法确认收入，质保期</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73" w:lineRule="auto" w:before="36"/>
        <w:ind w:right="204"/>
        <w:jc w:val="left"/>
      </w:pPr>
      <w:r>
        <w:rPr>
          <w:spacing w:val="-4"/>
        </w:rPr>
        <w:t>届满后，再将该质保金确认收入；同时，按照累计实际发生的合同成本扣除以前会计期间累计已确</w:t>
      </w:r>
      <w:r>
        <w:rPr>
          <w:spacing w:val="-41"/>
        </w:rPr>
        <w:t> </w:t>
      </w:r>
      <w:r>
        <w:rPr>
          <w:spacing w:val="-41"/>
        </w:rPr>
      </w:r>
      <w:r>
        <w:rPr/>
        <w:t>认费用后的金额，确认为当期合同费用。</w:t>
      </w:r>
    </w:p>
    <w:p>
      <w:pPr>
        <w:spacing w:line="240" w:lineRule="auto" w:before="6"/>
        <w:rPr>
          <w:rFonts w:ascii="宋体" w:hAnsi="宋体" w:cs="宋体" w:eastAsia="宋体" w:hint="default"/>
          <w:sz w:val="24"/>
          <w:szCs w:val="24"/>
        </w:rPr>
      </w:pPr>
    </w:p>
    <w:p>
      <w:pPr>
        <w:spacing w:line="264" w:lineRule="auto" w:before="0"/>
        <w:ind w:left="813" w:right="204" w:hanging="6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3"/>
          <w:sz w:val="21"/>
          <w:szCs w:val="21"/>
        </w:rPr>
        <w:t>与交易相关的经济利益很可能流入企业，收入的金额能够可靠地计量时。分别下列情况确定让渡资</w:t>
      </w:r>
      <w:r>
        <w:rPr>
          <w:rFonts w:ascii="宋体" w:hAnsi="宋体" w:cs="宋体" w:eastAsia="宋体" w:hint="default"/>
          <w:w w:val="100"/>
          <w:sz w:val="21"/>
          <w:szCs w:val="21"/>
        </w:rPr>
        <w:t> </w:t>
      </w:r>
      <w:r>
        <w:rPr>
          <w:rFonts w:ascii="宋体" w:hAnsi="宋体" w:cs="宋体" w:eastAsia="宋体" w:hint="default"/>
          <w:sz w:val="21"/>
          <w:szCs w:val="21"/>
        </w:rPr>
        <w:t>产使用权收入金额：</w:t>
      </w:r>
    </w:p>
    <w:p>
      <w:pPr>
        <w:pStyle w:val="Heading4"/>
        <w:spacing w:line="240" w:lineRule="auto" w:before="16"/>
        <w:ind w:left="813" w:right="204"/>
        <w:jc w:val="left"/>
      </w:pPr>
      <w:r>
        <w:rPr/>
        <w:t>（</w:t>
      </w:r>
      <w:r>
        <w:rPr>
          <w:rFonts w:ascii="Times New Roman" w:hAnsi="Times New Roman" w:cs="Times New Roman" w:eastAsia="Times New Roman" w:hint="default"/>
        </w:rPr>
        <w:t>A</w:t>
      </w:r>
      <w:r>
        <w:rPr/>
        <w:t>）利息收入金额，按照他人使用本企业货币资金的时间和实际利率计算确定。</w:t>
      </w:r>
    </w:p>
    <w:p>
      <w:pPr>
        <w:pStyle w:val="Heading4"/>
        <w:spacing w:line="240" w:lineRule="auto" w:before="21"/>
        <w:ind w:left="813" w:right="204"/>
        <w:jc w:val="left"/>
      </w:pPr>
      <w:r>
        <w:rPr/>
        <w:t>（</w:t>
      </w:r>
      <w:r>
        <w:rPr>
          <w:rFonts w:ascii="Times New Roman" w:hAnsi="Times New Roman" w:cs="Times New Roman" w:eastAsia="Times New Roman" w:hint="default"/>
        </w:rPr>
        <w:t>B</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Heading3"/>
        <w:spacing w:line="240" w:lineRule="auto"/>
        <w:ind w:right="204"/>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0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152" w:right="48"/>
        <w:jc w:val="left"/>
      </w:pPr>
      <w:r>
        <w:rPr/>
        <w:t>与资产相关的政府补助，是指本公司取得的、用于购建或以其他方式形成长期资产的政府补助。</w:t>
      </w:r>
      <w:r>
        <w:rPr>
          <w:w w:val="100"/>
        </w:rPr>
        <w:t> </w:t>
      </w:r>
      <w:r>
        <w:rPr/>
        <w:t>本公司将政府补助划分为与资产相关的具体标准为：补助企业相关资产的购建。</w:t>
      </w:r>
      <w:r>
        <w:rPr>
          <w:w w:val="100"/>
        </w:rPr>
        <w:t> </w:t>
      </w:r>
      <w:r>
        <w:rPr/>
        <w:t>与资产相关的政府补助确认时点：相关资产达到预定可使用状态或收到政府补助款项。</w:t>
      </w:r>
      <w:r>
        <w:rPr>
          <w:w w:val="100"/>
        </w:rPr>
        <w:t> </w:t>
      </w:r>
      <w:r>
        <w:rPr>
          <w:spacing w:val="-2"/>
        </w:rPr>
        <w:t>会计处理：与资产相关的政府补助，确认为递延收益。在相关资产使用寿命内按照合理、系统的方法分期</w:t>
      </w:r>
      <w:r>
        <w:rPr>
          <w:spacing w:val="-49"/>
        </w:rPr>
        <w:t> </w:t>
      </w:r>
      <w:r>
        <w:rPr>
          <w:spacing w:val="-49"/>
        </w:rPr>
      </w:r>
      <w:r>
        <w:rPr>
          <w:spacing w:val="-5"/>
        </w:rPr>
        <w:t>计入当期损益（与本公司日常活动相关的，计入其他收益；与本公司日常活动无关的，计入营业外收入）；</w:t>
      </w:r>
    </w:p>
    <w:p>
      <w:pPr>
        <w:spacing w:line="240" w:lineRule="auto" w:before="7"/>
        <w:rPr>
          <w:rFonts w:ascii="宋体" w:hAnsi="宋体" w:cs="宋体" w:eastAsia="宋体" w:hint="default"/>
          <w:sz w:val="23"/>
          <w:szCs w:val="23"/>
        </w:rPr>
      </w:pPr>
    </w:p>
    <w:p>
      <w:pPr>
        <w:pStyle w:val="Heading3"/>
        <w:spacing w:line="240" w:lineRule="auto"/>
        <w:ind w:right="20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73" w:lineRule="auto"/>
        <w:ind w:left="152" w:right="204"/>
        <w:jc w:val="left"/>
      </w:pPr>
      <w:r>
        <w:rPr/>
        <w:t>与收益相关的政府补助，是指除与资产相关的政府补助之外的政府补助。</w:t>
      </w:r>
      <w:r>
        <w:rPr>
          <w:w w:val="100"/>
        </w:rPr>
        <w:t> </w:t>
      </w:r>
      <w:r>
        <w:rPr>
          <w:spacing w:val="-2"/>
        </w:rPr>
        <w:t>本公司将政府补助划分为与收益相关的具体标准为：补偿企业相关费用或损失；对于政府文件未明确规定</w:t>
      </w:r>
      <w:r>
        <w:rPr>
          <w:spacing w:val="-44"/>
        </w:rPr>
        <w:t> </w:t>
      </w:r>
      <w:r>
        <w:rPr>
          <w:spacing w:val="-44"/>
        </w:rPr>
      </w:r>
      <w:r>
        <w:rPr>
          <w:spacing w:val="-2"/>
        </w:rPr>
        <w:t>补助对象的，本公司将该政府补助划分为与资产相关或与收益相关的判断依据为：将政府补助整体归类为</w:t>
      </w:r>
      <w:r>
        <w:rPr>
          <w:spacing w:val="-43"/>
        </w:rPr>
        <w:t> </w:t>
      </w:r>
      <w:r>
        <w:rPr>
          <w:spacing w:val="-43"/>
        </w:rPr>
      </w:r>
      <w:r>
        <w:rPr/>
        <w:t>与收益相关的政府补助。</w:t>
      </w:r>
    </w:p>
    <w:p>
      <w:pPr>
        <w:pStyle w:val="Heading4"/>
        <w:spacing w:line="273" w:lineRule="auto" w:before="7"/>
        <w:ind w:left="152" w:right="48"/>
        <w:jc w:val="left"/>
      </w:pPr>
      <w:r>
        <w:rPr/>
        <w:t>与收益相关的政府补助确认时点：相关费用或损失发生时。</w:t>
      </w:r>
      <w:r>
        <w:rPr>
          <w:w w:val="100"/>
        </w:rPr>
        <w:t> </w:t>
      </w:r>
      <w:r>
        <w:rPr>
          <w:spacing w:val="-5"/>
        </w:rPr>
        <w:t>会计处理：与收益相关的政府补助，用于补偿本公司以后期间的相关成本费用或损失的，确认为递延收益，</w:t>
      </w:r>
      <w:r>
        <w:rPr>
          <w:spacing w:val="-4"/>
        </w:rPr>
        <w:t> </w:t>
      </w:r>
      <w:r>
        <w:rPr>
          <w:spacing w:val="-4"/>
        </w:rPr>
      </w:r>
      <w:r>
        <w:rPr>
          <w:spacing w:val="-2"/>
        </w:rPr>
        <w:t>并在确认相关成本费用或损失的期间，计入当期损益（与本公司日常活动相关的，计入其他收益；与本公</w:t>
      </w:r>
      <w:r>
        <w:rPr>
          <w:spacing w:val="-47"/>
        </w:rPr>
        <w:t> </w:t>
      </w:r>
      <w:r>
        <w:rPr>
          <w:spacing w:val="-47"/>
        </w:rPr>
      </w:r>
      <w:r>
        <w:rPr>
          <w:spacing w:val="-2"/>
        </w:rPr>
        <w:t>司日常活动无关的，计入营业外收入）或冲减相关成本费用或损失；用于补偿本公司已发生的相关成本费</w:t>
      </w:r>
      <w:r>
        <w:rPr>
          <w:spacing w:val="-43"/>
        </w:rPr>
        <w:t> </w:t>
      </w:r>
      <w:r>
        <w:rPr>
          <w:spacing w:val="-43"/>
        </w:rPr>
      </w:r>
      <w:r>
        <w:rPr/>
        <w:t>用或损失的，直接计入当期损益（与本公司日常活动相关的，计入其他收益；与本公司日常活动无关的，</w:t>
      </w:r>
      <w:r>
        <w:rPr>
          <w:w w:val="100"/>
        </w:rPr>
        <w:t> </w:t>
      </w:r>
      <w:r>
        <w:rPr/>
        <w:t>计入营业外收入）或冲减相关成本费用或损失。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90" w:lineRule="atLeast" w:before="159"/>
        <w:ind w:left="405" w:right="204" w:hanging="25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3"/>
          <w:sz w:val="21"/>
          <w:szCs w:val="21"/>
        </w:rPr>
        <w:t>对于可抵扣暂时性差异确认递延所得税资产，以未来期间很可能取得的用来抵扣可抵扣暂时性差异的应</w:t>
      </w:r>
    </w:p>
    <w:p>
      <w:pPr>
        <w:pStyle w:val="Heading4"/>
        <w:spacing w:line="273" w:lineRule="auto" w:before="37"/>
        <w:ind w:left="152" w:right="204"/>
        <w:jc w:val="left"/>
      </w:pPr>
      <w:r>
        <w:rPr>
          <w:spacing w:val="-2"/>
        </w:rPr>
        <w:t>纳税所得额为限。对于能够结转以后年度的可抵扣亏损和税款抵减，以很可能获得用来抵扣可抵扣亏损和</w:t>
      </w:r>
      <w:r>
        <w:rPr>
          <w:spacing w:val="-44"/>
        </w:rPr>
        <w:t> </w:t>
      </w:r>
      <w:r>
        <w:rPr>
          <w:spacing w:val="-44"/>
        </w:rPr>
      </w:r>
      <w:r>
        <w:rPr/>
        <w:t>税款抵减的未来应纳税所得额为限，确认相应的递延所得税资产。</w:t>
      </w:r>
    </w:p>
    <w:p>
      <w:pPr>
        <w:pStyle w:val="Heading4"/>
        <w:spacing w:line="273" w:lineRule="auto" w:before="7"/>
        <w:ind w:left="152" w:right="204" w:firstLine="252"/>
        <w:jc w:val="left"/>
      </w:pPr>
      <w:r>
        <w:rPr/>
        <w:t>对于应纳税暂时性差异，除特殊情况外，确认递延所得税负债。</w:t>
      </w:r>
      <w:r>
        <w:rPr>
          <w:w w:val="100"/>
        </w:rPr>
        <w:t> </w:t>
      </w:r>
      <w:r>
        <w:rPr>
          <w:spacing w:val="-2"/>
        </w:rPr>
        <w:t>不确认递延所得税资产或递延所得税负债的特殊情况包括：商誉的初始确认；除企业合并以外的发生时既</w:t>
      </w:r>
      <w:r>
        <w:rPr>
          <w:spacing w:val="-43"/>
        </w:rPr>
        <w:t> </w:t>
      </w:r>
      <w:r>
        <w:rPr>
          <w:spacing w:val="-43"/>
        </w:rPr>
      </w:r>
      <w:r>
        <w:rPr/>
        <w:t>不影响会计利润也不影响应纳税所得额（或可抵扣亏损）的其他交易或事项。</w:t>
      </w:r>
    </w:p>
    <w:p>
      <w:pPr>
        <w:spacing w:after="0" w:line="273" w:lineRule="auto"/>
        <w:jc w:val="left"/>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pStyle w:val="Heading4"/>
        <w:spacing w:line="273" w:lineRule="auto" w:before="36"/>
        <w:ind w:left="152" w:right="206" w:firstLine="252"/>
        <w:jc w:val="both"/>
      </w:pPr>
      <w:r>
        <w:rPr>
          <w:spacing w:val="-3"/>
        </w:rPr>
        <w:t>当拥有以净额结算的法定权利，且意图以净额结算或取得资产、清偿负债同时进行时，当期所得税资产</w:t>
      </w:r>
      <w:r>
        <w:rPr>
          <w:w w:val="100"/>
        </w:rPr>
        <w:t> </w:t>
      </w:r>
      <w:r>
        <w:rPr/>
        <w:t>及当期所得税负债以抵销后的净额列报。</w:t>
      </w:r>
    </w:p>
    <w:p>
      <w:pPr>
        <w:pStyle w:val="Heading4"/>
        <w:spacing w:line="273" w:lineRule="auto" w:before="7"/>
        <w:ind w:left="152" w:right="206" w:firstLine="252"/>
        <w:jc w:val="both"/>
      </w:pPr>
      <w:r>
        <w:rPr>
          <w:spacing w:val="-3"/>
        </w:rPr>
        <w:t>当拥有以净额结算当期所得税资产及当期所得税负债的法定权利，且递延所得税资产及递延所得税负债</w:t>
      </w:r>
      <w:r>
        <w:rPr>
          <w:w w:val="100"/>
        </w:rPr>
        <w:t> </w:t>
      </w:r>
      <w:r>
        <w:rPr>
          <w:spacing w:val="-2"/>
        </w:rPr>
        <w:t>是与同一税收征管部门对同一纳税主体征收的所得税相关或者是对不同的纳税主体相关，但在未来每一具</w:t>
      </w:r>
      <w:r>
        <w:rPr>
          <w:spacing w:val="-43"/>
        </w:rPr>
        <w:t> </w:t>
      </w:r>
      <w:r>
        <w:rPr>
          <w:spacing w:val="-43"/>
        </w:rPr>
      </w:r>
      <w:r>
        <w:rPr>
          <w:spacing w:val="-2"/>
        </w:rPr>
        <w:t>有重要性的递延所得税资产及负债转回的期间内，涉及的纳税主体意图以净额结算当期所得税资产和负债</w:t>
      </w:r>
      <w:r>
        <w:rPr>
          <w:spacing w:val="-43"/>
        </w:rPr>
        <w:t> </w:t>
      </w:r>
      <w:r>
        <w:rPr>
          <w:spacing w:val="-43"/>
        </w:rPr>
      </w:r>
      <w:r>
        <w:rPr/>
        <w:t>或是同时取得资产、清偿负债时，递延所得税资产及递延所得税负债以抵销后的净额列报。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204"/>
        <w:jc w:val="left"/>
        <w:rPr>
          <w:b w:val="0"/>
          <w:bCs w:val="0"/>
        </w:rPr>
      </w:pPr>
      <w:r>
        <w:rPr>
          <w:rFonts w:ascii="Times New Roman" w:hAnsi="Times New Roman" w:cs="Times New Roman" w:eastAsia="Times New Roman" w:hint="default"/>
        </w:rPr>
        <w:t>31</w:t>
      </w:r>
      <w:r>
        <w:rPr/>
        <w:t>、租赁</w:t>
      </w:r>
      <w:r>
        <w:rPr>
          <w:b w:val="0"/>
          <w:bCs w:val="0"/>
        </w:rPr>
      </w:r>
    </w:p>
    <w:p>
      <w:pPr>
        <w:spacing w:line="590" w:lineRule="atLeast" w:before="24"/>
        <w:ind w:left="518" w:right="48" w:hanging="36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100"/>
          <w:sz w:val="21"/>
          <w:szCs w:val="21"/>
        </w:rPr>
        <w:t> </w:t>
      </w:r>
      <w:r>
        <w:rPr>
          <w:rFonts w:ascii="宋体" w:hAnsi="宋体" w:cs="宋体" w:eastAsia="宋体" w:hint="default"/>
          <w:spacing w:val="-4"/>
          <w:sz w:val="21"/>
          <w:szCs w:val="21"/>
        </w:rPr>
        <w:t>公司租入资产所支付的租赁费，在不扣除免租期的整个租赁期内，按直线法进行分摊，计入当期费用。</w:t>
      </w:r>
    </w:p>
    <w:p>
      <w:pPr>
        <w:pStyle w:val="Heading4"/>
        <w:spacing w:line="273" w:lineRule="auto" w:before="37"/>
        <w:ind w:left="518" w:right="204" w:hanging="253"/>
        <w:jc w:val="left"/>
      </w:pPr>
      <w:r>
        <w:rPr/>
        <w:t>公司支付的与租赁交易相关的初始直接费用，计入当期费用。</w:t>
      </w:r>
      <w:r>
        <w:rPr>
          <w:w w:val="100"/>
        </w:rPr>
        <w:t> </w:t>
      </w:r>
      <w:r>
        <w:rPr>
          <w:spacing w:val="-1"/>
        </w:rPr>
        <w:t>资产出租方承担了应由公司承担的与租赁相关的费用时，公司将该部分费用从租金总额中扣除，按扣</w:t>
      </w:r>
    </w:p>
    <w:p>
      <w:pPr>
        <w:pStyle w:val="Heading4"/>
        <w:spacing w:line="273" w:lineRule="auto" w:before="7"/>
        <w:ind w:left="518" w:right="204" w:hanging="253"/>
        <w:jc w:val="left"/>
      </w:pPr>
      <w:r>
        <w:rPr/>
        <w:t>除后的租金费用在租赁期内分摊，计入当期费用。</w:t>
      </w:r>
      <w:r>
        <w:rPr>
          <w:w w:val="100"/>
        </w:rPr>
        <w:t> </w:t>
      </w:r>
      <w:r>
        <w:rPr>
          <w:spacing w:val="-1"/>
        </w:rPr>
        <w:t>公司出租资产所收取的租赁费，在不扣除免租期的整个租赁期内，按直线法进行分摊，确认为租赁相</w:t>
      </w:r>
    </w:p>
    <w:p>
      <w:pPr>
        <w:pStyle w:val="Heading4"/>
        <w:spacing w:line="273" w:lineRule="auto" w:before="7"/>
        <w:ind w:left="265" w:right="204"/>
        <w:jc w:val="left"/>
      </w:pPr>
      <w:r>
        <w:rPr/>
        <w:t>关收入。公司支付的与租赁交易相关的初始直接费用，计入当期费用；如金额较大的，则予以资本化，</w:t>
      </w:r>
      <w:r>
        <w:rPr>
          <w:spacing w:val="-36"/>
        </w:rPr>
        <w:t> </w:t>
      </w:r>
      <w:r>
        <w:rPr>
          <w:spacing w:val="-36"/>
        </w:rPr>
      </w:r>
      <w:r>
        <w:rPr/>
        <w:t>在整个租赁期间内按照与租赁相关收入确认相同的基础分期计入当期收益。</w:t>
      </w:r>
    </w:p>
    <w:p>
      <w:pPr>
        <w:pStyle w:val="Heading4"/>
        <w:spacing w:line="273" w:lineRule="auto" w:before="7"/>
        <w:ind w:left="265" w:right="204" w:firstLine="252"/>
        <w:jc w:val="left"/>
      </w:pPr>
      <w:r>
        <w:rPr>
          <w:spacing w:val="-1"/>
        </w:rPr>
        <w:t>公司承担了应由承租方承担的与租赁相关的费用时，公司将该部分费用从租金收入总额中扣除，按扣</w:t>
      </w:r>
      <w:r>
        <w:rPr>
          <w:w w:val="100"/>
        </w:rPr>
        <w:t> </w:t>
      </w:r>
      <w:r>
        <w:rPr/>
        <w:t>除后的租金费用在租赁期内分配。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20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04"/>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0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204"/>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20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）在利润表中分别列示</w:t>
            </w:r>
            <w:r>
              <w:rPr>
                <w:rFonts w:ascii="Times New Roman" w:hAnsi="Times New Roman" w:cs="Times New Roman" w:eastAsia="Times New Roman" w:hint="default"/>
                <w:sz w:val="18"/>
                <w:szCs w:val="18"/>
              </w:rPr>
              <w:t>“</w:t>
            </w:r>
            <w:r>
              <w:rPr>
                <w:rFonts w:ascii="宋体" w:hAnsi="宋体" w:cs="宋体" w:eastAsia="宋体" w:hint="default"/>
                <w:sz w:val="18"/>
                <w:szCs w:val="18"/>
              </w:rPr>
              <w:t>持续经营净 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。比较数据相 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105,792,984.45</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元；列示终止经营净利润</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02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）与本公司日常活动相关的政府补 助，计入其他收益，不再计入营业外收 入。比较数据不调整。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 w:right="21"/>
              <w:jc w:val="left"/>
              <w:rPr>
                <w:rFonts w:ascii="宋体" w:hAnsi="宋体" w:cs="宋体" w:eastAsia="宋体" w:hint="default"/>
                <w:sz w:val="18"/>
                <w:szCs w:val="18"/>
              </w:rPr>
            </w:pPr>
            <w:r>
              <w:rPr>
                <w:rFonts w:ascii="宋体" w:hAnsi="宋体" w:cs="宋体" w:eastAsia="宋体" w:hint="default"/>
                <w:sz w:val="18"/>
                <w:szCs w:val="18"/>
              </w:rPr>
              <w:t>调增其他收益：</w:t>
            </w:r>
            <w:r>
              <w:rPr>
                <w:rFonts w:ascii="Times New Roman" w:hAnsi="Times New Roman" w:cs="Times New Roman" w:eastAsia="Times New Roman" w:hint="default"/>
                <w:sz w:val="18"/>
                <w:szCs w:val="18"/>
              </w:rPr>
              <w:t>6,543,091.84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元，调减营</w:t>
            </w:r>
            <w:r>
              <w:rPr>
                <w:rFonts w:ascii="宋体" w:hAnsi="宋体" w:cs="宋体" w:eastAsia="宋体" w:hint="default"/>
                <w:sz w:val="18"/>
                <w:szCs w:val="18"/>
              </w:rPr>
              <w:t> 业外收入：</w:t>
            </w:r>
            <w:r>
              <w:rPr>
                <w:rFonts w:ascii="Times New Roman" w:hAnsi="Times New Roman" w:cs="Times New Roman" w:eastAsia="Times New Roman" w:hint="default"/>
                <w:sz w:val="18"/>
                <w:szCs w:val="18"/>
              </w:rPr>
              <w:t>6,543,091.84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134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5"/>
                <w:w w:val="100"/>
                <w:sz w:val="18"/>
                <w:szCs w:val="18"/>
              </w:rPr>
              <w:t>目，将部分原列示为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营业外收入</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的资产</w:t>
            </w:r>
            <w:r>
              <w:rPr>
                <w:rFonts w:ascii="宋体" w:hAnsi="宋体" w:cs="宋体" w:eastAsia="宋体" w:hint="default"/>
                <w:spacing w:val="-83"/>
                <w:w w:val="100"/>
                <w:sz w:val="18"/>
                <w:szCs w:val="18"/>
              </w:rPr>
              <w:t> </w:t>
            </w:r>
            <w:r>
              <w:rPr>
                <w:rFonts w:ascii="宋体" w:hAnsi="宋体" w:cs="宋体" w:eastAsia="宋体" w:hint="default"/>
                <w:sz w:val="18"/>
                <w:szCs w:val="18"/>
              </w:rPr>
              <w:t>处置损益重分类至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按财政部规定执行</w:t>
            </w:r>
          </w:p>
          <w:p>
            <w:pPr>
              <w:pStyle w:val="TableParagraph"/>
              <w:spacing w:line="196"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6"/>
              <w:ind w:left="23" w:right="95"/>
              <w:jc w:val="left"/>
              <w:rPr>
                <w:rFonts w:ascii="宋体" w:hAnsi="宋体" w:cs="宋体" w:eastAsia="宋体" w:hint="default"/>
                <w:sz w:val="18"/>
                <w:szCs w:val="18"/>
              </w:rPr>
            </w:pPr>
            <w:r>
              <w:rPr>
                <w:rFonts w:ascii="宋体" w:hAnsi="宋体" w:cs="宋体" w:eastAsia="宋体" w:hint="default"/>
                <w:sz w:val="18"/>
                <w:szCs w:val="18"/>
              </w:rPr>
              <w:t>调增资产处置收益：</w:t>
            </w:r>
            <w:r>
              <w:rPr>
                <w:rFonts w:ascii="Times New Roman" w:hAnsi="Times New Roman" w:cs="Times New Roman" w:eastAsia="Times New Roman" w:hint="default"/>
                <w:sz w:val="18"/>
                <w:szCs w:val="18"/>
              </w:rPr>
              <w:t>60,193.85</w:t>
            </w:r>
            <w:r>
              <w:rPr>
                <w:rFonts w:ascii="宋体" w:hAnsi="宋体" w:cs="宋体" w:eastAsia="宋体" w:hint="default"/>
                <w:sz w:val="18"/>
                <w:szCs w:val="18"/>
              </w:rPr>
              <w:t>，调减营 业外收入：</w:t>
            </w:r>
            <w:r>
              <w:rPr>
                <w:rFonts w:ascii="Times New Roman" w:hAnsi="Times New Roman" w:cs="Times New Roman" w:eastAsia="Times New Roman" w:hint="default"/>
                <w:sz w:val="18"/>
                <w:szCs w:val="18"/>
              </w:rPr>
              <w:t>60,193.85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216.529999pt;margin-top:-56.73632pt;width:159.050pt;height:43.6pt;mso-position-horizontal-relative:page;mso-position-vertical-relative:paragraph;z-index:-917464" coordorigin="4331,-1135" coordsize="3181,872">
            <v:group style="position:absolute;left:4343;top:-1123;width:2;height:392" coordorigin="4343,-1123" coordsize="2,392">
              <v:shape style="position:absolute;left:4343;top:-1123;width:2;height:392" coordorigin="4343,-1123" coordsize="0,392" path="m4343,-1123l4343,-732e" filled="false" stroked="true" strokeweight="1.2pt" strokecolor="#ffffff">
                <v:path arrowok="t"/>
              </v:shape>
            </v:group>
            <v:group style="position:absolute;left:4331;top:-732;width:3181;height:468" coordorigin="4331,-732" coordsize="3181,468">
              <v:shape style="position:absolute;left:4331;top:-732;width:3181;height:468" coordorigin="4331,-732" coordsize="3181,468" path="m4331,-264l7511,-264,7511,-732,4331,-732,4331,-264xe" filled="true" fillcolor="#ffffff" stroked="false">
                <v:path arrowok="t"/>
                <v:fill type="solid"/>
              </v:shape>
            </v:group>
            <v:group style="position:absolute;left:4355;top:-1123;width:3133;height:392" coordorigin="4355,-1123" coordsize="3133,392">
              <v:shape style="position:absolute;left:4355;top:-1123;width:3133;height:392" coordorigin="4355,-1123" coordsize="3133,392" path="m4355,-732l7487,-732,7487,-1123,4355,-1123,4355,-732xe" filled="true" fillcolor="#ffffff" stroked="false">
                <v:path arrowok="t"/>
                <v:fill type="solid"/>
              </v:shape>
            </v:group>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四川银海软件有限责任公司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天津银海环球信息技术有限公司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重庆久远银海软件有限公司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北京久远银海技术有限公司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北京银海奥尼思特咨询有限公司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山西久远爱思普软件股份有限公司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新疆银海鼎峰软件有限公司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四川久远银海畅辉软件有限公司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四川久远国基科技有限公司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成都兴联汇智科技有限公司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母公司税收优惠及批文</w:t>
      </w:r>
      <w:r>
        <w:rPr>
          <w:b w:val="0"/>
          <w:bCs w:val="0"/>
        </w:rPr>
      </w:r>
    </w:p>
    <w:p>
      <w:pPr>
        <w:pStyle w:val="BodyText"/>
        <w:spacing w:line="300" w:lineRule="auto" w:before="42"/>
        <w:ind w:left="561" w:right="151" w:firstLine="168"/>
        <w:jc w:val="both"/>
      </w:pPr>
      <w:r>
        <w:rPr/>
        <w:t>本公司已获取四川省成都高新技术产业开发区国家税务局出具的</w:t>
      </w:r>
      <w:r>
        <w:rPr>
          <w:rFonts w:ascii="Times New Roman" w:hAnsi="Times New Roman" w:cs="Times New Roman" w:eastAsia="Times New Roman" w:hint="default"/>
        </w:rPr>
        <w:t>2017</w:t>
      </w:r>
      <w:r>
        <w:rPr/>
        <w:t>年度企业所得税优惠事项备案表和税务事项通 知书，根据《国家税务总局关于深入实施西部大开发战略有关企业所得税问题的公告》（国家税务总局公告</w:t>
      </w:r>
      <w:r>
        <w:rPr>
          <w:rFonts w:ascii="Times New Roman" w:hAnsi="Times New Roman" w:cs="Times New Roman" w:eastAsia="Times New Roman" w:hint="default"/>
        </w:rPr>
        <w:t>2012</w:t>
      </w:r>
      <w:r>
        <w:rPr/>
        <w:t>年第</w:t>
      </w:r>
      <w:r>
        <w:rPr>
          <w:spacing w:val="-44"/>
        </w:rPr>
        <w:t> </w:t>
      </w:r>
      <w:r>
        <w:rPr>
          <w:rFonts w:ascii="Times New Roman" w:hAnsi="Times New Roman" w:cs="Times New Roman" w:eastAsia="Times New Roman" w:hint="default"/>
        </w:rPr>
        <w:t>12</w:t>
      </w:r>
      <w:r>
        <w:rPr/>
        <w:t>号）第三条的规定，同意公司</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税率征收企业所得税。</w:t>
      </w:r>
    </w:p>
    <w:p>
      <w:pPr>
        <w:spacing w:line="240" w:lineRule="auto" w:before="3"/>
        <w:rPr>
          <w:rFonts w:ascii="宋体" w:hAnsi="宋体" w:cs="宋体" w:eastAsia="宋体" w:hint="default"/>
          <w:sz w:val="23"/>
          <w:szCs w:val="23"/>
        </w:rPr>
      </w:pPr>
    </w:p>
    <w:p>
      <w:pPr>
        <w:spacing w:line="256" w:lineRule="auto" w:before="0"/>
        <w:ind w:left="530" w:right="5494" w:hanging="37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子公司税收优惠及批文</w:t>
      </w:r>
      <w:r>
        <w:rPr>
          <w:rFonts w:ascii="宋体" w:hAnsi="宋体" w:cs="宋体" w:eastAsia="宋体" w:hint="default"/>
          <w:b/>
          <w:bCs/>
          <w:spacing w:val="-103"/>
          <w:sz w:val="21"/>
          <w:szCs w:val="21"/>
        </w:rPr>
        <w:t> </w:t>
      </w:r>
      <w:r>
        <w:rPr>
          <w:rFonts w:ascii="宋体" w:hAnsi="宋体" w:cs="宋体" w:eastAsia="宋体" w:hint="default"/>
          <w:spacing w:val="-2"/>
          <w:sz w:val="21"/>
          <w:szCs w:val="21"/>
        </w:rPr>
        <w:t>天津银海环球信息技术有限公司</w:t>
      </w:r>
    </w:p>
    <w:p>
      <w:pPr>
        <w:pStyle w:val="Heading4"/>
        <w:spacing w:line="261" w:lineRule="auto" w:before="22"/>
        <w:ind w:left="530" w:right="146" w:firstLine="252"/>
        <w:jc w:val="both"/>
      </w:pPr>
      <w:r>
        <w:rPr>
          <w:spacing w:val="-2"/>
        </w:rPr>
        <w:t>公司已通过天津市滨海高新技术产业开发区国家税务局审核的企业所得税优惠事项备案，依据国科</w:t>
      </w:r>
      <w:r>
        <w:rPr>
          <w:w w:val="100"/>
        </w:rPr>
        <w:t> </w:t>
      </w:r>
      <w:r>
        <w:rPr>
          <w:spacing w:val="-3"/>
        </w:rPr>
        <w:t>发火</w:t>
      </w:r>
      <w:r>
        <w:rPr>
          <w:rFonts w:ascii="Times New Roman" w:hAnsi="Times New Roman" w:cs="Times New Roman" w:eastAsia="Times New Roman" w:hint="default"/>
          <w:spacing w:val="-3"/>
        </w:rPr>
        <w:t>[2008]172</w:t>
      </w:r>
      <w:r>
        <w:rPr>
          <w:spacing w:val="-3"/>
        </w:rPr>
        <w:t>号、国科发火</w:t>
      </w:r>
      <w:r>
        <w:rPr>
          <w:rFonts w:ascii="Times New Roman" w:hAnsi="Times New Roman" w:cs="Times New Roman" w:eastAsia="Times New Roman" w:hint="default"/>
          <w:spacing w:val="-3"/>
        </w:rPr>
        <w:t>[2008]362</w:t>
      </w:r>
      <w:r>
        <w:rPr>
          <w:spacing w:val="-3"/>
        </w:rPr>
        <w:t>号、国税函</w:t>
      </w:r>
      <w:r>
        <w:rPr>
          <w:rFonts w:ascii="Times New Roman" w:hAnsi="Times New Roman" w:cs="Times New Roman" w:eastAsia="Times New Roman" w:hint="default"/>
          <w:spacing w:val="-3"/>
        </w:rPr>
        <w:t>[2009]203</w:t>
      </w:r>
      <w:r>
        <w:rPr>
          <w:spacing w:val="-3"/>
        </w:rPr>
        <w:t>号的规定，以及公司获取的高新技术企业证</w:t>
      </w:r>
      <w:r>
        <w:rPr>
          <w:spacing w:val="-22"/>
        </w:rPr>
        <w:t> </w:t>
      </w:r>
      <w:r>
        <w:rPr>
          <w:spacing w:val="-22"/>
        </w:rPr>
      </w:r>
      <w:r>
        <w:rPr>
          <w:spacing w:val="-1"/>
        </w:rPr>
        <w:t>书（证书编号：</w:t>
      </w:r>
      <w:r>
        <w:rPr>
          <w:rFonts w:ascii="Times New Roman" w:hAnsi="Times New Roman" w:cs="Times New Roman" w:eastAsia="Times New Roman" w:hint="default"/>
          <w:spacing w:val="-1"/>
        </w:rPr>
        <w:t>GR201512000246</w:t>
      </w:r>
      <w:r>
        <w:rPr>
          <w:spacing w:val="-1"/>
        </w:rPr>
        <w:t>，发证日期：</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8</w:t>
      </w:r>
      <w:r>
        <w:rPr>
          <w:spacing w:val="-1"/>
        </w:rPr>
        <w:t>日，有效期三年），公司享受高新技术企</w:t>
      </w:r>
      <w:r>
        <w:rPr>
          <w:spacing w:val="-11"/>
        </w:rPr>
        <w:t> </w:t>
      </w:r>
      <w:r>
        <w:rPr>
          <w:spacing w:val="-11"/>
        </w:rPr>
      </w:r>
      <w:r>
        <w:rPr/>
        <w:t>业所得税优惠政策，</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税率预缴企业所得税。</w:t>
      </w:r>
    </w:p>
    <w:p>
      <w:pPr>
        <w:spacing w:line="240" w:lineRule="auto" w:before="11"/>
        <w:rPr>
          <w:rFonts w:ascii="宋体" w:hAnsi="宋体" w:cs="宋体" w:eastAsia="宋体" w:hint="default"/>
          <w:sz w:val="23"/>
          <w:szCs w:val="23"/>
        </w:rPr>
      </w:pPr>
    </w:p>
    <w:p>
      <w:pPr>
        <w:pStyle w:val="Heading4"/>
        <w:spacing w:line="273" w:lineRule="auto"/>
        <w:ind w:left="866" w:right="0" w:hanging="336"/>
        <w:jc w:val="left"/>
      </w:pPr>
      <w:r>
        <w:rPr/>
        <w:t>重庆久远银海软件有限公司</w:t>
      </w:r>
      <w:r>
        <w:rPr>
          <w:w w:val="100"/>
        </w:rPr>
        <w:t> </w:t>
      </w:r>
      <w:r>
        <w:rPr>
          <w:spacing w:val="-2"/>
        </w:rPr>
        <w:t>根据国科发火</w:t>
      </w:r>
      <w:r>
        <w:rPr>
          <w:rFonts w:ascii="Times New Roman" w:hAnsi="Times New Roman" w:cs="Times New Roman" w:eastAsia="Times New Roman" w:hint="default"/>
          <w:spacing w:val="-2"/>
        </w:rPr>
        <w:t>[2008]172</w:t>
      </w:r>
      <w:r>
        <w:rPr>
          <w:spacing w:val="-2"/>
        </w:rPr>
        <w:t>号、国科发火</w:t>
      </w:r>
      <w:r>
        <w:rPr>
          <w:rFonts w:ascii="Times New Roman" w:hAnsi="Times New Roman" w:cs="Times New Roman" w:eastAsia="Times New Roman" w:hint="default"/>
          <w:spacing w:val="-2"/>
        </w:rPr>
        <w:t>[2008]362</w:t>
      </w:r>
      <w:r>
        <w:rPr>
          <w:spacing w:val="-2"/>
        </w:rPr>
        <w:t>号、国税函</w:t>
      </w:r>
      <w:r>
        <w:rPr>
          <w:rFonts w:ascii="Times New Roman" w:hAnsi="Times New Roman" w:cs="Times New Roman" w:eastAsia="Times New Roman" w:hint="default"/>
          <w:spacing w:val="-2"/>
        </w:rPr>
        <w:t>[2009]203</w:t>
      </w:r>
      <w:r>
        <w:rPr>
          <w:spacing w:val="-2"/>
        </w:rPr>
        <w:t>号的规定，以及公司获取的高</w:t>
      </w:r>
    </w:p>
    <w:p>
      <w:pPr>
        <w:pStyle w:val="Heading4"/>
        <w:spacing w:line="256" w:lineRule="auto"/>
        <w:ind w:left="530" w:right="149"/>
        <w:jc w:val="both"/>
      </w:pPr>
      <w:r>
        <w:rPr>
          <w:spacing w:val="-2"/>
        </w:rPr>
        <w:t>新技术企业证书（证书编号：</w:t>
      </w:r>
      <w:r>
        <w:rPr>
          <w:rFonts w:ascii="Times New Roman" w:hAnsi="Times New Roman" w:cs="Times New Roman" w:eastAsia="Times New Roman" w:hint="default"/>
          <w:spacing w:val="-2"/>
        </w:rPr>
        <w:t>GF201551100039</w:t>
      </w:r>
      <w:r>
        <w:rPr>
          <w:spacing w:val="-2"/>
        </w:rPr>
        <w:t>，发证日期：</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10</w:t>
      </w:r>
      <w:r>
        <w:rPr>
          <w:spacing w:val="-2"/>
        </w:rPr>
        <w:t>日，有效期三年），公司享</w:t>
      </w:r>
      <w:r>
        <w:rPr>
          <w:spacing w:val="-45"/>
        </w:rPr>
        <w:t> </w:t>
      </w:r>
      <w:r>
        <w:rPr>
          <w:spacing w:val="-45"/>
        </w:rPr>
      </w:r>
      <w:r>
        <w:rPr/>
        <w:t>受高新技术企业所得税优惠政策，</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税率预缴企业所得税。</w:t>
      </w:r>
    </w:p>
    <w:p>
      <w:pPr>
        <w:pStyle w:val="Heading4"/>
        <w:spacing w:line="624" w:lineRule="exact" w:before="63"/>
        <w:ind w:left="866" w:right="0" w:hanging="336"/>
        <w:jc w:val="left"/>
      </w:pPr>
      <w:r>
        <w:rPr/>
        <w:t>成都兴政电子政务运营服务有限公司</w:t>
      </w:r>
      <w:r>
        <w:rPr>
          <w:w w:val="100"/>
        </w:rPr>
        <w:t> </w:t>
      </w:r>
      <w:r>
        <w:rPr>
          <w:spacing w:val="-2"/>
        </w:rPr>
        <w:t>公司已获取《四川省经济和信息化委员会关于四川卫士通信息安全平台技术有限公司等</w:t>
      </w:r>
      <w:r>
        <w:rPr>
          <w:rFonts w:ascii="Times New Roman" w:hAnsi="Times New Roman" w:cs="Times New Roman" w:eastAsia="Times New Roman" w:hint="default"/>
          <w:spacing w:val="-2"/>
        </w:rPr>
        <w:t>223</w:t>
      </w:r>
      <w:r>
        <w:rPr>
          <w:spacing w:val="-2"/>
        </w:rPr>
        <w:t>家企业</w:t>
      </w:r>
    </w:p>
    <w:p>
      <w:pPr>
        <w:pStyle w:val="Heading4"/>
        <w:spacing w:line="233" w:lineRule="exact"/>
        <w:ind w:left="530" w:right="0"/>
        <w:jc w:val="both"/>
      </w:pPr>
      <w:r>
        <w:rPr/>
        <w:t>符合国家软件产业优惠政策条件的通知》（川经信软件函</w:t>
      </w:r>
      <w:r>
        <w:rPr>
          <w:rFonts w:ascii="Times New Roman" w:hAnsi="Times New Roman" w:cs="Times New Roman" w:eastAsia="Times New Roman" w:hint="default"/>
        </w:rPr>
        <w:t>[2015]499</w:t>
      </w:r>
      <w:r>
        <w:rPr/>
        <w:t>号），确认公司符合财政部、国家</w:t>
      </w:r>
    </w:p>
    <w:p>
      <w:pPr>
        <w:pStyle w:val="Heading4"/>
        <w:spacing w:line="264" w:lineRule="auto" w:before="21"/>
        <w:ind w:left="530" w:right="146"/>
        <w:jc w:val="both"/>
      </w:pPr>
      <w:r>
        <w:rPr>
          <w:spacing w:val="-3"/>
        </w:rPr>
        <w:t>税务总局《关于进一步鼓励软件产业和集成电路产业发展企业所得税政策的通知》（财税【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027</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1"/>
        </w:rPr>
        <w:t>号）的文件规定，公司被认定为新办软件生产、集成电路设计企业，符合两免三减半减免税条件。享</w:t>
      </w:r>
      <w:r>
        <w:rPr>
          <w:spacing w:val="-42"/>
        </w:rPr>
        <w:t> </w:t>
      </w:r>
      <w:r>
        <w:rPr>
          <w:spacing w:val="-42"/>
        </w:rPr>
      </w:r>
      <w:r>
        <w:rPr/>
        <w:t>受优惠期间为自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12.5%</w:t>
      </w:r>
      <w:r>
        <w:rPr/>
        <w:t>征收企业所得税。</w:t>
      </w:r>
    </w:p>
    <w:p>
      <w:pPr>
        <w:spacing w:line="240" w:lineRule="auto" w:before="9"/>
        <w:rPr>
          <w:rFonts w:ascii="宋体" w:hAnsi="宋体" w:cs="宋体" w:eastAsia="宋体" w:hint="default"/>
          <w:sz w:val="23"/>
          <w:szCs w:val="23"/>
        </w:rPr>
      </w:pPr>
    </w:p>
    <w:p>
      <w:pPr>
        <w:pStyle w:val="Heading4"/>
        <w:spacing w:line="273" w:lineRule="auto"/>
        <w:ind w:left="866" w:right="0" w:hanging="336"/>
        <w:jc w:val="left"/>
      </w:pPr>
      <w:r>
        <w:rPr/>
        <w:t>山西久远爱思普软件股份有限公司</w:t>
      </w:r>
      <w:r>
        <w:rPr>
          <w:w w:val="100"/>
        </w:rPr>
        <w:t> </w:t>
      </w:r>
      <w:r>
        <w:rPr>
          <w:spacing w:val="-2"/>
        </w:rPr>
        <w:t>依据太原高新技术产业开发区国家税务局出具的税务事项通知书《并高国税税通</w:t>
      </w:r>
      <w:r>
        <w:rPr>
          <w:rFonts w:ascii="Times New Roman" w:hAnsi="Times New Roman" w:cs="Times New Roman" w:eastAsia="Times New Roman" w:hint="default"/>
          <w:spacing w:val="-2"/>
        </w:rPr>
        <w:t>[2016]1474</w:t>
      </w:r>
      <w:r>
        <w:rPr>
          <w:spacing w:val="-2"/>
        </w:rPr>
        <w:t>号》，</w:t>
      </w:r>
    </w:p>
    <w:p>
      <w:pPr>
        <w:pStyle w:val="Heading4"/>
        <w:spacing w:line="264" w:lineRule="auto"/>
        <w:ind w:left="530" w:right="134"/>
        <w:jc w:val="both"/>
      </w:pPr>
      <w:r>
        <w:rPr>
          <w:spacing w:val="-5"/>
        </w:rPr>
        <w:t>公司已通过企业所得税优惠事项备案，依据《财政部 </w:t>
      </w:r>
      <w:r>
        <w:rPr/>
        <w:t>国家税务总局关于进一步鼓励软件产业和集成电</w:t>
      </w:r>
      <w:r>
        <w:rPr>
          <w:spacing w:val="-77"/>
        </w:rPr>
        <w:t> </w:t>
      </w:r>
      <w:r>
        <w:rPr>
          <w:spacing w:val="-77"/>
        </w:rPr>
      </w:r>
      <w:r>
        <w:rPr>
          <w:spacing w:val="-2"/>
        </w:rPr>
        <w:t>路产业发展企业所得税政策的通知》（财税</w:t>
      </w:r>
      <w:r>
        <w:rPr>
          <w:rFonts w:ascii="Times New Roman" w:hAnsi="Times New Roman" w:cs="Times New Roman" w:eastAsia="Times New Roman" w:hint="default"/>
          <w:spacing w:val="-2"/>
        </w:rPr>
        <w:t>[2012]027</w:t>
      </w:r>
      <w:r>
        <w:rPr>
          <w:spacing w:val="-2"/>
        </w:rPr>
        <w:t>号）的文件规定，公司被认定为新办软件企业，</w:t>
      </w:r>
      <w:r>
        <w:rPr>
          <w:spacing w:val="-17"/>
        </w:rPr>
        <w:t> </w:t>
      </w:r>
      <w:r>
        <w:rPr>
          <w:spacing w:val="-17"/>
        </w:rPr>
      </w:r>
      <w:r>
        <w:rPr/>
        <w:t>符合减免税条件。公司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12.5%</w:t>
      </w:r>
      <w:r>
        <w:rPr/>
        <w:t>税率征收企业所得税。</w:t>
      </w:r>
    </w:p>
    <w:p>
      <w:pPr>
        <w:spacing w:line="240" w:lineRule="auto" w:before="10"/>
        <w:rPr>
          <w:rFonts w:ascii="宋体" w:hAnsi="宋体" w:cs="宋体" w:eastAsia="宋体" w:hint="default"/>
          <w:sz w:val="23"/>
          <w:szCs w:val="23"/>
        </w:rPr>
      </w:pPr>
    </w:p>
    <w:p>
      <w:pPr>
        <w:pStyle w:val="Heading4"/>
        <w:spacing w:line="273" w:lineRule="auto"/>
        <w:ind w:left="866" w:right="0" w:hanging="336"/>
        <w:jc w:val="left"/>
      </w:pPr>
      <w:r>
        <w:rPr/>
        <w:t>新疆银海鼎峰软件有限公司</w:t>
      </w:r>
      <w:r>
        <w:rPr>
          <w:w w:val="100"/>
        </w:rPr>
        <w:t> </w:t>
      </w:r>
      <w:r>
        <w:rPr>
          <w:spacing w:val="-4"/>
          <w:w w:val="100"/>
        </w:rPr>
        <w:t>公司已获新疆维吾尔自治区经济和信息化委员会印发的《关于确认新疆银海鼎峰软件有限公司主营</w:t>
      </w:r>
    </w:p>
    <w:p>
      <w:pPr>
        <w:pStyle w:val="Heading4"/>
        <w:spacing w:line="256" w:lineRule="auto" w:before="5"/>
        <w:ind w:left="530" w:right="146"/>
        <w:jc w:val="both"/>
      </w:pPr>
      <w:r>
        <w:rPr>
          <w:spacing w:val="-2"/>
        </w:rPr>
        <w:t>业务符合国家鼓励类目录的函》（新经信产业函</w:t>
      </w:r>
      <w:r>
        <w:rPr>
          <w:rFonts w:ascii="Times New Roman" w:hAnsi="Times New Roman" w:cs="Times New Roman" w:eastAsia="Times New Roman" w:hint="default"/>
          <w:spacing w:val="-2"/>
        </w:rPr>
        <w:t>[2015]529</w:t>
      </w:r>
      <w:r>
        <w:rPr>
          <w:spacing w:val="-2"/>
        </w:rPr>
        <w:t>号），确定公司所从事的软件开发生产业务</w:t>
      </w:r>
      <w:r>
        <w:rPr>
          <w:spacing w:val="-29"/>
        </w:rPr>
        <w:t> </w:t>
      </w:r>
      <w:r>
        <w:rPr>
          <w:spacing w:val="-29"/>
        </w:rPr>
      </w:r>
      <w:r>
        <w:rPr/>
        <w:t>符合《产业结构调整指导目录（</w:t>
      </w:r>
      <w:r>
        <w:rPr>
          <w:rFonts w:ascii="Times New Roman" w:hAnsi="Times New Roman" w:cs="Times New Roman" w:eastAsia="Times New Roman" w:hint="default"/>
        </w:rPr>
        <w:t>2011</w:t>
      </w:r>
      <w:r>
        <w:rPr/>
        <w:t>年本）（修正）》第一类</w:t>
      </w:r>
      <w:r>
        <w:rPr>
          <w:rFonts w:ascii="Times New Roman" w:hAnsi="Times New Roman" w:cs="Times New Roman" w:eastAsia="Times New Roman" w:hint="default"/>
        </w:rPr>
        <w:t>“</w:t>
      </w:r>
      <w:r>
        <w:rPr/>
        <w:t>鼓励类</w:t>
      </w:r>
      <w:r>
        <w:rPr>
          <w:rFonts w:ascii="Times New Roman" w:hAnsi="Times New Roman" w:cs="Times New Roman" w:eastAsia="Times New Roman" w:hint="default"/>
        </w:rPr>
        <w:t>”</w:t>
      </w:r>
      <w:r>
        <w:rPr/>
        <w:t>第二十八条</w:t>
      </w:r>
      <w:r>
        <w:rPr>
          <w:rFonts w:ascii="Times New Roman" w:hAnsi="Times New Roman" w:cs="Times New Roman" w:eastAsia="Times New Roman" w:hint="default"/>
        </w:rPr>
        <w:t>“</w:t>
      </w:r>
      <w:r>
        <w:rPr/>
        <w:t>信息产业</w:t>
      </w:r>
      <w:r>
        <w:rPr>
          <w:rFonts w:ascii="Times New Roman" w:hAnsi="Times New Roman" w:cs="Times New Roman" w:eastAsia="Times New Roman" w:hint="default"/>
        </w:rPr>
        <w:t>”</w:t>
      </w:r>
      <w:r>
        <w:rPr/>
        <w:t>中第</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spacing w:val="-4"/>
        </w:rPr>
        <w:t>款</w:t>
      </w:r>
      <w:r>
        <w:rPr>
          <w:rFonts w:ascii="Times New Roman" w:hAnsi="Times New Roman" w:cs="Times New Roman" w:eastAsia="Times New Roman" w:hint="default"/>
          <w:spacing w:val="-4"/>
        </w:rPr>
        <w:t>“</w:t>
      </w:r>
      <w:r>
        <w:rPr>
          <w:spacing w:val="-4"/>
        </w:rPr>
        <w:t>软件开发生产（含民族语言信息化标准研究与推广运用）</w:t>
      </w:r>
      <w:r>
        <w:rPr>
          <w:rFonts w:ascii="Times New Roman" w:hAnsi="Times New Roman" w:cs="Times New Roman" w:eastAsia="Times New Roman" w:hint="default"/>
          <w:spacing w:val="-4"/>
        </w:rPr>
        <w:t>”</w:t>
      </w:r>
      <w:r>
        <w:rPr>
          <w:spacing w:val="-4"/>
        </w:rPr>
        <w:t>的内容。依据财税</w:t>
      </w:r>
      <w:r>
        <w:rPr>
          <w:rFonts w:ascii="Times New Roman" w:hAnsi="Times New Roman" w:cs="Times New Roman" w:eastAsia="Times New Roman" w:hint="default"/>
          <w:spacing w:val="-4"/>
        </w:rPr>
        <w:t>[2011]58</w:t>
      </w:r>
      <w:r>
        <w:rPr>
          <w:spacing w:val="-4"/>
        </w:rPr>
        <w:t>号，公司</w:t>
      </w:r>
      <w:r>
        <w:rPr>
          <w:rFonts w:ascii="Times New Roman" w:hAnsi="Times New Roman" w:cs="Times New Roman" w:eastAsia="Times New Roman" w:hint="default"/>
          <w:spacing w:val="-4"/>
        </w:rPr>
        <w:t>2017</w:t>
      </w:r>
      <w:r>
        <w:rPr>
          <w:rFonts w:ascii="Times New Roman" w:hAnsi="Times New Roman" w:cs="Times New Roman" w:eastAsia="Times New Roman" w:hint="default"/>
        </w:rPr>
        <w:t> </w:t>
      </w:r>
      <w:r>
        <w:rPr>
          <w:rFonts w:ascii="Times New Roman" w:hAnsi="Times New Roman" w:cs="Times New Roman" w:eastAsia="Times New Roman" w:hint="default"/>
        </w:rPr>
      </w:r>
      <w:r>
        <w:rPr/>
        <w:t>年度减按</w:t>
      </w:r>
      <w:r>
        <w:rPr>
          <w:rFonts w:ascii="Times New Roman" w:hAnsi="Times New Roman" w:cs="Times New Roman" w:eastAsia="Times New Roman" w:hint="default"/>
        </w:rPr>
        <w:t>15%</w:t>
      </w:r>
      <w:r>
        <w:rPr/>
        <w:t>预缴企业所得税。</w:t>
      </w:r>
    </w:p>
    <w:p>
      <w:pPr>
        <w:spacing w:line="240" w:lineRule="auto" w:before="3"/>
        <w:rPr>
          <w:rFonts w:ascii="宋体" w:hAnsi="宋体" w:cs="宋体" w:eastAsia="宋体" w:hint="default"/>
          <w:sz w:val="24"/>
          <w:szCs w:val="24"/>
        </w:rPr>
      </w:pPr>
    </w:p>
    <w:p>
      <w:pPr>
        <w:pStyle w:val="Heading4"/>
        <w:spacing w:line="273" w:lineRule="auto"/>
        <w:ind w:left="950" w:right="0" w:hanging="420"/>
        <w:jc w:val="left"/>
      </w:pPr>
      <w:r>
        <w:rPr/>
        <w:t>四川久远银海畅辉软件有限公司</w:t>
      </w:r>
      <w:r>
        <w:rPr>
          <w:w w:val="100"/>
        </w:rPr>
        <w:t> </w:t>
      </w:r>
      <w:r>
        <w:rPr>
          <w:spacing w:val="-4"/>
          <w:w w:val="100"/>
        </w:rPr>
        <w:t>公司已获取四川省经济和信息化委员会印发的《关于确认成都欧珀通信科技有限公司等</w:t>
      </w:r>
      <w:r>
        <w:rPr>
          <w:rFonts w:ascii="Times New Roman" w:hAnsi="Times New Roman" w:cs="Times New Roman" w:eastAsia="Times New Roman" w:hint="default"/>
          <w:spacing w:val="-4"/>
          <w:w w:val="100"/>
        </w:rPr>
        <w:t>280</w:t>
      </w:r>
      <w:r>
        <w:rPr>
          <w:spacing w:val="-4"/>
          <w:w w:val="100"/>
        </w:rPr>
        <w:t>家企业</w:t>
      </w:r>
    </w:p>
    <w:p>
      <w:pPr>
        <w:pStyle w:val="Heading4"/>
        <w:spacing w:line="256" w:lineRule="auto"/>
        <w:ind w:left="530" w:right="146"/>
        <w:jc w:val="both"/>
        <w:rPr>
          <w:rFonts w:ascii="Times New Roman" w:hAnsi="Times New Roman" w:cs="Times New Roman" w:eastAsia="Times New Roman" w:hint="default"/>
        </w:rPr>
      </w:pPr>
      <w:r>
        <w:rPr>
          <w:spacing w:val="-2"/>
        </w:rPr>
        <w:t>符合国家软件产业优惠政策条件的通知》（川经信软件函</w:t>
      </w:r>
      <w:r>
        <w:rPr>
          <w:rFonts w:ascii="Times New Roman" w:hAnsi="Times New Roman" w:cs="Times New Roman" w:eastAsia="Times New Roman" w:hint="default"/>
          <w:spacing w:val="-2"/>
        </w:rPr>
        <w:t>[2015]336</w:t>
      </w:r>
      <w:r>
        <w:rPr>
          <w:spacing w:val="-2"/>
        </w:rPr>
        <w:t>号），确认公司符合财政部、国家</w:t>
      </w:r>
      <w:r>
        <w:rPr>
          <w:spacing w:val="-30"/>
        </w:rPr>
        <w:t> </w:t>
      </w:r>
      <w:r>
        <w:rPr>
          <w:spacing w:val="-30"/>
        </w:rPr>
      </w:r>
      <w:r>
        <w:rPr>
          <w:spacing w:val="-3"/>
        </w:rPr>
        <w:t>税务总局《关于进一步鼓励软件产业和集成电路产业发展企业所得税政策的通知》（财税【</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027</w:t>
      </w:r>
    </w:p>
    <w:p>
      <w:pPr>
        <w:spacing w:after="0" w:line="256" w:lineRule="auto"/>
        <w:jc w:val="both"/>
        <w:rPr>
          <w:rFonts w:ascii="Times New Roman" w:hAnsi="Times New Roman" w:cs="Times New Roman" w:eastAsia="Times New Roman" w:hint="default"/>
        </w:rPr>
        <w:sectPr>
          <w:footerReference w:type="default" r:id="rId17"/>
          <w:pgSz w:w="11910" w:h="16840"/>
          <w:pgMar w:footer="979" w:header="745" w:top="1060" w:bottom="1160" w:left="980" w:right="980"/>
        </w:sectPr>
      </w:pPr>
    </w:p>
    <w:p>
      <w:pPr>
        <w:spacing w:line="240" w:lineRule="auto" w:before="3"/>
        <w:rPr>
          <w:rFonts w:ascii="Times New Roman" w:hAnsi="Times New Roman" w:cs="Times New Roman" w:eastAsia="Times New Roman" w:hint="default"/>
          <w:sz w:val="28"/>
          <w:szCs w:val="28"/>
        </w:rPr>
      </w:pPr>
    </w:p>
    <w:p>
      <w:pPr>
        <w:pStyle w:val="Heading4"/>
        <w:spacing w:line="256" w:lineRule="auto" w:before="36"/>
        <w:ind w:left="530" w:right="0"/>
        <w:jc w:val="left"/>
      </w:pPr>
      <w:r>
        <w:rPr>
          <w:spacing w:val="-1"/>
        </w:rPr>
        <w:t>号）的文件规定，公司被认定为新办软件企业，符合减免税条件。公司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8"/>
        </w:rPr>
        <w:t> </w:t>
      </w:r>
      <w:r>
        <w:rPr/>
        <w:t>日减按</w:t>
      </w:r>
      <w:r>
        <w:rPr>
          <w:rFonts w:ascii="Times New Roman" w:hAnsi="Times New Roman" w:cs="Times New Roman" w:eastAsia="Times New Roman" w:hint="default"/>
        </w:rPr>
        <w:t>12.5%</w:t>
      </w:r>
      <w:r>
        <w:rPr/>
        <w:t>税率征收企业所得税。</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304,342.73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413,637.51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576,865,453.37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524,493,734.83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4,205,752.10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7,514,829.82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581,375,548.20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532,422,202.16</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5" w:top="1060" w:bottom="1160" w:left="980" w:right="980"/>
          <w:pgNumType w:start="101"/>
        </w:sectPr>
      </w:pPr>
    </w:p>
    <w:p>
      <w:pPr>
        <w:pStyle w:val="BodyText"/>
        <w:spacing w:line="240" w:lineRule="auto" w:before="49"/>
        <w:ind w:right="0"/>
        <w:jc w:val="left"/>
      </w:pPr>
      <w:r>
        <w:rPr/>
        <w:t>其他说明</w:t>
      </w:r>
    </w:p>
    <w:p>
      <w:pPr>
        <w:pStyle w:val="Heading4"/>
        <w:spacing w:line="240" w:lineRule="auto" w:before="94"/>
        <w:ind w:left="866" w:right="0"/>
        <w:jc w:val="left"/>
      </w:pPr>
      <w:r>
        <w:rPr>
          <w:spacing w:val="-2"/>
        </w:rPr>
        <w:t>其中受到限制的货币资金明细如下：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4"/>
        <w:spacing w:line="240" w:lineRule="auto" w:before="167"/>
        <w:ind w:left="152" w:right="0"/>
        <w:jc w:val="left"/>
      </w:pPr>
      <w:r>
        <w:rPr/>
        <w:t>单位：元</w:t>
      </w:r>
    </w:p>
    <w:p>
      <w:pPr>
        <w:spacing w:after="0" w:line="240" w:lineRule="auto"/>
        <w:jc w:val="left"/>
        <w:sectPr>
          <w:type w:val="continuous"/>
          <w:pgSz w:w="11910" w:h="16840"/>
          <w:pgMar w:top="1060" w:bottom="1160" w:left="980" w:right="980"/>
          <w:cols w:num="2" w:equalWidth="0">
            <w:col w:w="4232" w:space="3097"/>
            <w:col w:w="2621"/>
          </w:cols>
        </w:sectPr>
      </w:pPr>
    </w:p>
    <w:p>
      <w:pPr>
        <w:spacing w:line="240" w:lineRule="auto" w:before="10"/>
        <w:rPr>
          <w:rFonts w:ascii="宋体" w:hAnsi="宋体" w:cs="宋体" w:eastAsia="宋体" w:hint="default"/>
          <w:sz w:val="3"/>
          <w:szCs w:val="3"/>
        </w:rPr>
      </w:pPr>
    </w:p>
    <w:tbl>
      <w:tblPr>
        <w:tblW w:w="0" w:type="auto"/>
        <w:jc w:val="left"/>
        <w:tblInd w:w="753" w:type="dxa"/>
        <w:tblLayout w:type="fixed"/>
        <w:tblCellMar>
          <w:top w:w="0" w:type="dxa"/>
          <w:left w:w="0" w:type="dxa"/>
          <w:bottom w:w="0" w:type="dxa"/>
          <w:right w:w="0" w:type="dxa"/>
        </w:tblCellMar>
        <w:tblLook w:val="01E0"/>
      </w:tblPr>
      <w:tblGrid>
        <w:gridCol w:w="3337"/>
        <w:gridCol w:w="2237"/>
        <w:gridCol w:w="2240"/>
      </w:tblGrid>
      <w:tr>
        <w:trPr>
          <w:trHeight w:val="355" w:hRule="exact"/>
        </w:trPr>
        <w:tc>
          <w:tcPr>
            <w:tcW w:w="333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3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69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40" w:type="dxa"/>
            <w:tcBorders>
              <w:top w:val="single" w:sz="6" w:space="0" w:color="000000"/>
              <w:left w:val="single" w:sz="6" w:space="0" w:color="000000"/>
              <w:bottom w:val="single" w:sz="12" w:space="0" w:color="000000"/>
              <w:right w:val="nil" w:sz="6" w:space="0" w:color="auto"/>
            </w:tcBorders>
          </w:tcPr>
          <w:p>
            <w:pPr>
              <w:pStyle w:val="TableParagraph"/>
              <w:spacing w:line="274" w:lineRule="exact"/>
              <w:ind w:left="69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left="1120" w:right="-3"/>
              <w:jc w:val="left"/>
              <w:rPr>
                <w:rFonts w:ascii="Times New Roman" w:hAnsi="Times New Roman" w:cs="Times New Roman" w:eastAsia="Times New Roman" w:hint="default"/>
                <w:sz w:val="21"/>
                <w:szCs w:val="21"/>
              </w:rPr>
            </w:pPr>
            <w:r>
              <w:rPr>
                <w:rFonts w:ascii="Times New Roman"/>
                <w:sz w:val="21"/>
              </w:rPr>
              <w:t>4,205,752.10</w:t>
            </w:r>
          </w:p>
        </w:tc>
        <w:tc>
          <w:tcPr>
            <w:tcW w:w="224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left="1120" w:right="0"/>
              <w:jc w:val="left"/>
              <w:rPr>
                <w:rFonts w:ascii="Times New Roman" w:hAnsi="Times New Roman" w:cs="Times New Roman" w:eastAsia="Times New Roman" w:hint="default"/>
                <w:sz w:val="21"/>
                <w:szCs w:val="21"/>
              </w:rPr>
            </w:pPr>
            <w:r>
              <w:rPr>
                <w:rFonts w:ascii="Times New Roman"/>
                <w:sz w:val="21"/>
              </w:rPr>
              <w:t>7,514,829.82</w:t>
            </w:r>
          </w:p>
        </w:tc>
      </w:tr>
    </w:tbl>
    <w:p>
      <w:pPr>
        <w:pStyle w:val="Heading4"/>
        <w:spacing w:line="256" w:lineRule="auto"/>
        <w:ind w:left="866"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w:t>
      </w:r>
      <w:r>
        <w:rPr>
          <w:rFonts w:ascii="Times New Roman" w:hAnsi="Times New Roman" w:cs="Times New Roman" w:eastAsia="Times New Roman" w:hint="default"/>
        </w:rPr>
        <w:t>4,205,752.10</w:t>
      </w:r>
      <w:r>
        <w:rPr/>
        <w:t>元为本公司向银行申请开具无条件、不可撤销</w:t>
      </w:r>
      <w:r>
        <w:rPr>
          <w:spacing w:val="-56"/>
        </w:rPr>
        <w:t> </w:t>
      </w:r>
      <w:r>
        <w:rPr>
          <w:spacing w:val="-56"/>
        </w:rPr>
      </w:r>
      <w:r>
        <w:rPr/>
        <w:t>的担保函所存入的保证金存款。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2,014,500.00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2,214,500.00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pStyle w:val="Heading4"/>
        <w:spacing w:line="240" w:lineRule="auto" w:before="94"/>
        <w:ind w:left="260" w:right="0"/>
        <w:jc w:val="left"/>
      </w:pPr>
      <w:r>
        <w:rPr/>
        <w:t>期末公司无已背书或贴现且在资产负债表日尚未到期的应收票据</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173,827,</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853.18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34,343,6</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80.62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19.76%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139,484,1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72.56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113,324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,951.33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25,522,21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4.21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87,802,737.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12</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173,827,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853.18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34,343,6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80.62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19.76%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139,484,1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72.56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113,324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,951.33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25,522,21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4.21</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22.52%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87,802,737.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期末单项金额重大并单项计提坏账准备的应收账款：</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112,681,291.56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5,634,177.21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18,137,646.97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1,813,539.43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13,337,364.72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2,667,472.95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7,808,955.53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3,904,477.77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7,692,905.71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6,154,324.57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14,169,688.69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14,169,688.69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173,827,853.18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34,343,680.62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组合中，采用余额百分比法计提坏账准备的应收账款：</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8,821,466.41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685"/>
        <w:jc w:val="right"/>
      </w:pPr>
      <w:r>
        <w:rPr/>
        <w:t>单位：元</w:t>
      </w:r>
    </w:p>
    <w:p>
      <w:pPr>
        <w:spacing w:line="240" w:lineRule="auto" w:before="2"/>
        <w:rPr>
          <w:rFonts w:ascii="宋体" w:hAnsi="宋体" w:cs="宋体" w:eastAsia="宋体" w:hint="default"/>
          <w:sz w:val="8"/>
          <w:szCs w:val="8"/>
        </w:rPr>
      </w:pPr>
    </w:p>
    <w:tbl>
      <w:tblPr>
        <w:tblW w:w="0" w:type="auto"/>
        <w:jc w:val="left"/>
        <w:tblInd w:w="753" w:type="dxa"/>
        <w:tblLayout w:type="fixed"/>
        <w:tblCellMar>
          <w:top w:w="0" w:type="dxa"/>
          <w:left w:w="0" w:type="dxa"/>
          <w:bottom w:w="0" w:type="dxa"/>
          <w:right w:w="0" w:type="dxa"/>
        </w:tblCellMar>
        <w:tblLook w:val="01E0"/>
      </w:tblPr>
      <w:tblGrid>
        <w:gridCol w:w="3337"/>
        <w:gridCol w:w="1587"/>
        <w:gridCol w:w="1418"/>
        <w:gridCol w:w="1419"/>
      </w:tblGrid>
      <w:tr>
        <w:trPr>
          <w:trHeight w:val="355" w:hRule="exact"/>
        </w:trPr>
        <w:tc>
          <w:tcPr>
            <w:tcW w:w="3337" w:type="dxa"/>
            <w:vMerge w:val="restart"/>
            <w:tcBorders>
              <w:top w:val="single" w:sz="6" w:space="0" w:color="000000"/>
              <w:left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424" w:type="dxa"/>
            <w:gridSpan w:val="3"/>
            <w:tcBorders>
              <w:top w:val="single" w:sz="6" w:space="0" w:color="000000"/>
              <w:left w:val="single" w:sz="6" w:space="0" w:color="000000"/>
              <w:bottom w:val="single" w:sz="12" w:space="0" w:color="000000"/>
              <w:right w:val="nil" w:sz="6" w:space="0" w:color="auto"/>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2" w:hRule="exact"/>
        </w:trPr>
        <w:tc>
          <w:tcPr>
            <w:tcW w:w="3337" w:type="dxa"/>
            <w:vMerge/>
            <w:tcBorders>
              <w:left w:val="single" w:sz="6" w:space="0" w:color="000000"/>
              <w:bottom w:val="single" w:sz="12" w:space="0" w:color="000000"/>
              <w:right w:val="single" w:sz="6" w:space="0" w:color="000000"/>
            </w:tcBorders>
          </w:tcPr>
          <w:p>
            <w:pP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21" w:right="12"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22,654,081.23</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13.03</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1,132,704.06</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5,067,245.49</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2.92</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338,359.57</w:t>
            </w:r>
          </w:p>
        </w:tc>
      </w:tr>
      <w:tr>
        <w:trPr>
          <w:trHeight w:val="350"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4,973,749.00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2.86</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671,954.25</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4,810,542.88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2.77</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391,204.29</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1"/>
                <w:szCs w:val="21"/>
              </w:rPr>
            </w:pPr>
            <w:r>
              <w:rPr>
                <w:rFonts w:ascii="Times New Roman"/>
                <w:spacing w:val="-1"/>
                <w:sz w:val="21"/>
              </w:rPr>
              <w:t>3,701,839.08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1"/>
                <w:szCs w:val="21"/>
              </w:rPr>
            </w:pPr>
            <w:r>
              <w:rPr>
                <w:rFonts w:ascii="Times New Roman"/>
                <w:sz w:val="21"/>
              </w:rPr>
              <w:t>2.13</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7"/>
              <w:ind w:right="5"/>
              <w:jc w:val="right"/>
              <w:rPr>
                <w:rFonts w:ascii="Times New Roman" w:hAnsi="Times New Roman" w:cs="Times New Roman" w:eastAsia="Times New Roman" w:hint="default"/>
                <w:sz w:val="21"/>
                <w:szCs w:val="21"/>
              </w:rPr>
            </w:pPr>
            <w:r>
              <w:rPr>
                <w:rFonts w:ascii="Times New Roman"/>
                <w:spacing w:val="-1"/>
                <w:sz w:val="21"/>
              </w:rPr>
              <w:t>189,936.95</w:t>
            </w:r>
          </w:p>
        </w:tc>
      </w:tr>
      <w:tr>
        <w:trPr>
          <w:trHeight w:val="353" w:hRule="exact"/>
        </w:trPr>
        <w:tc>
          <w:tcPr>
            <w:tcW w:w="3337"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41,207,457.68</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23.71</w:t>
            </w:r>
          </w:p>
        </w:tc>
        <w:tc>
          <w:tcPr>
            <w:tcW w:w="141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2,724,159.12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874"/>
        <w:jc w:val="left"/>
      </w:pPr>
      <w:r>
        <w:rPr/>
        <w:t>无 其他说明：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5,305,018.73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7,279,564.77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95.42%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439,796.78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36,612.86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332,596.86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5,781,428.37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7,628,661.63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873"/>
        <w:jc w:val="right"/>
      </w:pPr>
      <w:r>
        <w:rPr/>
        <w:t>单位：元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3505"/>
        <w:gridCol w:w="2127"/>
        <w:gridCol w:w="2127"/>
      </w:tblGrid>
      <w:tr>
        <w:trPr>
          <w:trHeight w:val="668" w:hRule="exact"/>
        </w:trPr>
        <w:tc>
          <w:tcPr>
            <w:tcW w:w="3505"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预付对象</w:t>
            </w:r>
          </w:p>
        </w:tc>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63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73" w:lineRule="auto"/>
              <w:ind w:left="530" w:right="10" w:hanging="526"/>
              <w:jc w:val="left"/>
              <w:rPr>
                <w:rFonts w:ascii="宋体" w:hAnsi="宋体" w:cs="宋体" w:eastAsia="宋体" w:hint="default"/>
                <w:sz w:val="21"/>
                <w:szCs w:val="21"/>
              </w:rPr>
            </w:pPr>
            <w:r>
              <w:rPr>
                <w:rFonts w:ascii="宋体" w:hAnsi="宋体" w:cs="宋体" w:eastAsia="宋体" w:hint="default"/>
                <w:spacing w:val="-2"/>
                <w:sz w:val="21"/>
                <w:szCs w:val="21"/>
              </w:rPr>
              <w:t>占预付款项期末余额合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计数的比例</w:t>
            </w:r>
          </w:p>
        </w:tc>
      </w:tr>
      <w:tr>
        <w:trPr>
          <w:trHeight w:val="350"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1,860,000.00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32.17</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293,333.00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sz w:val="21"/>
              </w:rPr>
              <w:t>5.07</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208,500.00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3.61</w:t>
            </w:r>
          </w:p>
        </w:tc>
      </w:tr>
      <w:tr>
        <w:trPr>
          <w:trHeight w:val="350"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148,023.60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2.56</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pacing w:val="-1"/>
                <w:sz w:val="21"/>
              </w:rPr>
              <w:t>139,120.00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6"/>
              <w:jc w:val="right"/>
              <w:rPr>
                <w:rFonts w:ascii="Times New Roman" w:hAnsi="Times New Roman" w:cs="Times New Roman" w:eastAsia="Times New Roman" w:hint="default"/>
                <w:sz w:val="21"/>
                <w:szCs w:val="21"/>
              </w:rPr>
            </w:pPr>
            <w:r>
              <w:rPr>
                <w:rFonts w:ascii="Times New Roman"/>
                <w:sz w:val="21"/>
              </w:rPr>
              <w:t>2.41</w:t>
            </w:r>
          </w:p>
        </w:tc>
      </w:tr>
      <w:tr>
        <w:trPr>
          <w:trHeight w:val="353" w:hRule="exact"/>
        </w:trPr>
        <w:tc>
          <w:tcPr>
            <w:tcW w:w="3505"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pacing w:val="-1"/>
                <w:sz w:val="21"/>
              </w:rPr>
              <w:t>2,648,976.60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6"/>
              <w:jc w:val="right"/>
              <w:rPr>
                <w:rFonts w:ascii="Times New Roman" w:hAnsi="Times New Roman" w:cs="Times New Roman" w:eastAsia="Times New Roman" w:hint="default"/>
                <w:sz w:val="21"/>
                <w:szCs w:val="21"/>
              </w:rPr>
            </w:pPr>
            <w:r>
              <w:rPr>
                <w:rFonts w:ascii="Times New Roman"/>
                <w:sz w:val="21"/>
              </w:rPr>
              <w:t>45.82</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861,377.70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732,177.48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861,377.70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732,177.48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39"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69,759,5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13.34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17,872,6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76.41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25.62%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51,886,83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6.93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51,020,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639.53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11,947,35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6.86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23.42%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39,073,282.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69,759,5</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13.34</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17,872,6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76.41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25.62%</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51,886,83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6.93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51,020,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639.53</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11,947,35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6.86</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23.42%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39,073,282.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28,530,466.23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1,426,523.30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13,036,823.99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1,303,682.40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11,435,493.48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2,287,098.70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4,933,415.04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2,466,707.53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7,173,250.60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5,738,600.48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4,650,064.00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4,650,064.00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69,759,513.34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17,872,676.41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组合中，采用余额百分比法计提坏账准备的其他应收款：</w:t>
      </w:r>
    </w:p>
    <w:p>
      <w:pPr>
        <w:pStyle w:val="BodyText"/>
        <w:spacing w:line="340" w:lineRule="auto" w:before="11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5,925,319.55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58,683,042.50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40,683,841.13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7,281,228.09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6,998,274.29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2,401,482.75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1,573,558.05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1,764,966.06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69,759,513.34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51,020,639.53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11,386,888.90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569,344.45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w:t>
            </w:r>
            <w:r>
              <w:rPr>
                <w:rFonts w:ascii="宋体" w:hAnsi="宋体" w:cs="宋体" w:eastAsia="宋体" w:hint="default"/>
                <w:sz w:val="18"/>
                <w:szCs w:val="18"/>
              </w:rPr>
              <w:t>债权债务转 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7,281,228.09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5,083,130.27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5,013,118.60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695,566.86</w:t>
            </w:r>
          </w:p>
        </w:tc>
      </w:tr>
      <w:tr>
        <w:trPr>
          <w:trHeight w:val="67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4,674,350.00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3,194,929.00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36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以上</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3,933,800.00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587,590.00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32,289,385.59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10,130,560.58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41"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874"/>
        <w:jc w:val="left"/>
      </w:pPr>
      <w:r>
        <w:rPr/>
        <w:t>无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5,917,230.02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5,917,230.02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9,855,353.90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9,855,353.90</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331,124,185.10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331,124,185.10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287,355,189.21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287,355,189.21</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768,998.07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768,998.07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2,464,228.43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2,464,228.43</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337,810,413.19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337,810,413.19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299,674,771.54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299,674,771.54</w:t>
            </w:r>
          </w:p>
        </w:tc>
      </w:tr>
    </w:tbl>
    <w:p>
      <w:pPr>
        <w:pStyle w:val="BodyText"/>
        <w:spacing w:line="340"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5"/>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0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201,896.83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878,073.92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1,800,127.77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261,631.47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236,876.43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1,341,602.22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12,037,004.20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8"/>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196"/>
        <w:gridCol w:w="1198"/>
        <w:gridCol w:w="1196"/>
        <w:gridCol w:w="1248"/>
        <w:gridCol w:w="1369"/>
        <w:gridCol w:w="1366"/>
      </w:tblGrid>
      <w:tr>
        <w:trPr>
          <w:trHeight w:val="401"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7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绵阳市绵 州通有限 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9" w:right="46" w:hanging="361"/>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745" w:top="1060" w:bottom="1160" w:left="980" w:right="98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5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3"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1"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5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1013"/>
        <w:gridCol w:w="1063"/>
        <w:gridCol w:w="800"/>
        <w:gridCol w:w="797"/>
        <w:gridCol w:w="799"/>
        <w:gridCol w:w="797"/>
        <w:gridCol w:w="800"/>
        <w:gridCol w:w="797"/>
        <w:gridCol w:w="799"/>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86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0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1005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北京利博 赛社保信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96,186.01</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-96,186.01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四川银海 天怡信息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3,961,104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3,161,083.23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-800,021.68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4,057,290</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3,161,083.23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-896,207.69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6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1013"/>
        <w:gridCol w:w="1063"/>
        <w:gridCol w:w="800"/>
        <w:gridCol w:w="797"/>
        <w:gridCol w:w="799"/>
        <w:gridCol w:w="797"/>
        <w:gridCol w:w="800"/>
        <w:gridCol w:w="797"/>
        <w:gridCol w:w="799"/>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4,057,290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3,161,083.23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-896,207.69</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5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9,113,249.40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9,113,249.40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2,875,863.76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2,875,863.76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2,875,863.76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2,875,863.76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11,989,113.16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11,989,113.16</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1,870,637.94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1,870,637.94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334,132.82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334,132.82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334,132.82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334,132.82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2,204,770.76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2,204,770.76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60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9,784,342.40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9,784,342.40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7,242,611.46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7,242,611.46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2,830,329.26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8154"/>
        <w:jc w:val="left"/>
        <w:rPr>
          <w:rFonts w:ascii="MS Gothic" w:hAnsi="MS Gothic" w:cs="MS Gothic" w:eastAsia="MS Gothic" w:hint="default"/>
        </w:rPr>
      </w:pPr>
      <w:r>
        <w:rPr/>
        <w:t>其他说明 产权证书</w:t>
      </w:r>
      <w:r>
        <w:rPr>
          <w:rFonts w:ascii="MS Gothic" w:hAnsi="MS Gothic" w:cs="MS Gothic" w:eastAsia="MS Gothic" w:hint="default"/>
        </w:rPr>
        <w:t>ﾕﾔｰﾀﾖ</w:t>
      </w:r>
    </w:p>
    <w:p>
      <w:pPr>
        <w:spacing w:line="240" w:lineRule="auto" w:before="6"/>
        <w:rPr>
          <w:rFonts w:ascii="MS Gothic" w:hAnsi="MS Gothic" w:cs="MS Gothic" w:eastAsia="MS Gothic"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715" w:hRule="exact"/>
        </w:trPr>
        <w:tc>
          <w:tcPr>
            <w:tcW w:w="106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06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439" w:right="72" w:hanging="361"/>
              <w:jc w:val="left"/>
              <w:rPr>
                <w:rFonts w:ascii="宋体" w:hAnsi="宋体" w:cs="宋体" w:eastAsia="宋体" w:hint="default"/>
                <w:sz w:val="18"/>
                <w:szCs w:val="18"/>
              </w:rPr>
            </w:pPr>
            <w:r>
              <w:rPr>
                <w:rFonts w:ascii="宋体" w:hAnsi="宋体" w:cs="宋体" w:eastAsia="宋体" w:hint="default"/>
                <w:sz w:val="18"/>
                <w:szCs w:val="18"/>
              </w:rPr>
              <w:t>固定资产装 修</w:t>
            </w:r>
          </w:p>
        </w:tc>
        <w:tc>
          <w:tcPr>
            <w:tcW w:w="1063"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62,102,410.2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10,425,617.7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591,216.15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5,924,597.95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875,152.03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1,206,864.66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5,033,924.43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86,159,783.1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16,863,169.2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1,485,299.16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33,503.42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555,375.22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431,441.78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274,711.03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766,367.45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20,409,867.2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16,863,169.2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1,485,299.16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33,503.42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555,375.22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431,441.78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274,711.03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19,643,499.8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 建工程转入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766,367.45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766,367.45</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2,875,863.76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41,901.71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349,521.00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18,803.42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3,286,089.89</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41,901.71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349,521.00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18,803.42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410,226.13</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 资性房地产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2,875,863.76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2,875,863.76</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76,089,715.7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11,869,015.1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624,719.57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6,130,452.17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1,306,593.81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1,462,772.27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5,800,291.88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103,283,560.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二、累计折旧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10,478,854.7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4,017,618.97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284,463.00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3,935,716.16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469,860.74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594,125.34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4,601,797.44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24,382,436.4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2,074,598.53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1,992,808.11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76,258.77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693,524.39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182,131.23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225,744.16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220,012.97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5,465,078.16</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2,074,598.53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1,992,808.11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76,258.77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693,524.39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182,131.23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225,744.16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220,012.97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5,465,078.16</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12,642.66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38,966.29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332,044.95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8,038.17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391,692.07</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12,642.66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38,966.29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332,044.95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8,038.17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379,049.41</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2"/>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转入投</w:t>
            </w:r>
            <w:r>
              <w:rPr>
                <w:rFonts w:ascii="宋体" w:hAnsi="宋体" w:cs="宋体" w:eastAsia="宋体" w:hint="default"/>
                <w:w w:val="99"/>
                <w:sz w:val="18"/>
                <w:szCs w:val="18"/>
              </w:rPr>
              <w:t> </w:t>
            </w:r>
            <w:r>
              <w:rPr>
                <w:rFonts w:ascii="宋体" w:hAnsi="宋体" w:cs="宋体" w:eastAsia="宋体" w:hint="default"/>
                <w:sz w:val="18"/>
                <w:szCs w:val="18"/>
              </w:rPr>
              <w:t>资性房地产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12,642.66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12,642.66</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12,540,810.6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5,971,460.79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360,721.77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4,297,195.60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651,991.97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811,831.33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4,821,810.41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29,455,822.4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63,548,905.0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5,897,554.37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263,997.80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1,833,256.57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654,601.84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650,940.94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978,481.47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73,827,738.0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51,623,555.5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6,407,998.74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306,753.15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1,988,881.79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405,291.29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612,739.32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432,126.99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61,777,346.7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25,036,260.93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云南事业部办公 房装修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342,550.51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342,550.51</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新购房屋建筑物 装修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5,937,820.98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5,937,820.98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5,937,820.98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5,937,820.98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342,550.51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342,550.51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4"/>
        <w:gridCol w:w="1063"/>
        <w:gridCol w:w="1064"/>
        <w:gridCol w:w="1063"/>
        <w:gridCol w:w="1061"/>
        <w:gridCol w:w="1064"/>
        <w:gridCol w:w="1063"/>
      </w:tblGrid>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061"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300" w:lineRule="auto" w:before="49"/>
              <w:ind w:left="351" w:right="50" w:hanging="294"/>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项目收</w:t>
            </w:r>
            <w:r>
              <w:rPr>
                <w:rFonts w:ascii="宋体" w:hAnsi="宋体" w:cs="宋体" w:eastAsia="宋体" w:hint="default"/>
                <w:w w:val="99"/>
                <w:sz w:val="18"/>
                <w:szCs w:val="18"/>
              </w:rPr>
              <w:t> </w:t>
            </w:r>
            <w:r>
              <w:rPr>
                <w:rFonts w:ascii="宋体" w:hAnsi="宋体" w:cs="宋体" w:eastAsia="宋体" w:hint="default"/>
                <w:sz w:val="18"/>
                <w:szCs w:val="18"/>
              </w:rPr>
              <w:t>费权</w:t>
            </w:r>
          </w:p>
        </w:tc>
        <w:tc>
          <w:tcPr>
            <w:tcW w:w="1063"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4"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1"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10" w:space="0" w:color="E0FFFF"/>
              <w:right w:val="single" w:sz="4" w:space="0" w:color="000000"/>
            </w:tcBorders>
            <w:shd w:val="clear" w:color="auto" w:fill="D2D2D2"/>
          </w:tcPr>
          <w:p>
            <w:pPr/>
          </w:p>
        </w:tc>
      </w:tr>
      <w:tr>
        <w:trPr>
          <w:trHeight w:val="161" w:hRule="exact"/>
        </w:trPr>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1"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10" w:space="0" w:color="E0FFFF"/>
              <w:bottom w:val="single" w:sz="4" w:space="0" w:color="000000"/>
              <w:right w:val="single" w:sz="4" w:space="0" w:color="000000"/>
            </w:tcBorders>
            <w:shd w:val="clear" w:color="auto" w:fill="D2D2D2"/>
          </w:tcPr>
          <w:p>
            <w:pPr/>
          </w:p>
        </w:tc>
      </w:tr>
      <w:tr>
        <w:trPr>
          <w:trHeight w:val="404"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pacing w:val="-12"/>
                <w:sz w:val="18"/>
                <w:szCs w:val="18"/>
              </w:rPr>
              <w:t>一、账面原值</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3,007,317.62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28,268,461.8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1,617,288.30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1,639,345.68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32,135,833.6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66,668,247.0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20,060,788.2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34,188.04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20,094,976.3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34,188.04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34,188.04</w:t>
            </w: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3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20,060,788.2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20,060,788.2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3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5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3,007,317.62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48,329,250.1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1,617,288.30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1,673,533.72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32,135,833.6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86,763,223.3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203,631.56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4,487,721.57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1,273,968.51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597,430.93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21,423,889.1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27,986,641.7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300,731.76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3,674,845.64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60,721.92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234,356.37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6,427,166.76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10,697,822.4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300,731.76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3,674,845.64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60,721.92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234,356.37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6,427,166.76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10,697,822.4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504,363.32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8,162,567.21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1,334,690.43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831,787.30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27,851,055.9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38,684,464.1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24,010.21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24,010.21</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24,010.21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24,010.21</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2,502,954.30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40,142,672.6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282,597.87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841,746.42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4,284,777.72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48,054,749.0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2,803,686.06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23,756,730.0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343,319.79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1,041,914.75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10,711,944.4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38,657,595.1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55.70%</w:t>
      </w:r>
      <w:r>
        <w:rPr/>
        <w:t>。</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205"/>
        <w:gridCol w:w="1136"/>
        <w:gridCol w:w="850"/>
        <w:gridCol w:w="850"/>
        <w:gridCol w:w="1277"/>
        <w:gridCol w:w="1133"/>
        <w:gridCol w:w="853"/>
        <w:gridCol w:w="1274"/>
      </w:tblGrid>
      <w:tr>
        <w:trPr>
          <w:trHeight w:val="82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6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3"/>
              <w:ind w:left="24" w:right="129"/>
              <w:jc w:val="left"/>
              <w:rPr>
                <w:rFonts w:ascii="宋体" w:hAnsi="宋体" w:cs="宋体" w:eastAsia="宋体" w:hint="default"/>
                <w:sz w:val="18"/>
                <w:szCs w:val="18"/>
              </w:rPr>
            </w:pPr>
            <w:r>
              <w:rPr>
                <w:rFonts w:ascii="宋体" w:hAnsi="宋体" w:cs="宋体" w:eastAsia="宋体" w:hint="default"/>
                <w:sz w:val="18"/>
                <w:szCs w:val="18"/>
              </w:rPr>
              <w:t>费用化支出 项目</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29,929,857.76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29,929,857.76</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2"/>
              <w:ind w:left="24" w:right="129"/>
              <w:jc w:val="left"/>
              <w:rPr>
                <w:rFonts w:ascii="宋体" w:hAnsi="宋体" w:cs="宋体" w:eastAsia="宋体" w:hint="default"/>
                <w:sz w:val="18"/>
                <w:szCs w:val="18"/>
              </w:rPr>
            </w:pPr>
            <w:r>
              <w:rPr>
                <w:rFonts w:ascii="宋体" w:hAnsi="宋体" w:cs="宋体" w:eastAsia="宋体" w:hint="default"/>
                <w:sz w:val="18"/>
                <w:szCs w:val="18"/>
              </w:rPr>
              <w:t>资本化支出 项目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16,619,010.31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32,220,115.36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20,060,788.27</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28,778,337.40</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16,619,010.31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62,149,973.12</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20,060,788.27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29,929,857.76</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28,778,337.40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
        <w:jc w:val="left"/>
      </w:pPr>
      <w:r>
        <w:rPr/>
        <w:t>其他说明</w:t>
      </w:r>
    </w:p>
    <w:p>
      <w:pPr>
        <w:pStyle w:val="Heading4"/>
        <w:spacing w:line="240" w:lineRule="auto" w:before="94"/>
        <w:ind w:left="866" w:right="-2"/>
        <w:jc w:val="left"/>
      </w:pPr>
      <w:r>
        <w:rPr>
          <w:spacing w:val="-2"/>
        </w:rPr>
        <w:t>公司开发项目支出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4"/>
        <w:spacing w:line="240" w:lineRule="auto" w:before="167"/>
        <w:ind w:left="152" w:right="0"/>
        <w:jc w:val="left"/>
      </w:pPr>
      <w:r>
        <w:rPr/>
        <w:t>单位：元</w:t>
      </w:r>
    </w:p>
    <w:p>
      <w:pPr>
        <w:spacing w:after="0" w:line="240" w:lineRule="auto"/>
        <w:jc w:val="left"/>
        <w:sectPr>
          <w:type w:val="continuous"/>
          <w:pgSz w:w="11910" w:h="16840"/>
          <w:pgMar w:top="1060" w:bottom="1160" w:left="980" w:right="980"/>
          <w:cols w:num="2" w:equalWidth="0">
            <w:col w:w="2549" w:space="4359"/>
            <w:col w:w="3042"/>
          </w:cols>
        </w:sectPr>
      </w:pP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266"/>
        <w:gridCol w:w="1081"/>
        <w:gridCol w:w="1154"/>
        <w:gridCol w:w="1155"/>
        <w:gridCol w:w="1267"/>
        <w:gridCol w:w="1155"/>
      </w:tblGrid>
      <w:tr>
        <w:trPr>
          <w:trHeight w:val="355" w:hRule="exact"/>
        </w:trPr>
        <w:tc>
          <w:tcPr>
            <w:tcW w:w="2266" w:type="dxa"/>
            <w:vMerge w:val="restart"/>
            <w:tcBorders>
              <w:top w:val="single" w:sz="6" w:space="0" w:color="000000"/>
              <w:left w:val="single" w:sz="6" w:space="0" w:color="000000"/>
              <w:right w:val="single" w:sz="6" w:space="0" w:color="000000"/>
            </w:tcBorders>
          </w:tcPr>
          <w:p>
            <w:pPr>
              <w:pStyle w:val="TableParagraph"/>
              <w:spacing w:line="240" w:lineRule="auto" w:before="45"/>
              <w:ind w:left="5"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81" w:type="dxa"/>
            <w:vMerge w:val="restart"/>
            <w:tcBorders>
              <w:top w:val="single" w:sz="6" w:space="0" w:color="000000"/>
              <w:left w:val="single" w:sz="6" w:space="0" w:color="000000"/>
              <w:right w:val="single" w:sz="6" w:space="0" w:color="000000"/>
            </w:tcBorders>
          </w:tcPr>
          <w:p>
            <w:pPr>
              <w:pStyle w:val="TableParagraph"/>
              <w:spacing w:line="240" w:lineRule="auto" w:before="45"/>
              <w:ind w:left="232"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1154" w:type="dxa"/>
            <w:vMerge w:val="restart"/>
            <w:tcBorders>
              <w:top w:val="single" w:sz="6" w:space="0" w:color="000000"/>
              <w:left w:val="single" w:sz="6" w:space="0" w:color="000000"/>
              <w:right w:val="single" w:sz="6" w:space="0" w:color="000000"/>
            </w:tcBorders>
          </w:tcPr>
          <w:p>
            <w:pPr>
              <w:pStyle w:val="TableParagraph"/>
              <w:spacing w:line="240" w:lineRule="auto" w:before="45"/>
              <w:ind w:left="268"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242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5" w:right="0"/>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1155" w:type="dxa"/>
            <w:vMerge w:val="restart"/>
            <w:tcBorders>
              <w:top w:val="single" w:sz="6" w:space="0" w:color="000000"/>
              <w:left w:val="single" w:sz="6" w:space="0" w:color="000000"/>
              <w:right w:val="nil" w:sz="6" w:space="0" w:color="auto"/>
            </w:tcBorders>
          </w:tcPr>
          <w:p>
            <w:pPr>
              <w:pStyle w:val="TableParagraph"/>
              <w:spacing w:line="240" w:lineRule="auto" w:before="45"/>
              <w:ind w:left="268"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53" w:hRule="exact"/>
        </w:trPr>
        <w:tc>
          <w:tcPr>
            <w:tcW w:w="2266" w:type="dxa"/>
            <w:vMerge/>
            <w:tcBorders>
              <w:left w:val="single" w:sz="6" w:space="0" w:color="000000"/>
              <w:bottom w:val="single" w:sz="12" w:space="0" w:color="000000"/>
              <w:right w:val="single" w:sz="6" w:space="0" w:color="000000"/>
            </w:tcBorders>
          </w:tcPr>
          <w:p>
            <w:pPr/>
          </w:p>
        </w:tc>
        <w:tc>
          <w:tcPr>
            <w:tcW w:w="1081" w:type="dxa"/>
            <w:vMerge/>
            <w:tcBorders>
              <w:left w:val="single" w:sz="6" w:space="0" w:color="000000"/>
              <w:bottom w:val="single" w:sz="12" w:space="0" w:color="000000"/>
              <w:right w:val="single" w:sz="6" w:space="0" w:color="000000"/>
            </w:tcBorders>
          </w:tcPr>
          <w:p>
            <w:pPr/>
          </w:p>
        </w:tc>
        <w:tc>
          <w:tcPr>
            <w:tcW w:w="1154" w:type="dxa"/>
            <w:vMerge/>
            <w:tcBorders>
              <w:left w:val="single" w:sz="6" w:space="0" w:color="000000"/>
              <w:bottom w:val="single" w:sz="12" w:space="0" w:color="000000"/>
              <w:right w:val="single" w:sz="6" w:space="0" w:color="000000"/>
            </w:tcBorders>
          </w:tcPr>
          <w:p>
            <w:pP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计入当期损益</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确认为无形资产</w:t>
            </w:r>
          </w:p>
        </w:tc>
        <w:tc>
          <w:tcPr>
            <w:tcW w:w="1155" w:type="dxa"/>
            <w:vMerge/>
            <w:tcBorders>
              <w:left w:val="single" w:sz="6" w:space="0" w:color="000000"/>
              <w:bottom w:val="single" w:sz="12" w:space="0" w:color="000000"/>
              <w:right w:val="nil" w:sz="6" w:space="0" w:color="auto"/>
            </w:tcBorders>
          </w:tcPr>
          <w:p>
            <w:pPr/>
          </w:p>
        </w:tc>
      </w:tr>
      <w:tr>
        <w:trPr>
          <w:trHeight w:val="662"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4" w:right="142"/>
              <w:jc w:val="left"/>
              <w:rPr>
                <w:rFonts w:ascii="宋体" w:hAnsi="宋体" w:cs="宋体" w:eastAsia="宋体" w:hint="default"/>
                <w:sz w:val="15"/>
                <w:szCs w:val="15"/>
              </w:rPr>
            </w:pPr>
            <w:r>
              <w:rPr>
                <w:rFonts w:ascii="宋体" w:hAnsi="宋体" w:cs="宋体" w:eastAsia="宋体" w:hint="default"/>
                <w:spacing w:val="-2"/>
                <w:sz w:val="15"/>
                <w:szCs w:val="15"/>
              </w:rPr>
              <w:t>城乡一体化人力资源和社会保障</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软件产品升级与产业化项目</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2,432,859.34</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6,913,958.74</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4,730,476.34</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4,476,004.50</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12"/>
              <w:jc w:val="right"/>
              <w:rPr>
                <w:rFonts w:ascii="Times New Roman" w:hAnsi="Times New Roman" w:cs="Times New Roman" w:eastAsia="Times New Roman" w:hint="default"/>
                <w:sz w:val="15"/>
                <w:szCs w:val="15"/>
              </w:rPr>
            </w:pPr>
            <w:r>
              <w:rPr>
                <w:rFonts w:ascii="Times New Roman"/>
                <w:spacing w:val="-1"/>
                <w:sz w:val="15"/>
              </w:rPr>
              <w:t>140,337.24</w:t>
            </w:r>
          </w:p>
        </w:tc>
      </w:tr>
      <w:tr>
        <w:trPr>
          <w:trHeight w:val="353"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医疗融合应用软件产品项目</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5,213,251.85</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4,017,695.36</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969,764.93</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5"/>
                <w:szCs w:val="15"/>
              </w:rPr>
            </w:pPr>
            <w:r>
              <w:rPr>
                <w:rFonts w:ascii="Times New Roman"/>
                <w:spacing w:val="-1"/>
                <w:sz w:val="15"/>
              </w:rPr>
              <w:t>8,261,182.28</w:t>
            </w:r>
          </w:p>
        </w:tc>
        <w:tc>
          <w:tcPr>
            <w:tcW w:w="1155"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运维服务中心建设项目</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238,867.70</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2,710,794.00</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1,509,035.27</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1,440,626.43</w:t>
            </w:r>
          </w:p>
        </w:tc>
        <w:tc>
          <w:tcPr>
            <w:tcW w:w="1155"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4" w:right="0"/>
              <w:jc w:val="left"/>
              <w:rPr>
                <w:rFonts w:ascii="宋体" w:hAnsi="宋体" w:cs="宋体" w:eastAsia="宋体" w:hint="default"/>
                <w:sz w:val="15"/>
                <w:szCs w:val="15"/>
              </w:rPr>
            </w:pPr>
            <w:r>
              <w:rPr>
                <w:rFonts w:ascii="宋体" w:hAnsi="宋体" w:cs="宋体" w:eastAsia="宋体" w:hint="default"/>
                <w:sz w:val="15"/>
                <w:szCs w:val="15"/>
              </w:rPr>
              <w:t>民生领域软件研发平台升级项目</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4,230,543.55</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4,611,288.79</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2,829,928.30</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4,710,504.74</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12"/>
              <w:jc w:val="right"/>
              <w:rPr>
                <w:rFonts w:ascii="Times New Roman" w:hAnsi="Times New Roman" w:cs="Times New Roman" w:eastAsia="Times New Roman" w:hint="default"/>
                <w:sz w:val="15"/>
                <w:szCs w:val="15"/>
              </w:rPr>
            </w:pPr>
            <w:r>
              <w:rPr>
                <w:rFonts w:ascii="Times New Roman"/>
                <w:spacing w:val="-1"/>
                <w:sz w:val="15"/>
              </w:rPr>
              <w:t>1,301,399.30</w:t>
            </w:r>
          </w:p>
        </w:tc>
      </w:tr>
      <w:tr>
        <w:trPr>
          <w:trHeight w:val="353"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医保便民服务平台项目</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3,479,344.59</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21,747,475.49</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4,265,973.31</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716,780.63</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12"/>
              <w:jc w:val="right"/>
              <w:rPr>
                <w:rFonts w:ascii="Times New Roman" w:hAnsi="Times New Roman" w:cs="Times New Roman" w:eastAsia="Times New Roman" w:hint="default"/>
                <w:sz w:val="15"/>
                <w:szCs w:val="15"/>
              </w:rPr>
            </w:pPr>
            <w:r>
              <w:rPr>
                <w:rFonts w:ascii="Times New Roman"/>
                <w:spacing w:val="-1"/>
                <w:sz w:val="15"/>
              </w:rPr>
              <w:t>20,244,066.14</w:t>
            </w:r>
          </w:p>
        </w:tc>
      </w:tr>
      <w:tr>
        <w:trPr>
          <w:trHeight w:val="665"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3"/>
              <w:ind w:left="4" w:right="142"/>
              <w:jc w:val="left"/>
              <w:rPr>
                <w:rFonts w:ascii="宋体" w:hAnsi="宋体" w:cs="宋体" w:eastAsia="宋体" w:hint="default"/>
                <w:sz w:val="15"/>
                <w:szCs w:val="15"/>
              </w:rPr>
            </w:pPr>
            <w:r>
              <w:rPr>
                <w:rFonts w:ascii="宋体" w:hAnsi="宋体" w:cs="宋体" w:eastAsia="宋体" w:hint="default"/>
                <w:spacing w:val="-2"/>
                <w:sz w:val="15"/>
                <w:szCs w:val="15"/>
              </w:rPr>
              <w:t>医保基金精算与医保服务治理解</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决方案项目</w:t>
            </w:r>
          </w:p>
        </w:tc>
        <w:tc>
          <w:tcPr>
            <w:tcW w:w="1081" w:type="dxa"/>
            <w:tcBorders>
              <w:top w:val="single" w:sz="12" w:space="0" w:color="000000"/>
              <w:left w:val="single" w:sz="6" w:space="0" w:color="000000"/>
              <w:bottom w:val="single" w:sz="12" w:space="0" w:color="000000"/>
              <w:right w:val="single" w:sz="6" w:space="0" w:color="000000"/>
            </w:tcBorders>
          </w:tcPr>
          <w:p>
            <w:pP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15"/>
                <w:szCs w:val="15"/>
              </w:rPr>
            </w:pPr>
            <w:r>
              <w:rPr>
                <w:rFonts w:ascii="Times New Roman"/>
                <w:spacing w:val="-1"/>
                <w:sz w:val="15"/>
              </w:rPr>
              <w:t>694,233.79</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18,251.49</w:t>
            </w:r>
          </w:p>
        </w:tc>
        <w:tc>
          <w:tcPr>
            <w:tcW w:w="1267" w:type="dxa"/>
            <w:tcBorders>
              <w:top w:val="single" w:sz="12" w:space="0" w:color="000000"/>
              <w:left w:val="single" w:sz="6" w:space="0" w:color="000000"/>
              <w:bottom w:val="single" w:sz="12" w:space="0" w:color="000000"/>
              <w:right w:val="single" w:sz="6" w:space="0" w:color="000000"/>
            </w:tcBorders>
          </w:tcPr>
          <w:p>
            <w:pP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12"/>
              <w:jc w:val="right"/>
              <w:rPr>
                <w:rFonts w:ascii="Times New Roman" w:hAnsi="Times New Roman" w:cs="Times New Roman" w:eastAsia="Times New Roman" w:hint="default"/>
                <w:sz w:val="15"/>
                <w:szCs w:val="15"/>
              </w:rPr>
            </w:pPr>
            <w:r>
              <w:rPr>
                <w:rFonts w:ascii="Times New Roman"/>
                <w:spacing w:val="-1"/>
                <w:sz w:val="15"/>
              </w:rPr>
              <w:t>675,982.30</w:t>
            </w:r>
          </w:p>
        </w:tc>
      </w:tr>
      <w:tr>
        <w:trPr>
          <w:trHeight w:val="663"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381" w:lineRule="auto" w:before="34"/>
              <w:ind w:left="4" w:right="142"/>
              <w:jc w:val="left"/>
              <w:rPr>
                <w:rFonts w:ascii="宋体" w:hAnsi="宋体" w:cs="宋体" w:eastAsia="宋体" w:hint="default"/>
                <w:sz w:val="15"/>
                <w:szCs w:val="15"/>
              </w:rPr>
            </w:pPr>
            <w:r>
              <w:rPr>
                <w:rFonts w:ascii="宋体" w:hAnsi="宋体" w:cs="宋体" w:eastAsia="宋体" w:hint="default"/>
                <w:spacing w:val="-2"/>
                <w:sz w:val="15"/>
                <w:szCs w:val="15"/>
              </w:rPr>
              <w:t>军民融合公共服务平台信息化支</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撑服务项目</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9"/>
              <w:ind w:right="2"/>
              <w:jc w:val="right"/>
              <w:rPr>
                <w:rFonts w:ascii="Times New Roman" w:hAnsi="Times New Roman" w:cs="Times New Roman" w:eastAsia="Times New Roman" w:hint="default"/>
                <w:sz w:val="15"/>
                <w:szCs w:val="15"/>
              </w:rPr>
            </w:pPr>
            <w:r>
              <w:rPr>
                <w:rFonts w:ascii="Times New Roman"/>
                <w:spacing w:val="-1"/>
                <w:sz w:val="15"/>
              </w:rPr>
              <w:t>76,851.36</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9"/>
              <w:ind w:right="2"/>
              <w:jc w:val="right"/>
              <w:rPr>
                <w:rFonts w:ascii="Times New Roman" w:hAnsi="Times New Roman" w:cs="Times New Roman" w:eastAsia="Times New Roman" w:hint="default"/>
                <w:sz w:val="15"/>
                <w:szCs w:val="15"/>
              </w:rPr>
            </w:pPr>
            <w:r>
              <w:rPr>
                <w:rFonts w:ascii="Times New Roman"/>
                <w:spacing w:val="-1"/>
                <w:sz w:val="15"/>
              </w:rPr>
              <w:t>1,966,942.46</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9"/>
              <w:ind w:right="0"/>
              <w:jc w:val="right"/>
              <w:rPr>
                <w:rFonts w:ascii="Times New Roman" w:hAnsi="Times New Roman" w:cs="Times New Roman" w:eastAsia="Times New Roman" w:hint="default"/>
                <w:sz w:val="15"/>
                <w:szCs w:val="15"/>
              </w:rPr>
            </w:pPr>
            <w:r>
              <w:rPr>
                <w:rFonts w:ascii="Times New Roman"/>
                <w:spacing w:val="-1"/>
                <w:sz w:val="15"/>
              </w:rPr>
              <w:t>131,596.08</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9"/>
              <w:ind w:right="2"/>
              <w:jc w:val="right"/>
              <w:rPr>
                <w:rFonts w:ascii="Times New Roman" w:hAnsi="Times New Roman" w:cs="Times New Roman" w:eastAsia="Times New Roman" w:hint="default"/>
                <w:sz w:val="15"/>
                <w:szCs w:val="15"/>
              </w:rPr>
            </w:pPr>
            <w:r>
              <w:rPr>
                <w:rFonts w:ascii="Times New Roman"/>
                <w:spacing w:val="-1"/>
                <w:sz w:val="15"/>
              </w:rPr>
              <w:t>212,904.16</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9"/>
              <w:ind w:right="12"/>
              <w:jc w:val="right"/>
              <w:rPr>
                <w:rFonts w:ascii="Times New Roman" w:hAnsi="Times New Roman" w:cs="Times New Roman" w:eastAsia="Times New Roman" w:hint="default"/>
                <w:sz w:val="15"/>
                <w:szCs w:val="15"/>
              </w:rPr>
            </w:pPr>
            <w:r>
              <w:rPr>
                <w:rFonts w:ascii="Times New Roman"/>
                <w:spacing w:val="-1"/>
                <w:sz w:val="15"/>
              </w:rPr>
              <w:t>1,699,293.58</w:t>
            </w:r>
          </w:p>
        </w:tc>
      </w:tr>
      <w:tr>
        <w:trPr>
          <w:trHeight w:val="353"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5"/>
                <w:szCs w:val="15"/>
              </w:rPr>
            </w:pPr>
            <w:r>
              <w:rPr>
                <w:rFonts w:ascii="宋体" w:hAnsi="宋体" w:cs="宋体" w:eastAsia="宋体" w:hint="default"/>
                <w:sz w:val="15"/>
                <w:szCs w:val="15"/>
              </w:rPr>
              <w:t>综合研发</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947,291.92</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19,487,584.49</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5"/>
                <w:szCs w:val="15"/>
              </w:rPr>
            </w:pPr>
            <w:r>
              <w:rPr>
                <w:rFonts w:ascii="Times New Roman"/>
                <w:spacing w:val="-1"/>
                <w:sz w:val="15"/>
              </w:rPr>
              <w:t>15,474,832.04</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1"/>
              <w:ind w:right="2"/>
              <w:jc w:val="right"/>
              <w:rPr>
                <w:rFonts w:ascii="Times New Roman" w:hAnsi="Times New Roman" w:cs="Times New Roman" w:eastAsia="Times New Roman" w:hint="default"/>
                <w:sz w:val="15"/>
                <w:szCs w:val="15"/>
              </w:rPr>
            </w:pPr>
            <w:r>
              <w:rPr>
                <w:rFonts w:ascii="Times New Roman"/>
                <w:spacing w:val="-1"/>
                <w:sz w:val="15"/>
              </w:rPr>
              <w:t>242,785.53</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71"/>
              <w:ind w:right="12"/>
              <w:jc w:val="right"/>
              <w:rPr>
                <w:rFonts w:ascii="Times New Roman" w:hAnsi="Times New Roman" w:cs="Times New Roman" w:eastAsia="Times New Roman" w:hint="default"/>
                <w:sz w:val="15"/>
                <w:szCs w:val="15"/>
              </w:rPr>
            </w:pPr>
            <w:r>
              <w:rPr>
                <w:rFonts w:ascii="Times New Roman"/>
                <w:spacing w:val="-1"/>
                <w:sz w:val="15"/>
              </w:rPr>
              <w:t>4,717,258.84</w:t>
            </w:r>
          </w:p>
        </w:tc>
      </w:tr>
      <w:tr>
        <w:trPr>
          <w:trHeight w:val="353" w:hRule="exact"/>
        </w:trPr>
        <w:tc>
          <w:tcPr>
            <w:tcW w:w="22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3"/>
              <w:ind w:left="5"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5"/>
                <w:szCs w:val="15"/>
              </w:rPr>
            </w:pPr>
            <w:r>
              <w:rPr>
                <w:rFonts w:ascii="Times New Roman"/>
                <w:spacing w:val="-1"/>
                <w:sz w:val="15"/>
              </w:rPr>
              <w:t>16,619,010.31</w:t>
            </w:r>
          </w:p>
        </w:tc>
        <w:tc>
          <w:tcPr>
            <w:tcW w:w="11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62,149,973.12</w:t>
            </w:r>
          </w:p>
        </w:tc>
        <w:tc>
          <w:tcPr>
            <w:tcW w:w="11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29,929,857.76</w:t>
            </w:r>
          </w:p>
        </w:tc>
        <w:tc>
          <w:tcPr>
            <w:tcW w:w="1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15"/>
                <w:szCs w:val="15"/>
              </w:rPr>
            </w:pPr>
            <w:r>
              <w:rPr>
                <w:rFonts w:ascii="Times New Roman"/>
                <w:spacing w:val="-1"/>
                <w:sz w:val="15"/>
              </w:rPr>
              <w:t>20,060,788.27</w:t>
            </w:r>
          </w:p>
        </w:tc>
        <w:tc>
          <w:tcPr>
            <w:tcW w:w="11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8"/>
              <w:ind w:right="9"/>
              <w:jc w:val="right"/>
              <w:rPr>
                <w:rFonts w:ascii="Times New Roman" w:hAnsi="Times New Roman" w:cs="Times New Roman" w:eastAsia="Times New Roman" w:hint="default"/>
                <w:sz w:val="15"/>
                <w:szCs w:val="15"/>
              </w:rPr>
            </w:pPr>
            <w:r>
              <w:rPr>
                <w:rFonts w:ascii="Times New Roman"/>
                <w:spacing w:val="-1"/>
                <w:sz w:val="15"/>
              </w:rPr>
              <w:t>28,778,337.40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7" w:right="48"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49"/>
        <w:ind w:right="5094"/>
        <w:jc w:val="left"/>
      </w:pPr>
      <w:r>
        <w:rPr/>
        <w:t>说明商誉减值测试过程、参数及商誉减值损失的确认方法：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636,529.69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593,501.44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576,278.10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653,753.03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长期借款担保费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1,886,792.41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2,122,641.52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707,547.16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3,301,886.77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2,523,322.10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2,716,142.96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1,283,825.26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3,955,639.80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18"/>
                <w:szCs w:val="18"/>
              </w:rPr>
            </w:pPr>
            <w:r>
              <w:rPr>
                <w:rFonts w:ascii="Times New Roman"/>
                <w:spacing w:val="-1"/>
                <w:sz w:val="18"/>
              </w:rPr>
              <w:t>39,923,944.27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5,965,253.24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25,756,505.64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3,846,669.62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6,420,000.00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880,500.00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77"/>
              <w:jc w:val="left"/>
              <w:rPr>
                <w:rFonts w:ascii="宋体" w:hAnsi="宋体" w:cs="宋体" w:eastAsia="宋体" w:hint="default"/>
                <w:sz w:val="18"/>
                <w:szCs w:val="18"/>
              </w:rPr>
            </w:pPr>
            <w:r>
              <w:rPr>
                <w:rFonts w:ascii="宋体" w:hAnsi="宋体" w:cs="宋体" w:eastAsia="宋体" w:hint="default"/>
                <w:sz w:val="18"/>
                <w:szCs w:val="18"/>
              </w:rPr>
              <w:t>开票早于收入确认缴纳 企业所得税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Times New Roman" w:hAnsi="Times New Roman" w:cs="Times New Roman" w:eastAsia="Times New Roman" w:hint="default"/>
                <w:sz w:val="18"/>
                <w:szCs w:val="18"/>
              </w:rPr>
            </w:pPr>
            <w:r>
              <w:rPr>
                <w:rFonts w:ascii="Times New Roman"/>
                <w:spacing w:val="-1"/>
                <w:sz w:val="18"/>
              </w:rPr>
              <w:t>2,568,086.20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385,212.93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48,912,030.47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7,230,966.17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25,756,505.64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3,846,669.62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footerReference w:type="default" r:id="rId20"/>
          <w:pgSz w:w="11910" w:h="16840"/>
          <w:pgMar w:footer="979"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25"/>
        <w:gridCol w:w="1905"/>
        <w:gridCol w:w="1914"/>
        <w:gridCol w:w="1914"/>
        <w:gridCol w:w="1903"/>
      </w:tblGrid>
      <w:tr>
        <w:trPr>
          <w:trHeight w:val="161" w:hRule="exact"/>
        </w:trPr>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0" w:right="5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9"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4" w:right="0"/>
              <w:jc w:val="left"/>
              <w:rPr>
                <w:rFonts w:ascii="Times New Roman" w:hAnsi="Times New Roman" w:cs="Times New Roman" w:eastAsia="Times New Roman" w:hint="default"/>
                <w:sz w:val="18"/>
                <w:szCs w:val="18"/>
              </w:rPr>
            </w:pPr>
            <w:r>
              <w:rPr>
                <w:rFonts w:ascii="Times New Roman"/>
                <w:sz w:val="18"/>
              </w:rPr>
              <w:t>7,230,966.17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3,846,669.62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2,187,618.26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2,187,618.26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64,444,206.13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27,440,631.00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21,787,857.79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6,324,708.52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86,232,063.92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33,765,339.52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2,418,934.14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1,405,857.50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6,015,791.64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266,562,895.11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228,440,384.23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196,345,168.46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188,504,840.71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462,908,063.57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416,945,224.94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天津市人力资源和社会保障局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27,829,059.78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22,877,546.49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15,779,615.37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13,748,739.23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中国工程物理研究院及其下属单位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13,563,844.45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梧州市人力资源和社会保障局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12,962,457.65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新疆维吾尔自治区人力资源和社会保障 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11,525,462.42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中国核工业集团有限公司兰州铀浓缩公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11,022,943.15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云南省民政厅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10,937,914.11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甘孜藏族自治州卫生和计划生育委员会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9,906,607.67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广东省社会保险基金管理局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7,730,118.36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泸州市人民政府防汛抗旱指挥部办公室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6,765,812.00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重庆望江工业有限公司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6,317,434.16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云南省居民家庭经济状况核对中心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6,216,581.20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6,188,496.43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西安市人力资源和社会保障局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中国核电工程有限公司郑州分公司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4,476,108.80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四川省人力资源和社会保障厅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3,795,271.43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曲靖市人力资源和社会保障局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3,588,679.25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成都市交通委员会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3,186,733.45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云南省人力资源和社会保障厅信息中心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3,101,584.91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武威市住房公积金管理中心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2,861,019.24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云南省医疗保险基金管理中心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2,651,965.82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湖北省民政厅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2,545,007.34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长沙银行股份有限公司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2,397,028.29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中国人民健康保险股份有限公司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2,512,028.22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成都嘉石科技有限公司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1,955,365.39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云南省社会保障卡制作发行中心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1,914,849.06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四川省卫生和计划生育信息中心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1,644,700.38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武汉滨湖电子有限责任公司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1,403,724.45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克孜勒苏柯尔克孜自治州人力资源和社 会保障局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1,226,245.27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西藏自治区人力资源和社会保障厅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1,045,725.64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228,796,169.41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30,114,277.46</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270,729,130.13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262,103,345.49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38,740,062.10</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65,312.88</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17,605,853.00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17,595,830.54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75,335.34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FFFFFF"/>
            </w:tcBorders>
          </w:tcPr>
          <w:p>
            <w:pP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331,189.58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331,189.58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30,179,590.34</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288,666,172.71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280,030,365.61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38,815,397.44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27,442,336.95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245,446,807.83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237,405,790.42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35,483,354.36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3,723,967.63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3,723,967.63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31,713.48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8,276,588.55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8,270,429.50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37,872.53</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7,514,651.42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7,508,847.34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35,074.20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226,016.30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225,913.95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812.06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1,733.65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535,920.83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535,668.21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1,986.27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9,941,876.38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9,975,559.38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29,193.00</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2,577,351.03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3,339,889.74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2,727,598.56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3,189,642.21</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30,114,277.46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270,729,130.13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262,103,345.49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38,740,062.10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63,296.74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17,041,978.40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17,032,257.00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73,018.14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2,016.14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563,874.60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563,573.54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2,317.20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17,605,853.00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17,595,830.54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75,335.34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9,473,809.71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10,826,420.27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10,252,486.54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6,093,063.54</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2,117,925.08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1,593,945.49</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668,265.19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764,113.71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99,067.31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99,067.31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477,332.30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544,695.10</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66,282.24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2,073.37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2,273.77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1,959.74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23,185,115.42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19,991,896.17</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22,500.00</w:t>
            </w: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6,116,742.04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2,637,226.19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2,282,281.19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2,743,449.46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8,399,023.23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5,380,675.65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成都纳合科技有限公司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1,262,317.00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1,262,317.00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短期应付债券的增减变动：</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75,000,000.00</w:t>
            </w:r>
          </w:p>
        </w:tc>
      </w:tr>
    </w:tbl>
    <w:p>
      <w:pPr>
        <w:pStyle w:val="BodyText"/>
        <w:spacing w:line="300" w:lineRule="auto" w:before="49"/>
        <w:ind w:right="152"/>
        <w:jc w:val="both"/>
      </w:pPr>
      <w:r>
        <w:rPr/>
        <w:t>长期借款分类的说明：公司向中国农业重点建设基金有限公司贷款，获取长期借款</w:t>
      </w:r>
      <w:r>
        <w:rPr>
          <w:spacing w:val="-45"/>
        </w:rPr>
        <w:t> </w:t>
      </w:r>
      <w:r>
        <w:rPr>
          <w:rFonts w:ascii="Times New Roman" w:hAnsi="Times New Roman" w:cs="Times New Roman" w:eastAsia="Times New Roman" w:hint="default"/>
        </w:rPr>
        <w:t>7,500</w:t>
      </w:r>
      <w:r>
        <w:rPr>
          <w:rFonts w:ascii="Times New Roman" w:hAnsi="Times New Roman" w:cs="Times New Roman" w:eastAsia="Times New Roman" w:hint="default"/>
          <w:spacing w:val="-2"/>
        </w:rPr>
        <w:t> </w:t>
      </w:r>
      <w:r>
        <w:rPr/>
        <w:t>万元，借款期限为</w:t>
      </w:r>
      <w:r>
        <w:rPr>
          <w:spacing w:val="-45"/>
        </w:rPr>
        <w:t> </w:t>
      </w:r>
      <w:r>
        <w:rPr>
          <w:rFonts w:ascii="Times New Roman" w:hAnsi="Times New Roman" w:cs="Times New Roman" w:eastAsia="Times New Roman" w:hint="default"/>
        </w:rPr>
        <w:t>15 </w:t>
      </w:r>
      <w:r>
        <w:rPr/>
        <w:t>年，借款利 率为</w:t>
      </w:r>
      <w:r>
        <w:rPr>
          <w:spacing w:val="-45"/>
        </w:rPr>
        <w:t> </w:t>
      </w:r>
      <w:r>
        <w:rPr>
          <w:rFonts w:ascii="Times New Roman" w:hAnsi="Times New Roman" w:cs="Times New Roman" w:eastAsia="Times New Roman" w:hint="default"/>
          <w:spacing w:val="-1"/>
        </w:rPr>
        <w:t>1.20%</w:t>
      </w:r>
      <w:r>
        <w:rPr>
          <w:spacing w:val="-1"/>
        </w:rPr>
        <w:t>。由四川发展融资担保股份有限公司提供担保，公司以名下的房屋及车位作为抵押物，为四川发展融资担保股份</w:t>
      </w:r>
      <w:r>
        <w:rPr/>
        <w:t> 有限公司提供反担保。</w:t>
      </w:r>
    </w:p>
    <w:p>
      <w:pPr>
        <w:pStyle w:val="BodyText"/>
        <w:spacing w:line="240" w:lineRule="auto" w:before="70"/>
        <w:ind w:right="0"/>
        <w:jc w:val="both"/>
      </w:pPr>
      <w:r>
        <w:rPr/>
        <w:t>其他说明，包括利率区间：无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3" w:space="417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6534"/>
        <w:jc w:val="left"/>
      </w:pPr>
      <w:r>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设定受益计划义务现值：</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2574"/>
        <w:jc w:val="left"/>
      </w:pPr>
      <w:r>
        <w:rPr/>
        <w:t>设定受益计划的内容及与之相关风险、对公司未来现金流量、时间和不确定性的影响说明： 设定受益计划重大精算假设及敏感性分析结果说明：</w:t>
      </w:r>
    </w:p>
    <w:p>
      <w:pPr>
        <w:spacing w:after="0" w:line="357"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2"/>
        <w:gridCol w:w="1597"/>
        <w:gridCol w:w="1594"/>
        <w:gridCol w:w="1596"/>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20,019,333.30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7,350,000.00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2,195,800.33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25,173,532.97</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收到补助，项目尚未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验收</w:t>
            </w:r>
          </w:p>
        </w:tc>
      </w:tr>
      <w:tr>
        <w:trPr>
          <w:trHeight w:val="391"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20,019,333.30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7,350,000.00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2,195,800.33</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25,173,532.97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基于云端融 合的政务信 息集成服务 平台研发及 产业化项目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2,779,333.30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995,800.33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1,783,532.97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年应用软件 产值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亿以 上的软件生 产线技改项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军工制造业 产品研发管 理软件升级 及产业化项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复杂信息系 统一体化运 营维护中心 技术改造项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面向军工离 散制造业产 品创新研发 过程管理信 息化软件研 发及产业化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年软件 发展专项资 金银海政务 大数据决策 支持平台项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复杂信息系 统一体化运 营维护软件 开发和服务 创新项目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年四川省第 一批科技计 划项目养老 云项目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成都高新经 贸局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重大产业技 术创新专项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年高新 重大科技成 果转化制造 业数字化融 合平台项目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成都高新技 术产业开发 区科技局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年成都 市第三批科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 级</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专项切块项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成都高新技 术产业开发 区科技局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年成都 市第一批科 技项目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中国物理研 </w:t>
            </w:r>
            <w:r>
              <w:rPr>
                <w:rFonts w:ascii="宋体" w:hAnsi="宋体" w:cs="宋体" w:eastAsia="宋体" w:hint="default"/>
                <w:spacing w:val="-12"/>
                <w:sz w:val="18"/>
                <w:szCs w:val="18"/>
              </w:rPr>
              <w:t>究院（财政厅</w:t>
            </w:r>
            <w:r>
              <w:rPr>
                <w:rFonts w:ascii="宋体" w:hAnsi="宋体" w:cs="宋体" w:eastAsia="宋体" w:hint="default"/>
                <w:sz w:val="18"/>
                <w:szCs w:val="18"/>
              </w:rPr>
              <w:t> 下达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第一批省级 科技计划项 </w:t>
            </w:r>
            <w:r>
              <w:rPr>
                <w:rFonts w:ascii="宋体" w:hAnsi="宋体" w:cs="宋体" w:eastAsia="宋体" w:hint="default"/>
                <w:spacing w:val="-12"/>
                <w:sz w:val="18"/>
                <w:szCs w:val="18"/>
              </w:rPr>
              <w:t>目资金）数据</w:t>
            </w:r>
            <w:r>
              <w:rPr>
                <w:rFonts w:ascii="宋体" w:hAnsi="宋体" w:cs="宋体" w:eastAsia="宋体" w:hint="default"/>
                <w:sz w:val="18"/>
                <w:szCs w:val="18"/>
              </w:rPr>
              <w:t> 共享及交易 平台关键技 术研究项目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省科技成果 转化引导专 项项目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高新技术企 业资助项目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网络空间安 全态势感知 与预警分析 技术研究与 应用项目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军民融合增 值服务平台 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高端成 长型产业领 军人才发展 专项</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年创新 驱动及新兴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29"/>
              <w:jc w:val="left"/>
              <w:rPr>
                <w:rFonts w:ascii="宋体" w:hAnsi="宋体" w:cs="宋体" w:eastAsia="宋体" w:hint="default"/>
                <w:sz w:val="18"/>
                <w:szCs w:val="18"/>
              </w:rPr>
            </w:pPr>
            <w:r>
              <w:rPr>
                <w:rFonts w:ascii="宋体" w:hAnsi="宋体" w:cs="宋体" w:eastAsia="宋体" w:hint="default"/>
                <w:sz w:val="18"/>
                <w:szCs w:val="18"/>
              </w:rPr>
              <w:t>产业发展专 项</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成都市高新 区经济运行 与安全生产 质监局专项</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 慧政务联动 平台项目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数据共享及 交易平台关 键技术研究 项目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高新区重大 科技成果转 化项目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成都市锦江 区三圣社区 综合信息化 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20,019,333.3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2,195,800.33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25,173,532.9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18" w:right="0"/>
              <w:jc w:val="left"/>
              <w:rPr>
                <w:rFonts w:ascii="Times New Roman" w:hAnsi="Times New Roman" w:cs="Times New Roman" w:eastAsia="Times New Roman" w:hint="default"/>
                <w:sz w:val="18"/>
                <w:szCs w:val="18"/>
              </w:rPr>
            </w:pPr>
            <w:r>
              <w:rPr>
                <w:rFonts w:ascii="Times New Roman"/>
                <w:sz w:val="18"/>
              </w:rPr>
              <w:t>80,000,000.00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80,000,000.00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80,000,000.00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160,000,000.00</w:t>
            </w:r>
          </w:p>
        </w:tc>
      </w:tr>
    </w:tbl>
    <w:p>
      <w:pPr>
        <w:pStyle w:val="BodyText"/>
        <w:spacing w:line="240" w:lineRule="auto" w:before="49"/>
        <w:ind w:right="0"/>
        <w:jc w:val="left"/>
      </w:pPr>
      <w:r>
        <w:rPr/>
        <w:t>其他说明：</w:t>
      </w:r>
    </w:p>
    <w:p>
      <w:pPr>
        <w:pStyle w:val="Heading4"/>
        <w:spacing w:line="256" w:lineRule="auto" w:before="94"/>
        <w:ind w:left="152" w:right="0"/>
        <w:jc w:val="left"/>
      </w:pPr>
      <w:r>
        <w:rPr>
          <w:spacing w:val="-2"/>
        </w:rPr>
        <w:t>根据本公司司第三届董事会第十一次（临时）会议、</w:t>
      </w:r>
      <w:r>
        <w:rPr>
          <w:rFonts w:ascii="Times New Roman" w:hAnsi="Times New Roman" w:cs="Times New Roman" w:eastAsia="Times New Roman" w:hint="default"/>
          <w:spacing w:val="-2"/>
        </w:rPr>
        <w:t>2017</w:t>
      </w:r>
      <w:r>
        <w:rPr>
          <w:spacing w:val="-2"/>
        </w:rPr>
        <w:t>年第三次临时股东大会审议通过了《关于</w:t>
      </w:r>
      <w:r>
        <w:rPr>
          <w:rFonts w:ascii="Times New Roman" w:hAnsi="Times New Roman" w:cs="Times New Roman" w:eastAsia="Times New Roman" w:hint="default"/>
          <w:spacing w:val="-2"/>
        </w:rPr>
        <w:t>2017</w:t>
      </w:r>
      <w:r>
        <w:rPr>
          <w:spacing w:val="-2"/>
        </w:rPr>
        <w:t>年</w:t>
      </w:r>
      <w:r>
        <w:rPr>
          <w:spacing w:val="-41"/>
        </w:rPr>
        <w:t> </w:t>
      </w:r>
      <w:r>
        <w:rPr>
          <w:spacing w:val="-2"/>
        </w:rPr>
        <w:t>半年度利润分配及资本公积金转增股本预案的议案》，以资本公积金向全体股东每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股，不送红</w:t>
      </w:r>
      <w:r>
        <w:rPr>
          <w:spacing w:val="-40"/>
        </w:rPr>
        <w:t> </w:t>
      </w:r>
      <w:r>
        <w:rPr>
          <w:spacing w:val="-40"/>
        </w:rPr>
      </w:r>
      <w:r>
        <w:rPr/>
        <w:t>股、不进行现金分红。转股后贵公司总股本为</w:t>
      </w:r>
      <w:r>
        <w:rPr>
          <w:rFonts w:ascii="Times New Roman" w:hAnsi="Times New Roman" w:cs="Times New Roman" w:eastAsia="Times New Roman" w:hint="default"/>
        </w:rPr>
        <w:t>16,000</w:t>
      </w:r>
      <w:r>
        <w:rPr/>
        <w:t>万股。</w:t>
      </w:r>
      <w:r>
        <w:rPr>
          <w:w w:val="100"/>
        </w:rPr>
        <w:t> </w:t>
      </w:r>
      <w:r>
        <w:rPr/>
        <w:t>转增前股本资金到位情况业经立信会计师事务所（特殊普通合伙）验证，并由其出具信会师报字</w:t>
      </w:r>
      <w:r>
        <w:rPr>
          <w:rFonts w:ascii="Times New Roman" w:hAnsi="Times New Roman" w:cs="Times New Roman" w:eastAsia="Times New Roman" w:hint="default"/>
        </w:rPr>
        <w:t>[2015]</w:t>
      </w:r>
      <w:r>
        <w:rPr/>
        <w:t>第</w:t>
      </w:r>
    </w:p>
    <w:p>
      <w:pPr>
        <w:spacing w:after="0" w:line="25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left="152" w:right="0"/>
        <w:jc w:val="left"/>
      </w:pPr>
      <w:r>
        <w:rPr>
          <w:rFonts w:ascii="Times New Roman" w:hAnsi="Times New Roman" w:cs="Times New Roman" w:eastAsia="Times New Roman" w:hint="default"/>
        </w:rPr>
        <w:t>115808</w:t>
      </w:r>
      <w:r>
        <w:rPr/>
        <w:t>号验资报告。</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4"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365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193,049,027.70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113,049,027.70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9,003,444.87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9,003,444.87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202,052,472.57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122,052,472.57</w:t>
            </w:r>
          </w:p>
        </w:tc>
      </w:tr>
    </w:tbl>
    <w:p>
      <w:pPr>
        <w:pStyle w:val="BodyText"/>
        <w:spacing w:line="240" w:lineRule="auto" w:before="49"/>
        <w:ind w:right="0"/>
        <w:jc w:val="left"/>
      </w:pPr>
      <w:r>
        <w:rPr/>
        <w:t>其他说明，包括本期增减变动情况、变动原因说明：</w:t>
      </w:r>
    </w:p>
    <w:p>
      <w:pPr>
        <w:pStyle w:val="Heading4"/>
        <w:spacing w:line="240" w:lineRule="auto" w:before="94"/>
        <w:ind w:left="152" w:right="0"/>
        <w:jc w:val="left"/>
        <w:rPr>
          <w:rFonts w:ascii="Times New Roman" w:hAnsi="Times New Roman" w:cs="Times New Roman" w:eastAsia="Times New Roman" w:hint="default"/>
        </w:rPr>
      </w:pPr>
      <w:r>
        <w:rPr/>
        <w:t>变动原因详见本报告附注</w:t>
      </w:r>
      <w:r>
        <w:rPr>
          <w:rFonts w:ascii="Times New Roman" w:hAnsi="Times New Roman" w:cs="Times New Roman" w:eastAsia="Times New Roman" w:hint="default"/>
        </w:rPr>
        <w:t>“</w:t>
      </w:r>
      <w:r>
        <w:rPr/>
        <w:t>五、（五十三）、股本</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8"/>
        <w:gridCol w:w="936"/>
        <w:gridCol w:w="1152"/>
        <w:gridCol w:w="934"/>
        <w:gridCol w:w="937"/>
        <w:gridCol w:w="936"/>
        <w:gridCol w:w="799"/>
      </w:tblGrid>
      <w:tr>
        <w:trPr>
          <w:trHeight w:val="403" w:hRule="exact"/>
        </w:trPr>
        <w:tc>
          <w:tcPr>
            <w:tcW w:w="2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5" w:hRule="exact"/>
        </w:trPr>
        <w:tc>
          <w:tcPr>
            <w:tcW w:w="281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其他说明，包括对现金流量套期损益的有效部分转为被套期项目初始确认金额调整：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37,614,672.04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7,738,404.13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45,353,076.17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37,614,672.04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7,738,404.13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45,353,076.17</w:t>
            </w:r>
          </w:p>
        </w:tc>
      </w:tr>
    </w:tbl>
    <w:p>
      <w:pPr>
        <w:pStyle w:val="BodyText"/>
        <w:spacing w:line="240" w:lineRule="auto" w:before="49"/>
        <w:ind w:right="0"/>
        <w:jc w:val="left"/>
      </w:pPr>
      <w:r>
        <w:rPr/>
        <w:t>盈余公积说明，包括本期增减变动情况、变动原因说明：</w:t>
      </w:r>
    </w:p>
    <w:p>
      <w:pPr>
        <w:pStyle w:val="Heading4"/>
        <w:spacing w:line="240" w:lineRule="auto" w:before="96"/>
        <w:ind w:left="152" w:right="0"/>
        <w:jc w:val="left"/>
      </w:pPr>
      <w:r>
        <w:rPr/>
        <w:t>本期增加原因：根据税后利润提取法定盈余公积。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137,558,343.64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107,665,112.76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137,558,343.64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107,665,112.76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90,795,508.19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77,266,341.24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7,738,404.13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7,373,110.36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180,615,447.70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137,558,343.64</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4"/>
        <w:gridCol w:w="1916"/>
        <w:gridCol w:w="1913"/>
        <w:gridCol w:w="1904"/>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3"/>
              <w:jc w:val="center"/>
              <w:rPr>
                <w:rFonts w:ascii="宋体" w:hAnsi="宋体" w:cs="宋体" w:eastAsia="宋体" w:hint="default"/>
                <w:sz w:val="18"/>
                <w:szCs w:val="18"/>
              </w:rPr>
            </w:pPr>
            <w:r>
              <w:rPr>
                <w:rFonts w:ascii="宋体" w:hAnsi="宋体" w:cs="宋体" w:eastAsia="宋体" w:hint="default"/>
                <w:sz w:val="18"/>
                <w:szCs w:val="18"/>
              </w:rPr>
              <w:t>项目</w:t>
            </w:r>
          </w:p>
        </w:tc>
        <w:tc>
          <w:tcPr>
            <w:tcW w:w="3819" w:type="dxa"/>
            <w:gridSpan w:val="2"/>
            <w:vMerge/>
            <w:tcBorders>
              <w:left w:val="single" w:sz="4" w:space="0" w:color="000000"/>
              <w:bottom w:val="single" w:sz="4" w:space="0" w:color="000000"/>
              <w:right w:val="single" w:sz="4" w:space="0" w:color="000000"/>
            </w:tcBorders>
            <w:shd w:val="clear" w:color="auto" w:fill="D2D2D2"/>
          </w:tcPr>
          <w:p>
            <w:pPr/>
          </w:p>
        </w:tc>
        <w:tc>
          <w:tcPr>
            <w:tcW w:w="381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9"/>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689,214,736.02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391,400,467.63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527,096,770.99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295,590,598.44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1,233,240.80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334,132.83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336,375.19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80,204.33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690,447,976.82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391,734,600.46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527,433,146.18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295,670,802.77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2,172,206.05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1,753,509.26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1,718,498.91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1,253,215.29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714,892.34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292,223.31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17,692.63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5,950.22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491,980.60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237,824.85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4,605.87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18,062.03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其他（副调、防洪、残障金）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1,111,159.07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851,486.15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6,258,630.55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4,440,066.98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19,798,817.84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17,069,910.79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14,431,213.20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11,029,032.27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12,620,721.28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12,703,501.87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5,725,506.18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4,381,593.33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4,538,181.28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3,030,973.63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3,465,581.07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3,696,978.16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1,794,352.39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2,022,608.81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1,224,466.51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1,375,656.88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1,182,344.51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1,058,683.70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64,781,184.26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56,368,939.44</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43,033,335.17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38,372,917.06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29,929,857.76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22,749,073.43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4,935,364.37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4,089,819.62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3,554,063.24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3,459,931.07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3,395,711.86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3,565,924.05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2,014,496.66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1,950,197.16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829,774.30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1,109,936.09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13,129,710.88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8,955,261.33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100,822,314.24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84,253,059.81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4,812,832.05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4,439,567.89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900,737.73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426,260.70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-3,002,094.32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-3,763,307.19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14,746,785.96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4,410,067.25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14,746,785.96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4,410,067.25</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-896,207.69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-1,716,367.19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-79,990.40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-976,198.09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-1,716,367.19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60,193.85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12,736.70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1,072,795.37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山西省科学技术厅省科技创新计划项目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成都市知识产权服务中心一种多通道无 线图像接收机等（</w:t>
            </w:r>
            <w:r>
              <w:rPr>
                <w:rFonts w:ascii="Times New Roman" w:hAnsi="Times New Roman" w:cs="Times New Roman" w:eastAsia="Times New Roman" w:hint="default"/>
                <w:sz w:val="18"/>
                <w:szCs w:val="18"/>
              </w:rPr>
              <w:t>2</w:t>
            </w:r>
            <w:r>
              <w:rPr>
                <w:rFonts w:ascii="宋体" w:hAnsi="宋体" w:cs="宋体" w:eastAsia="宋体" w:hint="default"/>
                <w:sz w:val="18"/>
                <w:szCs w:val="18"/>
              </w:rPr>
              <w:t>）项专利资助款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基于云端融合的政务信息集成服务平台 研发及产业化项目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995,800.33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绵阳市涪城区商务旅游局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年省级内 贸流通服务业发展促进资金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数字园区综合管理信息平台项目专项资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科技型中小企业创新基金初创期企业创 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重庆市人力资源和社会保障局财政稳岗 补贴费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高新技术企业资助项目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年火炬计划统计企业补贴专项资金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年高新区产业扶持及奖励资金（第 八批）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11,920.00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年第三批知识产权专项资金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年高新区产业扶持及奖励资金（第 十六批）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8,160.00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成都高新技术产业开发区经贸发展局国 家专项建设基金融资补贴资金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成都高新技术产业开发区科技局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批知识产权资助金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成都市社会保险事业管理局稳岗补贴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236,721.14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成都市文化广电新闻出版局计算机软件 著作权登记资助费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绵阳涪城区商务旅游局扶持资金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4,500.00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绵阳市涪城区科学技术和知识产权局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年城区专利资助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绵阳市军民融合企业资金补助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绵阳市就业服务管理局稳岗补贴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8,635.00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中国（绵阳）科技城金家林总部经济试 验区财政局创新创业团队资助资金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成都市高新区科技与新经济发展局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高新区科技与新经济发展局知识产权补 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火炬计划统计企业补贴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10,189,945.64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238,435.03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pacing w:val="-1"/>
                <w:sz w:val="18"/>
              </w:rPr>
              <w:t>248,219.62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238,435.03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238,435.03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2"/>
              <w:jc w:val="right"/>
              <w:rPr>
                <w:rFonts w:ascii="Times New Roman" w:hAnsi="Times New Roman" w:cs="Times New Roman" w:eastAsia="Times New Roman" w:hint="default"/>
                <w:sz w:val="18"/>
                <w:szCs w:val="18"/>
              </w:rPr>
            </w:pPr>
            <w:r>
              <w:rPr>
                <w:rFonts w:ascii="Times New Roman"/>
                <w:spacing w:val="-1"/>
                <w:sz w:val="18"/>
              </w:rPr>
              <w:t>10,438,165.26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238,435.03</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pict>
          <v:group style="position:absolute;margin-left:269.690002pt;margin-top:59.221722pt;width:52.75pt;height:31.2pt;mso-position-horizontal-relative:page;mso-position-vertical-relative:paragraph;z-index:-917440" coordorigin="5394,1184" coordsize="1055,624">
            <v:shape style="position:absolute;left:5394;top:1184;width:1055;height:624" coordorigin="5394,1184" coordsize="1055,624" path="m5394,1808l6448,1808,6448,1184,5394,1184,5394,1808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基于云端融 合的政务信 息集成服务 平台研发及 产业化项目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四川省经济 和信息化委 员会办公室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3,220,666.70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79" w:top="1060" w:bottom="1160" w:left="980" w:right="980"/>
        </w:sectPr>
      </w:pPr>
    </w:p>
    <w:p>
      <w:pPr>
        <w:pStyle w:val="BodyText"/>
        <w:spacing w:line="314" w:lineRule="auto" w:before="44"/>
        <w:ind w:left="181" w:right="-19"/>
        <w:jc w:val="left"/>
      </w:pPr>
      <w:r>
        <w:rPr/>
        <w:t>成都高新技 术产业开发 区经贸发展 局</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 成都市级金 融业发展专 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5"/>
          <w:szCs w:val="15"/>
        </w:rPr>
      </w:pPr>
    </w:p>
    <w:p>
      <w:pPr>
        <w:pStyle w:val="BodyText"/>
        <w:spacing w:line="310" w:lineRule="atLeast"/>
        <w:ind w:left="31" w:right="504"/>
        <w:jc w:val="left"/>
      </w:pPr>
      <w:r>
        <w:rPr/>
        <w:t>成都高新技 术产业开发</w:t>
      </w:r>
    </w:p>
    <w:p>
      <w:pPr>
        <w:pStyle w:val="BodyText"/>
        <w:spacing w:line="116" w:lineRule="exact"/>
        <w:ind w:left="0" w:right="0"/>
        <w:jc w:val="right"/>
      </w:pPr>
      <w:r>
        <w:rPr/>
        <w:t>奖励</w:t>
      </w:r>
    </w:p>
    <w:p>
      <w:pPr>
        <w:pStyle w:val="BodyText"/>
        <w:spacing w:line="196" w:lineRule="exact"/>
        <w:ind w:left="31" w:right="0"/>
        <w:jc w:val="left"/>
      </w:pPr>
      <w:r>
        <w:rPr/>
        <w:t>区经贸发展</w:t>
      </w:r>
    </w:p>
    <w:p>
      <w:pPr>
        <w:pStyle w:val="BodyText"/>
        <w:spacing w:line="240" w:lineRule="auto" w:before="76"/>
        <w:ind w:left="31" w:right="504"/>
        <w:jc w:val="left"/>
      </w:pPr>
      <w:r>
        <w:rPr/>
        <w:t>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181" w:right="0"/>
        <w:jc w:val="both"/>
      </w:pPr>
      <w:r>
        <w:rPr/>
        <w:t>奖励上市而 给予的政府 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186" w:val="left" w:leader="none"/>
          <w:tab w:pos="3373" w:val="left" w:leader="none"/>
        </w:tabs>
        <w:spacing w:line="240" w:lineRule="auto"/>
        <w:ind w:left="123" w:right="0"/>
        <w:jc w:val="left"/>
      </w:pPr>
      <w:r>
        <w:rPr/>
        <w:t>否</w:t>
        <w:tab/>
        <w:t>否</w:t>
        <w:tab/>
      </w:r>
      <w:r>
        <w:rPr>
          <w:rFonts w:ascii="Times New Roman" w:hAnsi="Times New Roman" w:cs="Times New Roman" w:eastAsia="Times New Roman" w:hint="default"/>
        </w:rPr>
        <w:t>1,890,000.00</w:t>
      </w:r>
      <w:r>
        <w:rPr>
          <w:rFonts w:ascii="Times New Roman" w:hAnsi="Times New Roman" w:cs="Times New Roman" w:eastAsia="Times New Roman" w:hint="default"/>
          <w:spacing w:val="8"/>
        </w:rPr>
        <w:t> </w:t>
      </w:r>
      <w:r>
        <w:rPr/>
        <w:t>与收益相关</w:t>
      </w:r>
    </w:p>
    <w:p>
      <w:pPr>
        <w:spacing w:after="0" w:line="240" w:lineRule="auto"/>
        <w:jc w:val="left"/>
        <w:sectPr>
          <w:type w:val="continuous"/>
          <w:pgSz w:w="11910" w:h="16840"/>
          <w:pgMar w:top="1060" w:bottom="1160" w:left="980" w:right="980"/>
          <w:cols w:num="4" w:equalWidth="0">
            <w:col w:w="1176" w:space="40"/>
            <w:col w:w="1456" w:space="522"/>
            <w:col w:w="1082" w:space="40"/>
            <w:col w:w="5634"/>
          </w:cols>
        </w:sectPr>
      </w:pPr>
    </w:p>
    <w:p>
      <w:pPr>
        <w:pStyle w:val="BodyText"/>
        <w:spacing w:line="316" w:lineRule="auto" w:before="112"/>
        <w:ind w:left="181" w:right="0"/>
        <w:jc w:val="both"/>
      </w:pPr>
      <w:r>
        <w:rPr/>
        <w:t>成都高新技 术产业开发 区经贸发展 局省级鼓励 直接融资财 政奖补资金</w:t>
      </w:r>
    </w:p>
    <w:p>
      <w:pPr>
        <w:spacing w:line="240" w:lineRule="auto" w:before="9"/>
        <w:rPr>
          <w:rFonts w:ascii="宋体" w:hAnsi="宋体" w:cs="宋体" w:eastAsia="宋体" w:hint="default"/>
          <w:sz w:val="26"/>
          <w:szCs w:val="26"/>
        </w:rPr>
      </w:pPr>
      <w:r>
        <w:rPr/>
        <w:br w:type="column"/>
      </w:r>
      <w:r>
        <w:rPr>
          <w:rFonts w:ascii="宋体"/>
          <w:sz w:val="26"/>
        </w:rPr>
      </w:r>
    </w:p>
    <w:p>
      <w:pPr>
        <w:pStyle w:val="BodyText"/>
        <w:spacing w:line="310" w:lineRule="atLeast"/>
        <w:ind w:left="125" w:right="504"/>
        <w:jc w:val="left"/>
      </w:pPr>
      <w:r>
        <w:rPr/>
        <w:t>成都高新技 术产业开发</w:t>
      </w:r>
    </w:p>
    <w:p>
      <w:pPr>
        <w:pStyle w:val="BodyText"/>
        <w:spacing w:line="118" w:lineRule="exact"/>
        <w:ind w:left="0" w:right="0"/>
        <w:jc w:val="right"/>
      </w:pPr>
      <w:r>
        <w:rPr/>
        <w:t>奖励</w:t>
      </w:r>
    </w:p>
    <w:p>
      <w:pPr>
        <w:pStyle w:val="BodyText"/>
        <w:spacing w:line="195" w:lineRule="exact"/>
        <w:ind w:left="125" w:right="-19"/>
        <w:jc w:val="left"/>
      </w:pPr>
      <w:r>
        <w:rPr/>
        <w:t>区经贸发展</w:t>
      </w:r>
    </w:p>
    <w:p>
      <w:pPr>
        <w:pStyle w:val="BodyText"/>
        <w:spacing w:line="240" w:lineRule="auto" w:before="76"/>
        <w:ind w:left="125" w:right="504"/>
        <w:jc w:val="left"/>
      </w:pPr>
      <w:r>
        <w:rPr/>
        <w:t>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6"/>
          <w:szCs w:val="26"/>
        </w:rPr>
      </w:pPr>
    </w:p>
    <w:p>
      <w:pPr>
        <w:pStyle w:val="BodyText"/>
        <w:spacing w:line="316" w:lineRule="auto"/>
        <w:ind w:left="181" w:right="0"/>
        <w:jc w:val="both"/>
      </w:pPr>
      <w:r>
        <w:rPr/>
        <w:t>奖励上市而 给予的政府 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tabs>
          <w:tab w:pos="1186" w:val="left" w:leader="none"/>
          <w:tab w:pos="3507" w:val="left" w:leader="none"/>
        </w:tabs>
        <w:spacing w:line="240" w:lineRule="auto"/>
        <w:ind w:left="123" w:right="0"/>
        <w:jc w:val="left"/>
      </w:pPr>
      <w:r>
        <w:rPr/>
        <w:t>否</w:t>
        <w:tab/>
        <w:t>否</w:t>
        <w:tab/>
      </w:r>
      <w:r>
        <w:rPr>
          <w:rFonts w:ascii="Times New Roman" w:hAnsi="Times New Roman" w:cs="Times New Roman" w:eastAsia="Times New Roman" w:hint="default"/>
        </w:rPr>
        <w:t>800,000.00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082" w:space="40"/>
            <w:col w:w="5634"/>
          </w:cols>
        </w:sectPr>
      </w:pPr>
    </w:p>
    <w:p>
      <w:pPr>
        <w:pStyle w:val="BodyText"/>
        <w:spacing w:line="316" w:lineRule="auto" w:before="110"/>
        <w:ind w:left="181" w:right="0"/>
        <w:jc w:val="both"/>
      </w:pPr>
      <w:r>
        <w:rPr/>
        <w:t>绵阳市涪城 区工业和信 息化局专项 补助</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绵阳市涪城 区工业和信</w:t>
      </w:r>
      <w:r>
        <w:rPr>
          <w:spacing w:val="73"/>
        </w:rPr>
        <w:t> </w:t>
      </w:r>
      <w:r>
        <w:rPr/>
        <w:t>补助</w:t>
      </w:r>
      <w:r>
        <w:rPr/>
        <w:t> 息化局</w:t>
      </w:r>
    </w:p>
    <w:p>
      <w:pPr>
        <w:pStyle w:val="BodyText"/>
        <w:spacing w:line="310" w:lineRule="atLeast" w:before="35"/>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650,000.00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4"/>
        <w:rPr>
          <w:rFonts w:ascii="宋体" w:hAnsi="宋体" w:cs="宋体" w:eastAsia="宋体" w:hint="default"/>
          <w:sz w:val="20"/>
          <w:szCs w:val="20"/>
        </w:rPr>
      </w:pPr>
    </w:p>
    <w:p>
      <w:pPr>
        <w:pStyle w:val="BodyText"/>
        <w:spacing w:line="309" w:lineRule="auto"/>
        <w:ind w:left="181"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年大渡 口区创新能 力培育计划 项目</w:t>
      </w:r>
      <w:r>
        <w:rPr>
          <w:rFonts w:ascii="Times New Roman" w:hAnsi="Times New Roman" w:cs="Times New Roman" w:eastAsia="Times New Roman" w:hint="default"/>
        </w:rPr>
        <w:t>--</w:t>
      </w:r>
      <w:r>
        <w:rPr/>
        <w:t>创建 高新技术企 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316" w:lineRule="auto"/>
        <w:ind w:left="77" w:right="-20"/>
        <w:jc w:val="left"/>
      </w:pPr>
      <w:r>
        <w:rPr/>
        <w:t>大渡口区科 学技术委员</w:t>
      </w:r>
      <w:r>
        <w:rPr>
          <w:spacing w:val="73"/>
        </w:rPr>
        <w:t> </w:t>
      </w:r>
      <w:r>
        <w:rPr/>
        <w:t>补助</w:t>
      </w:r>
      <w:r>
        <w:rPr/>
        <w:t> 会</w:t>
      </w:r>
    </w:p>
    <w:p>
      <w:pPr>
        <w:pStyle w:val="BodyText"/>
        <w:spacing w:line="316" w:lineRule="auto" w:before="110"/>
        <w:ind w:left="181"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tabs>
          <w:tab w:pos="1078" w:val="left" w:leader="none"/>
          <w:tab w:pos="3399" w:val="left" w:leader="none"/>
        </w:tabs>
        <w:spacing w:line="240" w:lineRule="auto"/>
        <w:ind w:left="15" w:right="0"/>
        <w:jc w:val="left"/>
      </w:pPr>
      <w:r>
        <w:rPr/>
        <w:t>否</w:t>
        <w:tab/>
        <w:t>否</w:t>
        <w:tab/>
      </w:r>
      <w:r>
        <w:rPr>
          <w:rFonts w:ascii="Times New Roman" w:hAnsi="Times New Roman" w:cs="Times New Roman" w:eastAsia="Times New Roman" w:hint="default"/>
        </w:rPr>
        <w:t>600,000.00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131" w:space="40"/>
            <w:col w:w="1501" w:space="522"/>
            <w:col w:w="1190" w:space="40"/>
            <w:col w:w="5526"/>
          </w:cols>
        </w:sectPr>
      </w:pPr>
    </w:p>
    <w:p>
      <w:pPr>
        <w:pStyle w:val="BodyText"/>
        <w:spacing w:line="309" w:lineRule="auto" w:before="110"/>
        <w:ind w:left="181" w:right="0"/>
        <w:jc w:val="both"/>
      </w:pPr>
      <w:r>
        <w:rPr/>
        <w:t>创新基金项 目</w:t>
      </w:r>
      <w:r>
        <w:rPr>
          <w:rFonts w:ascii="Times New Roman" w:hAnsi="Times New Roman" w:cs="Times New Roman" w:eastAsia="Times New Roman" w:hint="default"/>
        </w:rPr>
        <w:t>--</w:t>
      </w:r>
      <w:r>
        <w:rPr/>
        <w:t>久远方 联</w:t>
      </w:r>
      <w:r>
        <w:rPr>
          <w:spacing w:val="-44"/>
        </w:rPr>
        <w:t> </w:t>
      </w:r>
      <w:r>
        <w:rPr>
          <w:rFonts w:ascii="Times New Roman" w:hAnsi="Times New Roman" w:cs="Times New Roman" w:eastAsia="Times New Roman" w:hint="default"/>
          <w:spacing w:val="-6"/>
        </w:rPr>
        <w:t>Web</w:t>
      </w:r>
      <w:r>
        <w:rPr>
          <w:rFonts w:ascii="Times New Roman" w:hAnsi="Times New Roman" w:cs="Times New Roman" w:eastAsia="Times New Roman" w:hint="default"/>
          <w:spacing w:val="1"/>
        </w:rPr>
        <w:t> </w:t>
      </w:r>
      <w:r>
        <w:rPr/>
        <w:t>医院 信息管理系 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4"/>
          <w:szCs w:val="14"/>
        </w:rPr>
      </w:pPr>
    </w:p>
    <w:p>
      <w:pPr>
        <w:pStyle w:val="BodyText"/>
        <w:spacing w:line="316" w:lineRule="auto"/>
        <w:ind w:left="70" w:right="-20"/>
        <w:jc w:val="left"/>
      </w:pPr>
      <w:r>
        <w:rPr/>
        <w:t>大渡口区科 学技术委员</w:t>
      </w:r>
      <w:r>
        <w:rPr>
          <w:spacing w:val="73"/>
        </w:rPr>
        <w:t> </w:t>
      </w:r>
      <w:r>
        <w:rPr/>
        <w:t>补助</w:t>
      </w:r>
      <w:r>
        <w:rPr/>
        <w:t> 会</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81" w:right="5472"/>
        <w:jc w:val="left"/>
      </w:pP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400,000.00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8" w:space="40"/>
            <w:col w:w="1494" w:space="522"/>
            <w:col w:w="6756"/>
          </w:cols>
        </w:sectPr>
      </w:pPr>
    </w:p>
    <w:p>
      <w:pPr>
        <w:spacing w:line="240" w:lineRule="auto" w:before="10"/>
        <w:rPr>
          <w:rFonts w:ascii="宋体" w:hAnsi="宋体" w:cs="宋体" w:eastAsia="宋体" w:hint="default"/>
          <w:sz w:val="20"/>
          <w:szCs w:val="20"/>
        </w:rPr>
      </w:pPr>
    </w:p>
    <w:p>
      <w:pPr>
        <w:pStyle w:val="BodyText"/>
        <w:spacing w:line="316" w:lineRule="auto"/>
        <w:ind w:left="181" w:right="0"/>
        <w:jc w:val="both"/>
      </w:pPr>
      <w:r>
        <w:rPr/>
        <w:t>人社网在线 信息管理平 台专项补助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4"/>
          <w:szCs w:val="14"/>
        </w:rPr>
      </w:pPr>
    </w:p>
    <w:p>
      <w:pPr>
        <w:pStyle w:val="BodyText"/>
        <w:spacing w:line="196" w:lineRule="exact"/>
        <w:ind w:left="125" w:right="-19"/>
        <w:jc w:val="left"/>
      </w:pPr>
      <w:r>
        <w:rPr/>
        <w:t>四川省科学</w:t>
      </w:r>
    </w:p>
    <w:p>
      <w:pPr>
        <w:pStyle w:val="BodyText"/>
        <w:spacing w:line="155" w:lineRule="exact"/>
        <w:ind w:left="0" w:right="0"/>
        <w:jc w:val="right"/>
      </w:pPr>
      <w:r>
        <w:rPr/>
        <w:t>补助</w:t>
      </w:r>
    </w:p>
    <w:p>
      <w:pPr>
        <w:pStyle w:val="BodyText"/>
        <w:spacing w:line="195" w:lineRule="exact"/>
        <w:ind w:left="125" w:right="504"/>
        <w:jc w:val="left"/>
      </w:pPr>
      <w:r>
        <w:rPr/>
        <w:t>技术厅</w:t>
      </w:r>
    </w:p>
    <w:p>
      <w:pPr>
        <w:pStyle w:val="BodyText"/>
        <w:spacing w:line="310" w:lineRule="atLeast" w:before="41"/>
        <w:ind w:left="181" w:right="5472"/>
        <w:jc w:val="left"/>
      </w:pPr>
      <w:r>
        <w:rPr/>
        <w:br w:type="column"/>
      </w:r>
      <w:r>
        <w:rPr/>
        <w:t>因研究开发、 技术更新及</w:t>
      </w:r>
    </w:p>
    <w:p>
      <w:pPr>
        <w:pStyle w:val="BodyText"/>
        <w:tabs>
          <w:tab w:pos="2308" w:val="left" w:leader="none"/>
          <w:tab w:pos="4629" w:val="left" w:leader="none"/>
        </w:tabs>
        <w:spacing w:line="124" w:lineRule="exact"/>
        <w:ind w:left="1244" w:right="0"/>
        <w:jc w:val="left"/>
      </w:pPr>
      <w:r>
        <w:rPr/>
        <w:t>否</w:t>
        <w:tab/>
        <w:t>否</w:t>
        <w:tab/>
      </w:r>
      <w:r>
        <w:rPr>
          <w:rFonts w:ascii="Times New Roman" w:hAnsi="Times New Roman" w:cs="Times New Roman" w:eastAsia="Times New Roman" w:hint="default"/>
        </w:rPr>
        <w:t>400,000.00</w:t>
      </w:r>
      <w:r>
        <w:rPr>
          <w:rFonts w:ascii="Times New Roman" w:hAnsi="Times New Roman" w:cs="Times New Roman" w:eastAsia="Times New Roman" w:hint="default"/>
          <w:spacing w:val="9"/>
        </w:rPr>
        <w:t> </w:t>
      </w:r>
      <w:r>
        <w:rPr/>
        <w:t>与收益相关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181" w:right="-20"/>
        <w:jc w:val="left"/>
      </w:pPr>
      <w:r>
        <w:rPr/>
        <w:t>增值税即征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5"/>
          <w:szCs w:val="15"/>
        </w:rPr>
      </w:pPr>
    </w:p>
    <w:p>
      <w:pPr>
        <w:pStyle w:val="BodyText"/>
        <w:spacing w:line="310" w:lineRule="atLeast"/>
        <w:ind w:left="125" w:right="324"/>
        <w:jc w:val="left"/>
      </w:pPr>
      <w:r>
        <w:rPr/>
        <w:t>重庆市大渡 口区国税局、</w:t>
      </w:r>
    </w:p>
    <w:p>
      <w:pPr>
        <w:pStyle w:val="BodyText"/>
        <w:spacing w:line="132" w:lineRule="exact"/>
        <w:ind w:left="0" w:right="0"/>
        <w:jc w:val="right"/>
      </w:pPr>
      <w:r>
        <w:rPr/>
        <w:t>补助</w:t>
      </w:r>
    </w:p>
    <w:p>
      <w:pPr>
        <w:pStyle w:val="BodyText"/>
        <w:spacing w:line="312" w:lineRule="exact" w:before="5"/>
        <w:ind w:left="181" w:right="-20"/>
        <w:jc w:val="left"/>
      </w:pPr>
      <w:r>
        <w:rPr/>
        <w:br w:type="column"/>
      </w:r>
      <w:r>
        <w:rPr/>
        <w:t>因从事国家 鼓励和扶持 </w:t>
      </w:r>
      <w:r>
        <w:rPr>
          <w:spacing w:val="-12"/>
        </w:rPr>
        <w:t>特定行业、产</w:t>
      </w:r>
      <w:r>
        <w:rPr/>
        <w:t> 业而获得的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1078" w:val="left" w:leader="none"/>
          <w:tab w:pos="3399" w:val="left" w:leader="none"/>
        </w:tabs>
        <w:spacing w:line="212" w:lineRule="exact"/>
        <w:ind w:left="15" w:right="0"/>
        <w:jc w:val="left"/>
      </w:pPr>
      <w:r>
        <w:rPr/>
        <w:t>否</w:t>
        <w:tab/>
        <w:t>否</w:t>
        <w:tab/>
      </w:r>
      <w:r>
        <w:rPr>
          <w:rFonts w:ascii="Times New Roman" w:hAnsi="Times New Roman" w:cs="Times New Roman" w:eastAsia="Times New Roman" w:hint="default"/>
        </w:rPr>
        <w:t>331,590.42</w:t>
      </w:r>
      <w:r>
        <w:rPr>
          <w:rFonts w:ascii="Times New Roman" w:hAnsi="Times New Roman" w:cs="Times New Roman" w:eastAsia="Times New Roman" w:hint="default"/>
          <w:spacing w:val="9"/>
        </w:rPr>
        <w:t> </w:t>
      </w:r>
      <w:r>
        <w:rPr/>
        <w:t>与收益相关</w:t>
      </w:r>
    </w:p>
    <w:p>
      <w:pPr>
        <w:spacing w:after="0" w:line="212" w:lineRule="exact"/>
        <w:jc w:val="left"/>
        <w:sectPr>
          <w:type w:val="continuous"/>
          <w:pgSz w:w="11910" w:h="16840"/>
          <w:pgMar w:top="1060" w:bottom="1160" w:left="980" w:right="980"/>
          <w:cols w:num="4" w:equalWidth="0">
            <w:col w:w="1082" w:space="40"/>
            <w:col w:w="1550" w:space="522"/>
            <w:col w:w="1190" w:space="40"/>
            <w:col w:w="5526"/>
          </w:cols>
        </w:sectPr>
      </w:pPr>
    </w:p>
    <w:p>
      <w:pPr>
        <w:pStyle w:val="BodyText"/>
        <w:tabs>
          <w:tab w:pos="1247" w:val="left" w:leader="none"/>
        </w:tabs>
        <w:spacing w:line="119" w:lineRule="exact"/>
        <w:ind w:left="181" w:right="-20"/>
        <w:jc w:val="left"/>
      </w:pPr>
      <w:r>
        <w:rPr/>
        <w:t>即退</w:t>
        <w:tab/>
        <w:t>北京市海淀</w:t>
      </w:r>
    </w:p>
    <w:p>
      <w:pPr>
        <w:pStyle w:val="BodyText"/>
        <w:spacing w:line="240" w:lineRule="auto" w:before="76"/>
        <w:ind w:left="1247" w:right="-20"/>
        <w:jc w:val="left"/>
      </w:pPr>
      <w:r>
        <w:rPr/>
        <w:t>区国税局</w:t>
      </w:r>
    </w:p>
    <w:p>
      <w:pPr>
        <w:pStyle w:val="BodyText"/>
        <w:spacing w:line="316" w:lineRule="auto" w:before="39"/>
        <w:ind w:left="181" w:right="5544"/>
        <w:jc w:val="left"/>
      </w:pPr>
      <w:r>
        <w:rPr>
          <w:spacing w:val="-12"/>
        </w:rPr>
        <w:br w:type="column"/>
      </w:r>
      <w:r>
        <w:rPr>
          <w:spacing w:val="-12"/>
        </w:rPr>
        <w:t>补助（按国家</w:t>
      </w:r>
      <w:r>
        <w:rPr/>
        <w:t> 级政策规定 依法取得）</w:t>
      </w:r>
    </w:p>
    <w:p>
      <w:pPr>
        <w:spacing w:after="0" w:line="316" w:lineRule="auto"/>
        <w:jc w:val="left"/>
        <w:sectPr>
          <w:type w:val="continuous"/>
          <w:pgSz w:w="11910" w:h="16840"/>
          <w:pgMar w:top="1060" w:bottom="1160" w:left="980" w:right="980"/>
          <w:cols w:num="2" w:equalWidth="0">
            <w:col w:w="2148" w:space="1045"/>
            <w:col w:w="6757"/>
          </w:cols>
        </w:sectPr>
      </w:pPr>
    </w:p>
    <w:p>
      <w:pPr>
        <w:pStyle w:val="BodyText"/>
        <w:spacing w:line="314" w:lineRule="auto" w:before="110"/>
        <w:ind w:left="181" w:right="-20"/>
        <w:jc w:val="left"/>
      </w:pPr>
      <w:r>
        <w:rPr/>
        <w:pict>
          <v:group style="position:absolute;margin-left:56.400002pt;margin-top:71.759979pt;width:479.05pt;height:690.25pt;mso-position-horizontal-relative:page;mso-position-vertical-relative:page;z-index:-917416" coordorigin="1128,1435" coordsize="9581,13805">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1138;top:3718;width:1057;height:2" coordorigin="1138,3718" coordsize="1057,2">
              <v:shape style="position:absolute;left:1138;top:3718;width:1057;height:2" coordorigin="1138,3718" coordsize="1057,0" path="m1138,3718l2194,3718e" filled="false" stroked="true" strokeweight=".48pt" strokecolor="#000000">
                <v:path arrowok="t"/>
              </v:shape>
            </v:group>
            <v:group style="position:absolute;left:2204;top:3718;width:1054;height:2" coordorigin="2204,3718" coordsize="1054,2">
              <v:shape style="position:absolute;left:2204;top:3718;width:1054;height:2" coordorigin="2204,3718" coordsize="1054,0" path="m2204,3718l3257,3718e" filled="false" stroked="true" strokeweight=".48pt" strokecolor="#000000">
                <v:path arrowok="t"/>
              </v:shape>
            </v:group>
            <v:group style="position:absolute;left:3267;top:3718;width:1055;height:2" coordorigin="3267,3718" coordsize="1055,2">
              <v:shape style="position:absolute;left:3267;top:3718;width:1055;height:2" coordorigin="3267,3718" coordsize="1055,0" path="m3267,3718l4321,3718e" filled="false" stroked="true" strokeweight=".48pt" strokecolor="#000000">
                <v:path arrowok="t"/>
              </v:shape>
            </v:group>
            <v:group style="position:absolute;left:4331;top:3718;width:1054;height:2" coordorigin="4331,3718" coordsize="1054,2">
              <v:shape style="position:absolute;left:4331;top:3718;width:1054;height:2" coordorigin="4331,3718" coordsize="1054,0" path="m4331,3718l5384,3718e" filled="false" stroked="true" strokeweight=".48pt" strokecolor="#000000">
                <v:path arrowok="t"/>
              </v:shape>
            </v:group>
            <v:group style="position:absolute;left:5394;top:3718;width:1052;height:2" coordorigin="5394,3718" coordsize="1052,2">
              <v:shape style="position:absolute;left:5394;top:3718;width:1052;height:2" coordorigin="5394,3718" coordsize="1052,0" path="m5394,3718l6445,3718e" filled="false" stroked="true" strokeweight=".48pt" strokecolor="#000000">
                <v:path arrowok="t"/>
              </v:shape>
            </v:group>
            <v:group style="position:absolute;left:6455;top:3718;width:1054;height:2" coordorigin="6455,3718" coordsize="1054,2">
              <v:shape style="position:absolute;left:6455;top:3718;width:1054;height:2" coordorigin="6455,3718" coordsize="1054,0" path="m6455,3718l7509,3718e" filled="false" stroked="true" strokeweight=".48pt" strokecolor="#000000">
                <v:path arrowok="t"/>
              </v:shape>
            </v:group>
            <v:group style="position:absolute;left:7518;top:3718;width:1054;height:2" coordorigin="7518,3718" coordsize="1054,2">
              <v:shape style="position:absolute;left:7518;top:3718;width:1054;height:2" coordorigin="7518,3718" coordsize="1054,0" path="m7518,3718l8572,3718e" filled="false" stroked="true" strokeweight=".48pt" strokecolor="#000000">
                <v:path arrowok="t"/>
              </v:shape>
            </v:group>
            <v:group style="position:absolute;left:8581;top:3718;width:1055;height:2" coordorigin="8581,3718" coordsize="1055,2">
              <v:shape style="position:absolute;left:8581;top:3718;width:1055;height:2" coordorigin="8581,3718" coordsize="1055,0" path="m8581,3718l9635,3718e" filled="false" stroked="true" strokeweight=".48pt" strokecolor="#000000">
                <v:path arrowok="t"/>
              </v:shape>
            </v:group>
            <v:group style="position:absolute;left:9645;top:3718;width:1054;height:2" coordorigin="9645,3718" coordsize="1054,2">
              <v:shape style="position:absolute;left:9645;top:3718;width:1054;height:2" coordorigin="9645,3718" coordsize="1054,0" path="m9645,3718l10699,3718e" filled="false" stroked="true" strokeweight=".48pt" strokecolor="#000000">
                <v:path arrowok="t"/>
              </v:shape>
            </v:group>
            <v:group style="position:absolute;left:5394;top:5687;width:1055;height:468" coordorigin="5394,5687" coordsize="1055,468">
              <v:shape style="position:absolute;left:5394;top:5687;width:1055;height:468" coordorigin="5394,5687" coordsize="1055,468" path="m5394,6155l6448,6155,6448,5687,5394,5687,5394,6155xe" filled="true" fillcolor="#ffffff" stroked="false">
                <v:path arrowok="t"/>
                <v:fill type="solid"/>
              </v:shape>
            </v:group>
            <v:group style="position:absolute;left:1138;top:5682;width:1057;height:2" coordorigin="1138,5682" coordsize="1057,2">
              <v:shape style="position:absolute;left:1138;top:5682;width:1057;height:2" coordorigin="1138,5682" coordsize="1057,0" path="m1138,5682l2194,5682e" filled="false" stroked="true" strokeweight=".48001pt" strokecolor="#000000">
                <v:path arrowok="t"/>
              </v:shape>
            </v:group>
            <v:group style="position:absolute;left:2204;top:5682;width:1054;height:2" coordorigin="2204,5682" coordsize="1054,2">
              <v:shape style="position:absolute;left:2204;top:5682;width:1054;height:2" coordorigin="2204,5682" coordsize="1054,0" path="m2204,5682l3257,5682e" filled="false" stroked="true" strokeweight=".48001pt" strokecolor="#000000">
                <v:path arrowok="t"/>
              </v:shape>
            </v:group>
            <v:group style="position:absolute;left:3267;top:5682;width:1055;height:2" coordorigin="3267,5682" coordsize="1055,2">
              <v:shape style="position:absolute;left:3267;top:5682;width:1055;height:2" coordorigin="3267,5682" coordsize="1055,0" path="m3267,5682l4321,5682e" filled="false" stroked="true" strokeweight=".48001pt" strokecolor="#000000">
                <v:path arrowok="t"/>
              </v:shape>
            </v:group>
            <v:group style="position:absolute;left:4331;top:5682;width:1054;height:2" coordorigin="4331,5682" coordsize="1054,2">
              <v:shape style="position:absolute;left:4331;top:5682;width:1054;height:2" coordorigin="4331,5682" coordsize="1054,0" path="m4331,5682l5384,5682e" filled="false" stroked="true" strokeweight=".48001pt" strokecolor="#000000">
                <v:path arrowok="t"/>
              </v:shape>
            </v:group>
            <v:group style="position:absolute;left:5394;top:5682;width:1052;height:2" coordorigin="5394,5682" coordsize="1052,2">
              <v:shape style="position:absolute;left:5394;top:5682;width:1052;height:2" coordorigin="5394,5682" coordsize="1052,0" path="m5394,5682l6445,5682e" filled="false" stroked="true" strokeweight=".48001pt" strokecolor="#000000">
                <v:path arrowok="t"/>
              </v:shape>
            </v:group>
            <v:group style="position:absolute;left:6455;top:5682;width:1054;height:2" coordorigin="6455,5682" coordsize="1054,2">
              <v:shape style="position:absolute;left:6455;top:5682;width:1054;height:2" coordorigin="6455,5682" coordsize="1054,0" path="m6455,5682l7509,5682e" filled="false" stroked="true" strokeweight=".48001pt" strokecolor="#000000">
                <v:path arrowok="t"/>
              </v:shape>
            </v:group>
            <v:group style="position:absolute;left:7518;top:5682;width:1054;height:2" coordorigin="7518,5682" coordsize="1054,2">
              <v:shape style="position:absolute;left:7518;top:5682;width:1054;height:2" coordorigin="7518,5682" coordsize="1054,0" path="m7518,5682l8572,5682e" filled="false" stroked="true" strokeweight=".48001pt" strokecolor="#000000">
                <v:path arrowok="t"/>
              </v:shape>
            </v:group>
            <v:group style="position:absolute;left:8581;top:5682;width:1055;height:2" coordorigin="8581,5682" coordsize="1055,2">
              <v:shape style="position:absolute;left:8581;top:5682;width:1055;height:2" coordorigin="8581,5682" coordsize="1055,0" path="m8581,5682l9635,5682e" filled="false" stroked="true" strokeweight=".48001pt" strokecolor="#000000">
                <v:path arrowok="t"/>
              </v:shape>
            </v:group>
            <v:group style="position:absolute;left:9645;top:5682;width:1054;height:2" coordorigin="9645,5682" coordsize="1054,2">
              <v:shape style="position:absolute;left:9645;top:5682;width:1054;height:2" coordorigin="9645,5682" coordsize="1054,0" path="m9645,5682l10699,5682e" filled="false" stroked="true" strokeweight=".48001pt" strokecolor="#000000">
                <v:path arrowok="t"/>
              </v:shape>
            </v:group>
            <v:group style="position:absolute;left:1138;top:7019;width:1057;height:2" coordorigin="1138,7019" coordsize="1057,2">
              <v:shape style="position:absolute;left:1138;top:7019;width:1057;height:2" coordorigin="1138,7019" coordsize="1057,0" path="m1138,7019l2194,7019e" filled="false" stroked="true" strokeweight=".48001pt" strokecolor="#000000">
                <v:path arrowok="t"/>
              </v:shape>
            </v:group>
            <v:group style="position:absolute;left:2204;top:7019;width:1054;height:2" coordorigin="2204,7019" coordsize="1054,2">
              <v:shape style="position:absolute;left:2204;top:7019;width:1054;height:2" coordorigin="2204,7019" coordsize="1054,0" path="m2204,7019l3257,7019e" filled="false" stroked="true" strokeweight=".48001pt" strokecolor="#000000">
                <v:path arrowok="t"/>
              </v:shape>
            </v:group>
            <v:group style="position:absolute;left:3267;top:7019;width:1055;height:2" coordorigin="3267,7019" coordsize="1055,2">
              <v:shape style="position:absolute;left:3267;top:7019;width:1055;height:2" coordorigin="3267,7019" coordsize="1055,0" path="m3267,7019l4321,7019e" filled="false" stroked="true" strokeweight=".48001pt" strokecolor="#000000">
                <v:path arrowok="t"/>
              </v:shape>
            </v:group>
            <v:group style="position:absolute;left:4331;top:7019;width:1054;height:2" coordorigin="4331,7019" coordsize="1054,2">
              <v:shape style="position:absolute;left:4331;top:7019;width:1054;height:2" coordorigin="4331,7019" coordsize="1054,0" path="m4331,7019l5384,7019e" filled="false" stroked="true" strokeweight=".48001pt" strokecolor="#000000">
                <v:path arrowok="t"/>
              </v:shape>
            </v:group>
            <v:group style="position:absolute;left:5394;top:7019;width:1052;height:2" coordorigin="5394,7019" coordsize="1052,2">
              <v:shape style="position:absolute;left:5394;top:7019;width:1052;height:2" coordorigin="5394,7019" coordsize="1052,0" path="m5394,7019l6445,7019e" filled="false" stroked="true" strokeweight=".48001pt" strokecolor="#000000">
                <v:path arrowok="t"/>
              </v:shape>
            </v:group>
            <v:group style="position:absolute;left:6455;top:7019;width:1054;height:2" coordorigin="6455,7019" coordsize="1054,2">
              <v:shape style="position:absolute;left:6455;top:7019;width:1054;height:2" coordorigin="6455,7019" coordsize="1054,0" path="m6455,7019l7509,7019e" filled="false" stroked="true" strokeweight=".48001pt" strokecolor="#000000">
                <v:path arrowok="t"/>
              </v:shape>
            </v:group>
            <v:group style="position:absolute;left:7518;top:7019;width:1054;height:2" coordorigin="7518,7019" coordsize="1054,2">
              <v:shape style="position:absolute;left:7518;top:7019;width:1054;height:2" coordorigin="7518,7019" coordsize="1054,0" path="m7518,7019l8572,7019e" filled="false" stroked="true" strokeweight=".48001pt" strokecolor="#000000">
                <v:path arrowok="t"/>
              </v:shape>
            </v:group>
            <v:group style="position:absolute;left:8581;top:7019;width:1055;height:2" coordorigin="8581,7019" coordsize="1055,2">
              <v:shape style="position:absolute;left:8581;top:7019;width:1055;height:2" coordorigin="8581,7019" coordsize="1055,0" path="m8581,7019l9635,7019e" filled="false" stroked="true" strokeweight=".48001pt" strokecolor="#000000">
                <v:path arrowok="t"/>
              </v:shape>
            </v:group>
            <v:group style="position:absolute;left:9645;top:7019;width:1054;height:2" coordorigin="9645,7019" coordsize="1054,2">
              <v:shape style="position:absolute;left:9645;top:7019;width:1054;height:2" coordorigin="9645,7019" coordsize="1054,0" path="m9645,7019l10699,7019e" filled="false" stroked="true" strokeweight=".48001pt" strokecolor="#000000">
                <v:path arrowok="t"/>
              </v:shape>
            </v:group>
            <v:group style="position:absolute;left:5394;top:9299;width:1055;height:624" coordorigin="5394,9299" coordsize="1055,624">
              <v:shape style="position:absolute;left:5394;top:9299;width:1055;height:624" coordorigin="5394,9299" coordsize="1055,624" path="m5394,9923l6448,9923,6448,9299,5394,9299,5394,9923xe" filled="true" fillcolor="#ffffff" stroked="false">
                <v:path arrowok="t"/>
                <v:fill type="solid"/>
              </v:shape>
            </v:group>
            <v:group style="position:absolute;left:1138;top:9294;width:1057;height:2" coordorigin="1138,9294" coordsize="1057,2">
              <v:shape style="position:absolute;left:1138;top:9294;width:1057;height:2" coordorigin="1138,9294" coordsize="1057,0" path="m1138,9294l2194,9294e" filled="false" stroked="true" strokeweight=".47998pt" strokecolor="#000000">
                <v:path arrowok="t"/>
              </v:shape>
            </v:group>
            <v:group style="position:absolute;left:2204;top:9294;width:1054;height:2" coordorigin="2204,9294" coordsize="1054,2">
              <v:shape style="position:absolute;left:2204;top:9294;width:1054;height:2" coordorigin="2204,9294" coordsize="1054,0" path="m2204,9294l3257,9294e" filled="false" stroked="true" strokeweight=".47998pt" strokecolor="#000000">
                <v:path arrowok="t"/>
              </v:shape>
            </v:group>
            <v:group style="position:absolute;left:3267;top:9294;width:1055;height:2" coordorigin="3267,9294" coordsize="1055,2">
              <v:shape style="position:absolute;left:3267;top:9294;width:1055;height:2" coordorigin="3267,9294" coordsize="1055,0" path="m3267,9294l4321,9294e" filled="false" stroked="true" strokeweight=".47998pt" strokecolor="#000000">
                <v:path arrowok="t"/>
              </v:shape>
            </v:group>
            <v:group style="position:absolute;left:4331;top:9294;width:1054;height:2" coordorigin="4331,9294" coordsize="1054,2">
              <v:shape style="position:absolute;left:4331;top:9294;width:1054;height:2" coordorigin="4331,9294" coordsize="1054,0" path="m4331,9294l5384,9294e" filled="false" stroked="true" strokeweight=".47998pt" strokecolor="#000000">
                <v:path arrowok="t"/>
              </v:shape>
            </v:group>
            <v:group style="position:absolute;left:5394;top:9294;width:1052;height:2" coordorigin="5394,9294" coordsize="1052,2">
              <v:shape style="position:absolute;left:5394;top:9294;width:1052;height:2" coordorigin="5394,9294" coordsize="1052,0" path="m5394,9294l6445,9294e" filled="false" stroked="true" strokeweight=".47998pt" strokecolor="#000000">
                <v:path arrowok="t"/>
              </v:shape>
            </v:group>
            <v:group style="position:absolute;left:6455;top:9294;width:1054;height:2" coordorigin="6455,9294" coordsize="1054,2">
              <v:shape style="position:absolute;left:6455;top:9294;width:1054;height:2" coordorigin="6455,9294" coordsize="1054,0" path="m6455,9294l7509,9294e" filled="false" stroked="true" strokeweight=".47998pt" strokecolor="#000000">
                <v:path arrowok="t"/>
              </v:shape>
            </v:group>
            <v:group style="position:absolute;left:7518;top:9294;width:1054;height:2" coordorigin="7518,9294" coordsize="1054,2">
              <v:shape style="position:absolute;left:7518;top:9294;width:1054;height:2" coordorigin="7518,9294" coordsize="1054,0" path="m7518,9294l8572,9294e" filled="false" stroked="true" strokeweight=".47998pt" strokecolor="#000000">
                <v:path arrowok="t"/>
              </v:shape>
            </v:group>
            <v:group style="position:absolute;left:8581;top:9294;width:1055;height:2" coordorigin="8581,9294" coordsize="1055,2">
              <v:shape style="position:absolute;left:8581;top:9294;width:1055;height:2" coordorigin="8581,9294" coordsize="1055,0" path="m8581,9294l9635,9294e" filled="false" stroked="true" strokeweight=".47998pt" strokecolor="#000000">
                <v:path arrowok="t"/>
              </v:shape>
            </v:group>
            <v:group style="position:absolute;left:9645;top:9294;width:1054;height:2" coordorigin="9645,9294" coordsize="1054,2">
              <v:shape style="position:absolute;left:9645;top:9294;width:1054;height:2" coordorigin="9645,9294" coordsize="1054,0" path="m9645,9294l10699,9294e" filled="false" stroked="true" strokeweight=".47998pt" strokecolor="#000000">
                <v:path arrowok="t"/>
              </v:shape>
            </v:group>
            <v:group style="position:absolute;left:5394;top:10950;width:1055;height:468" coordorigin="5394,10950" coordsize="1055,468">
              <v:shape style="position:absolute;left:5394;top:10950;width:1055;height:468" coordorigin="5394,10950" coordsize="1055,468" path="m5394,11418l6448,11418,6448,10950,5394,10950,5394,11418xe" filled="true" fillcolor="#ffffff" stroked="false">
                <v:path arrowok="t"/>
                <v:fill type="solid"/>
              </v:shape>
            </v:group>
            <v:group style="position:absolute;left:1138;top:10943;width:1057;height:2" coordorigin="1138,10943" coordsize="1057,2">
              <v:shape style="position:absolute;left:1138;top:10943;width:1057;height:2" coordorigin="1138,10943" coordsize="1057,0" path="m1138,10943l2194,10943e" filled="false" stroked="true" strokeweight=".48004pt" strokecolor="#000000">
                <v:path arrowok="t"/>
              </v:shape>
            </v:group>
            <v:group style="position:absolute;left:2204;top:10943;width:1054;height:2" coordorigin="2204,10943" coordsize="1054,2">
              <v:shape style="position:absolute;left:2204;top:10943;width:1054;height:2" coordorigin="2204,10943" coordsize="1054,0" path="m2204,10943l3257,10943e" filled="false" stroked="true" strokeweight=".48004pt" strokecolor="#000000">
                <v:path arrowok="t"/>
              </v:shape>
            </v:group>
            <v:group style="position:absolute;left:3267;top:10943;width:1055;height:2" coordorigin="3267,10943" coordsize="1055,2">
              <v:shape style="position:absolute;left:3267;top:10943;width:1055;height:2" coordorigin="3267,10943" coordsize="1055,0" path="m3267,10943l4321,10943e" filled="false" stroked="true" strokeweight=".48004pt" strokecolor="#000000">
                <v:path arrowok="t"/>
              </v:shape>
            </v:group>
            <v:group style="position:absolute;left:4331;top:10943;width:1054;height:2" coordorigin="4331,10943" coordsize="1054,2">
              <v:shape style="position:absolute;left:4331;top:10943;width:1054;height:2" coordorigin="4331,10943" coordsize="1054,0" path="m4331,10943l5384,10943e" filled="false" stroked="true" strokeweight=".48004pt" strokecolor="#000000">
                <v:path arrowok="t"/>
              </v:shape>
            </v:group>
            <v:group style="position:absolute;left:5394;top:10943;width:1052;height:2" coordorigin="5394,10943" coordsize="1052,2">
              <v:shape style="position:absolute;left:5394;top:10943;width:1052;height:2" coordorigin="5394,10943" coordsize="1052,0" path="m5394,10943l6445,10943e" filled="false" stroked="true" strokeweight=".48004pt" strokecolor="#000000">
                <v:path arrowok="t"/>
              </v:shape>
            </v:group>
            <v:group style="position:absolute;left:6455;top:10943;width:1054;height:2" coordorigin="6455,10943" coordsize="1054,2">
              <v:shape style="position:absolute;left:6455;top:10943;width:1054;height:2" coordorigin="6455,10943" coordsize="1054,0" path="m6455,10943l7509,10943e" filled="false" stroked="true" strokeweight=".48004pt" strokecolor="#000000">
                <v:path arrowok="t"/>
              </v:shape>
            </v:group>
            <v:group style="position:absolute;left:7518;top:10943;width:1054;height:2" coordorigin="7518,10943" coordsize="1054,2">
              <v:shape style="position:absolute;left:7518;top:10943;width:1054;height:2" coordorigin="7518,10943" coordsize="1054,0" path="m7518,10943l8572,10943e" filled="false" stroked="true" strokeweight=".48004pt" strokecolor="#000000">
                <v:path arrowok="t"/>
              </v:shape>
            </v:group>
            <v:group style="position:absolute;left:8581;top:10943;width:1055;height:2" coordorigin="8581,10943" coordsize="1055,2">
              <v:shape style="position:absolute;left:8581;top:10943;width:1055;height:2" coordorigin="8581,10943" coordsize="1055,0" path="m8581,10943l9635,10943e" filled="false" stroked="true" strokeweight=".48004pt" strokecolor="#000000">
                <v:path arrowok="t"/>
              </v:shape>
            </v:group>
            <v:group style="position:absolute;left:9645;top:10943;width:1054;height:2" coordorigin="9645,10943" coordsize="1054,2">
              <v:shape style="position:absolute;left:9645;top:10943;width:1054;height:2" coordorigin="9645,10943" coordsize="1054,0" path="m9645,10943l10699,10943e" filled="false" stroked="true" strokeweight=".48004pt" strokecolor="#000000">
                <v:path arrowok="t"/>
              </v:shape>
            </v:group>
            <v:group style="position:absolute;left:3267;top:12288;width:1055;height:936" coordorigin="3267,12288" coordsize="1055,936">
              <v:shape style="position:absolute;left:3267;top:12288;width:1055;height:936" coordorigin="3267,12288" coordsize="1055,936" path="m3267,13224l4321,13224,4321,12288,3267,12288,3267,13224xe" filled="true" fillcolor="#ffffff" stroked="false">
                <v:path arrowok="t"/>
                <v:fill type="solid"/>
              </v:shape>
            </v:group>
            <v:group style="position:absolute;left:3279;top:13224;width:2;height:392" coordorigin="3279,13224" coordsize="2,392">
              <v:shape style="position:absolute;left:3279;top:13224;width:2;height:392" coordorigin="3279,13224" coordsize="0,392" path="m3279,13224l3279,13615e" filled="false" stroked="true" strokeweight="1.2pt" strokecolor="#ffffff">
                <v:path arrowok="t"/>
              </v:shape>
            </v:group>
            <v:group style="position:absolute;left:1138;top:12283;width:1057;height:2" coordorigin="1138,12283" coordsize="1057,2">
              <v:shape style="position:absolute;left:1138;top:12283;width:1057;height:2" coordorigin="1138,12283" coordsize="1057,0" path="m1138,12283l2194,12283e" filled="false" stroked="true" strokeweight=".47998pt" strokecolor="#000000">
                <v:path arrowok="t"/>
              </v:shape>
            </v:group>
            <v:group style="position:absolute;left:2204;top:12283;width:1054;height:2" coordorigin="2204,12283" coordsize="1054,2">
              <v:shape style="position:absolute;left:2204;top:12283;width:1054;height:2" coordorigin="2204,12283" coordsize="1054,0" path="m2204,12283l3257,12283e" filled="false" stroked="true" strokeweight=".47998pt" strokecolor="#000000">
                <v:path arrowok="t"/>
              </v:shape>
            </v:group>
            <v:group style="position:absolute;left:3267;top:12283;width:1055;height:2" coordorigin="3267,12283" coordsize="1055,2">
              <v:shape style="position:absolute;left:3267;top:12283;width:1055;height:2" coordorigin="3267,12283" coordsize="1055,0" path="m3267,12283l4321,12283e" filled="false" stroked="true" strokeweight=".47998pt" strokecolor="#000000">
                <v:path arrowok="t"/>
              </v:shape>
            </v:group>
            <v:group style="position:absolute;left:4331;top:12283;width:1054;height:2" coordorigin="4331,12283" coordsize="1054,2">
              <v:shape style="position:absolute;left:4331;top:12283;width:1054;height:2" coordorigin="4331,12283" coordsize="1054,0" path="m4331,12283l5384,12283e" filled="false" stroked="true" strokeweight=".47998pt" strokecolor="#000000">
                <v:path arrowok="t"/>
              </v:shape>
            </v:group>
            <v:group style="position:absolute;left:5394;top:12283;width:1052;height:2" coordorigin="5394,12283" coordsize="1052,2">
              <v:shape style="position:absolute;left:5394;top:12283;width:1052;height:2" coordorigin="5394,12283" coordsize="1052,0" path="m5394,12283l6445,12283e" filled="false" stroked="true" strokeweight=".47998pt" strokecolor="#000000">
                <v:path arrowok="t"/>
              </v:shape>
            </v:group>
            <v:group style="position:absolute;left:6455;top:12283;width:1054;height:2" coordorigin="6455,12283" coordsize="1054,2">
              <v:shape style="position:absolute;left:6455;top:12283;width:1054;height:2" coordorigin="6455,12283" coordsize="1054,0" path="m6455,12283l7509,12283e" filled="false" stroked="true" strokeweight=".47998pt" strokecolor="#000000">
                <v:path arrowok="t"/>
              </v:shape>
            </v:group>
            <v:group style="position:absolute;left:7518;top:12283;width:1054;height:2" coordorigin="7518,12283" coordsize="1054,2">
              <v:shape style="position:absolute;left:7518;top:12283;width:1054;height:2" coordorigin="7518,12283" coordsize="1054,0" path="m7518,12283l8572,12283e" filled="false" stroked="true" strokeweight=".47998pt" strokecolor="#000000">
                <v:path arrowok="t"/>
              </v:shape>
            </v:group>
            <v:group style="position:absolute;left:8581;top:12283;width:1055;height:2" coordorigin="8581,12283" coordsize="1055,2">
              <v:shape style="position:absolute;left:8581;top:12283;width:1055;height:2" coordorigin="8581,12283" coordsize="1055,0" path="m8581,12283l9635,12283e" filled="false" stroked="true" strokeweight=".47998pt" strokecolor="#000000">
                <v:path arrowok="t"/>
              </v:shape>
            </v:group>
            <v:group style="position:absolute;left:9645;top:12283;width:1054;height:2" coordorigin="9645,12283" coordsize="1054,2">
              <v:shape style="position:absolute;left:9645;top:12283;width:1054;height:2" coordorigin="9645,12283" coordsize="1054,0" path="m9645,12283l10699,12283e" filled="false" stroked="true" strokeweight=".47998pt" strokecolor="#000000">
                <v:path arrowok="t"/>
              </v:shape>
            </v:group>
            <v:group style="position:absolute;left:1138;top:14556;width:1057;height:2" coordorigin="1138,14556" coordsize="1057,2">
              <v:shape style="position:absolute;left:1138;top:14556;width:1057;height:2" coordorigin="1138,14556" coordsize="1057,0" path="m1138,14556l2194,14556e" filled="false" stroked="true" strokeweight=".47998pt" strokecolor="#000000">
                <v:path arrowok="t"/>
              </v:shape>
            </v:group>
            <v:group style="position:absolute;left:2204;top:14556;width:1054;height:2" coordorigin="2204,14556" coordsize="1054,2">
              <v:shape style="position:absolute;left:2204;top:14556;width:1054;height:2" coordorigin="2204,14556" coordsize="1054,0" path="m2204,14556l3257,14556e" filled="false" stroked="true" strokeweight=".47998pt" strokecolor="#000000">
                <v:path arrowok="t"/>
              </v:shape>
            </v:group>
            <v:group style="position:absolute;left:3267;top:14556;width:1055;height:2" coordorigin="3267,14556" coordsize="1055,2">
              <v:shape style="position:absolute;left:3267;top:14556;width:1055;height:2" coordorigin="3267,14556" coordsize="1055,0" path="m3267,14556l4321,14556e" filled="false" stroked="true" strokeweight=".47998pt" strokecolor="#000000">
                <v:path arrowok="t"/>
              </v:shape>
            </v:group>
            <v:group style="position:absolute;left:4331;top:14556;width:1054;height:2" coordorigin="4331,14556" coordsize="1054,2">
              <v:shape style="position:absolute;left:4331;top:14556;width:1054;height:2" coordorigin="4331,14556" coordsize="1054,0" path="m4331,14556l5384,14556e" filled="false" stroked="true" strokeweight=".47998pt" strokecolor="#000000">
                <v:path arrowok="t"/>
              </v:shape>
            </v:group>
            <v:group style="position:absolute;left:5394;top:14556;width:1052;height:2" coordorigin="5394,14556" coordsize="1052,2">
              <v:shape style="position:absolute;left:5394;top:14556;width:1052;height:2" coordorigin="5394,14556" coordsize="1052,0" path="m5394,14556l6445,14556e" filled="false" stroked="true" strokeweight=".47998pt" strokecolor="#000000">
                <v:path arrowok="t"/>
              </v:shape>
            </v:group>
            <v:group style="position:absolute;left:6455;top:14556;width:1054;height:2" coordorigin="6455,14556" coordsize="1054,2">
              <v:shape style="position:absolute;left:6455;top:14556;width:1054;height:2" coordorigin="6455,14556" coordsize="1054,0" path="m6455,14556l7509,14556e" filled="false" stroked="true" strokeweight=".47998pt" strokecolor="#000000">
                <v:path arrowok="t"/>
              </v:shape>
            </v:group>
            <v:group style="position:absolute;left:7518;top:14556;width:1054;height:2" coordorigin="7518,14556" coordsize="1054,2">
              <v:shape style="position:absolute;left:7518;top:14556;width:1054;height:2" coordorigin="7518,14556" coordsize="1054,0" path="m7518,14556l8572,14556e" filled="false" stroked="true" strokeweight=".47998pt" strokecolor="#000000">
                <v:path arrowok="t"/>
              </v:shape>
            </v:group>
            <v:group style="position:absolute;left:8581;top:14556;width:1055;height:2" coordorigin="8581,14556" coordsize="1055,2">
              <v:shape style="position:absolute;left:8581;top:14556;width:1055;height:2" coordorigin="8581,14556" coordsize="1055,0" path="m8581,14556l9635,14556e" filled="false" stroked="true" strokeweight=".47998pt" strokecolor="#000000">
                <v:path arrowok="t"/>
              </v:shape>
            </v:group>
            <v:group style="position:absolute;left:9645;top:14556;width:1054;height:2" coordorigin="9645,14556" coordsize="1054,2">
              <v:shape style="position:absolute;left:9645;top:14556;width:1054;height:2" coordorigin="9645,14556" coordsize="1054,0" path="m9645,14556l10699,14556e" filled="false" stroked="true" strokeweight=".47998pt" strokecolor="#000000">
                <v:path arrowok="t"/>
              </v:shape>
            </v:group>
            <v:group style="position:absolute;left:1133;top:1440;width:2;height:13796" coordorigin="1133,1440" coordsize="2,13796">
              <v:shape style="position:absolute;left:1133;top:1440;width:2;height:13796" coordorigin="1133,1440" coordsize="0,13796" path="m1133,1440l1133,15235e" filled="false" stroked="true" strokeweight=".48pt" strokecolor="#000000">
                <v:path arrowok="t"/>
              </v:shape>
            </v:group>
            <v:group style="position:absolute;left:1138;top:15230;width:1057;height:2" coordorigin="1138,15230" coordsize="1057,2">
              <v:shape style="position:absolute;left:1138;top:15230;width:1057;height:2" coordorigin="1138,15230" coordsize="1057,0" path="m1138,15230l2194,15230e" filled="false" stroked="true" strokeweight=".47998pt" strokecolor="#000000">
                <v:path arrowok="t"/>
              </v:shape>
            </v:group>
            <v:group style="position:absolute;left:2199;top:1440;width:2;height:13796" coordorigin="2199,1440" coordsize="2,13796">
              <v:shape style="position:absolute;left:2199;top:1440;width:2;height:13796" coordorigin="2199,1440" coordsize="0,13796" path="m2199,1440l2199,15235e" filled="false" stroked="true" strokeweight=".48pt" strokecolor="#000000">
                <v:path arrowok="t"/>
              </v:shape>
            </v:group>
            <v:group style="position:absolute;left:2204;top:15230;width:1054;height:2" coordorigin="2204,15230" coordsize="1054,2">
              <v:shape style="position:absolute;left:2204;top:15230;width:1054;height:2" coordorigin="2204,15230" coordsize="1054,0" path="m2204,15230l3257,15230e" filled="false" stroked="true" strokeweight=".47998pt" strokecolor="#000000">
                <v:path arrowok="t"/>
              </v:shape>
            </v:group>
            <v:group style="position:absolute;left:3262;top:1440;width:2;height:13796" coordorigin="3262,1440" coordsize="2,13796">
              <v:shape style="position:absolute;left:3262;top:1440;width:2;height:13796" coordorigin="3262,1440" coordsize="0,13796" path="m3262,1440l3262,15235e" filled="false" stroked="true" strokeweight=".48pt" strokecolor="#000000">
                <v:path arrowok="t"/>
              </v:shape>
            </v:group>
            <v:group style="position:absolute;left:3267;top:15230;width:1055;height:2" coordorigin="3267,15230" coordsize="1055,2">
              <v:shape style="position:absolute;left:3267;top:15230;width:1055;height:2" coordorigin="3267,15230" coordsize="1055,0" path="m3267,15230l4321,15230e" filled="false" stroked="true" strokeweight=".47998pt" strokecolor="#000000">
                <v:path arrowok="t"/>
              </v:shape>
            </v:group>
            <v:group style="position:absolute;left:4326;top:1440;width:2;height:13796" coordorigin="4326,1440" coordsize="2,13796">
              <v:shape style="position:absolute;left:4326;top:1440;width:2;height:13796" coordorigin="4326,1440" coordsize="0,13796" path="m4326,1440l4326,15235e" filled="false" stroked="true" strokeweight=".48pt" strokecolor="#000000">
                <v:path arrowok="t"/>
              </v:shape>
            </v:group>
            <v:group style="position:absolute;left:4331;top:15230;width:1054;height:2" coordorigin="4331,15230" coordsize="1054,2">
              <v:shape style="position:absolute;left:4331;top:15230;width:1054;height:2" coordorigin="4331,15230" coordsize="1054,0" path="m4331,15230l5384,15230e" filled="false" stroked="true" strokeweight=".47998pt" strokecolor="#000000">
                <v:path arrowok="t"/>
              </v:shape>
            </v:group>
            <v:group style="position:absolute;left:5389;top:1440;width:2;height:13796" coordorigin="5389,1440" coordsize="2,13796">
              <v:shape style="position:absolute;left:5389;top:1440;width:2;height:13796" coordorigin="5389,1440" coordsize="0,13796" path="m5389,1440l5389,15235e" filled="false" stroked="true" strokeweight=".47998pt" strokecolor="#000000">
                <v:path arrowok="t"/>
              </v:shape>
            </v:group>
            <v:group style="position:absolute;left:5394;top:15230;width:1052;height:2" coordorigin="5394,15230" coordsize="1052,2">
              <v:shape style="position:absolute;left:5394;top:15230;width:1052;height:2" coordorigin="5394,15230" coordsize="1052,0" path="m5394,15230l6445,15230e" filled="false" stroked="true" strokeweight=".47998pt" strokecolor="#000000">
                <v:path arrowok="t"/>
              </v:shape>
            </v:group>
            <v:group style="position:absolute;left:6450;top:1440;width:2;height:13796" coordorigin="6450,1440" coordsize="2,13796">
              <v:shape style="position:absolute;left:6450;top:1440;width:2;height:13796" coordorigin="6450,1440" coordsize="0,13796" path="m6450,1440l6450,15235e" filled="false" stroked="true" strokeweight=".48001pt" strokecolor="#000000">
                <v:path arrowok="t"/>
              </v:shape>
            </v:group>
            <v:group style="position:absolute;left:6455;top:15230;width:1054;height:2" coordorigin="6455,15230" coordsize="1054,2">
              <v:shape style="position:absolute;left:6455;top:15230;width:1054;height:2" coordorigin="6455,15230" coordsize="1054,0" path="m6455,15230l7509,15230e" filled="false" stroked="true" strokeweight=".47998pt" strokecolor="#000000">
                <v:path arrowok="t"/>
              </v:shape>
            </v:group>
            <v:group style="position:absolute;left:7513;top:1440;width:2;height:13796" coordorigin="7513,1440" coordsize="2,13796">
              <v:shape style="position:absolute;left:7513;top:1440;width:2;height:13796" coordorigin="7513,1440" coordsize="0,13796" path="m7513,1440l7513,15235e" filled="false" stroked="true" strokeweight=".48001pt" strokecolor="#000000">
                <v:path arrowok="t"/>
              </v:shape>
            </v:group>
            <v:group style="position:absolute;left:7518;top:15230;width:1054;height:2" coordorigin="7518,15230" coordsize="1054,2">
              <v:shape style="position:absolute;left:7518;top:15230;width:1054;height:2" coordorigin="7518,15230" coordsize="1054,0" path="m7518,15230l8572,15230e" filled="false" stroked="true" strokeweight=".47998pt" strokecolor="#000000">
                <v:path arrowok="t"/>
              </v:shape>
            </v:group>
            <v:group style="position:absolute;left:8577;top:1440;width:2;height:13796" coordorigin="8577,1440" coordsize="2,13796">
              <v:shape style="position:absolute;left:8577;top:1440;width:2;height:13796" coordorigin="8577,1440" coordsize="0,13796" path="m8577,1440l8577,15235e" filled="false" stroked="true" strokeweight=".47998pt" strokecolor="#000000">
                <v:path arrowok="t"/>
              </v:shape>
            </v:group>
            <v:group style="position:absolute;left:8581;top:15230;width:1055;height:2" coordorigin="8581,15230" coordsize="1055,2">
              <v:shape style="position:absolute;left:8581;top:15230;width:1055;height:2" coordorigin="8581,15230" coordsize="1055,0" path="m8581,15230l9635,15230e" filled="false" stroked="true" strokeweight=".47998pt" strokecolor="#000000">
                <v:path arrowok="t"/>
              </v:shape>
            </v:group>
            <v:group style="position:absolute;left:9640;top:1440;width:2;height:13796" coordorigin="9640,1440" coordsize="2,13796">
              <v:shape style="position:absolute;left:9640;top:1440;width:2;height:13796" coordorigin="9640,1440" coordsize="0,13796" path="m9640,1440l9640,15235e" filled="false" stroked="true" strokeweight=".48001pt" strokecolor="#000000">
                <v:path arrowok="t"/>
              </v:shape>
            </v:group>
            <v:group style="position:absolute;left:9645;top:15230;width:1054;height:2" coordorigin="9645,15230" coordsize="1054,2">
              <v:shape style="position:absolute;left:9645;top:15230;width:1054;height:2" coordorigin="9645,15230" coordsize="1054,0" path="m9645,15230l10699,15230e" filled="false" stroked="true" strokeweight=".47998pt" strokecolor="#000000">
                <v:path arrowok="t"/>
              </v:shape>
            </v:group>
            <v:group style="position:absolute;left:10704;top:1440;width:2;height:13796" coordorigin="10704,1440" coordsize="2,13796">
              <v:shape style="position:absolute;left:10704;top:1440;width:2;height:13796" coordorigin="10704,1440" coordsize="0,13796" path="m10704,1440l10704,15235e" filled="false" stroked="true" strokeweight=".47998pt" strokecolor="#000000">
                <v:path arrowok="t"/>
              </v:shape>
            </v:group>
            <w10:wrap type="none"/>
          </v:group>
        </w:pict>
      </w:r>
      <w:r>
        <w:rPr/>
        <w:t>成都社保局 失业保险基</w:t>
      </w:r>
    </w:p>
    <w:p>
      <w:pPr>
        <w:pStyle w:val="BodyText"/>
        <w:spacing w:line="185" w:lineRule="exact" w:before="110"/>
        <w:ind w:left="125" w:right="-19"/>
        <w:jc w:val="left"/>
      </w:pPr>
      <w:r>
        <w:rPr/>
        <w:br w:type="column"/>
      </w:r>
      <w:r>
        <w:rPr/>
        <w:t>成都市人力</w:t>
      </w:r>
    </w:p>
    <w:p>
      <w:pPr>
        <w:pStyle w:val="BodyText"/>
        <w:spacing w:line="155" w:lineRule="exact"/>
        <w:ind w:left="0" w:right="0"/>
        <w:jc w:val="right"/>
      </w:pPr>
      <w:r>
        <w:rPr/>
        <w:t>补助</w:t>
      </w:r>
    </w:p>
    <w:p>
      <w:pPr>
        <w:pStyle w:val="BodyText"/>
        <w:spacing w:line="205" w:lineRule="exact"/>
        <w:ind w:left="125" w:right="-19"/>
        <w:jc w:val="left"/>
      </w:pPr>
      <w:r>
        <w:rPr/>
        <w:t>资源和社会</w:t>
      </w:r>
    </w:p>
    <w:p>
      <w:pPr>
        <w:pStyle w:val="BodyText"/>
        <w:spacing w:line="314" w:lineRule="auto" w:before="110"/>
        <w:ind w:left="181" w:right="-20"/>
        <w:jc w:val="left"/>
      </w:pPr>
      <w:r>
        <w:rPr/>
        <w:br w:type="column"/>
      </w:r>
      <w:r>
        <w:rPr/>
        <w:t>因从事国家 鼓励和扶持</w:t>
      </w:r>
    </w:p>
    <w:p>
      <w:pPr>
        <w:spacing w:line="240" w:lineRule="auto" w:before="9"/>
        <w:rPr>
          <w:rFonts w:ascii="宋体" w:hAnsi="宋体" w:cs="宋体" w:eastAsia="宋体" w:hint="default"/>
          <w:sz w:val="18"/>
          <w:szCs w:val="18"/>
        </w:rPr>
      </w:pPr>
      <w:r>
        <w:rPr/>
        <w:br w:type="column"/>
      </w:r>
      <w:r>
        <w:rPr>
          <w:rFonts w:ascii="宋体"/>
          <w:sz w:val="18"/>
        </w:rPr>
      </w:r>
    </w:p>
    <w:p>
      <w:pPr>
        <w:pStyle w:val="BodyText"/>
        <w:tabs>
          <w:tab w:pos="1186" w:val="left" w:leader="none"/>
          <w:tab w:pos="3507" w:val="left" w:leader="none"/>
        </w:tabs>
        <w:spacing w:line="240" w:lineRule="auto"/>
        <w:ind w:left="123" w:right="0"/>
        <w:jc w:val="left"/>
      </w:pPr>
      <w:r>
        <w:rPr/>
        <w:t>否</w:t>
        <w:tab/>
        <w:t>否</w:t>
        <w:tab/>
      </w:r>
      <w:r>
        <w:rPr>
          <w:rFonts w:ascii="Times New Roman" w:hAnsi="Times New Roman" w:cs="Times New Roman" w:eastAsia="Times New Roman" w:hint="default"/>
        </w:rPr>
        <w:t>292,798.89</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082" w:space="40"/>
            <w:col w:w="5634"/>
          </w:cols>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60" w:bottom="1160" w:left="980" w:right="980"/>
        </w:sectPr>
      </w:pPr>
    </w:p>
    <w:p>
      <w:pPr>
        <w:pStyle w:val="BodyText"/>
        <w:spacing w:line="316" w:lineRule="auto" w:before="44"/>
        <w:ind w:left="181" w:right="-20"/>
        <w:jc w:val="left"/>
      </w:pPr>
      <w:r>
        <w:rPr/>
        <w:t>金支持企业 稳岗补贴</w:t>
      </w:r>
    </w:p>
    <w:p>
      <w:pPr>
        <w:pStyle w:val="BodyText"/>
        <w:tabs>
          <w:tab w:pos="2252" w:val="left" w:leader="none"/>
        </w:tabs>
        <w:spacing w:line="240" w:lineRule="auto" w:before="44"/>
        <w:ind w:left="125" w:right="0"/>
        <w:jc w:val="left"/>
      </w:pPr>
      <w:r>
        <w:rPr/>
        <w:br w:type="column"/>
      </w:r>
      <w:r>
        <w:rPr/>
        <w:t>保障局</w:t>
        <w:tab/>
      </w:r>
      <w:r>
        <w:rPr>
          <w:spacing w:val="-12"/>
        </w:rPr>
        <w:t>特定行业、产</w:t>
      </w:r>
    </w:p>
    <w:p>
      <w:pPr>
        <w:pStyle w:val="BodyText"/>
        <w:spacing w:line="316" w:lineRule="auto" w:before="76"/>
        <w:ind w:left="2252" w:right="5544"/>
        <w:jc w:val="left"/>
      </w:pPr>
      <w:r>
        <w:rPr/>
        <w:t>业而获得的 </w:t>
      </w:r>
      <w:r>
        <w:rPr>
          <w:spacing w:val="-12"/>
        </w:rPr>
        <w:t>补助（按国家</w:t>
      </w:r>
      <w:r>
        <w:rPr/>
        <w:t> 级政策规定 依法取得）</w:t>
      </w:r>
    </w:p>
    <w:p>
      <w:pPr>
        <w:spacing w:after="0" w:line="316" w:lineRule="auto"/>
        <w:jc w:val="left"/>
        <w:sectPr>
          <w:type w:val="continuous"/>
          <w:pgSz w:w="11910" w:h="16840"/>
          <w:pgMar w:top="1060" w:bottom="1160" w:left="980" w:right="980"/>
          <w:cols w:num="2" w:equalWidth="0">
            <w:col w:w="1082" w:space="40"/>
            <w:col w:w="8828"/>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316" w:lineRule="auto"/>
        <w:ind w:left="181" w:right="0"/>
        <w:jc w:val="both"/>
      </w:pPr>
      <w:r>
        <w:rPr/>
        <w:t>成都市社会 保险事业管 理局稳岗补 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0"/>
          <w:szCs w:val="20"/>
        </w:rPr>
      </w:pPr>
    </w:p>
    <w:p>
      <w:pPr>
        <w:pStyle w:val="BodyText"/>
        <w:spacing w:line="316" w:lineRule="auto"/>
        <w:ind w:left="125" w:right="-19"/>
        <w:jc w:val="left"/>
      </w:pPr>
      <w:r>
        <w:rPr/>
        <w:t>成都市社会 保险事业管</w:t>
      </w:r>
      <w:r>
        <w:rPr>
          <w:spacing w:val="73"/>
        </w:rPr>
        <w:t> </w:t>
      </w:r>
      <w:r>
        <w:rPr/>
        <w:t>补助</w:t>
      </w:r>
      <w:r>
        <w:rPr/>
        <w:t> 理局</w:t>
      </w:r>
    </w:p>
    <w:p>
      <w:pPr>
        <w:pStyle w:val="BodyText"/>
        <w:spacing w:line="319" w:lineRule="auto" w:before="110"/>
        <w:ind w:left="181"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tabs>
          <w:tab w:pos="1078" w:val="left" w:leader="none"/>
          <w:tab w:pos="3399" w:val="left" w:leader="none"/>
        </w:tabs>
        <w:spacing w:line="240" w:lineRule="auto"/>
        <w:ind w:left="15" w:right="0"/>
        <w:jc w:val="left"/>
      </w:pPr>
      <w:r>
        <w:rPr/>
        <w:t>否</w:t>
        <w:tab/>
        <w:t>否</w:t>
        <w:tab/>
      </w:r>
      <w:r>
        <w:rPr>
          <w:rFonts w:ascii="Times New Roman" w:hAnsi="Times New Roman" w:cs="Times New Roman" w:eastAsia="Times New Roman" w:hint="default"/>
        </w:rPr>
        <w:t>270,389.67</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190" w:space="40"/>
            <w:col w:w="5526"/>
          </w:cols>
        </w:sectPr>
      </w:pPr>
    </w:p>
    <w:p>
      <w:pPr>
        <w:pStyle w:val="BodyText"/>
        <w:spacing w:line="316" w:lineRule="auto" w:before="106"/>
        <w:ind w:left="181" w:right="0"/>
        <w:jc w:val="both"/>
      </w:pPr>
      <w:r>
        <w:rPr/>
        <w:t>成都高新技 术产业开发 区经贸发展 局</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310" w:lineRule="atLeast"/>
        <w:ind w:left="31" w:right="-20"/>
        <w:jc w:val="left"/>
      </w:pPr>
      <w:r>
        <w:rPr/>
        <w:t>成都高新技 术产业开发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6"/>
          <w:szCs w:val="26"/>
        </w:rPr>
      </w:pPr>
    </w:p>
    <w:p>
      <w:pPr>
        <w:pStyle w:val="BodyText"/>
        <w:spacing w:line="310" w:lineRule="atLeast"/>
        <w:ind w:left="181" w:right="5472"/>
        <w:jc w:val="left"/>
      </w:pPr>
      <w:r>
        <w:rPr/>
        <w:t>因研究开发、 技术更新及</w:t>
      </w:r>
    </w:p>
    <w:p>
      <w:pPr>
        <w:spacing w:after="0" w:line="310" w:lineRule="atLeast"/>
        <w:jc w:val="left"/>
        <w:sectPr>
          <w:type w:val="continuous"/>
          <w:pgSz w:w="11910" w:h="16840"/>
          <w:pgMar w:top="1060" w:bottom="1160" w:left="980" w:right="980"/>
          <w:cols w:num="3" w:equalWidth="0">
            <w:col w:w="1176" w:space="40"/>
            <w:col w:w="932" w:space="1045"/>
            <w:col w:w="6757"/>
          </w:cols>
        </w:sectPr>
      </w:pPr>
    </w:p>
    <w:p>
      <w:pPr>
        <w:pStyle w:val="BodyText"/>
        <w:tabs>
          <w:tab w:pos="2310" w:val="left" w:leader="none"/>
        </w:tabs>
        <w:spacing w:line="158" w:lineRule="auto"/>
        <w:ind w:left="1247" w:right="0" w:hanging="1066"/>
        <w:jc w:val="left"/>
      </w:pPr>
      <w:r>
        <w:rPr/>
        <w:t>都市云计算、</w:t>
        <w:tab/>
        <w:t>补助 区经贸发展</w:t>
      </w:r>
    </w:p>
    <w:p>
      <w:pPr>
        <w:pStyle w:val="BodyText"/>
        <w:spacing w:line="212" w:lineRule="exact" w:before="76"/>
        <w:ind w:left="181" w:right="-20"/>
        <w:jc w:val="left"/>
      </w:pPr>
      <w:r>
        <w:rPr/>
        <w:br w:type="column"/>
      </w:r>
      <w:r>
        <w:rPr/>
        <w:t>改造等获得</w:t>
      </w:r>
    </w:p>
    <w:p>
      <w:pPr>
        <w:pStyle w:val="BodyText"/>
        <w:tabs>
          <w:tab w:pos="1186" w:val="left" w:leader="none"/>
          <w:tab w:pos="3507" w:val="left" w:leader="none"/>
        </w:tabs>
        <w:spacing w:line="170" w:lineRule="exact"/>
        <w:ind w:left="123" w:right="0"/>
        <w:jc w:val="left"/>
      </w:pPr>
      <w:r>
        <w:rPr/>
        <w:br w:type="column"/>
      </w:r>
      <w:r>
        <w:rPr/>
        <w:t>否</w:t>
        <w:tab/>
        <w:t>否</w:t>
        <w:tab/>
      </w:r>
      <w:r>
        <w:rPr>
          <w:rFonts w:ascii="Times New Roman" w:hAnsi="Times New Roman" w:cs="Times New Roman" w:eastAsia="Times New Roman" w:hint="default"/>
        </w:rPr>
        <w:t>214,200.00</w:t>
      </w:r>
      <w:r>
        <w:rPr>
          <w:rFonts w:ascii="Times New Roman" w:hAnsi="Times New Roman" w:cs="Times New Roman" w:eastAsia="Times New Roman" w:hint="default"/>
          <w:spacing w:val="9"/>
        </w:rPr>
        <w:t> </w:t>
      </w:r>
      <w:r>
        <w:rPr/>
        <w:t>与收益相关</w:t>
      </w:r>
    </w:p>
    <w:p>
      <w:pPr>
        <w:spacing w:after="0" w:line="170" w:lineRule="exact"/>
        <w:jc w:val="left"/>
        <w:sectPr>
          <w:type w:val="continuous"/>
          <w:pgSz w:w="11910" w:h="16840"/>
          <w:pgMar w:top="1060" w:bottom="1160" w:left="980" w:right="980"/>
          <w:cols w:num="3" w:equalWidth="0">
            <w:col w:w="2671" w:space="522"/>
            <w:col w:w="1082" w:space="40"/>
            <w:col w:w="5635"/>
          </w:cols>
        </w:sectPr>
      </w:pPr>
    </w:p>
    <w:p>
      <w:pPr>
        <w:pStyle w:val="BodyText"/>
        <w:spacing w:line="125" w:lineRule="exact"/>
        <w:ind w:left="181" w:right="0"/>
        <w:jc w:val="left"/>
      </w:pPr>
      <w:r>
        <w:rPr>
          <w:spacing w:val="-12"/>
        </w:rPr>
        <w:t>大数据、下一</w:t>
      </w:r>
    </w:p>
    <w:p>
      <w:pPr>
        <w:pStyle w:val="BodyText"/>
        <w:spacing w:line="156" w:lineRule="exact"/>
        <w:ind w:left="0" w:right="0"/>
        <w:jc w:val="right"/>
      </w:pPr>
      <w:r>
        <w:rPr/>
        <w:t>局</w:t>
      </w:r>
    </w:p>
    <w:p>
      <w:pPr>
        <w:pStyle w:val="BodyText"/>
        <w:spacing w:line="196" w:lineRule="exact"/>
        <w:ind w:left="181" w:right="0"/>
        <w:jc w:val="left"/>
      </w:pPr>
      <w:r>
        <w:rPr/>
        <w:t>代互联网示</w:t>
      </w:r>
    </w:p>
    <w:p>
      <w:pPr>
        <w:pStyle w:val="BodyText"/>
        <w:spacing w:line="316" w:lineRule="auto" w:before="76"/>
        <w:ind w:left="181" w:right="326"/>
        <w:jc w:val="left"/>
      </w:pPr>
      <w:r>
        <w:rPr/>
        <w:t>范应用项目 补助款</w:t>
      </w:r>
    </w:p>
    <w:p>
      <w:pPr>
        <w:spacing w:before="85"/>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1428" w:space="1765"/>
            <w:col w:w="6757"/>
          </w:cols>
        </w:sectPr>
      </w:pPr>
    </w:p>
    <w:p>
      <w:pPr>
        <w:pStyle w:val="BodyText"/>
        <w:tabs>
          <w:tab w:pos="3374" w:val="left" w:leader="none"/>
        </w:tabs>
        <w:spacing w:line="240" w:lineRule="auto" w:before="110"/>
        <w:ind w:left="181" w:right="0"/>
        <w:jc w:val="left"/>
      </w:pPr>
      <w:r>
        <w:rPr>
          <w:rFonts w:ascii="Times New Roman" w:hAnsi="Times New Roman" w:cs="Times New Roman" w:eastAsia="Times New Roman" w:hint="default"/>
        </w:rPr>
        <w:t>CMMI3 </w:t>
      </w:r>
      <w:r>
        <w:rPr/>
        <w:t>政府</w:t>
      </w:r>
      <w:r>
        <w:rPr>
          <w:spacing w:val="-22"/>
        </w:rPr>
        <w:t> </w:t>
      </w:r>
      <w:r>
        <w:rPr/>
        <w:t>成都高新技</w:t>
        <w:tab/>
        <w:t>因研究开发、</w:t>
      </w:r>
    </w:p>
    <w:p>
      <w:pPr>
        <w:spacing w:after="0" w:line="240" w:lineRule="auto"/>
        <w:jc w:val="left"/>
        <w:sectPr>
          <w:type w:val="continuous"/>
          <w:pgSz w:w="11910" w:h="16840"/>
          <w:pgMar w:top="1060" w:bottom="1160" w:left="980" w:right="980"/>
        </w:sectPr>
      </w:pPr>
    </w:p>
    <w:p>
      <w:pPr>
        <w:pStyle w:val="BodyText"/>
        <w:spacing w:line="309" w:lineRule="auto" w:before="63"/>
        <w:ind w:left="181" w:right="-19"/>
        <w:jc w:val="left"/>
      </w:pPr>
      <w:r>
        <w:rPr/>
        <w:t>补助</w:t>
      </w:r>
      <w:r>
        <w:rPr>
          <w:rFonts w:ascii="Times New Roman" w:hAnsi="Times New Roman" w:cs="Times New Roman" w:eastAsia="Times New Roman" w:hint="default"/>
        </w:rPr>
        <w:t>(</w:t>
      </w:r>
      <w:r>
        <w:rPr/>
        <w:t>成都高 新技术开发 区经贸局）</w:t>
      </w:r>
    </w:p>
    <w:p>
      <w:pPr>
        <w:pStyle w:val="BodyText"/>
        <w:spacing w:line="196" w:lineRule="exact" w:before="63"/>
        <w:ind w:left="65" w:right="0"/>
        <w:jc w:val="left"/>
      </w:pPr>
      <w:r>
        <w:rPr/>
        <w:br w:type="column"/>
      </w:r>
      <w:r>
        <w:rPr/>
        <w:t>术产业开发</w:t>
      </w:r>
    </w:p>
    <w:p>
      <w:pPr>
        <w:pStyle w:val="BodyText"/>
        <w:spacing w:line="156" w:lineRule="exact"/>
        <w:ind w:left="0" w:right="0"/>
        <w:jc w:val="right"/>
      </w:pPr>
      <w:r>
        <w:rPr/>
        <w:t>补助</w:t>
      </w:r>
    </w:p>
    <w:p>
      <w:pPr>
        <w:pStyle w:val="BodyText"/>
        <w:spacing w:line="196" w:lineRule="exact"/>
        <w:ind w:left="65" w:right="0"/>
        <w:jc w:val="left"/>
      </w:pPr>
      <w:r>
        <w:rPr/>
        <w:t>区经贸发展</w:t>
      </w:r>
    </w:p>
    <w:p>
      <w:pPr>
        <w:pStyle w:val="BodyText"/>
        <w:spacing w:line="240" w:lineRule="auto" w:before="76"/>
        <w:ind w:left="65" w:right="0"/>
        <w:jc w:val="left"/>
      </w:pPr>
      <w:r>
        <w:rPr/>
        <w:t>局</w:t>
      </w:r>
    </w:p>
    <w:p>
      <w:pPr>
        <w:pStyle w:val="BodyText"/>
        <w:spacing w:line="316" w:lineRule="auto" w:before="63"/>
        <w:ind w:left="181" w:right="0"/>
        <w:jc w:val="both"/>
      </w:pPr>
      <w:r>
        <w:rPr/>
        <w:br w:type="column"/>
      </w:r>
      <w:r>
        <w:rPr/>
        <w:t>技术更新及 改造等获得 的补助</w:t>
      </w:r>
    </w:p>
    <w:p>
      <w:pPr>
        <w:spacing w:line="240" w:lineRule="auto" w:before="9"/>
        <w:rPr>
          <w:rFonts w:ascii="宋体" w:hAnsi="宋体" w:cs="宋体" w:eastAsia="宋体" w:hint="default"/>
          <w:sz w:val="16"/>
          <w:szCs w:val="16"/>
        </w:rPr>
      </w:pPr>
      <w:r>
        <w:rPr/>
        <w:br w:type="column"/>
      </w:r>
      <w:r>
        <w:rPr>
          <w:rFonts w:ascii="宋体"/>
          <w:sz w:val="16"/>
        </w:rPr>
      </w:r>
    </w:p>
    <w:p>
      <w:pPr>
        <w:pStyle w:val="BodyText"/>
        <w:tabs>
          <w:tab w:pos="1186" w:val="left" w:leader="none"/>
          <w:tab w:pos="3507" w:val="left" w:leader="none"/>
        </w:tabs>
        <w:spacing w:line="240" w:lineRule="auto"/>
        <w:ind w:left="123" w:right="0"/>
        <w:jc w:val="left"/>
      </w:pPr>
      <w:r>
        <w:rPr/>
        <w:t>否</w:t>
        <w:tab/>
        <w:t>否</w:t>
        <w:tab/>
      </w:r>
      <w:r>
        <w:rPr>
          <w:rFonts w:ascii="Times New Roman" w:hAnsi="Times New Roman" w:cs="Times New Roman" w:eastAsia="Times New Roman" w:hint="default"/>
        </w:rPr>
        <w:t>210,000.00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143" w:space="40"/>
            <w:col w:w="1489" w:space="522"/>
            <w:col w:w="1082" w:space="40"/>
            <w:col w:w="5634"/>
          </w:cols>
        </w:sectPr>
      </w:pPr>
    </w:p>
    <w:p>
      <w:pPr>
        <w:pStyle w:val="BodyText"/>
        <w:spacing w:line="314" w:lineRule="auto" w:before="107"/>
        <w:ind w:left="181" w:right="-19"/>
        <w:jc w:val="left"/>
      </w:pPr>
      <w:r>
        <w:rPr/>
        <w:t>成都高新技 术产业开发 区经贸发展 局</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年成 都市信息安 全示范应用 项目奖励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0"/>
          <w:szCs w:val="20"/>
        </w:rPr>
      </w:pPr>
    </w:p>
    <w:p>
      <w:pPr>
        <w:pStyle w:val="BodyText"/>
        <w:spacing w:line="310" w:lineRule="atLeast"/>
        <w:ind w:left="31" w:right="504"/>
        <w:jc w:val="left"/>
      </w:pPr>
      <w:r>
        <w:rPr/>
        <w:t>成都高新技 术产业开发</w:t>
      </w:r>
    </w:p>
    <w:p>
      <w:pPr>
        <w:pStyle w:val="BodyText"/>
        <w:spacing w:line="116" w:lineRule="exact"/>
        <w:ind w:left="0" w:right="0"/>
        <w:jc w:val="right"/>
      </w:pPr>
      <w:r>
        <w:rPr/>
        <w:t>奖励</w:t>
      </w:r>
    </w:p>
    <w:p>
      <w:pPr>
        <w:pStyle w:val="BodyText"/>
        <w:spacing w:line="196" w:lineRule="exact"/>
        <w:ind w:left="31" w:right="0"/>
        <w:jc w:val="left"/>
      </w:pPr>
      <w:r>
        <w:rPr/>
        <w:t>区经贸发展</w:t>
      </w:r>
    </w:p>
    <w:p>
      <w:pPr>
        <w:pStyle w:val="BodyText"/>
        <w:spacing w:line="240" w:lineRule="auto" w:before="76"/>
        <w:ind w:left="31" w:right="504"/>
        <w:jc w:val="left"/>
      </w:pPr>
      <w:r>
        <w:rPr/>
        <w:t>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0"/>
          <w:szCs w:val="20"/>
        </w:rPr>
      </w:pPr>
    </w:p>
    <w:p>
      <w:pPr>
        <w:pStyle w:val="BodyText"/>
        <w:spacing w:line="310" w:lineRule="atLeast"/>
        <w:ind w:left="181" w:right="5472"/>
        <w:jc w:val="left"/>
      </w:pP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125,000.00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76" w:space="40"/>
            <w:col w:w="1456" w:space="522"/>
            <w:col w:w="6756"/>
          </w:cols>
        </w:sectPr>
      </w:pPr>
    </w:p>
    <w:p>
      <w:pPr>
        <w:pStyle w:val="BodyText"/>
        <w:spacing w:line="316" w:lineRule="auto" w:before="112"/>
        <w:ind w:left="181" w:right="0"/>
        <w:jc w:val="both"/>
      </w:pPr>
      <w:r>
        <w:rPr/>
        <w:t>基于云端融 合的政务信 息集成服务 平台研发及 产业化项目 配套资金</w:t>
      </w:r>
    </w:p>
    <w:p>
      <w:pPr>
        <w:spacing w:line="240" w:lineRule="auto" w:before="9"/>
        <w:rPr>
          <w:rFonts w:ascii="宋体" w:hAnsi="宋体" w:cs="宋体" w:eastAsia="宋体" w:hint="default"/>
          <w:sz w:val="26"/>
          <w:szCs w:val="26"/>
        </w:rPr>
      </w:pPr>
      <w:r>
        <w:rPr/>
        <w:br w:type="column"/>
      </w:r>
      <w:r>
        <w:rPr>
          <w:rFonts w:ascii="宋体"/>
          <w:sz w:val="26"/>
        </w:rPr>
      </w:r>
    </w:p>
    <w:p>
      <w:pPr>
        <w:pStyle w:val="BodyText"/>
        <w:spacing w:line="310" w:lineRule="atLeast"/>
        <w:ind w:left="125" w:right="504"/>
        <w:jc w:val="left"/>
      </w:pPr>
      <w:r>
        <w:rPr/>
        <w:t>成都高新技 术产业开发</w:t>
      </w:r>
    </w:p>
    <w:p>
      <w:pPr>
        <w:pStyle w:val="BodyText"/>
        <w:spacing w:line="116" w:lineRule="exact"/>
        <w:ind w:left="0" w:right="0"/>
        <w:jc w:val="right"/>
      </w:pPr>
      <w:r>
        <w:rPr/>
        <w:t>补助</w:t>
      </w:r>
    </w:p>
    <w:p>
      <w:pPr>
        <w:pStyle w:val="BodyText"/>
        <w:spacing w:line="196" w:lineRule="exact"/>
        <w:ind w:left="125" w:right="-19"/>
        <w:jc w:val="left"/>
      </w:pPr>
      <w:r>
        <w:rPr/>
        <w:t>区经贸发展</w:t>
      </w:r>
    </w:p>
    <w:p>
      <w:pPr>
        <w:pStyle w:val="BodyText"/>
        <w:spacing w:line="240" w:lineRule="auto" w:before="76"/>
        <w:ind w:left="125" w:right="504"/>
        <w:jc w:val="left"/>
      </w:pPr>
      <w:r>
        <w:rPr/>
        <w:t>局</w:t>
      </w:r>
    </w:p>
    <w:p>
      <w:pPr>
        <w:spacing w:line="240" w:lineRule="auto" w:before="9"/>
        <w:rPr>
          <w:rFonts w:ascii="宋体" w:hAnsi="宋体" w:cs="宋体" w:eastAsia="宋体" w:hint="default"/>
          <w:sz w:val="26"/>
          <w:szCs w:val="26"/>
        </w:rPr>
      </w:pPr>
      <w:r>
        <w:rPr/>
        <w:br w:type="column"/>
      </w:r>
      <w:r>
        <w:rPr>
          <w:rFonts w:ascii="宋体"/>
          <w:sz w:val="26"/>
        </w:rPr>
      </w:r>
    </w:p>
    <w:p>
      <w:pPr>
        <w:pStyle w:val="BodyText"/>
        <w:spacing w:line="310" w:lineRule="atLeast"/>
        <w:ind w:left="181" w:right="5472"/>
        <w:jc w:val="left"/>
      </w:pP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120,000.00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316" w:lineRule="auto" w:before="129"/>
        <w:ind w:left="181" w:right="0"/>
        <w:jc w:val="both"/>
      </w:pPr>
      <w:r>
        <w:rPr/>
        <w:pict>
          <v:group style="position:absolute;margin-left:56.400002pt;margin-top:71.759979pt;width:479.05pt;height:685.8pt;mso-position-horizontal-relative:page;mso-position-vertical-relative:page;z-index:-917392" coordorigin="1128,1435" coordsize="9581,13716">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1138;top:3056;width:1057;height:2" coordorigin="1138,3056" coordsize="1057,2">
              <v:shape style="position:absolute;left:1138;top:3056;width:1057;height:2" coordorigin="1138,3056" coordsize="1057,0" path="m1138,3056l2194,3056e" filled="false" stroked="true" strokeweight=".48pt" strokecolor="#000000">
                <v:path arrowok="t"/>
              </v:shape>
            </v:group>
            <v:group style="position:absolute;left:2204;top:3056;width:1054;height:2" coordorigin="2204,3056" coordsize="1054,2">
              <v:shape style="position:absolute;left:2204;top:3056;width:1054;height:2" coordorigin="2204,3056" coordsize="1054,0" path="m2204,3056l3257,3056e" filled="false" stroked="true" strokeweight=".48pt" strokecolor="#000000">
                <v:path arrowok="t"/>
              </v:shape>
            </v:group>
            <v:group style="position:absolute;left:3267;top:3056;width:1055;height:2" coordorigin="3267,3056" coordsize="1055,2">
              <v:shape style="position:absolute;left:3267;top:3056;width:1055;height:2" coordorigin="3267,3056" coordsize="1055,0" path="m3267,3056l4321,3056e" filled="false" stroked="true" strokeweight=".48pt" strokecolor="#000000">
                <v:path arrowok="t"/>
              </v:shape>
            </v:group>
            <v:group style="position:absolute;left:4331;top:3056;width:1054;height:2" coordorigin="4331,3056" coordsize="1054,2">
              <v:shape style="position:absolute;left:4331;top:3056;width:1054;height:2" coordorigin="4331,3056" coordsize="1054,0" path="m4331,3056l5384,3056e" filled="false" stroked="true" strokeweight=".48pt" strokecolor="#000000">
                <v:path arrowok="t"/>
              </v:shape>
            </v:group>
            <v:group style="position:absolute;left:5394;top:3056;width:1052;height:2" coordorigin="5394,3056" coordsize="1052,2">
              <v:shape style="position:absolute;left:5394;top:3056;width:1052;height:2" coordorigin="5394,3056" coordsize="1052,0" path="m5394,3056l6445,3056e" filled="false" stroked="true" strokeweight=".48pt" strokecolor="#000000">
                <v:path arrowok="t"/>
              </v:shape>
            </v:group>
            <v:group style="position:absolute;left:6455;top:3056;width:1054;height:2" coordorigin="6455,3056" coordsize="1054,2">
              <v:shape style="position:absolute;left:6455;top:3056;width:1054;height:2" coordorigin="6455,3056" coordsize="1054,0" path="m6455,3056l7509,3056e" filled="false" stroked="true" strokeweight=".48pt" strokecolor="#000000">
                <v:path arrowok="t"/>
              </v:shape>
            </v:group>
            <v:group style="position:absolute;left:7518;top:3056;width:1054;height:2" coordorigin="7518,3056" coordsize="1054,2">
              <v:shape style="position:absolute;left:7518;top:3056;width:1054;height:2" coordorigin="7518,3056" coordsize="1054,0" path="m7518,3056l8572,3056e" filled="false" stroked="true" strokeweight=".48pt" strokecolor="#000000">
                <v:path arrowok="t"/>
              </v:shape>
            </v:group>
            <v:group style="position:absolute;left:8581;top:3056;width:1055;height:2" coordorigin="8581,3056" coordsize="1055,2">
              <v:shape style="position:absolute;left:8581;top:3056;width:1055;height:2" coordorigin="8581,3056" coordsize="1055,0" path="m8581,3056l9635,3056e" filled="false" stroked="true" strokeweight=".48pt" strokecolor="#000000">
                <v:path arrowok="t"/>
              </v:shape>
            </v:group>
            <v:group style="position:absolute;left:9645;top:3056;width:1054;height:2" coordorigin="9645,3056" coordsize="1054,2">
              <v:shape style="position:absolute;left:9645;top:3056;width:1054;height:2" coordorigin="9645,3056" coordsize="1054,0" path="m9645,3056l10699,3056e" filled="false" stroked="true" strokeweight=".48pt" strokecolor="#000000">
                <v:path arrowok="t"/>
              </v:shape>
            </v:group>
            <v:group style="position:absolute;left:5394;top:5334;width:1055;height:1248" coordorigin="5394,5334" coordsize="1055,1248">
              <v:shape style="position:absolute;left:5394;top:5334;width:1055;height:1248" coordorigin="5394,5334" coordsize="1055,1248" path="m5394,6582l6448,6582,6448,5334,5394,5334,5394,6582xe" filled="true" fillcolor="#ffffff" stroked="false">
                <v:path arrowok="t"/>
                <v:fill type="solid"/>
              </v:shape>
            </v:group>
            <v:group style="position:absolute;left:1138;top:5329;width:1057;height:2" coordorigin="1138,5329" coordsize="1057,2">
              <v:shape style="position:absolute;left:1138;top:5329;width:1057;height:2" coordorigin="1138,5329" coordsize="1057,0" path="m1138,5329l2194,5329e" filled="false" stroked="true" strokeweight=".47998pt" strokecolor="#000000">
                <v:path arrowok="t"/>
              </v:shape>
            </v:group>
            <v:group style="position:absolute;left:2204;top:5329;width:1054;height:2" coordorigin="2204,5329" coordsize="1054,2">
              <v:shape style="position:absolute;left:2204;top:5329;width:1054;height:2" coordorigin="2204,5329" coordsize="1054,0" path="m2204,5329l3257,5329e" filled="false" stroked="true" strokeweight=".47998pt" strokecolor="#000000">
                <v:path arrowok="t"/>
              </v:shape>
            </v:group>
            <v:group style="position:absolute;left:3267;top:5329;width:1055;height:2" coordorigin="3267,5329" coordsize="1055,2">
              <v:shape style="position:absolute;left:3267;top:5329;width:1055;height:2" coordorigin="3267,5329" coordsize="1055,0" path="m3267,5329l4321,5329e" filled="false" stroked="true" strokeweight=".47998pt" strokecolor="#000000">
                <v:path arrowok="t"/>
              </v:shape>
            </v:group>
            <v:group style="position:absolute;left:4331;top:5329;width:1054;height:2" coordorigin="4331,5329" coordsize="1054,2">
              <v:shape style="position:absolute;left:4331;top:5329;width:1054;height:2" coordorigin="4331,5329" coordsize="1054,0" path="m4331,5329l5384,5329e" filled="false" stroked="true" strokeweight=".47998pt" strokecolor="#000000">
                <v:path arrowok="t"/>
              </v:shape>
            </v:group>
            <v:group style="position:absolute;left:5394;top:5329;width:1052;height:2" coordorigin="5394,5329" coordsize="1052,2">
              <v:shape style="position:absolute;left:5394;top:5329;width:1052;height:2" coordorigin="5394,5329" coordsize="1052,0" path="m5394,5329l6445,5329e" filled="false" stroked="true" strokeweight=".47998pt" strokecolor="#000000">
                <v:path arrowok="t"/>
              </v:shape>
            </v:group>
            <v:group style="position:absolute;left:6455;top:5329;width:1054;height:2" coordorigin="6455,5329" coordsize="1054,2">
              <v:shape style="position:absolute;left:6455;top:5329;width:1054;height:2" coordorigin="6455,5329" coordsize="1054,0" path="m6455,5329l7509,5329e" filled="false" stroked="true" strokeweight=".47998pt" strokecolor="#000000">
                <v:path arrowok="t"/>
              </v:shape>
            </v:group>
            <v:group style="position:absolute;left:7518;top:5329;width:1054;height:2" coordorigin="7518,5329" coordsize="1054,2">
              <v:shape style="position:absolute;left:7518;top:5329;width:1054;height:2" coordorigin="7518,5329" coordsize="1054,0" path="m7518,5329l8572,5329e" filled="false" stroked="true" strokeweight=".47998pt" strokecolor="#000000">
                <v:path arrowok="t"/>
              </v:shape>
            </v:group>
            <v:group style="position:absolute;left:8581;top:5329;width:1055;height:2" coordorigin="8581,5329" coordsize="1055,2">
              <v:shape style="position:absolute;left:8581;top:5329;width:1055;height:2" coordorigin="8581,5329" coordsize="1055,0" path="m8581,5329l9635,5329e" filled="false" stroked="true" strokeweight=".47998pt" strokecolor="#000000">
                <v:path arrowok="t"/>
              </v:shape>
            </v:group>
            <v:group style="position:absolute;left:9645;top:5329;width:1054;height:2" coordorigin="9645,5329" coordsize="1054,2">
              <v:shape style="position:absolute;left:9645;top:5329;width:1054;height:2" coordorigin="9645,5329" coordsize="1054,0" path="m9645,5329l10699,5329e" filled="false" stroked="true" strokeweight=".47998pt" strokecolor="#000000">
                <v:path arrowok="t"/>
              </v:shape>
            </v:group>
            <v:group style="position:absolute;left:5394;top:8233;width:1055;height:468" coordorigin="5394,8233" coordsize="1055,468">
              <v:shape style="position:absolute;left:5394;top:8233;width:1055;height:468" coordorigin="5394,8233" coordsize="1055,468" path="m5394,8701l6448,8701,6448,8233,5394,8233,5394,8701xe" filled="true" fillcolor="#ffffff" stroked="false">
                <v:path arrowok="t"/>
                <v:fill type="solid"/>
              </v:shape>
            </v:group>
            <v:group style="position:absolute;left:1138;top:8229;width:1057;height:2" coordorigin="1138,8229" coordsize="1057,2">
              <v:shape style="position:absolute;left:1138;top:8229;width:1057;height:2" coordorigin="1138,8229" coordsize="1057,0" path="m1138,8229l2194,8229e" filled="false" stroked="true" strokeweight=".47998pt" strokecolor="#000000">
                <v:path arrowok="t"/>
              </v:shape>
            </v:group>
            <v:group style="position:absolute;left:2204;top:8229;width:1054;height:2" coordorigin="2204,8229" coordsize="1054,2">
              <v:shape style="position:absolute;left:2204;top:8229;width:1054;height:2" coordorigin="2204,8229" coordsize="1054,0" path="m2204,8229l3257,8229e" filled="false" stroked="true" strokeweight=".47998pt" strokecolor="#000000">
                <v:path arrowok="t"/>
              </v:shape>
            </v:group>
            <v:group style="position:absolute;left:3267;top:8229;width:1055;height:2" coordorigin="3267,8229" coordsize="1055,2">
              <v:shape style="position:absolute;left:3267;top:8229;width:1055;height:2" coordorigin="3267,8229" coordsize="1055,0" path="m3267,8229l4321,8229e" filled="false" stroked="true" strokeweight=".47998pt" strokecolor="#000000">
                <v:path arrowok="t"/>
              </v:shape>
            </v:group>
            <v:group style="position:absolute;left:4331;top:8229;width:1054;height:2" coordorigin="4331,8229" coordsize="1054,2">
              <v:shape style="position:absolute;left:4331;top:8229;width:1054;height:2" coordorigin="4331,8229" coordsize="1054,0" path="m4331,8229l5384,8229e" filled="false" stroked="true" strokeweight=".47998pt" strokecolor="#000000">
                <v:path arrowok="t"/>
              </v:shape>
            </v:group>
            <v:group style="position:absolute;left:5394;top:8229;width:1052;height:2" coordorigin="5394,8229" coordsize="1052,2">
              <v:shape style="position:absolute;left:5394;top:8229;width:1052;height:2" coordorigin="5394,8229" coordsize="1052,0" path="m5394,8229l6445,8229e" filled="false" stroked="true" strokeweight=".47998pt" strokecolor="#000000">
                <v:path arrowok="t"/>
              </v:shape>
            </v:group>
            <v:group style="position:absolute;left:6455;top:8229;width:1054;height:2" coordorigin="6455,8229" coordsize="1054,2">
              <v:shape style="position:absolute;left:6455;top:8229;width:1054;height:2" coordorigin="6455,8229" coordsize="1054,0" path="m6455,8229l7509,8229e" filled="false" stroked="true" strokeweight=".47998pt" strokecolor="#000000">
                <v:path arrowok="t"/>
              </v:shape>
            </v:group>
            <v:group style="position:absolute;left:7518;top:8229;width:1054;height:2" coordorigin="7518,8229" coordsize="1054,2">
              <v:shape style="position:absolute;left:7518;top:8229;width:1054;height:2" coordorigin="7518,8229" coordsize="1054,0" path="m7518,8229l8572,8229e" filled="false" stroked="true" strokeweight=".47998pt" strokecolor="#000000">
                <v:path arrowok="t"/>
              </v:shape>
            </v:group>
            <v:group style="position:absolute;left:8581;top:8229;width:1055;height:2" coordorigin="8581,8229" coordsize="1055,2">
              <v:shape style="position:absolute;left:8581;top:8229;width:1055;height:2" coordorigin="8581,8229" coordsize="1055,0" path="m8581,8229l9635,8229e" filled="false" stroked="true" strokeweight=".47998pt" strokecolor="#000000">
                <v:path arrowok="t"/>
              </v:shape>
            </v:group>
            <v:group style="position:absolute;left:9645;top:8229;width:1054;height:2" coordorigin="9645,8229" coordsize="1054,2">
              <v:shape style="position:absolute;left:9645;top:8229;width:1054;height:2" coordorigin="9645,8229" coordsize="1054,0" path="m9645,8229l10699,8229e" filled="false" stroked="true" strokeweight=".47998pt" strokecolor="#000000">
                <v:path arrowok="t"/>
              </v:shape>
            </v:group>
            <v:group style="position:absolute;left:5394;top:9570;width:1055;height:936" coordorigin="5394,9570" coordsize="1055,936">
              <v:shape style="position:absolute;left:5394;top:9570;width:1055;height:936" coordorigin="5394,9570" coordsize="1055,936" path="m5394,10506l6448,10506,6448,9570,5394,9570,5394,10506xe" filled="true" fillcolor="#ffffff" stroked="false">
                <v:path arrowok="t"/>
                <v:fill type="solid"/>
              </v:shape>
            </v:group>
            <v:group style="position:absolute;left:1138;top:9565;width:1057;height:2" coordorigin="1138,9565" coordsize="1057,2">
              <v:shape style="position:absolute;left:1138;top:9565;width:1057;height:2" coordorigin="1138,9565" coordsize="1057,0" path="m1138,9565l2194,9565e" filled="false" stroked="true" strokeweight=".47998pt" strokecolor="#000000">
                <v:path arrowok="t"/>
              </v:shape>
            </v:group>
            <v:group style="position:absolute;left:2204;top:9565;width:1054;height:2" coordorigin="2204,9565" coordsize="1054,2">
              <v:shape style="position:absolute;left:2204;top:9565;width:1054;height:2" coordorigin="2204,9565" coordsize="1054,0" path="m2204,9565l3257,9565e" filled="false" stroked="true" strokeweight=".47998pt" strokecolor="#000000">
                <v:path arrowok="t"/>
              </v:shape>
            </v:group>
            <v:group style="position:absolute;left:3267;top:9565;width:1055;height:2" coordorigin="3267,9565" coordsize="1055,2">
              <v:shape style="position:absolute;left:3267;top:9565;width:1055;height:2" coordorigin="3267,9565" coordsize="1055,0" path="m3267,9565l4321,9565e" filled="false" stroked="true" strokeweight=".47998pt" strokecolor="#000000">
                <v:path arrowok="t"/>
              </v:shape>
            </v:group>
            <v:group style="position:absolute;left:4331;top:9565;width:1054;height:2" coordorigin="4331,9565" coordsize="1054,2">
              <v:shape style="position:absolute;left:4331;top:9565;width:1054;height:2" coordorigin="4331,9565" coordsize="1054,0" path="m4331,9565l5384,9565e" filled="false" stroked="true" strokeweight=".47998pt" strokecolor="#000000">
                <v:path arrowok="t"/>
              </v:shape>
            </v:group>
            <v:group style="position:absolute;left:5394;top:9565;width:1052;height:2" coordorigin="5394,9565" coordsize="1052,2">
              <v:shape style="position:absolute;left:5394;top:9565;width:1052;height:2" coordorigin="5394,9565" coordsize="1052,0" path="m5394,9565l6445,9565e" filled="false" stroked="true" strokeweight=".47998pt" strokecolor="#000000">
                <v:path arrowok="t"/>
              </v:shape>
            </v:group>
            <v:group style="position:absolute;left:6455;top:9565;width:1054;height:2" coordorigin="6455,9565" coordsize="1054,2">
              <v:shape style="position:absolute;left:6455;top:9565;width:1054;height:2" coordorigin="6455,9565" coordsize="1054,0" path="m6455,9565l7509,9565e" filled="false" stroked="true" strokeweight=".47998pt" strokecolor="#000000">
                <v:path arrowok="t"/>
              </v:shape>
            </v:group>
            <v:group style="position:absolute;left:7518;top:9565;width:1054;height:2" coordorigin="7518,9565" coordsize="1054,2">
              <v:shape style="position:absolute;left:7518;top:9565;width:1054;height:2" coordorigin="7518,9565" coordsize="1054,0" path="m7518,9565l8572,9565e" filled="false" stroked="true" strokeweight=".47998pt" strokecolor="#000000">
                <v:path arrowok="t"/>
              </v:shape>
            </v:group>
            <v:group style="position:absolute;left:8581;top:9565;width:1055;height:2" coordorigin="8581,9565" coordsize="1055,2">
              <v:shape style="position:absolute;left:8581;top:9565;width:1055;height:2" coordorigin="8581,9565" coordsize="1055,0" path="m8581,9565l9635,9565e" filled="false" stroked="true" strokeweight=".47998pt" strokecolor="#000000">
                <v:path arrowok="t"/>
              </v:shape>
            </v:group>
            <v:group style="position:absolute;left:9645;top:9565;width:1054;height:2" coordorigin="9645,9565" coordsize="1054,2">
              <v:shape style="position:absolute;left:9645;top:9565;width:1054;height:2" coordorigin="9645,9565" coordsize="1054,0" path="m9645,9565l10699,9565e" filled="false" stroked="true" strokeweight=".47998pt" strokecolor="#000000">
                <v:path arrowok="t"/>
              </v:shape>
            </v:group>
            <v:group style="position:absolute;left:5394;top:11846;width:1055;height:780" coordorigin="5394,11846" coordsize="1055,780">
              <v:shape style="position:absolute;left:5394;top:11846;width:1055;height:780" coordorigin="5394,11846" coordsize="1055,780" path="m5394,12626l6448,12626,6448,11846,5394,11846,5394,12626xe" filled="true" fillcolor="#ffffff" stroked="false">
                <v:path arrowok="t"/>
                <v:fill type="solid"/>
              </v:shape>
            </v:group>
            <v:group style="position:absolute;left:1138;top:11841;width:1057;height:2" coordorigin="1138,11841" coordsize="1057,2">
              <v:shape style="position:absolute;left:1138;top:11841;width:1057;height:2" coordorigin="1138,11841" coordsize="1057,0" path="m1138,11841l2194,11841e" filled="false" stroked="true" strokeweight=".48004pt" strokecolor="#000000">
                <v:path arrowok="t"/>
              </v:shape>
            </v:group>
            <v:group style="position:absolute;left:2204;top:11841;width:1054;height:2" coordorigin="2204,11841" coordsize="1054,2">
              <v:shape style="position:absolute;left:2204;top:11841;width:1054;height:2" coordorigin="2204,11841" coordsize="1054,0" path="m2204,11841l3257,11841e" filled="false" stroked="true" strokeweight=".48004pt" strokecolor="#000000">
                <v:path arrowok="t"/>
              </v:shape>
            </v:group>
            <v:group style="position:absolute;left:3267;top:11841;width:1055;height:2" coordorigin="3267,11841" coordsize="1055,2">
              <v:shape style="position:absolute;left:3267;top:11841;width:1055;height:2" coordorigin="3267,11841" coordsize="1055,0" path="m3267,11841l4321,11841e" filled="false" stroked="true" strokeweight=".48004pt" strokecolor="#000000">
                <v:path arrowok="t"/>
              </v:shape>
            </v:group>
            <v:group style="position:absolute;left:4331;top:11841;width:1054;height:2" coordorigin="4331,11841" coordsize="1054,2">
              <v:shape style="position:absolute;left:4331;top:11841;width:1054;height:2" coordorigin="4331,11841" coordsize="1054,0" path="m4331,11841l5384,11841e" filled="false" stroked="true" strokeweight=".48004pt" strokecolor="#000000">
                <v:path arrowok="t"/>
              </v:shape>
            </v:group>
            <v:group style="position:absolute;left:5394;top:11841;width:1052;height:2" coordorigin="5394,11841" coordsize="1052,2">
              <v:shape style="position:absolute;left:5394;top:11841;width:1052;height:2" coordorigin="5394,11841" coordsize="1052,0" path="m5394,11841l6445,11841e" filled="false" stroked="true" strokeweight=".48004pt" strokecolor="#000000">
                <v:path arrowok="t"/>
              </v:shape>
            </v:group>
            <v:group style="position:absolute;left:6455;top:11841;width:1054;height:2" coordorigin="6455,11841" coordsize="1054,2">
              <v:shape style="position:absolute;left:6455;top:11841;width:1054;height:2" coordorigin="6455,11841" coordsize="1054,0" path="m6455,11841l7509,11841e" filled="false" stroked="true" strokeweight=".48004pt" strokecolor="#000000">
                <v:path arrowok="t"/>
              </v:shape>
            </v:group>
            <v:group style="position:absolute;left:7518;top:11841;width:1054;height:2" coordorigin="7518,11841" coordsize="1054,2">
              <v:shape style="position:absolute;left:7518;top:11841;width:1054;height:2" coordorigin="7518,11841" coordsize="1054,0" path="m7518,11841l8572,11841e" filled="false" stroked="true" strokeweight=".48004pt" strokecolor="#000000">
                <v:path arrowok="t"/>
              </v:shape>
            </v:group>
            <v:group style="position:absolute;left:8581;top:11841;width:1055;height:2" coordorigin="8581,11841" coordsize="1055,2">
              <v:shape style="position:absolute;left:8581;top:11841;width:1055;height:2" coordorigin="8581,11841" coordsize="1055,0" path="m8581,11841l9635,11841e" filled="false" stroked="true" strokeweight=".48004pt" strokecolor="#000000">
                <v:path arrowok="t"/>
              </v:shape>
            </v:group>
            <v:group style="position:absolute;left:9645;top:11841;width:1054;height:2" coordorigin="9645,11841" coordsize="1054,2">
              <v:shape style="position:absolute;left:9645;top:11841;width:1054;height:2" coordorigin="9645,11841" coordsize="1054,0" path="m9645,11841l10699,11841e" filled="false" stroked="true" strokeweight=".48004pt" strokecolor="#000000">
                <v:path arrowok="t"/>
              </v:shape>
            </v:group>
            <v:group style="position:absolute;left:1138;top:13802;width:1057;height:2" coordorigin="1138,13802" coordsize="1057,2">
              <v:shape style="position:absolute;left:1138;top:13802;width:1057;height:2" coordorigin="1138,13802" coordsize="1057,0" path="m1138,13802l2194,13802e" filled="false" stroked="true" strokeweight=".47998pt" strokecolor="#000000">
                <v:path arrowok="t"/>
              </v:shape>
            </v:group>
            <v:group style="position:absolute;left:2204;top:13802;width:1054;height:2" coordorigin="2204,13802" coordsize="1054,2">
              <v:shape style="position:absolute;left:2204;top:13802;width:1054;height:2" coordorigin="2204,13802" coordsize="1054,0" path="m2204,13802l3257,13802e" filled="false" stroked="true" strokeweight=".47998pt" strokecolor="#000000">
                <v:path arrowok="t"/>
              </v:shape>
            </v:group>
            <v:group style="position:absolute;left:3267;top:13802;width:1055;height:2" coordorigin="3267,13802" coordsize="1055,2">
              <v:shape style="position:absolute;left:3267;top:13802;width:1055;height:2" coordorigin="3267,13802" coordsize="1055,0" path="m3267,13802l4321,13802e" filled="false" stroked="true" strokeweight=".47998pt" strokecolor="#000000">
                <v:path arrowok="t"/>
              </v:shape>
            </v:group>
            <v:group style="position:absolute;left:4331;top:13802;width:1054;height:2" coordorigin="4331,13802" coordsize="1054,2">
              <v:shape style="position:absolute;left:4331;top:13802;width:1054;height:2" coordorigin="4331,13802" coordsize="1054,0" path="m4331,13802l5384,13802e" filled="false" stroked="true" strokeweight=".47998pt" strokecolor="#000000">
                <v:path arrowok="t"/>
              </v:shape>
            </v:group>
            <v:group style="position:absolute;left:5394;top:13802;width:1052;height:2" coordorigin="5394,13802" coordsize="1052,2">
              <v:shape style="position:absolute;left:5394;top:13802;width:1052;height:2" coordorigin="5394,13802" coordsize="1052,0" path="m5394,13802l6445,13802e" filled="false" stroked="true" strokeweight=".47998pt" strokecolor="#000000">
                <v:path arrowok="t"/>
              </v:shape>
            </v:group>
            <v:group style="position:absolute;left:6455;top:13802;width:1054;height:2" coordorigin="6455,13802" coordsize="1054,2">
              <v:shape style="position:absolute;left:6455;top:13802;width:1054;height:2" coordorigin="6455,13802" coordsize="1054,0" path="m6455,13802l7509,13802e" filled="false" stroked="true" strokeweight=".47998pt" strokecolor="#000000">
                <v:path arrowok="t"/>
              </v:shape>
            </v:group>
            <v:group style="position:absolute;left:7518;top:13802;width:1054;height:2" coordorigin="7518,13802" coordsize="1054,2">
              <v:shape style="position:absolute;left:7518;top:13802;width:1054;height:2" coordorigin="7518,13802" coordsize="1054,0" path="m7518,13802l8572,13802e" filled="false" stroked="true" strokeweight=".47998pt" strokecolor="#000000">
                <v:path arrowok="t"/>
              </v:shape>
            </v:group>
            <v:group style="position:absolute;left:8581;top:13802;width:1055;height:2" coordorigin="8581,13802" coordsize="1055,2">
              <v:shape style="position:absolute;left:8581;top:13802;width:1055;height:2" coordorigin="8581,13802" coordsize="1055,0" path="m8581,13802l9635,13802e" filled="false" stroked="true" strokeweight=".47998pt" strokecolor="#000000">
                <v:path arrowok="t"/>
              </v:shape>
            </v:group>
            <v:group style="position:absolute;left:9645;top:13802;width:1054;height:2" coordorigin="9645,13802" coordsize="1054,2">
              <v:shape style="position:absolute;left:9645;top:13802;width:1054;height:2" coordorigin="9645,13802" coordsize="1054,0" path="m9645,13802l10699,13802e" filled="false" stroked="true" strokeweight=".47998pt" strokecolor="#000000">
                <v:path arrowok="t"/>
              </v:shape>
            </v:group>
            <v:group style="position:absolute;left:1133;top:1440;width:2;height:13707" coordorigin="1133,1440" coordsize="2,13707">
              <v:shape style="position:absolute;left:1133;top:1440;width:2;height:13707" coordorigin="1133,1440" coordsize="0,13707" path="m1133,1440l1133,15146e" filled="false" stroked="true" strokeweight=".48pt" strokecolor="#000000">
                <v:path arrowok="t"/>
              </v:shape>
            </v:group>
            <v:group style="position:absolute;left:1138;top:15142;width:1057;height:2" coordorigin="1138,15142" coordsize="1057,2">
              <v:shape style="position:absolute;left:1138;top:15142;width:1057;height:2" coordorigin="1138,15142" coordsize="1057,0" path="m1138,15142l2194,15142e" filled="false" stroked="true" strokeweight=".47998pt" strokecolor="#000000">
                <v:path arrowok="t"/>
              </v:shape>
            </v:group>
            <v:group style="position:absolute;left:2216;top:6114;width:2;height:1330" coordorigin="2216,6114" coordsize="2,1330">
              <v:shape style="position:absolute;left:2216;top:6114;width:2;height:1330" coordorigin="2216,6114" coordsize="0,1330" path="m2216,6114l2216,7443e" filled="false" stroked="true" strokeweight="1.2pt" strokecolor="#ffffff">
                <v:path arrowok="t"/>
              </v:shape>
            </v:group>
            <v:group style="position:absolute;left:2199;top:1440;width:2;height:13707" coordorigin="2199,1440" coordsize="2,13707">
              <v:shape style="position:absolute;left:2199;top:1440;width:2;height:13707" coordorigin="2199,1440" coordsize="0,13707" path="m2199,1440l2199,15146e" filled="false" stroked="true" strokeweight=".48pt" strokecolor="#000000">
                <v:path arrowok="t"/>
              </v:shape>
            </v:group>
            <v:group style="position:absolute;left:2204;top:15142;width:1054;height:2" coordorigin="2204,15142" coordsize="1054,2">
              <v:shape style="position:absolute;left:2204;top:15142;width:1054;height:2" coordorigin="2204,15142" coordsize="1054,0" path="m2204,15142l3257,15142e" filled="false" stroked="true" strokeweight=".47998pt" strokecolor="#000000">
                <v:path arrowok="t"/>
              </v:shape>
            </v:group>
            <v:group style="position:absolute;left:3262;top:1440;width:2;height:13707" coordorigin="3262,1440" coordsize="2,13707">
              <v:shape style="position:absolute;left:3262;top:1440;width:2;height:13707" coordorigin="3262,1440" coordsize="0,13707" path="m3262,1440l3262,15146e" filled="false" stroked="true" strokeweight=".48pt" strokecolor="#000000">
                <v:path arrowok="t"/>
              </v:shape>
            </v:group>
            <v:group style="position:absolute;left:3267;top:15142;width:1055;height:2" coordorigin="3267,15142" coordsize="1055,2">
              <v:shape style="position:absolute;left:3267;top:15142;width:1055;height:2" coordorigin="3267,15142" coordsize="1055,0" path="m3267,15142l4321,15142e" filled="false" stroked="true" strokeweight=".47998pt" strokecolor="#000000">
                <v:path arrowok="t"/>
              </v:shape>
            </v:group>
            <v:group style="position:absolute;left:4326;top:1440;width:2;height:13707" coordorigin="4326,1440" coordsize="2,13707">
              <v:shape style="position:absolute;left:4326;top:1440;width:2;height:13707" coordorigin="4326,1440" coordsize="0,13707" path="m4326,1440l4326,15146e" filled="false" stroked="true" strokeweight=".48pt" strokecolor="#000000">
                <v:path arrowok="t"/>
              </v:shape>
            </v:group>
            <v:group style="position:absolute;left:4331;top:15142;width:1054;height:2" coordorigin="4331,15142" coordsize="1054,2">
              <v:shape style="position:absolute;left:4331;top:15142;width:1054;height:2" coordorigin="4331,15142" coordsize="1054,0" path="m4331,15142l5384,15142e" filled="false" stroked="true" strokeweight=".47998pt" strokecolor="#000000">
                <v:path arrowok="t"/>
              </v:shape>
            </v:group>
            <v:group style="position:absolute;left:5389;top:1440;width:2;height:13707" coordorigin="5389,1440" coordsize="2,13707">
              <v:shape style="position:absolute;left:5389;top:1440;width:2;height:13707" coordorigin="5389,1440" coordsize="0,13707" path="m5389,1440l5389,15146e" filled="false" stroked="true" strokeweight=".47998pt" strokecolor="#000000">
                <v:path arrowok="t"/>
              </v:shape>
            </v:group>
            <v:group style="position:absolute;left:5394;top:15142;width:1052;height:2" coordorigin="5394,15142" coordsize="1052,2">
              <v:shape style="position:absolute;left:5394;top:15142;width:1052;height:2" coordorigin="5394,15142" coordsize="1052,0" path="m5394,15142l6445,15142e" filled="false" stroked="true" strokeweight=".47998pt" strokecolor="#000000">
                <v:path arrowok="t"/>
              </v:shape>
            </v:group>
            <v:group style="position:absolute;left:6450;top:1440;width:2;height:13707" coordorigin="6450,1440" coordsize="2,13707">
              <v:shape style="position:absolute;left:6450;top:1440;width:2;height:13707" coordorigin="6450,1440" coordsize="0,13707" path="m6450,1440l6450,15146e" filled="false" stroked="true" strokeweight=".48001pt" strokecolor="#000000">
                <v:path arrowok="t"/>
              </v:shape>
            </v:group>
            <v:group style="position:absolute;left:6455;top:15142;width:1054;height:2" coordorigin="6455,15142" coordsize="1054,2">
              <v:shape style="position:absolute;left:6455;top:15142;width:1054;height:2" coordorigin="6455,15142" coordsize="1054,0" path="m6455,15142l7509,15142e" filled="false" stroked="true" strokeweight=".47998pt" strokecolor="#000000">
                <v:path arrowok="t"/>
              </v:shape>
            </v:group>
            <v:group style="position:absolute;left:7513;top:1440;width:2;height:13707" coordorigin="7513,1440" coordsize="2,13707">
              <v:shape style="position:absolute;left:7513;top:1440;width:2;height:13707" coordorigin="7513,1440" coordsize="0,13707" path="m7513,1440l7513,15146e" filled="false" stroked="true" strokeweight=".48001pt" strokecolor="#000000">
                <v:path arrowok="t"/>
              </v:shape>
            </v:group>
            <v:group style="position:absolute;left:7518;top:15142;width:1054;height:2" coordorigin="7518,15142" coordsize="1054,2">
              <v:shape style="position:absolute;left:7518;top:15142;width:1054;height:2" coordorigin="7518,15142" coordsize="1054,0" path="m7518,15142l8572,15142e" filled="false" stroked="true" strokeweight=".47998pt" strokecolor="#000000">
                <v:path arrowok="t"/>
              </v:shape>
            </v:group>
            <v:group style="position:absolute;left:8577;top:1440;width:2;height:13707" coordorigin="8577,1440" coordsize="2,13707">
              <v:shape style="position:absolute;left:8577;top:1440;width:2;height:13707" coordorigin="8577,1440" coordsize="0,13707" path="m8577,1440l8577,15146e" filled="false" stroked="true" strokeweight=".47998pt" strokecolor="#000000">
                <v:path arrowok="t"/>
              </v:shape>
            </v:group>
            <v:group style="position:absolute;left:8581;top:15142;width:1055;height:2" coordorigin="8581,15142" coordsize="1055,2">
              <v:shape style="position:absolute;left:8581;top:15142;width:1055;height:2" coordorigin="8581,15142" coordsize="1055,0" path="m8581,15142l9635,15142e" filled="false" stroked="true" strokeweight=".47998pt" strokecolor="#000000">
                <v:path arrowok="t"/>
              </v:shape>
            </v:group>
            <v:group style="position:absolute;left:9640;top:1440;width:2;height:13707" coordorigin="9640,1440" coordsize="2,13707">
              <v:shape style="position:absolute;left:9640;top:1440;width:2;height:13707" coordorigin="9640,1440" coordsize="0,13707" path="m9640,1440l9640,15146e" filled="false" stroked="true" strokeweight=".48001pt" strokecolor="#000000">
                <v:path arrowok="t"/>
              </v:shape>
            </v:group>
            <v:group style="position:absolute;left:9645;top:15142;width:1054;height:2" coordorigin="9645,15142" coordsize="1054,2">
              <v:shape style="position:absolute;left:9645;top:15142;width:1054;height:2" coordorigin="9645,15142" coordsize="1054,0" path="m9645,15142l10699,15142e" filled="false" stroked="true" strokeweight=".47998pt" strokecolor="#000000">
                <v:path arrowok="t"/>
              </v:shape>
            </v:group>
            <v:group style="position:absolute;left:10704;top:1440;width:2;height:13707" coordorigin="10704,1440" coordsize="2,13707">
              <v:shape style="position:absolute;left:10704;top:1440;width:2;height:13707" coordorigin="10704,1440" coordsize="0,13707" path="m10704,1440l10704,15146e" filled="false" stroked="true" strokeweight=".47998pt" strokecolor="#000000">
                <v:path arrowok="t"/>
              </v:shape>
            </v:group>
            <w10:wrap type="none"/>
          </v:group>
        </w:pict>
      </w:r>
      <w:r>
        <w:rPr/>
        <w:t>成都高新技 术产业开发 区经贸发展 局高新区战</w:t>
      </w:r>
    </w:p>
    <w:p>
      <w:pPr>
        <w:pStyle w:val="BodyText"/>
        <w:spacing w:line="310" w:lineRule="atLeast" w:before="33"/>
        <w:ind w:left="125" w:right="504"/>
        <w:jc w:val="left"/>
      </w:pPr>
      <w:r>
        <w:rPr/>
        <w:br w:type="column"/>
      </w:r>
      <w:r>
        <w:rPr/>
        <w:t>成都高新技 术产业开发</w:t>
      </w:r>
    </w:p>
    <w:p>
      <w:pPr>
        <w:pStyle w:val="BodyText"/>
        <w:spacing w:line="116" w:lineRule="exact"/>
        <w:ind w:left="0" w:right="0"/>
        <w:jc w:val="right"/>
      </w:pPr>
      <w:r>
        <w:rPr/>
        <w:t>补助</w:t>
      </w:r>
    </w:p>
    <w:p>
      <w:pPr>
        <w:pStyle w:val="BodyText"/>
        <w:spacing w:line="196" w:lineRule="exact"/>
        <w:ind w:left="125" w:right="-19"/>
        <w:jc w:val="left"/>
      </w:pPr>
      <w:r>
        <w:rPr/>
        <w:t>区经贸发展</w:t>
      </w:r>
    </w:p>
    <w:p>
      <w:pPr>
        <w:pStyle w:val="BodyText"/>
        <w:spacing w:line="240" w:lineRule="auto" w:before="77"/>
        <w:ind w:left="125" w:right="504"/>
        <w:jc w:val="left"/>
      </w:pPr>
      <w:r>
        <w:rPr/>
        <w:t>局</w:t>
      </w:r>
    </w:p>
    <w:p>
      <w:pPr>
        <w:pStyle w:val="BodyText"/>
        <w:spacing w:line="316" w:lineRule="auto" w:before="129"/>
        <w:ind w:left="181" w:right="-20"/>
        <w:jc w:val="left"/>
      </w:pPr>
      <w:r>
        <w:rPr/>
        <w:br w:type="column"/>
      </w:r>
      <w:r>
        <w:rPr/>
        <w:t>因从事国家 鼓励和扶持 </w:t>
      </w:r>
      <w:r>
        <w:rPr>
          <w:spacing w:val="-12"/>
        </w:rPr>
        <w:t>特定行业、产</w:t>
      </w:r>
      <w:r>
        <w:rPr/>
        <w:t> 业而获得的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pStyle w:val="BodyText"/>
        <w:tabs>
          <w:tab w:pos="1078" w:val="left" w:leader="none"/>
          <w:tab w:pos="3399" w:val="left" w:leader="none"/>
        </w:tabs>
        <w:spacing w:line="240" w:lineRule="auto"/>
        <w:ind w:left="15" w:right="0"/>
        <w:jc w:val="left"/>
      </w:pPr>
      <w:r>
        <w:rPr/>
        <w:t>否</w:t>
        <w:tab/>
        <w:t>否</w:t>
        <w:tab/>
      </w:r>
      <w:r>
        <w:rPr>
          <w:rFonts w:ascii="Times New Roman" w:hAnsi="Times New Roman" w:cs="Times New Roman" w:eastAsia="Times New Roman" w:hint="default"/>
        </w:rPr>
        <w:t>100,000.00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190" w:space="40"/>
            <w:col w:w="5526"/>
          </w:cols>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349.249969pt;width:52.75pt;height:23.4pt;mso-position-horizontal-relative:page;mso-position-vertical-relative:page;z-index:-917368" coordorigin="5394,6985" coordsize="1055,468">
            <v:shape style="position:absolute;left:5394;top:6985;width:1055;height:468" coordorigin="5394,6985" coordsize="1055,468" path="m5394,7453l6448,7453,6448,6985,5394,6985,5394,7453xe" filled="true" fillcolor="#ffffff" stroked="false">
              <v:path arrowok="t"/>
              <v:fill type="solid"/>
            </v:shape>
            <w10:wrap type="none"/>
          </v:group>
        </w:pict>
      </w:r>
      <w:r>
        <w:rPr/>
        <w:pict>
          <v:group style="position:absolute;margin-left:269.690002pt;margin-top:416.109985pt;width:52.75pt;height:46.8pt;mso-position-horizontal-relative:page;mso-position-vertical-relative:page;z-index:-917344" coordorigin="5394,8322" coordsize="1055,936">
            <v:shape style="position:absolute;left:5394;top:8322;width:1055;height:936" coordorigin="5394,8322" coordsize="1055,936" path="m5394,9258l6448,9258,6448,8322,5394,8322,5394,9258xe" filled="true" fillcolor="#ffffff" stroked="false">
              <v:path arrowok="t"/>
              <v:fill type="solid"/>
            </v:shape>
            <w10:wrap type="none"/>
          </v:group>
        </w:pict>
      </w:r>
      <w:r>
        <w:rPr/>
        <w:pict>
          <v:group style="position:absolute;margin-left:269.690002pt;margin-top:529.869995pt;width:52.75pt;height:23.4pt;mso-position-horizontal-relative:page;mso-position-vertical-relative:page;z-index:-917320" coordorigin="5394,10597" coordsize="1055,468">
            <v:shape style="position:absolute;left:5394;top:10597;width:1055;height:468" coordorigin="5394,10597" coordsize="1055,468" path="m5394,11065l6448,11065,6448,10597,5394,10597,5394,1106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兴政策</w:t>
            </w:r>
            <w:r>
              <w:rPr>
                <w:rFonts w:ascii="Times New Roman" w:hAnsi="Times New Roman" w:cs="Times New Roman" w:eastAsia="Times New Roman" w:hint="default"/>
                <w:sz w:val="18"/>
                <w:szCs w:val="18"/>
              </w:rPr>
              <w:t>--</w:t>
            </w:r>
            <w:r>
              <w:rPr>
                <w:rFonts w:ascii="宋体" w:hAnsi="宋体" w:cs="宋体" w:eastAsia="宋体" w:hint="default"/>
                <w:sz w:val="18"/>
                <w:szCs w:val="18"/>
              </w:rPr>
              <w:t>鼓 励企业上规 入库补贴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高新企业奖 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天津滨海高 新技术产业 开发区管理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上规企业政 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初创阶段创 新创业团队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绵阳市涪城 区人才工作 领导小组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 都市省级创 新项目配套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成都市版权 局计算机软 件著作权资 助经费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left"/>
              <w:rPr>
                <w:rFonts w:ascii="宋体" w:hAnsi="宋体" w:cs="宋体" w:eastAsia="宋体" w:hint="default"/>
                <w:sz w:val="18"/>
                <w:szCs w:val="18"/>
              </w:rPr>
            </w:pPr>
            <w:r>
              <w:rPr>
                <w:rFonts w:ascii="宋体" w:hAnsi="宋体" w:cs="宋体" w:eastAsia="宋体" w:hint="default"/>
                <w:sz w:val="18"/>
                <w:szCs w:val="18"/>
              </w:rPr>
              <w:t>成都市版权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33,560.00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成都市人力 资源和社会 保障局稳岗 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区人事劳动 和社会保障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31,368.96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129"/>
              <w:jc w:val="both"/>
              <w:rPr>
                <w:rFonts w:ascii="宋体" w:hAnsi="宋体" w:cs="宋体" w:eastAsia="宋体" w:hint="default"/>
                <w:sz w:val="18"/>
                <w:szCs w:val="18"/>
              </w:rPr>
            </w:pPr>
            <w:r>
              <w:rPr>
                <w:rFonts w:ascii="宋体" w:hAnsi="宋体" w:cs="宋体" w:eastAsia="宋体" w:hint="default"/>
                <w:sz w:val="18"/>
                <w:szCs w:val="18"/>
              </w:rPr>
              <w:t>重庆市人力 资源和社会 保障局财政</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重庆市人力 资源和社会 保障局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19"/>
              <w:jc w:val="both"/>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29,584.00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pStyle w:val="BodyText"/>
        <w:tabs>
          <w:tab w:pos="3374" w:val="left" w:leader="none"/>
        </w:tabs>
        <w:spacing w:line="240" w:lineRule="auto" w:before="161"/>
        <w:ind w:left="181" w:right="0"/>
        <w:jc w:val="left"/>
      </w:pPr>
      <w:r>
        <w:rPr/>
        <w:t>稳岗补贴费</w:t>
        <w:tab/>
        <w:t>业而获得的</w:t>
      </w:r>
    </w:p>
    <w:p>
      <w:pPr>
        <w:pStyle w:val="BodyText"/>
        <w:spacing w:line="316" w:lineRule="auto" w:before="76"/>
        <w:ind w:left="3374" w:right="5544"/>
        <w:jc w:val="left"/>
      </w:pPr>
      <w:r>
        <w:rPr>
          <w:spacing w:val="-12"/>
        </w:rPr>
        <w:t>补助（按国家</w:t>
      </w:r>
      <w:r>
        <w:rPr/>
        <w:t> 级政策规定 依法取得）</w:t>
      </w:r>
    </w:p>
    <w:p>
      <w:pPr>
        <w:spacing w:after="0" w:line="316" w:lineRule="auto"/>
        <w:jc w:val="left"/>
        <w:sectPr>
          <w:pgSz w:w="11910" w:h="16840"/>
          <w:pgMar w:header="745" w:footer="979" w:top="1060" w:bottom="1160" w:left="980" w:right="980"/>
        </w:sectPr>
      </w:pPr>
    </w:p>
    <w:p>
      <w:pPr>
        <w:spacing w:line="240" w:lineRule="auto" w:before="4"/>
        <w:rPr>
          <w:rFonts w:ascii="宋体" w:hAnsi="宋体" w:cs="宋体" w:eastAsia="宋体" w:hint="default"/>
          <w:sz w:val="20"/>
          <w:szCs w:val="20"/>
        </w:rPr>
      </w:pPr>
    </w:p>
    <w:p>
      <w:pPr>
        <w:pStyle w:val="BodyText"/>
        <w:spacing w:line="240" w:lineRule="auto"/>
        <w:ind w:left="181" w:right="-18"/>
        <w:jc w:val="left"/>
      </w:pPr>
      <w:r>
        <w:rPr/>
        <w:t>科委 </w:t>
      </w:r>
      <w:r>
        <w:rPr>
          <w:rFonts w:ascii="Times New Roman" w:hAnsi="Times New Roman" w:cs="Times New Roman" w:eastAsia="Times New Roman" w:hint="default"/>
        </w:rPr>
        <w:t>2015 </w:t>
      </w:r>
      <w:r>
        <w:rPr/>
        <w:t>年</w:t>
      </w:r>
      <w:r>
        <w:rPr>
          <w:spacing w:val="-61"/>
        </w:rPr>
        <w:t> </w:t>
      </w:r>
      <w:r>
        <w:rPr/>
        <w:t>大渡口区科</w:t>
      </w:r>
    </w:p>
    <w:p>
      <w:pPr>
        <w:pStyle w:val="BodyText"/>
        <w:spacing w:line="310" w:lineRule="atLeast" w:before="35"/>
        <w:ind w:left="181" w:right="5472"/>
        <w:jc w:val="left"/>
      </w:pPr>
      <w:r>
        <w:rPr/>
        <w:br w:type="column"/>
      </w:r>
      <w:r>
        <w:rPr/>
        <w:t>因研究开发、 技术更新及</w:t>
      </w:r>
    </w:p>
    <w:p>
      <w:pPr>
        <w:spacing w:after="0" w:line="310" w:lineRule="atLeast"/>
        <w:jc w:val="left"/>
        <w:sectPr>
          <w:type w:val="continuous"/>
          <w:pgSz w:w="11910" w:h="16840"/>
          <w:pgMar w:top="1060" w:bottom="1160" w:left="980" w:right="980"/>
          <w:cols w:num="2" w:equalWidth="0">
            <w:col w:w="2148" w:space="1045"/>
            <w:col w:w="6757"/>
          </w:cols>
        </w:sectPr>
      </w:pPr>
    </w:p>
    <w:p>
      <w:pPr>
        <w:pStyle w:val="BodyText"/>
        <w:spacing w:line="156" w:lineRule="exact"/>
        <w:ind w:left="181" w:right="-20"/>
        <w:jc w:val="left"/>
      </w:pPr>
      <w:r>
        <w:rPr/>
        <w:t>科技创新奖</w:t>
      </w:r>
    </w:p>
    <w:p>
      <w:pPr>
        <w:pStyle w:val="BodyText"/>
        <w:spacing w:line="240" w:lineRule="auto" w:before="76"/>
        <w:ind w:left="181" w:right="-20"/>
        <w:jc w:val="left"/>
      </w:pPr>
      <w:r>
        <w:rPr/>
        <w:t>励</w:t>
      </w:r>
    </w:p>
    <w:p>
      <w:pPr>
        <w:pStyle w:val="BodyText"/>
        <w:spacing w:line="156" w:lineRule="exact"/>
        <w:ind w:left="125" w:right="-19"/>
        <w:jc w:val="left"/>
      </w:pPr>
      <w:r>
        <w:rPr/>
        <w:br w:type="column"/>
      </w:r>
      <w:r>
        <w:rPr/>
        <w:t>学技术委员</w:t>
      </w:r>
      <w:r>
        <w:rPr>
          <w:spacing w:val="73"/>
        </w:rPr>
        <w:t> </w:t>
      </w:r>
      <w:r>
        <w:rPr/>
        <w:t>奖励</w:t>
      </w:r>
    </w:p>
    <w:p>
      <w:pPr>
        <w:pStyle w:val="BodyText"/>
        <w:spacing w:line="240" w:lineRule="auto" w:before="76"/>
        <w:ind w:left="125" w:right="504"/>
        <w:jc w:val="left"/>
      </w:pPr>
      <w:r>
        <w:rPr/>
        <w:t>会</w:t>
      </w:r>
    </w:p>
    <w:p>
      <w:pPr>
        <w:pStyle w:val="BodyText"/>
        <w:spacing w:line="316" w:lineRule="auto" w:before="76"/>
        <w:ind w:left="181" w:right="-20"/>
        <w:jc w:val="left"/>
      </w:pPr>
      <w:r>
        <w:rPr/>
        <w:br w:type="column"/>
      </w:r>
      <w:r>
        <w:rPr/>
        <w:t>改造等获得 的补助</w:t>
      </w:r>
    </w:p>
    <w:p>
      <w:pPr>
        <w:pStyle w:val="BodyText"/>
        <w:tabs>
          <w:tab w:pos="1186" w:val="left" w:leader="none"/>
          <w:tab w:pos="3599" w:val="left" w:leader="none"/>
        </w:tabs>
        <w:spacing w:line="170" w:lineRule="exact"/>
        <w:ind w:left="123" w:right="0"/>
        <w:jc w:val="left"/>
      </w:pPr>
      <w:r>
        <w:rPr/>
        <w:br w:type="column"/>
      </w:r>
      <w:r>
        <w:rPr/>
        <w:t>否</w:t>
        <w:tab/>
        <w:t>否</w:t>
        <w:tab/>
      </w:r>
      <w:r>
        <w:rPr>
          <w:rFonts w:ascii="Times New Roman" w:hAnsi="Times New Roman" w:cs="Times New Roman" w:eastAsia="Times New Roman" w:hint="default"/>
        </w:rPr>
        <w:t>20,000.00</w:t>
      </w:r>
      <w:r>
        <w:rPr>
          <w:rFonts w:ascii="Times New Roman" w:hAnsi="Times New Roman" w:cs="Times New Roman" w:eastAsia="Times New Roman" w:hint="default"/>
          <w:spacing w:val="7"/>
        </w:rPr>
        <w:t> </w:t>
      </w:r>
      <w:r>
        <w:rPr/>
        <w:t>与收益相关</w:t>
      </w:r>
    </w:p>
    <w:p>
      <w:pPr>
        <w:spacing w:after="0" w:line="170" w:lineRule="exact"/>
        <w:jc w:val="left"/>
        <w:sectPr>
          <w:type w:val="continuous"/>
          <w:pgSz w:w="11910" w:h="16840"/>
          <w:pgMar w:top="1060" w:bottom="1160" w:left="980" w:right="980"/>
          <w:cols w:num="4" w:equalWidth="0">
            <w:col w:w="1082" w:space="40"/>
            <w:col w:w="1550" w:space="522"/>
            <w:col w:w="1082" w:space="40"/>
            <w:col w:w="5634"/>
          </w:cols>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19" w:lineRule="auto"/>
        <w:ind w:left="181" w:right="-20"/>
        <w:jc w:val="left"/>
      </w:pPr>
      <w:r>
        <w:rPr/>
        <w:t>成熟软件企 业扶持补助</w:t>
      </w:r>
    </w:p>
    <w:p>
      <w:pPr>
        <w:spacing w:line="240" w:lineRule="auto" w:before="2"/>
        <w:rPr>
          <w:rFonts w:ascii="宋体" w:hAnsi="宋体" w:cs="宋体" w:eastAsia="宋体" w:hint="default"/>
          <w:sz w:val="20"/>
          <w:szCs w:val="20"/>
        </w:rPr>
      </w:pPr>
      <w:r>
        <w:rPr/>
        <w:br w:type="column"/>
      </w:r>
      <w:r>
        <w:rPr>
          <w:rFonts w:ascii="宋体"/>
          <w:sz w:val="20"/>
        </w:rPr>
      </w:r>
    </w:p>
    <w:p>
      <w:pPr>
        <w:pStyle w:val="BodyText"/>
        <w:spacing w:line="319" w:lineRule="auto"/>
        <w:ind w:left="125" w:right="-19"/>
        <w:jc w:val="left"/>
      </w:pPr>
      <w:r>
        <w:rPr/>
        <w:t>绵阳市涪城 区人才工作</w:t>
      </w:r>
      <w:r>
        <w:rPr>
          <w:spacing w:val="73"/>
        </w:rPr>
        <w:t> </w:t>
      </w:r>
      <w:r>
        <w:rPr/>
        <w:t>补助</w:t>
      </w:r>
      <w:r>
        <w:rPr/>
        <w:t> 领导小组</w:t>
      </w:r>
    </w:p>
    <w:p>
      <w:pPr>
        <w:pStyle w:val="BodyText"/>
        <w:spacing w:line="310" w:lineRule="atLeast" w:before="33"/>
        <w:ind w:left="181" w:right="5472"/>
        <w:jc w:val="left"/>
      </w:pPr>
      <w:r>
        <w:rPr/>
        <w:br w:type="column"/>
      </w:r>
      <w:r>
        <w:rPr/>
        <w:t>因研究开发、 技术更新及</w:t>
      </w:r>
    </w:p>
    <w:p>
      <w:pPr>
        <w:pStyle w:val="BodyText"/>
        <w:tabs>
          <w:tab w:pos="2308" w:val="left" w:leader="none"/>
          <w:tab w:pos="4720" w:val="left" w:leader="none"/>
        </w:tabs>
        <w:spacing w:line="123" w:lineRule="exact"/>
        <w:ind w:left="1244" w:right="0"/>
        <w:jc w:val="left"/>
      </w:pPr>
      <w:r>
        <w:rPr/>
        <w:t>否</w:t>
        <w:tab/>
        <w:t>否</w:t>
        <w:tab/>
      </w:r>
      <w:r>
        <w:rPr>
          <w:rFonts w:ascii="Times New Roman" w:hAnsi="Times New Roman" w:cs="Times New Roman" w:eastAsia="Times New Roman" w:hint="default"/>
        </w:rPr>
        <w:t>20,000.00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6" w:lineRule="auto" w:before="44"/>
        <w:ind w:left="181" w:right="-18"/>
        <w:jc w:val="left"/>
        <w:rPr>
          <w:rFonts w:ascii="Times New Roman" w:hAnsi="Times New Roman" w:cs="Times New Roman" w:eastAsia="Times New Roman" w:hint="default"/>
        </w:rPr>
      </w:pPr>
      <w:r>
        <w:rPr/>
        <w:t>成都高新技 术产业开发 区科技局 </w:t>
      </w:r>
      <w:r>
        <w:rPr>
          <w:rFonts w:ascii="Times New Roman" w:hAnsi="Times New Roman" w:cs="Times New Roman" w:eastAsia="Times New Roman" w:hint="default"/>
        </w:rPr>
        <w:t>2016 </w:t>
      </w:r>
      <w:r>
        <w:rPr/>
        <w:t>年第</w:t>
      </w:r>
      <w:r>
        <w:rPr>
          <w:spacing w:val="-45"/>
        </w:rPr>
        <w:t> </w:t>
      </w:r>
      <w:r>
        <w:rPr>
          <w:rFonts w:ascii="Times New Roman" w:hAnsi="Times New Roman" w:cs="Times New Roman" w:eastAsia="Times New Roman" w:hint="default"/>
        </w:rPr>
        <w:t>2</w:t>
      </w:r>
    </w:p>
    <w:p>
      <w:pPr>
        <w:pStyle w:val="BodyText"/>
        <w:spacing w:line="316" w:lineRule="auto"/>
        <w:ind w:left="181" w:right="-18"/>
        <w:jc w:val="left"/>
      </w:pPr>
      <w:r>
        <w:rPr/>
        <w:t>批知识产权 资助金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316" w:lineRule="auto"/>
        <w:ind w:left="124" w:right="-20"/>
        <w:jc w:val="left"/>
      </w:pPr>
      <w:r>
        <w:rPr/>
        <w:t>成都高新技 术产业开发</w:t>
      </w:r>
      <w:r>
        <w:rPr>
          <w:spacing w:val="73"/>
        </w:rPr>
        <w:t> </w:t>
      </w:r>
      <w:r>
        <w:rPr/>
        <w:t>补助</w:t>
      </w:r>
      <w:r>
        <w:rPr/>
        <w:t> 区科技局</w:t>
      </w:r>
    </w:p>
    <w:p>
      <w:pPr>
        <w:spacing w:line="240" w:lineRule="auto" w:before="7"/>
        <w:rPr>
          <w:rFonts w:ascii="宋体" w:hAnsi="宋体" w:cs="宋体" w:eastAsia="宋体" w:hint="default"/>
          <w:sz w:val="21"/>
          <w:szCs w:val="21"/>
        </w:rPr>
      </w:pPr>
      <w:r>
        <w:rPr/>
        <w:br w:type="column"/>
      </w:r>
      <w:r>
        <w:rPr>
          <w:rFonts w:ascii="宋体"/>
          <w:sz w:val="21"/>
        </w:rPr>
      </w:r>
    </w:p>
    <w:p>
      <w:pPr>
        <w:pStyle w:val="BodyText"/>
        <w:spacing w:line="310" w:lineRule="atLeast"/>
        <w:ind w:left="181" w:right="5472"/>
        <w:jc w:val="left"/>
      </w:pPr>
      <w:r>
        <w:rPr/>
        <w:t>因研究开发、 技术更新及</w:t>
      </w:r>
    </w:p>
    <w:p>
      <w:pPr>
        <w:pStyle w:val="BodyText"/>
        <w:tabs>
          <w:tab w:pos="2308" w:val="left" w:leader="none"/>
          <w:tab w:pos="4720" w:val="left" w:leader="none"/>
        </w:tabs>
        <w:spacing w:line="123" w:lineRule="exact"/>
        <w:ind w:left="1244" w:right="0"/>
        <w:jc w:val="left"/>
      </w:pPr>
      <w:r>
        <w:rPr/>
        <w:t>否</w:t>
        <w:tab/>
        <w:t>否</w:t>
        <w:tab/>
      </w:r>
      <w:r>
        <w:rPr>
          <w:rFonts w:ascii="Times New Roman" w:hAnsi="Times New Roman" w:cs="Times New Roman" w:eastAsia="Times New Roman" w:hint="default"/>
        </w:rPr>
        <w:t>15,800.00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4" w:space="40"/>
            <w:col w:w="1548" w:space="522"/>
            <w:col w:w="6756"/>
          </w:cols>
        </w:sectPr>
      </w:pPr>
    </w:p>
    <w:p>
      <w:pPr>
        <w:pStyle w:val="BodyText"/>
        <w:spacing w:line="314" w:lineRule="auto" w:before="107"/>
        <w:ind w:left="181" w:right="-18"/>
        <w:jc w:val="left"/>
      </w:pPr>
      <w:r>
        <w:rPr/>
        <w:t>成都高新技 术产业开发 区科技局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年火炬 计划统计企 业补贴专项 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9"/>
          <w:szCs w:val="19"/>
        </w:rPr>
      </w:pPr>
    </w:p>
    <w:p>
      <w:pPr>
        <w:pStyle w:val="BodyText"/>
        <w:spacing w:line="316" w:lineRule="auto"/>
        <w:ind w:left="77" w:right="-20"/>
        <w:jc w:val="left"/>
      </w:pPr>
      <w:r>
        <w:rPr/>
        <w:t>成都高新技 术产业开发</w:t>
      </w:r>
      <w:r>
        <w:rPr>
          <w:spacing w:val="73"/>
        </w:rPr>
        <w:t> </w:t>
      </w:r>
      <w:r>
        <w:rPr/>
        <w:t>补助</w:t>
      </w:r>
      <w:r>
        <w:rPr/>
        <w:t> 区科技局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0"/>
          <w:szCs w:val="20"/>
        </w:rPr>
      </w:pPr>
    </w:p>
    <w:p>
      <w:pPr>
        <w:pStyle w:val="BodyText"/>
        <w:spacing w:line="310" w:lineRule="atLeast"/>
        <w:ind w:left="181" w:right="5472"/>
        <w:jc w:val="left"/>
      </w:pPr>
      <w:r>
        <w:rPr/>
        <w:t>因研究开发、 技术更新及</w:t>
      </w:r>
    </w:p>
    <w:p>
      <w:pPr>
        <w:pStyle w:val="BodyText"/>
        <w:tabs>
          <w:tab w:pos="2308" w:val="left" w:leader="none"/>
          <w:tab w:pos="4720" w:val="left" w:leader="none"/>
        </w:tabs>
        <w:spacing w:line="123" w:lineRule="exact"/>
        <w:ind w:left="1244" w:right="0"/>
        <w:jc w:val="left"/>
      </w:pPr>
      <w:r>
        <w:rPr/>
        <w:t>否</w:t>
        <w:tab/>
        <w:t>否</w:t>
        <w:tab/>
      </w:r>
      <w:r>
        <w:rPr>
          <w:rFonts w:ascii="Times New Roman" w:hAnsi="Times New Roman" w:cs="Times New Roman" w:eastAsia="Times New Roman" w:hint="default"/>
        </w:rPr>
        <w:t>10,000.00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spacing w:line="240" w:lineRule="auto" w:before="6"/>
        <w:rPr>
          <w:rFonts w:ascii="宋体" w:hAnsi="宋体" w:cs="宋体" w:eastAsia="宋体" w:hint="default"/>
          <w:sz w:val="20"/>
          <w:szCs w:val="20"/>
        </w:rPr>
      </w:pPr>
    </w:p>
    <w:p>
      <w:pPr>
        <w:pStyle w:val="BodyText"/>
        <w:spacing w:line="309" w:lineRule="auto"/>
        <w:ind w:left="181" w:right="0"/>
        <w:jc w:val="both"/>
      </w:pPr>
      <w:r>
        <w:rPr/>
        <w:pict>
          <v:shape style="position:absolute;margin-left:56.639999pt;margin-top:41.777340pt;width:372.2pt;height:127.7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3"/>
                    <w:gridCol w:w="1064"/>
                    <w:gridCol w:w="1063"/>
                    <w:gridCol w:w="1061"/>
                    <w:gridCol w:w="1063"/>
                    <w:gridCol w:w="1063"/>
                  </w:tblGrid>
                  <w:tr>
                    <w:trPr>
                      <w:trHeight w:val="291" w:hRule="exact"/>
                    </w:trPr>
                    <w:tc>
                      <w:tcPr>
                        <w:tcW w:w="3193" w:type="dxa"/>
                        <w:gridSpan w:val="3"/>
                        <w:vMerge w:val="restart"/>
                        <w:tcBorders>
                          <w:top w:val="nil" w:sz="6" w:space="0" w:color="auto"/>
                          <w:left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Style w:val="TableParagraph"/>
                          <w:spacing w:line="180" w:lineRule="exact"/>
                          <w:ind w:left="28"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1" w:type="dxa"/>
                        <w:tcBorders>
                          <w:top w:val="nil" w:sz="6" w:space="0" w:color="auto"/>
                          <w:left w:val="nil" w:sz="6" w:space="0" w:color="auto"/>
                          <w:bottom w:val="single" w:sz="4" w:space="0" w:color="000000"/>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1063" w:type="dxa"/>
                        <w:vMerge w:val="restart"/>
                        <w:tcBorders>
                          <w:top w:val="nil" w:sz="6" w:space="0" w:color="auto"/>
                          <w:left w:val="nil" w:sz="6" w:space="0" w:color="auto"/>
                          <w:right w:val="nil" w:sz="6" w:space="0" w:color="auto"/>
                        </w:tcBorders>
                      </w:tcPr>
                      <w:p>
                        <w:pPr/>
                      </w:p>
                    </w:tc>
                  </w:tr>
                  <w:tr>
                    <w:trPr>
                      <w:trHeight w:val="356" w:hRule="exact"/>
                    </w:trPr>
                    <w:tc>
                      <w:tcPr>
                        <w:tcW w:w="3193" w:type="dxa"/>
                        <w:gridSpan w:val="3"/>
                        <w:vMerge/>
                        <w:tcBorders>
                          <w:left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1" w:type="dxa"/>
                        <w:tcBorders>
                          <w:top w:val="single" w:sz="4" w:space="0" w:color="000000"/>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312" w:hRule="exact"/>
                    </w:trPr>
                    <w:tc>
                      <w:tcPr>
                        <w:tcW w:w="3193" w:type="dxa"/>
                        <w:gridSpan w:val="3"/>
                        <w:vMerge/>
                        <w:tcBorders>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绵阳市就业</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绵阳市人力</w:t>
                        </w: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pacing w:val="-12"/>
                            <w:sz w:val="18"/>
                            <w:szCs w:val="18"/>
                          </w:rPr>
                          <w:t>特定行业、产</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vMerge/>
                        <w:tcBorders>
                          <w:left w:val="nil" w:sz="6" w:space="0" w:color="auto"/>
                          <w:right w:val="nil" w:sz="6" w:space="0" w:color="auto"/>
                        </w:tcBorders>
                      </w:tcPr>
                      <w:p>
                        <w:pPr/>
                      </w:p>
                    </w:tc>
                  </w:tr>
                  <w:tr>
                    <w:trPr>
                      <w:trHeight w:val="624"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135"/>
                          <w:jc w:val="left"/>
                          <w:rPr>
                            <w:rFonts w:ascii="宋体" w:hAnsi="宋体" w:cs="宋体" w:eastAsia="宋体" w:hint="default"/>
                            <w:sz w:val="18"/>
                            <w:szCs w:val="18"/>
                          </w:rPr>
                        </w:pPr>
                        <w:r>
                          <w:rPr>
                            <w:rFonts w:ascii="宋体" w:hAnsi="宋体" w:cs="宋体" w:eastAsia="宋体" w:hint="default"/>
                            <w:sz w:val="18"/>
                            <w:szCs w:val="18"/>
                          </w:rPr>
                          <w:t>服务管理局 稳岗补贴款</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132"/>
                          <w:jc w:val="left"/>
                          <w:rPr>
                            <w:rFonts w:ascii="宋体" w:hAnsi="宋体" w:cs="宋体" w:eastAsia="宋体" w:hint="default"/>
                            <w:sz w:val="18"/>
                            <w:szCs w:val="18"/>
                          </w:rPr>
                        </w:pPr>
                        <w:r>
                          <w:rPr>
                            <w:rFonts w:ascii="宋体" w:hAnsi="宋体" w:cs="宋体" w:eastAsia="宋体" w:hint="default"/>
                            <w:sz w:val="18"/>
                            <w:szCs w:val="18"/>
                          </w:rPr>
                          <w:t>资源和社会 保障局</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10"/>
                          <w:ind w:left="28" w:right="24"/>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nil" w:sz="6" w:space="0" w:color="auto"/>
                          <w:bottom w:val="nil" w:sz="6" w:space="0" w:color="auto"/>
                          <w:right w:val="nil" w:sz="6" w:space="0" w:color="auto"/>
                        </w:tcBorders>
                      </w:tcPr>
                      <w:p>
                        <w:pPr/>
                      </w:p>
                    </w:tc>
                  </w:tr>
                  <w:tr>
                    <w:trPr>
                      <w:trHeight w:val="312" w:hRule="exact"/>
                    </w:trPr>
                    <w:tc>
                      <w:tcPr>
                        <w:tcW w:w="106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r>
                    <w:trPr>
                      <w:trHeight w:val="346" w:hRule="exact"/>
                    </w:trPr>
                    <w:tc>
                      <w:tcPr>
                        <w:tcW w:w="1066"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1"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年火炬 计划企业补 贴专项资金</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16" w:lineRule="auto"/>
        <w:ind w:left="77" w:right="-20"/>
        <w:jc w:val="left"/>
      </w:pPr>
      <w:r>
        <w:rPr/>
        <w:t>成都高新技 术产业开发</w:t>
      </w:r>
      <w:r>
        <w:rPr>
          <w:spacing w:val="73"/>
        </w:rPr>
        <w:t> </w:t>
      </w:r>
      <w:r>
        <w:rPr/>
        <w:t>补助</w:t>
      </w:r>
      <w:r>
        <w:rPr/>
        <w:t> 区科技局局</w:t>
      </w:r>
    </w:p>
    <w:p>
      <w:pPr>
        <w:pStyle w:val="BodyText"/>
        <w:spacing w:line="310" w:lineRule="atLeast" w:before="37"/>
        <w:ind w:left="181" w:right="5472"/>
        <w:jc w:val="left"/>
      </w:pPr>
      <w:r>
        <w:rPr/>
        <w:br w:type="column"/>
      </w:r>
      <w:r>
        <w:rPr/>
        <w:t>因研究开发、 技术更新及</w:t>
      </w:r>
    </w:p>
    <w:p>
      <w:pPr>
        <w:pStyle w:val="BodyText"/>
        <w:tabs>
          <w:tab w:pos="2308" w:val="left" w:leader="none"/>
          <w:tab w:pos="4720" w:val="left" w:leader="none"/>
        </w:tabs>
        <w:spacing w:line="123" w:lineRule="exact"/>
        <w:ind w:left="1244" w:right="0"/>
        <w:jc w:val="left"/>
      </w:pPr>
      <w:r>
        <w:rPr/>
        <w:t>否</w:t>
        <w:tab/>
        <w:t>否</w:t>
        <w:tab/>
      </w:r>
      <w:r>
        <w:rPr>
          <w:rFonts w:ascii="Times New Roman" w:hAnsi="Times New Roman" w:cs="Times New Roman" w:eastAsia="Times New Roman" w:hint="default"/>
        </w:rPr>
        <w:t>10,000.00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spacing w:after="0" w:line="189" w:lineRule="exact"/>
        <w:jc w:val="left"/>
        <w:sectPr>
          <w:type w:val="continuous"/>
          <w:pgSz w:w="11910" w:h="16840"/>
          <w:pgMar w:top="1060" w:bottom="1160" w:left="980" w:right="980"/>
          <w:cols w:num="3" w:equalWidth="0">
            <w:col w:w="1131" w:space="40"/>
            <w:col w:w="1501" w:space="522"/>
            <w:col w:w="675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left="0" w:right="355"/>
        <w:jc w:val="right"/>
      </w:pPr>
      <w:r>
        <w:rPr>
          <w:rFonts w:ascii="Times New Roman" w:hAnsi="Times New Roman" w:cs="Times New Roman" w:eastAsia="Times New Roman" w:hint="default"/>
        </w:rPr>
        <w:t>6,742.00</w:t>
      </w:r>
      <w:r>
        <w:rPr>
          <w:rFonts w:ascii="Times New Roman" w:hAnsi="Times New Roman" w:cs="Times New Roman" w:eastAsia="Times New Roman" w:hint="default"/>
          <w:spacing w:val="9"/>
        </w:rPr>
        <w:t> </w:t>
      </w:r>
      <w:r>
        <w:rPr/>
        <w:t>与收益相关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060" w:bottom="1160" w:left="980" w:right="980"/>
        </w:sectPr>
      </w:pPr>
    </w:p>
    <w:p>
      <w:pPr>
        <w:pStyle w:val="BodyText"/>
        <w:spacing w:line="316" w:lineRule="auto" w:before="44"/>
        <w:ind w:left="181" w:right="0"/>
        <w:jc w:val="both"/>
      </w:pPr>
      <w:r>
        <w:rPr/>
        <w:t>成都市知识 产权服务中 心专利资助 款</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成都市知识 产权服务中</w:t>
      </w:r>
      <w:r>
        <w:rPr>
          <w:spacing w:val="73"/>
        </w:rPr>
        <w:t> </w:t>
      </w:r>
      <w:r>
        <w:rPr/>
        <w:t>补助</w:t>
      </w:r>
      <w:r>
        <w:rPr/>
        <w:t> 心</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4,350.00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pStyle w:val="BodyText"/>
        <w:spacing w:line="316" w:lineRule="auto" w:before="108"/>
        <w:ind w:left="181" w:right="-20"/>
        <w:jc w:val="left"/>
      </w:pPr>
      <w:r>
        <w:rPr/>
        <w:pict>
          <v:group style="position:absolute;margin-left:56.400002pt;margin-top:71.759979pt;width:479.05pt;height:692.8pt;mso-position-horizontal-relative:page;mso-position-vertical-relative:page;z-index:-917296" coordorigin="1128,1435" coordsize="9581,13856">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2748;width:1055;height:468" coordorigin="5394,2748" coordsize="1055,468">
              <v:shape style="position:absolute;left:5394;top:2748;width:1055;height:468" coordorigin="5394,2748" coordsize="1055,468" path="m5394,3216l6448,3216,6448,2748,5394,2748,5394,3216xe" filled="true" fillcolor="#ffffff" stroked="false">
                <v:path arrowok="t"/>
                <v:fill type="solid"/>
              </v:shape>
            </v:group>
            <v:group style="position:absolute;left:1138;top:2744;width:1057;height:2" coordorigin="1138,2744" coordsize="1057,2">
              <v:shape style="position:absolute;left:1138;top:2744;width:1057;height:2" coordorigin="1138,2744" coordsize="1057,0" path="m1138,2744l2194,2744e" filled="false" stroked="true" strokeweight=".48pt" strokecolor="#000000">
                <v:path arrowok="t"/>
              </v:shape>
            </v:group>
            <v:group style="position:absolute;left:2204;top:2744;width:1054;height:2" coordorigin="2204,2744" coordsize="1054,2">
              <v:shape style="position:absolute;left:2204;top:2744;width:1054;height:2" coordorigin="2204,2744" coordsize="1054,0" path="m2204,2744l3257,2744e" filled="false" stroked="true" strokeweight=".48pt" strokecolor="#000000">
                <v:path arrowok="t"/>
              </v:shape>
            </v:group>
            <v:group style="position:absolute;left:3267;top:2744;width:1055;height:2" coordorigin="3267,2744" coordsize="1055,2">
              <v:shape style="position:absolute;left:3267;top:2744;width:1055;height:2" coordorigin="3267,2744" coordsize="1055,0" path="m3267,2744l4321,2744e" filled="false" stroked="true" strokeweight=".48pt" strokecolor="#000000">
                <v:path arrowok="t"/>
              </v:shape>
            </v:group>
            <v:group style="position:absolute;left:4331;top:2744;width:1054;height:2" coordorigin="4331,2744" coordsize="1054,2">
              <v:shape style="position:absolute;left:4331;top:2744;width:1054;height:2" coordorigin="4331,2744" coordsize="1054,0" path="m4331,2744l5384,2744e" filled="false" stroked="true" strokeweight=".48pt" strokecolor="#000000">
                <v:path arrowok="t"/>
              </v:shape>
            </v:group>
            <v:group style="position:absolute;left:5394;top:2744;width:1052;height:2" coordorigin="5394,2744" coordsize="1052,2">
              <v:shape style="position:absolute;left:5394;top:2744;width:1052;height:2" coordorigin="5394,2744" coordsize="1052,0" path="m5394,2744l6445,2744e" filled="false" stroked="true" strokeweight=".48pt" strokecolor="#000000">
                <v:path arrowok="t"/>
              </v:shape>
            </v:group>
            <v:group style="position:absolute;left:6455;top:2744;width:1054;height:2" coordorigin="6455,2744" coordsize="1054,2">
              <v:shape style="position:absolute;left:6455;top:2744;width:1054;height:2" coordorigin="6455,2744" coordsize="1054,0" path="m6455,2744l7509,2744e" filled="false" stroked="true" strokeweight=".48pt" strokecolor="#000000">
                <v:path arrowok="t"/>
              </v:shape>
            </v:group>
            <v:group style="position:absolute;left:7518;top:2744;width:1054;height:2" coordorigin="7518,2744" coordsize="1054,2">
              <v:shape style="position:absolute;left:7518;top:2744;width:1054;height:2" coordorigin="7518,2744" coordsize="1054,0" path="m7518,2744l8572,2744e" filled="false" stroked="true" strokeweight=".48pt" strokecolor="#000000">
                <v:path arrowok="t"/>
              </v:shape>
            </v:group>
            <v:group style="position:absolute;left:8581;top:2744;width:1055;height:2" coordorigin="8581,2744" coordsize="1055,2">
              <v:shape style="position:absolute;left:8581;top:2744;width:1055;height:2" coordorigin="8581,2744" coordsize="1055,0" path="m8581,2744l9635,2744e" filled="false" stroked="true" strokeweight=".48pt" strokecolor="#000000">
                <v:path arrowok="t"/>
              </v:shape>
            </v:group>
            <v:group style="position:absolute;left:9645;top:2744;width:1054;height:2" coordorigin="9645,2744" coordsize="1054,2">
              <v:shape style="position:absolute;left:9645;top:2744;width:1054;height:2" coordorigin="9645,2744" coordsize="1054,0" path="m9645,2744l10699,2744e" filled="false" stroked="true" strokeweight=".48pt" strokecolor="#000000">
                <v:path arrowok="t"/>
              </v:shape>
            </v:group>
            <v:group style="position:absolute;left:5394;top:4085;width:1055;height:468" coordorigin="5394,4085" coordsize="1055,468">
              <v:shape style="position:absolute;left:5394;top:4085;width:1055;height:468" coordorigin="5394,4085" coordsize="1055,468" path="m5394,4553l6448,4553,6448,4085,5394,4085,5394,4553xe" filled="true" fillcolor="#ffffff" stroked="false">
                <v:path arrowok="t"/>
                <v:fill type="solid"/>
              </v:shape>
            </v:group>
            <v:group style="position:absolute;left:1138;top:4080;width:1057;height:2" coordorigin="1138,4080" coordsize="1057,2">
              <v:shape style="position:absolute;left:1138;top:4080;width:1057;height:2" coordorigin="1138,4080" coordsize="1057,0" path="m1138,4080l2194,4080e" filled="false" stroked="true" strokeweight=".48001pt" strokecolor="#000000">
                <v:path arrowok="t"/>
              </v:shape>
            </v:group>
            <v:group style="position:absolute;left:2204;top:4080;width:1054;height:2" coordorigin="2204,4080" coordsize="1054,2">
              <v:shape style="position:absolute;left:2204;top:4080;width:1054;height:2" coordorigin="2204,4080" coordsize="1054,0" path="m2204,4080l3257,4080e" filled="false" stroked="true" strokeweight=".48001pt" strokecolor="#000000">
                <v:path arrowok="t"/>
              </v:shape>
            </v:group>
            <v:group style="position:absolute;left:3267;top:4080;width:1055;height:2" coordorigin="3267,4080" coordsize="1055,2">
              <v:shape style="position:absolute;left:3267;top:4080;width:1055;height:2" coordorigin="3267,4080" coordsize="1055,0" path="m3267,4080l4321,4080e" filled="false" stroked="true" strokeweight=".48001pt" strokecolor="#000000">
                <v:path arrowok="t"/>
              </v:shape>
            </v:group>
            <v:group style="position:absolute;left:4331;top:4080;width:1054;height:2" coordorigin="4331,4080" coordsize="1054,2">
              <v:shape style="position:absolute;left:4331;top:4080;width:1054;height:2" coordorigin="4331,4080" coordsize="1054,0" path="m4331,4080l5384,4080e" filled="false" stroked="true" strokeweight=".48001pt" strokecolor="#000000">
                <v:path arrowok="t"/>
              </v:shape>
            </v:group>
            <v:group style="position:absolute;left:5394;top:4080;width:1052;height:2" coordorigin="5394,4080" coordsize="1052,2">
              <v:shape style="position:absolute;left:5394;top:4080;width:1052;height:2" coordorigin="5394,4080" coordsize="1052,0" path="m5394,4080l6445,4080e" filled="false" stroked="true" strokeweight=".48001pt" strokecolor="#000000">
                <v:path arrowok="t"/>
              </v:shape>
            </v:group>
            <v:group style="position:absolute;left:6455;top:4080;width:1054;height:2" coordorigin="6455,4080" coordsize="1054,2">
              <v:shape style="position:absolute;left:6455;top:4080;width:1054;height:2" coordorigin="6455,4080" coordsize="1054,0" path="m6455,4080l7509,4080e" filled="false" stroked="true" strokeweight=".48001pt" strokecolor="#000000">
                <v:path arrowok="t"/>
              </v:shape>
            </v:group>
            <v:group style="position:absolute;left:7518;top:4080;width:1054;height:2" coordorigin="7518,4080" coordsize="1054,2">
              <v:shape style="position:absolute;left:7518;top:4080;width:1054;height:2" coordorigin="7518,4080" coordsize="1054,0" path="m7518,4080l8572,4080e" filled="false" stroked="true" strokeweight=".48001pt" strokecolor="#000000">
                <v:path arrowok="t"/>
              </v:shape>
            </v:group>
            <v:group style="position:absolute;left:8581;top:4080;width:1055;height:2" coordorigin="8581,4080" coordsize="1055,2">
              <v:shape style="position:absolute;left:8581;top:4080;width:1055;height:2" coordorigin="8581,4080" coordsize="1055,0" path="m8581,4080l9635,4080e" filled="false" stroked="true" strokeweight=".48001pt" strokecolor="#000000">
                <v:path arrowok="t"/>
              </v:shape>
            </v:group>
            <v:group style="position:absolute;left:9645;top:4080;width:1054;height:2" coordorigin="9645,4080" coordsize="1054,2">
              <v:shape style="position:absolute;left:9645;top:4080;width:1054;height:2" coordorigin="9645,4080" coordsize="1054,0" path="m9645,4080l10699,4080e" filled="false" stroked="true" strokeweight=".48001pt" strokecolor="#000000">
                <v:path arrowok="t"/>
              </v:shape>
            </v:group>
            <v:group style="position:absolute;left:5394;top:5425;width:1055;height:780" coordorigin="5394,5425" coordsize="1055,780">
              <v:shape style="position:absolute;left:5394;top:5425;width:1055;height:780" coordorigin="5394,5425" coordsize="1055,780" path="m5394,6205l6448,6205,6448,5425,5394,5425,5394,6205xe" filled="true" fillcolor="#ffffff" stroked="false">
                <v:path arrowok="t"/>
                <v:fill type="solid"/>
              </v:shape>
            </v:group>
            <v:group style="position:absolute;left:1138;top:5420;width:1057;height:2" coordorigin="1138,5420" coordsize="1057,2">
              <v:shape style="position:absolute;left:1138;top:5420;width:1057;height:2" coordorigin="1138,5420" coordsize="1057,0" path="m1138,5420l2194,5420e" filled="false" stroked="true" strokeweight=".48001pt" strokecolor="#000000">
                <v:path arrowok="t"/>
              </v:shape>
            </v:group>
            <v:group style="position:absolute;left:2204;top:5420;width:1054;height:2" coordorigin="2204,5420" coordsize="1054,2">
              <v:shape style="position:absolute;left:2204;top:5420;width:1054;height:2" coordorigin="2204,5420" coordsize="1054,0" path="m2204,5420l3257,5420e" filled="false" stroked="true" strokeweight=".48001pt" strokecolor="#000000">
                <v:path arrowok="t"/>
              </v:shape>
            </v:group>
            <v:group style="position:absolute;left:3267;top:5420;width:1055;height:2" coordorigin="3267,5420" coordsize="1055,2">
              <v:shape style="position:absolute;left:3267;top:5420;width:1055;height:2" coordorigin="3267,5420" coordsize="1055,0" path="m3267,5420l4321,5420e" filled="false" stroked="true" strokeweight=".48001pt" strokecolor="#000000">
                <v:path arrowok="t"/>
              </v:shape>
            </v:group>
            <v:group style="position:absolute;left:4331;top:5420;width:1054;height:2" coordorigin="4331,5420" coordsize="1054,2">
              <v:shape style="position:absolute;left:4331;top:5420;width:1054;height:2" coordorigin="4331,5420" coordsize="1054,0" path="m4331,5420l5384,5420e" filled="false" stroked="true" strokeweight=".48001pt" strokecolor="#000000">
                <v:path arrowok="t"/>
              </v:shape>
            </v:group>
            <v:group style="position:absolute;left:5394;top:5420;width:1052;height:2" coordorigin="5394,5420" coordsize="1052,2">
              <v:shape style="position:absolute;left:5394;top:5420;width:1052;height:2" coordorigin="5394,5420" coordsize="1052,0" path="m5394,5420l6445,5420e" filled="false" stroked="true" strokeweight=".48001pt" strokecolor="#000000">
                <v:path arrowok="t"/>
              </v:shape>
            </v:group>
            <v:group style="position:absolute;left:6455;top:5420;width:1054;height:2" coordorigin="6455,5420" coordsize="1054,2">
              <v:shape style="position:absolute;left:6455;top:5420;width:1054;height:2" coordorigin="6455,5420" coordsize="1054,0" path="m6455,5420l7509,5420e" filled="false" stroked="true" strokeweight=".48001pt" strokecolor="#000000">
                <v:path arrowok="t"/>
              </v:shape>
            </v:group>
            <v:group style="position:absolute;left:7518;top:5420;width:1054;height:2" coordorigin="7518,5420" coordsize="1054,2">
              <v:shape style="position:absolute;left:7518;top:5420;width:1054;height:2" coordorigin="7518,5420" coordsize="1054,0" path="m7518,5420l8572,5420e" filled="false" stroked="true" strokeweight=".48001pt" strokecolor="#000000">
                <v:path arrowok="t"/>
              </v:shape>
            </v:group>
            <v:group style="position:absolute;left:8581;top:5420;width:1055;height:2" coordorigin="8581,5420" coordsize="1055,2">
              <v:shape style="position:absolute;left:8581;top:5420;width:1055;height:2" coordorigin="8581,5420" coordsize="1055,0" path="m8581,5420l9635,5420e" filled="false" stroked="true" strokeweight=".48001pt" strokecolor="#000000">
                <v:path arrowok="t"/>
              </v:shape>
            </v:group>
            <v:group style="position:absolute;left:9645;top:5420;width:1054;height:2" coordorigin="9645,5420" coordsize="1054,2">
              <v:shape style="position:absolute;left:9645;top:5420;width:1054;height:2" coordorigin="9645,5420" coordsize="1054,0" path="m9645,5420l10699,5420e" filled="false" stroked="true" strokeweight=".48001pt" strokecolor="#000000">
                <v:path arrowok="t"/>
              </v:shape>
            </v:group>
            <v:group style="position:absolute;left:5394;top:7386;width:1055;height:937" coordorigin="5394,7386" coordsize="1055,937">
              <v:shape style="position:absolute;left:5394;top:7386;width:1055;height:937" coordorigin="5394,7386" coordsize="1055,937" path="m5394,8322l6448,8322,6448,7386,5394,7386,5394,8322xe" filled="true" fillcolor="#ffffff" stroked="false">
                <v:path arrowok="t"/>
                <v:fill type="solid"/>
              </v:shape>
            </v:group>
            <v:group style="position:absolute;left:1138;top:7381;width:1057;height:2" coordorigin="1138,7381" coordsize="1057,2">
              <v:shape style="position:absolute;left:1138;top:7381;width:1057;height:2" coordorigin="1138,7381" coordsize="1057,0" path="m1138,7381l2194,7381e" filled="false" stroked="true" strokeweight=".47998pt" strokecolor="#000000">
                <v:path arrowok="t"/>
              </v:shape>
            </v:group>
            <v:group style="position:absolute;left:2204;top:7381;width:1054;height:2" coordorigin="2204,7381" coordsize="1054,2">
              <v:shape style="position:absolute;left:2204;top:7381;width:1054;height:2" coordorigin="2204,7381" coordsize="1054,0" path="m2204,7381l3257,7381e" filled="false" stroked="true" strokeweight=".47998pt" strokecolor="#000000">
                <v:path arrowok="t"/>
              </v:shape>
            </v:group>
            <v:group style="position:absolute;left:3267;top:7381;width:1055;height:2" coordorigin="3267,7381" coordsize="1055,2">
              <v:shape style="position:absolute;left:3267;top:7381;width:1055;height:2" coordorigin="3267,7381" coordsize="1055,0" path="m3267,7381l4321,7381e" filled="false" stroked="true" strokeweight=".47998pt" strokecolor="#000000">
                <v:path arrowok="t"/>
              </v:shape>
            </v:group>
            <v:group style="position:absolute;left:4331;top:7381;width:1054;height:2" coordorigin="4331,7381" coordsize="1054,2">
              <v:shape style="position:absolute;left:4331;top:7381;width:1054;height:2" coordorigin="4331,7381" coordsize="1054,0" path="m4331,7381l5384,7381e" filled="false" stroked="true" strokeweight=".47998pt" strokecolor="#000000">
                <v:path arrowok="t"/>
              </v:shape>
            </v:group>
            <v:group style="position:absolute;left:5394;top:7381;width:1052;height:2" coordorigin="5394,7381" coordsize="1052,2">
              <v:shape style="position:absolute;left:5394;top:7381;width:1052;height:2" coordorigin="5394,7381" coordsize="1052,0" path="m5394,7381l6445,7381e" filled="false" stroked="true" strokeweight=".47998pt" strokecolor="#000000">
                <v:path arrowok="t"/>
              </v:shape>
            </v:group>
            <v:group style="position:absolute;left:6455;top:7381;width:1054;height:2" coordorigin="6455,7381" coordsize="1054,2">
              <v:shape style="position:absolute;left:6455;top:7381;width:1054;height:2" coordorigin="6455,7381" coordsize="1054,0" path="m6455,7381l7509,7381e" filled="false" stroked="true" strokeweight=".47998pt" strokecolor="#000000">
                <v:path arrowok="t"/>
              </v:shape>
            </v:group>
            <v:group style="position:absolute;left:7518;top:7381;width:1054;height:2" coordorigin="7518,7381" coordsize="1054,2">
              <v:shape style="position:absolute;left:7518;top:7381;width:1054;height:2" coordorigin="7518,7381" coordsize="1054,0" path="m7518,7381l8572,7381e" filled="false" stroked="true" strokeweight=".47998pt" strokecolor="#000000">
                <v:path arrowok="t"/>
              </v:shape>
            </v:group>
            <v:group style="position:absolute;left:8581;top:7381;width:1055;height:2" coordorigin="8581,7381" coordsize="1055,2">
              <v:shape style="position:absolute;left:8581;top:7381;width:1055;height:2" coordorigin="8581,7381" coordsize="1055,0" path="m8581,7381l9635,7381e" filled="false" stroked="true" strokeweight=".47998pt" strokecolor="#000000">
                <v:path arrowok="t"/>
              </v:shape>
            </v:group>
            <v:group style="position:absolute;left:9645;top:7381;width:1054;height:2" coordorigin="9645,7381" coordsize="1054,2">
              <v:shape style="position:absolute;left:9645;top:7381;width:1054;height:2" coordorigin="9645,7381" coordsize="1054,0" path="m9645,7381l10699,7381e" filled="false" stroked="true" strokeweight=".47998pt" strokecolor="#000000">
                <v:path arrowok="t"/>
              </v:shape>
            </v:group>
            <v:group style="position:absolute;left:5394;top:9661;width:1055;height:468" coordorigin="5394,9661" coordsize="1055,468">
              <v:shape style="position:absolute;left:5394;top:9661;width:1055;height:468" coordorigin="5394,9661" coordsize="1055,468" path="m5394,10129l6448,10129,6448,9661,5394,9661,5394,10129xe" filled="true" fillcolor="#ffffff" stroked="false">
                <v:path arrowok="t"/>
                <v:fill type="solid"/>
              </v:shape>
            </v:group>
            <v:group style="position:absolute;left:1138;top:9657;width:1057;height:2" coordorigin="1138,9657" coordsize="1057,2">
              <v:shape style="position:absolute;left:1138;top:9657;width:1057;height:2" coordorigin="1138,9657" coordsize="1057,0" path="m1138,9657l2194,9657e" filled="false" stroked="true" strokeweight=".47998pt" strokecolor="#000000">
                <v:path arrowok="t"/>
              </v:shape>
            </v:group>
            <v:group style="position:absolute;left:2204;top:9657;width:1054;height:2" coordorigin="2204,9657" coordsize="1054,2">
              <v:shape style="position:absolute;left:2204;top:9657;width:1054;height:2" coordorigin="2204,9657" coordsize="1054,0" path="m2204,9657l3257,9657e" filled="false" stroked="true" strokeweight=".47998pt" strokecolor="#000000">
                <v:path arrowok="t"/>
              </v:shape>
            </v:group>
            <v:group style="position:absolute;left:3267;top:9657;width:1055;height:2" coordorigin="3267,9657" coordsize="1055,2">
              <v:shape style="position:absolute;left:3267;top:9657;width:1055;height:2" coordorigin="3267,9657" coordsize="1055,0" path="m3267,9657l4321,9657e" filled="false" stroked="true" strokeweight=".47998pt" strokecolor="#000000">
                <v:path arrowok="t"/>
              </v:shape>
            </v:group>
            <v:group style="position:absolute;left:4331;top:9657;width:1054;height:2" coordorigin="4331,9657" coordsize="1054,2">
              <v:shape style="position:absolute;left:4331;top:9657;width:1054;height:2" coordorigin="4331,9657" coordsize="1054,0" path="m4331,9657l5384,9657e" filled="false" stroked="true" strokeweight=".47998pt" strokecolor="#000000">
                <v:path arrowok="t"/>
              </v:shape>
            </v:group>
            <v:group style="position:absolute;left:5394;top:9657;width:1052;height:2" coordorigin="5394,9657" coordsize="1052,2">
              <v:shape style="position:absolute;left:5394;top:9657;width:1052;height:2" coordorigin="5394,9657" coordsize="1052,0" path="m5394,9657l6445,9657e" filled="false" stroked="true" strokeweight=".47998pt" strokecolor="#000000">
                <v:path arrowok="t"/>
              </v:shape>
            </v:group>
            <v:group style="position:absolute;left:6455;top:9657;width:1054;height:2" coordorigin="6455,9657" coordsize="1054,2">
              <v:shape style="position:absolute;left:6455;top:9657;width:1054;height:2" coordorigin="6455,9657" coordsize="1054,0" path="m6455,9657l7509,9657e" filled="false" stroked="true" strokeweight=".47998pt" strokecolor="#000000">
                <v:path arrowok="t"/>
              </v:shape>
            </v:group>
            <v:group style="position:absolute;left:7518;top:9657;width:1054;height:2" coordorigin="7518,9657" coordsize="1054,2">
              <v:shape style="position:absolute;left:7518;top:9657;width:1054;height:2" coordorigin="7518,9657" coordsize="1054,0" path="m7518,9657l8572,9657e" filled="false" stroked="true" strokeweight=".47998pt" strokecolor="#000000">
                <v:path arrowok="t"/>
              </v:shape>
            </v:group>
            <v:group style="position:absolute;left:8581;top:9657;width:1055;height:2" coordorigin="8581,9657" coordsize="1055,2">
              <v:shape style="position:absolute;left:8581;top:9657;width:1055;height:2" coordorigin="8581,9657" coordsize="1055,0" path="m8581,9657l9635,9657e" filled="false" stroked="true" strokeweight=".47998pt" strokecolor="#000000">
                <v:path arrowok="t"/>
              </v:shape>
            </v:group>
            <v:group style="position:absolute;left:9645;top:9657;width:1054;height:2" coordorigin="9645,9657" coordsize="1054,2">
              <v:shape style="position:absolute;left:9645;top:9657;width:1054;height:2" coordorigin="9645,9657" coordsize="1054,0" path="m9645,9657l10699,9657e" filled="false" stroked="true" strokeweight=".47998pt" strokecolor="#000000">
                <v:path arrowok="t"/>
              </v:shape>
            </v:group>
            <v:group style="position:absolute;left:5394;top:13274;width:1055;height:468" coordorigin="5394,13274" coordsize="1055,468">
              <v:shape style="position:absolute;left:5394;top:13274;width:1055;height:468" coordorigin="5394,13274" coordsize="1055,468" path="m5394,13742l6448,13742,6448,13274,5394,13274,5394,13742xe" filled="true" fillcolor="#ffffff" stroked="false">
                <v:path arrowok="t"/>
                <v:fill type="solid"/>
              </v:shape>
            </v:group>
            <v:group style="position:absolute;left:1138;top:13269;width:1057;height:2" coordorigin="1138,13269" coordsize="1057,2">
              <v:shape style="position:absolute;left:1138;top:13269;width:1057;height:2" coordorigin="1138,13269" coordsize="1057,0" path="m1138,13269l2194,13269e" filled="false" stroked="true" strokeweight=".47998pt" strokecolor="#000000">
                <v:path arrowok="t"/>
              </v:shape>
            </v:group>
            <v:group style="position:absolute;left:2204;top:13269;width:1054;height:2" coordorigin="2204,13269" coordsize="1054,2">
              <v:shape style="position:absolute;left:2204;top:13269;width:1054;height:2" coordorigin="2204,13269" coordsize="1054,0" path="m2204,13269l3257,13269e" filled="false" stroked="true" strokeweight=".47998pt" strokecolor="#000000">
                <v:path arrowok="t"/>
              </v:shape>
            </v:group>
            <v:group style="position:absolute;left:3267;top:13269;width:1055;height:2" coordorigin="3267,13269" coordsize="1055,2">
              <v:shape style="position:absolute;left:3267;top:13269;width:1055;height:2" coordorigin="3267,13269" coordsize="1055,0" path="m3267,13269l4321,13269e" filled="false" stroked="true" strokeweight=".47998pt" strokecolor="#000000">
                <v:path arrowok="t"/>
              </v:shape>
            </v:group>
            <v:group style="position:absolute;left:4331;top:13269;width:1054;height:2" coordorigin="4331,13269" coordsize="1054,2">
              <v:shape style="position:absolute;left:4331;top:13269;width:1054;height:2" coordorigin="4331,13269" coordsize="1054,0" path="m4331,13269l5384,13269e" filled="false" stroked="true" strokeweight=".47998pt" strokecolor="#000000">
                <v:path arrowok="t"/>
              </v:shape>
            </v:group>
            <v:group style="position:absolute;left:5394;top:13269;width:1052;height:2" coordorigin="5394,13269" coordsize="1052,2">
              <v:shape style="position:absolute;left:5394;top:13269;width:1052;height:2" coordorigin="5394,13269" coordsize="1052,0" path="m5394,13269l6445,13269e" filled="false" stroked="true" strokeweight=".47998pt" strokecolor="#000000">
                <v:path arrowok="t"/>
              </v:shape>
            </v:group>
            <v:group style="position:absolute;left:6455;top:13269;width:1054;height:2" coordorigin="6455,13269" coordsize="1054,2">
              <v:shape style="position:absolute;left:6455;top:13269;width:1054;height:2" coordorigin="6455,13269" coordsize="1054,0" path="m6455,13269l7509,13269e" filled="false" stroked="true" strokeweight=".47998pt" strokecolor="#000000">
                <v:path arrowok="t"/>
              </v:shape>
            </v:group>
            <v:group style="position:absolute;left:7518;top:13269;width:1054;height:2" coordorigin="7518,13269" coordsize="1054,2">
              <v:shape style="position:absolute;left:7518;top:13269;width:1054;height:2" coordorigin="7518,13269" coordsize="1054,0" path="m7518,13269l8572,13269e" filled="false" stroked="true" strokeweight=".47998pt" strokecolor="#000000">
                <v:path arrowok="t"/>
              </v:shape>
            </v:group>
            <v:group style="position:absolute;left:8581;top:13269;width:1055;height:2" coordorigin="8581,13269" coordsize="1055,2">
              <v:shape style="position:absolute;left:8581;top:13269;width:1055;height:2" coordorigin="8581,13269" coordsize="1055,0" path="m8581,13269l9635,13269e" filled="false" stroked="true" strokeweight=".47998pt" strokecolor="#000000">
                <v:path arrowok="t"/>
              </v:shape>
            </v:group>
            <v:group style="position:absolute;left:9645;top:13269;width:1054;height:2" coordorigin="9645,13269" coordsize="1054,2">
              <v:shape style="position:absolute;left:9645;top:13269;width:1054;height:2" coordorigin="9645,13269" coordsize="1054,0" path="m9645,13269l10699,13269e" filled="false" stroked="true" strokeweight=".47998pt" strokecolor="#000000">
                <v:path arrowok="t"/>
              </v:shape>
            </v:group>
            <v:group style="position:absolute;left:5394;top:14611;width:1055;height:138" coordorigin="5394,14611" coordsize="1055,138">
              <v:shape style="position:absolute;left:5394;top:14611;width:1055;height:138" coordorigin="5394,14611" coordsize="1055,138" path="m5394,14748l6448,14748,6448,14611,5394,14611,5394,14748xe" filled="true" fillcolor="#ffffff" stroked="false">
                <v:path arrowok="t"/>
                <v:fill type="solid"/>
              </v:shape>
            </v:group>
            <v:group style="position:absolute;left:5406;top:14748;width:2;height:392" coordorigin="5406,14748" coordsize="2,392">
              <v:shape style="position:absolute;left:5406;top:14748;width:2;height:392" coordorigin="5406,14748" coordsize="0,392" path="m5406,14748l5406,15139e" filled="false" stroked="true" strokeweight="1.2pt" strokecolor="#ffffff">
                <v:path arrowok="t"/>
              </v:shape>
            </v:group>
            <v:group style="position:absolute;left:1138;top:14606;width:1057;height:2" coordorigin="1138,14606" coordsize="1057,2">
              <v:shape style="position:absolute;left:1138;top:14606;width:1057;height:2" coordorigin="1138,14606" coordsize="1057,0" path="m1138,14606l2194,14606e" filled="false" stroked="true" strokeweight=".47998pt" strokecolor="#000000">
                <v:path arrowok="t"/>
              </v:shape>
            </v:group>
            <v:group style="position:absolute;left:2204;top:14606;width:1054;height:2" coordorigin="2204,14606" coordsize="1054,2">
              <v:shape style="position:absolute;left:2204;top:14606;width:1054;height:2" coordorigin="2204,14606" coordsize="1054,0" path="m2204,14606l3257,14606e" filled="false" stroked="true" strokeweight=".47998pt" strokecolor="#000000">
                <v:path arrowok="t"/>
              </v:shape>
            </v:group>
            <v:group style="position:absolute;left:3267;top:14606;width:1055;height:2" coordorigin="3267,14606" coordsize="1055,2">
              <v:shape style="position:absolute;left:3267;top:14606;width:1055;height:2" coordorigin="3267,14606" coordsize="1055,0" path="m3267,14606l4321,14606e" filled="false" stroked="true" strokeweight=".47998pt" strokecolor="#000000">
                <v:path arrowok="t"/>
              </v:shape>
            </v:group>
            <v:group style="position:absolute;left:4331;top:14606;width:1054;height:2" coordorigin="4331,14606" coordsize="1054,2">
              <v:shape style="position:absolute;left:4331;top:14606;width:1054;height:2" coordorigin="4331,14606" coordsize="1054,0" path="m4331,14606l5384,14606e" filled="false" stroked="true" strokeweight=".47998pt" strokecolor="#000000">
                <v:path arrowok="t"/>
              </v:shape>
            </v:group>
            <v:group style="position:absolute;left:5394;top:14606;width:1052;height:2" coordorigin="5394,14606" coordsize="1052,2">
              <v:shape style="position:absolute;left:5394;top:14606;width:1052;height:2" coordorigin="5394,14606" coordsize="1052,0" path="m5394,14606l6445,14606e" filled="false" stroked="true" strokeweight=".47998pt" strokecolor="#000000">
                <v:path arrowok="t"/>
              </v:shape>
            </v:group>
            <v:group style="position:absolute;left:6455;top:14606;width:1054;height:2" coordorigin="6455,14606" coordsize="1054,2">
              <v:shape style="position:absolute;left:6455;top:14606;width:1054;height:2" coordorigin="6455,14606" coordsize="1054,0" path="m6455,14606l7509,14606e" filled="false" stroked="true" strokeweight=".47998pt" strokecolor="#000000">
                <v:path arrowok="t"/>
              </v:shape>
            </v:group>
            <v:group style="position:absolute;left:7518;top:14606;width:1054;height:2" coordorigin="7518,14606" coordsize="1054,2">
              <v:shape style="position:absolute;left:7518;top:14606;width:1054;height:2" coordorigin="7518,14606" coordsize="1054,0" path="m7518,14606l8572,14606e" filled="false" stroked="true" strokeweight=".47998pt" strokecolor="#000000">
                <v:path arrowok="t"/>
              </v:shape>
            </v:group>
            <v:group style="position:absolute;left:8581;top:14606;width:1055;height:2" coordorigin="8581,14606" coordsize="1055,2">
              <v:shape style="position:absolute;left:8581;top:14606;width:1055;height:2" coordorigin="8581,14606" coordsize="1055,0" path="m8581,14606l9635,14606e" filled="false" stroked="true" strokeweight=".47998pt" strokecolor="#000000">
                <v:path arrowok="t"/>
              </v:shape>
            </v:group>
            <v:group style="position:absolute;left:9645;top:14606;width:1054;height:2" coordorigin="9645,14606" coordsize="1054,2">
              <v:shape style="position:absolute;left:9645;top:14606;width:1054;height:2" coordorigin="9645,14606" coordsize="1054,0" path="m9645,14606l10699,14606e" filled="false" stroked="true" strokeweight=".47998pt" strokecolor="#000000">
                <v:path arrowok="t"/>
              </v:shape>
            </v:group>
            <v:group style="position:absolute;left:1133;top:1440;width:2;height:13846" coordorigin="1133,1440" coordsize="2,13846">
              <v:shape style="position:absolute;left:1133;top:1440;width:2;height:13846" coordorigin="1133,1440" coordsize="0,13846" path="m1133,1440l1133,15286e" filled="false" stroked="true" strokeweight=".48pt" strokecolor="#000000">
                <v:path arrowok="t"/>
              </v:shape>
            </v:group>
            <v:group style="position:absolute;left:1138;top:15281;width:1057;height:2" coordorigin="1138,15281" coordsize="1057,2">
              <v:shape style="position:absolute;left:1138;top:15281;width:1057;height:2" coordorigin="1138,15281" coordsize="1057,0" path="m1138,15281l2194,15281e" filled="false" stroked="true" strokeweight=".48004pt" strokecolor="#000000">
                <v:path arrowok="t"/>
              </v:shape>
            </v:group>
            <v:group style="position:absolute;left:2199;top:1440;width:2;height:13846" coordorigin="2199,1440" coordsize="2,13846">
              <v:shape style="position:absolute;left:2199;top:1440;width:2;height:13846" coordorigin="2199,1440" coordsize="0,13846" path="m2199,1440l2199,15286e" filled="false" stroked="true" strokeweight=".48pt" strokecolor="#000000">
                <v:path arrowok="t"/>
              </v:shape>
            </v:group>
            <v:group style="position:absolute;left:2204;top:15281;width:1054;height:2" coordorigin="2204,15281" coordsize="1054,2">
              <v:shape style="position:absolute;left:2204;top:15281;width:1054;height:2" coordorigin="2204,15281" coordsize="1054,0" path="m2204,15281l3257,15281e" filled="false" stroked="true" strokeweight=".48004pt" strokecolor="#000000">
                <v:path arrowok="t"/>
              </v:shape>
            </v:group>
            <v:group style="position:absolute;left:3262;top:1440;width:2;height:13846" coordorigin="3262,1440" coordsize="2,13846">
              <v:shape style="position:absolute;left:3262;top:1440;width:2;height:13846" coordorigin="3262,1440" coordsize="0,13846" path="m3262,1440l3262,15286e" filled="false" stroked="true" strokeweight=".48pt" strokecolor="#000000">
                <v:path arrowok="t"/>
              </v:shape>
            </v:group>
            <v:group style="position:absolute;left:3267;top:15281;width:1055;height:2" coordorigin="3267,15281" coordsize="1055,2">
              <v:shape style="position:absolute;left:3267;top:15281;width:1055;height:2" coordorigin="3267,15281" coordsize="1055,0" path="m3267,15281l4321,15281e" filled="false" stroked="true" strokeweight=".48004pt" strokecolor="#000000">
                <v:path arrowok="t"/>
              </v:shape>
            </v:group>
            <v:group style="position:absolute;left:4326;top:1440;width:2;height:13846" coordorigin="4326,1440" coordsize="2,13846">
              <v:shape style="position:absolute;left:4326;top:1440;width:2;height:13846" coordorigin="4326,1440" coordsize="0,13846" path="m4326,1440l4326,15286e" filled="false" stroked="true" strokeweight=".48pt" strokecolor="#000000">
                <v:path arrowok="t"/>
              </v:shape>
            </v:group>
            <v:group style="position:absolute;left:4331;top:15281;width:1054;height:2" coordorigin="4331,15281" coordsize="1054,2">
              <v:shape style="position:absolute;left:4331;top:15281;width:1054;height:2" coordorigin="4331,15281" coordsize="1054,0" path="m4331,15281l5384,15281e" filled="false" stroked="true" strokeweight=".48004pt" strokecolor="#000000">
                <v:path arrowok="t"/>
              </v:shape>
            </v:group>
            <v:group style="position:absolute;left:5389;top:1440;width:2;height:13846" coordorigin="5389,1440" coordsize="2,13846">
              <v:shape style="position:absolute;left:5389;top:1440;width:2;height:13846" coordorigin="5389,1440" coordsize="0,13846" path="m5389,1440l5389,15286e" filled="false" stroked="true" strokeweight=".47998pt" strokecolor="#000000">
                <v:path arrowok="t"/>
              </v:shape>
            </v:group>
            <v:group style="position:absolute;left:5394;top:15281;width:1052;height:2" coordorigin="5394,15281" coordsize="1052,2">
              <v:shape style="position:absolute;left:5394;top:15281;width:1052;height:2" coordorigin="5394,15281" coordsize="1052,0" path="m5394,15281l6445,15281e" filled="false" stroked="true" strokeweight=".48004pt" strokecolor="#000000">
                <v:path arrowok="t"/>
              </v:shape>
            </v:group>
            <v:group style="position:absolute;left:6450;top:1440;width:2;height:13846" coordorigin="6450,1440" coordsize="2,13846">
              <v:shape style="position:absolute;left:6450;top:1440;width:2;height:13846" coordorigin="6450,1440" coordsize="0,13846" path="m6450,1440l6450,15286e" filled="false" stroked="true" strokeweight=".48001pt" strokecolor="#000000">
                <v:path arrowok="t"/>
              </v:shape>
            </v:group>
            <v:group style="position:absolute;left:6455;top:15281;width:1054;height:2" coordorigin="6455,15281" coordsize="1054,2">
              <v:shape style="position:absolute;left:6455;top:15281;width:1054;height:2" coordorigin="6455,15281" coordsize="1054,0" path="m6455,15281l7509,15281e" filled="false" stroked="true" strokeweight=".48004pt" strokecolor="#000000">
                <v:path arrowok="t"/>
              </v:shape>
            </v:group>
            <v:group style="position:absolute;left:7513;top:1440;width:2;height:13846" coordorigin="7513,1440" coordsize="2,13846">
              <v:shape style="position:absolute;left:7513;top:1440;width:2;height:13846" coordorigin="7513,1440" coordsize="0,13846" path="m7513,1440l7513,15286e" filled="false" stroked="true" strokeweight=".48001pt" strokecolor="#000000">
                <v:path arrowok="t"/>
              </v:shape>
            </v:group>
            <v:group style="position:absolute;left:7518;top:15281;width:1054;height:2" coordorigin="7518,15281" coordsize="1054,2">
              <v:shape style="position:absolute;left:7518;top:15281;width:1054;height:2" coordorigin="7518,15281" coordsize="1054,0" path="m7518,15281l8572,15281e" filled="false" stroked="true" strokeweight=".48004pt" strokecolor="#000000">
                <v:path arrowok="t"/>
              </v:shape>
            </v:group>
            <v:group style="position:absolute;left:8577;top:1440;width:2;height:13846" coordorigin="8577,1440" coordsize="2,13846">
              <v:shape style="position:absolute;left:8577;top:1440;width:2;height:13846" coordorigin="8577,1440" coordsize="0,13846" path="m8577,1440l8577,15286e" filled="false" stroked="true" strokeweight=".47998pt" strokecolor="#000000">
                <v:path arrowok="t"/>
              </v:shape>
            </v:group>
            <v:group style="position:absolute;left:8581;top:15281;width:1055;height:2" coordorigin="8581,15281" coordsize="1055,2">
              <v:shape style="position:absolute;left:8581;top:15281;width:1055;height:2" coordorigin="8581,15281" coordsize="1055,0" path="m8581,15281l9635,15281e" filled="false" stroked="true" strokeweight=".48004pt" strokecolor="#000000">
                <v:path arrowok="t"/>
              </v:shape>
            </v:group>
            <v:group style="position:absolute;left:9640;top:1440;width:2;height:13846" coordorigin="9640,1440" coordsize="2,13846">
              <v:shape style="position:absolute;left:9640;top:1440;width:2;height:13846" coordorigin="9640,1440" coordsize="0,13846" path="m9640,1440l9640,15286e" filled="false" stroked="true" strokeweight=".48001pt" strokecolor="#000000">
                <v:path arrowok="t"/>
              </v:shape>
            </v:group>
            <v:group style="position:absolute;left:9645;top:15281;width:1054;height:2" coordorigin="9645,15281" coordsize="1054,2">
              <v:shape style="position:absolute;left:9645;top:15281;width:1054;height:2" coordorigin="9645,15281" coordsize="1054,0" path="m9645,15281l10699,15281e" filled="false" stroked="true" strokeweight=".48004pt" strokecolor="#000000">
                <v:path arrowok="t"/>
              </v:shape>
            </v:group>
            <v:group style="position:absolute;left:10704;top:1440;width:2;height:13846" coordorigin="10704,1440" coordsize="2,13846">
              <v:shape style="position:absolute;left:10704;top:1440;width:2;height:13846" coordorigin="10704,1440" coordsize="0,13846" path="m10704,1440l10704,15286e" filled="false" stroked="true" strokeweight=".47998pt" strokecolor="#000000">
                <v:path arrowok="t"/>
              </v:shape>
            </v:group>
            <w10:wrap type="none"/>
          </v:group>
        </w:pict>
      </w:r>
      <w:r>
        <w:rPr/>
        <w:t>科技成果转 化与扩散著</w:t>
      </w:r>
    </w:p>
    <w:p>
      <w:pPr>
        <w:pStyle w:val="BodyText"/>
        <w:spacing w:line="186" w:lineRule="exact" w:before="108"/>
        <w:ind w:left="125" w:right="-19"/>
        <w:jc w:val="left"/>
      </w:pPr>
      <w:r>
        <w:rPr/>
        <w:br w:type="column"/>
      </w:r>
      <w:r>
        <w:rPr/>
        <w:t>成都文化广</w:t>
      </w:r>
    </w:p>
    <w:p>
      <w:pPr>
        <w:pStyle w:val="BodyText"/>
        <w:spacing w:line="156" w:lineRule="exact"/>
        <w:ind w:left="0" w:right="0"/>
        <w:jc w:val="right"/>
      </w:pPr>
      <w:r>
        <w:rPr/>
        <w:t>补助</w:t>
      </w:r>
    </w:p>
    <w:p>
      <w:pPr>
        <w:pStyle w:val="BodyText"/>
        <w:spacing w:line="205" w:lineRule="exact"/>
        <w:ind w:left="125" w:right="-19"/>
        <w:jc w:val="left"/>
      </w:pPr>
      <w:r>
        <w:rPr/>
        <w:t>电新闻出版</w:t>
      </w:r>
    </w:p>
    <w:p>
      <w:pPr>
        <w:pStyle w:val="BodyText"/>
        <w:spacing w:line="186" w:lineRule="exact" w:before="108"/>
        <w:ind w:left="181" w:right="0"/>
        <w:jc w:val="left"/>
      </w:pPr>
      <w:r>
        <w:rPr/>
        <w:br w:type="column"/>
      </w:r>
      <w:r>
        <w:rPr/>
        <w:t>因研究开发、</w:t>
      </w:r>
    </w:p>
    <w:p>
      <w:pPr>
        <w:pStyle w:val="BodyText"/>
        <w:tabs>
          <w:tab w:pos="2308" w:val="left" w:leader="none"/>
          <w:tab w:pos="4809" w:val="left" w:leader="none"/>
        </w:tabs>
        <w:spacing w:line="163" w:lineRule="exact"/>
        <w:ind w:left="1244" w:right="0"/>
        <w:jc w:val="left"/>
      </w:pPr>
      <w:r>
        <w:rPr/>
        <w:t>否</w:t>
        <w:tab/>
        <w:t>否</w:t>
        <w:tab/>
      </w:r>
      <w:r>
        <w:rPr>
          <w:rFonts w:ascii="Times New Roman" w:hAnsi="Times New Roman" w:cs="Times New Roman" w:eastAsia="Times New Roman" w:hint="default"/>
        </w:rPr>
        <w:t>2,130.00</w:t>
      </w:r>
      <w:r>
        <w:rPr>
          <w:rFonts w:ascii="Times New Roman" w:hAnsi="Times New Roman" w:cs="Times New Roman" w:eastAsia="Times New Roman" w:hint="default"/>
          <w:spacing w:val="9"/>
        </w:rPr>
        <w:t> </w:t>
      </w:r>
      <w:r>
        <w:rPr/>
        <w:t>与收益相关</w:t>
      </w:r>
    </w:p>
    <w:p>
      <w:pPr>
        <w:pStyle w:val="BodyText"/>
        <w:spacing w:line="199" w:lineRule="exact"/>
        <w:ind w:left="181" w:right="5472"/>
        <w:jc w:val="left"/>
      </w:pPr>
      <w:r>
        <w:rPr/>
        <w:t>技术更新及</w:t>
      </w:r>
    </w:p>
    <w:p>
      <w:pPr>
        <w:spacing w:after="0" w:line="199" w:lineRule="exact"/>
        <w:jc w:val="left"/>
        <w:sectPr>
          <w:type w:val="continuous"/>
          <w:pgSz w:w="11910" w:h="16840"/>
          <w:pgMar w:top="1060" w:bottom="1160" w:left="980" w:right="980"/>
          <w:cols w:num="3" w:equalWidth="0">
            <w:col w:w="1082" w:space="40"/>
            <w:col w:w="1550" w:space="522"/>
            <w:col w:w="6756"/>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作权登记资 助费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四川省知识 产权局专利 资助款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四川省知识 产权局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1,765.00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10,189,945.6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pict>
          <v:group style="position:absolute;margin-left:269.690002pt;margin-top:-102.598267pt;width:52.75pt;height:23.4pt;mso-position-horizontal-relative:page;mso-position-vertical-relative:paragraph;z-index:-917248" coordorigin="5394,-2052" coordsize="1055,468">
            <v:shape style="position:absolute;left:5394;top:-2052;width:1055;height:468" coordorigin="5394,-2052" coordsize="1055,468" path="m5394,-1584l6448,-1584,6448,-2052,5394,-2052,5394,-1584xe" filled="true" fillcolor="#ffffff" stroked="false">
              <v:path arrowok="t"/>
              <v:fill type="solid"/>
            </v:shape>
            <w10:wrap type="none"/>
          </v:group>
        </w:pict>
      </w: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9,434.06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9,434.06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604,331.00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604,331.00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613,765.06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613,765.06</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17,949,625.34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10,554,578.33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-3,384,296.55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-1,107,650.69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14,565,328.79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9,446,927.64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120,358,313.24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18,053,746.99</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-1,209,844.03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-2,414,514.28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-87,875.00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2,108,852.16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-1,838,461.14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-114,075.91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67,500.00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14,565,328.79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4,400,678.03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3,816,046.20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1,534,841.85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402,860.17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11,735,726.54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8,875,663.70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3,351,434.22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以前年度多缴税款退回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4,858,131.80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22,529,378.22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16,446,004.29</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73,408,021.91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64,754,232.85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2,315,832.09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2,313,053.11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604,331.00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租金支出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782,264.58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514,823.35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14,939,451.46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92,049,901.04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68,582,109.31</w:t>
            </w:r>
          </w:p>
        </w:tc>
      </w:tr>
    </w:tbl>
    <w:p>
      <w:pPr>
        <w:pStyle w:val="BodyText"/>
        <w:spacing w:line="240" w:lineRule="auto" w:before="49"/>
        <w:ind w:right="0"/>
        <w:jc w:val="left"/>
      </w:pPr>
      <w:r>
        <w:rPr/>
        <w:t>支付的其他与经营活动有关的现金说明：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上市发行费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4,972,400.00</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105,792,984.45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84,341,124.25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14,746,785.96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4,410,067.25</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5,786,568.32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4,728,294.87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10,697,822.45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8,854,787.83</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1,283,825.26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509,557.59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147.919983pt;width:151.25pt;height:20.65pt;mso-position-horizontal-relative:page;mso-position-vertical-relative:page;z-index:-917224" coordorigin="4467,2958" coordsize="3025,413">
            <v:group style="position:absolute;left:4478;top:2969;width:2;height:392" coordorigin="4478,2969" coordsize="2,392">
              <v:shape style="position:absolute;left:4478;top:2969;width:2;height:392" coordorigin="4478,2969" coordsize="0,392" path="m4478,2969l4478,3360e" filled="false" stroked="true" strokeweight="1.08pt" strokecolor="#ffffff">
                <v:path arrowok="t"/>
              </v:shape>
            </v:group>
            <v:group style="position:absolute;left:4489;top:2969;width:3003;height:392" coordorigin="4489,2969" coordsize="3003,392">
              <v:shape style="position:absolute;left:4489;top:2969;width:3003;height:392" coordorigin="4489,2969" coordsize="3003,392" path="m4489,3360l7492,3360,7492,2969,4489,2969,4489,336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-50,759.79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339,282.93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22" w:right="0"/>
              <w:jc w:val="left"/>
              <w:rPr>
                <w:rFonts w:ascii="Times New Roman" w:hAnsi="Times New Roman" w:cs="Times New Roman" w:eastAsia="Times New Roman" w:hint="default"/>
                <w:sz w:val="18"/>
                <w:szCs w:val="18"/>
              </w:rPr>
            </w:pPr>
            <w:r>
              <w:rPr>
                <w:rFonts w:ascii="Times New Roman"/>
                <w:sz w:val="18"/>
              </w:rPr>
              <w:t>-1,212,641.52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-1,872,641.45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976,198.09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1,716,367.19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80" w:right="0"/>
              <w:jc w:val="left"/>
              <w:rPr>
                <w:rFonts w:ascii="Times New Roman" w:hAnsi="Times New Roman" w:cs="Times New Roman" w:eastAsia="Times New Roman" w:hint="default"/>
                <w:sz w:val="18"/>
                <w:szCs w:val="18"/>
              </w:rPr>
            </w:pPr>
            <w:r>
              <w:rPr>
                <w:rFonts w:ascii="Times New Roman"/>
                <w:sz w:val="18"/>
              </w:rPr>
              <w:t>-3,384,296.55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-1,107,650.69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-38,460,199.49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-46,723,889.07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-74,883,222.71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-38,363,247.19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9" w:right="0"/>
              <w:jc w:val="left"/>
              <w:rPr>
                <w:rFonts w:ascii="Times New Roman" w:hAnsi="Times New Roman" w:cs="Times New Roman" w:eastAsia="Times New Roman" w:hint="default"/>
                <w:sz w:val="18"/>
                <w:szCs w:val="18"/>
              </w:rPr>
            </w:pPr>
            <w:r>
              <w:rPr>
                <w:rFonts w:ascii="Times New Roman"/>
                <w:sz w:val="18"/>
              </w:rPr>
              <w:t>117,783,346.32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61,721,345.92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139,076,410.79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78,553,399.43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577,169,796.10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524,907,372.34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902" w:right="0"/>
              <w:jc w:val="left"/>
              <w:rPr>
                <w:rFonts w:ascii="Times New Roman" w:hAnsi="Times New Roman" w:cs="Times New Roman" w:eastAsia="Times New Roman" w:hint="default"/>
                <w:sz w:val="18"/>
                <w:szCs w:val="18"/>
              </w:rPr>
            </w:pPr>
            <w:r>
              <w:rPr>
                <w:rFonts w:ascii="Times New Roman"/>
                <w:sz w:val="18"/>
              </w:rPr>
              <w:t>524,907,372.34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467,481,035.38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52,262,423.76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57,426,336.96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577,169,796.10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524,907,372.34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304,342.73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413,637.51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576,865,453.37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524,493,734.83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577,169,796.10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524,907,372.34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43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4,205,752.10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37,546,217.42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6,954,013.14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48,705,982.66</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1"/>
        <w:gridCol w:w="237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2" w:right="735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5094"/>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2"/>
        <w:gridCol w:w="3179"/>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0" w:space="0" w:color="D2D2D2"/>
              <w:bottom w:val="single" w:sz="4" w:space="0" w:color="000000"/>
              <w:right w:val="single" w:sz="4" w:space="0" w:color="000000"/>
            </w:tcBorders>
            <w:shd w:val="clear" w:color="auto" w:fill="E0FFFF"/>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7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8"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9"/>
        <w:ind w:right="655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e0ffff">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e0ffff">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95;height:404" type="#_x0000_t202" filled="false" stroked="false">
                <v:textbox inset="0,0,0,0">
                  <w:txbxContent>
                    <w:p>
                      <w:pPr>
                        <w:spacing w:before="56"/>
                        <w:ind w:left="0" w:right="1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7614"/>
        <w:jc w:val="left"/>
      </w:pPr>
      <w:r>
        <w:rPr/>
        <w:t>或有对价及其变动的说明：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3181;top:14;width:2;height:392" coordorigin="3181,14" coordsize="2,392">
              <v:shape style="position:absolute;left:3181;top:14;width:2;height:392" coordorigin="3181,14" coordsize="0,392" path="m3181,14l3181,406e" filled="false" stroked="true" strokeweight="1.2pt" strokecolor="#d2d2d2">
                <v:path arrowok="t"/>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13;top:14;width:2;height:392" coordorigin="3213,14" coordsize="2,392">
              <v:shape style="position:absolute;left:3213;top:14;width:2;height:392" coordorigin="3213,14" coordsize="0,392" path="m3213,14l3213,406e" filled="false" stroked="true" strokeweight="1.08pt" strokecolor="#e0ffff">
                <v:path arrowok="t"/>
              </v:shape>
            </v:group>
            <v:group style="position:absolute;left:9561;top:14;width:2;height:392" coordorigin="9561,14" coordsize="2,392">
              <v:shape style="position:absolute;left:9561;top:14;width:2;height:392" coordorigin="9561,14" coordsize="0,392" path="m9561,14l9561,406e" filled="false" stroked="true" strokeweight="1.2pt" strokecolor="#e0ffff">
                <v:path arrowok="t"/>
              </v:shape>
            </v:group>
            <v:group style="position:absolute;left:3224;top:14;width:6325;height:392" coordorigin="3224,14" coordsize="6325,392">
              <v:shape style="position:absolute;left:3224;top:14;width:6325;height:392" coordorigin="3224,14" coordsize="6325,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1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1pt" strokecolor="#000000">
                <v:path arrowok="t"/>
              </v:shape>
            </v:group>
            <v:group style="position:absolute;left:23;top:415;width:2;height:394" coordorigin="23,415" coordsize="2,394">
              <v:shape style="position:absolute;left:23;top:415;width:2;height:394" coordorigin="23,415" coordsize="0,394" path="m23,415l23,809e" filled="false" stroked="true" strokeweight="1.08pt" strokecolor="#d2d2d2">
                <v:path arrowok="t"/>
              </v:shape>
            </v:group>
            <v:group style="position:absolute;left:3181;top:415;width:2;height:394" coordorigin="3181,415" coordsize="2,394">
              <v:shape style="position:absolute;left:3181;top:415;width:2;height:394" coordorigin="3181,415" coordsize="0,394" path="m3181,415l3181,809e" filled="false" stroked="true" strokeweight="1.2pt" strokecolor="#d2d2d2">
                <v:path arrowok="t"/>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3213;top:415;width:2;height:394" coordorigin="3213,415" coordsize="2,394">
              <v:shape style="position:absolute;left:3213;top:415;width:2;height:394" coordorigin="3213,415" coordsize="0,394" path="m3213,415l3213,809e" filled="false" stroked="true" strokeweight="1.08pt" strokecolor="#d2d2d2">
                <v:path arrowok="t"/>
              </v:shape>
            </v:group>
            <v:group style="position:absolute;left:6371;top:415;width:2;height:394" coordorigin="6371,415" coordsize="2,394">
              <v:shape style="position:absolute;left:6371;top:415;width:2;height:394" coordorigin="6371,415" coordsize="0,394" path="m6371,415l6371,809e" filled="false" stroked="true" strokeweight="1.2pt" strokecolor="#d2d2d2">
                <v:path arrowok="t"/>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6403;top:415;width:2;height:394" coordorigin="6403,415" coordsize="2,394">
              <v:shape style="position:absolute;left:6403;top:415;width:2;height:394" coordorigin="6403,415" coordsize="0,394" path="m6403,415l6403,809e" filled="false" stroked="true" strokeweight="1.08pt" strokecolor="#d2d2d2">
                <v:path arrowok="t"/>
              </v:shape>
            </v:group>
            <v:group style="position:absolute;left:9561;top:415;width:2;height:394" coordorigin="9561,415" coordsize="2,394">
              <v:shape style="position:absolute;left:9561;top:415;width:2;height:394" coordorigin="9561,415" coordsize="0,394" path="m9561,415l9561,809e" filled="false" stroked="true" strokeweight="1.2pt" strokecolor="#d2d2d2">
                <v:path arrowok="t"/>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85;top:410;width:3202;height:404" type="#_x0000_t202" filled="false" stroked="false">
                <v:textbox inset="0,0,0,0">
                  <w:txbxContent>
                    <w:p>
                      <w:pPr>
                        <w:spacing w:before="53"/>
                        <w:ind w:left="9"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7;top:410;width:3180;height:404" type="#_x0000_t202" filled="false" stroked="false">
                <v:textbox inset="0,0,0,0">
                  <w:txbxContent>
                    <w:p>
                      <w:pPr>
                        <w:spacing w:before="53"/>
                        <w:ind w:left="1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53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pStyle w:val="Heading3"/>
        <w:spacing w:line="240" w:lineRule="auto" w:before="36"/>
        <w:ind w:right="0"/>
        <w:jc w:val="left"/>
        <w:rPr>
          <w:b w:val="0"/>
          <w:bCs w:val="0"/>
        </w:rPr>
      </w:pPr>
      <w:r>
        <w:rPr/>
        <w:t>本期未发生反向购买的情况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5"/>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Heading4"/>
        <w:spacing w:line="256" w:lineRule="auto" w:before="94"/>
        <w:ind w:left="152"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日，本公司控股子公司成都兴政电子政务运营服务有限公司新设全资子公司成都兴联汇智科</w:t>
      </w:r>
      <w:r>
        <w:rPr>
          <w:spacing w:val="-28"/>
        </w:rPr>
        <w:t> </w:t>
      </w:r>
      <w:r>
        <w:rPr>
          <w:spacing w:val="-28"/>
        </w:rPr>
      </w:r>
      <w:r>
        <w:rPr/>
        <w:t>技有限公司，合并范围因此发生变动。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61"/>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重庆久远银海软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北京久远银海技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北京银海奥尼思 特咨询有限公司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成都兴政电子政 务运营服务有限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山西久远爱思普 软件股份有限公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新疆银海鼎峰软 </w:t>
            </w:r>
            <w:r>
              <w:rPr>
                <w:rFonts w:ascii="宋体" w:hAnsi="宋体" w:cs="宋体" w:eastAsia="宋体" w:hint="default"/>
                <w:spacing w:val="-6"/>
                <w:sz w:val="18"/>
                <w:szCs w:val="18"/>
              </w:rPr>
              <w:t>件有限公司（注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
              <w:ind w:right="0"/>
              <w:jc w:val="left"/>
              <w:rPr>
                <w:rFonts w:ascii="宋体" w:hAnsi="宋体" w:cs="宋体" w:eastAsia="宋体" w:hint="default"/>
                <w:b/>
                <w:bCs/>
                <w:sz w:val="11"/>
                <w:szCs w:val="11"/>
              </w:rPr>
            </w:pPr>
          </w:p>
          <w:p>
            <w:pPr>
              <w:pStyle w:val="TableParagraph"/>
              <w:spacing w:line="558"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7.9pt;mso-position-horizontal-relative:char;mso-position-vertical-relative:line" coordorigin="0,0" coordsize="1357,558">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0;top:402;width:1357;height:156" coordorigin="0,402" coordsize="1357,156">
                    <v:shape style="position:absolute;left:0;top:402;width:1357;height:156" coordorigin="0,402" coordsize="1357,156" path="m0,558l1356,558,1356,402,0,402,0,558xe" filled="true" fillcolor="#ffffff" stroked="false">
                      <v:path arrowok="t"/>
                      <v:fill type="solid"/>
                    </v:shape>
                  </v:group>
                  <v:group style="position:absolute;left:22;top:11;width:1314;height:392" coordorigin="22,11" coordsize="1314,392">
                    <v:shape style="position:absolute;left:22;top:11;width:1314;height:392" coordorigin="22,11" coordsize="1314,392" path="m22,402l1335,402,1335,11,22,11,22,402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四川久远银海畅 辉软件有限公司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天津银海环球信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四川银海软件有 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四川久远国基科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成都兴联汇智科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240" w:lineRule="auto" w:before="49"/>
        <w:ind w:right="0"/>
        <w:jc w:val="both"/>
      </w:pPr>
      <w:r>
        <w:rPr/>
        <w:t>在子公司的持股比例不同于表决权比例的说明：</w:t>
      </w:r>
    </w:p>
    <w:p>
      <w:pPr>
        <w:pStyle w:val="BodyText"/>
        <w:spacing w:line="300" w:lineRule="auto" w:before="117"/>
        <w:ind w:right="152"/>
        <w:jc w:val="both"/>
      </w:pPr>
      <w:r>
        <w:rPr>
          <w:spacing w:val="-2"/>
        </w:rPr>
        <w:t>新疆银海鼎峰软件有限公司董事会共设</w:t>
      </w:r>
      <w:r>
        <w:rPr>
          <w:rFonts w:ascii="Times New Roman" w:hAnsi="Times New Roman" w:cs="Times New Roman" w:eastAsia="Times New Roman" w:hint="default"/>
          <w:spacing w:val="-2"/>
        </w:rPr>
        <w:t>5</w:t>
      </w:r>
      <w:r>
        <w:rPr>
          <w:spacing w:val="-2"/>
        </w:rPr>
        <w:t>名成员，其中</w:t>
      </w:r>
      <w:r>
        <w:rPr>
          <w:rFonts w:ascii="Times New Roman" w:hAnsi="Times New Roman" w:cs="Times New Roman" w:eastAsia="Times New Roman" w:hint="default"/>
          <w:spacing w:val="-2"/>
        </w:rPr>
        <w:t>3</w:t>
      </w:r>
      <w:r>
        <w:rPr>
          <w:spacing w:val="-2"/>
        </w:rPr>
        <w:t>名为四川久远银海软件股份有限公司派出人员，分别为李慧霞、杨成</w:t>
      </w:r>
      <w:r>
        <w:rPr>
          <w:spacing w:val="-63"/>
        </w:rPr>
        <w:t> </w:t>
      </w:r>
      <w:r>
        <w:rPr>
          <w:spacing w:val="-63"/>
        </w:rPr>
      </w:r>
      <w:r>
        <w:rPr/>
        <w:t>文、陈兵，且李慧霞任公司董事长。根据公司章程第二十条规定：</w:t>
      </w:r>
      <w:r>
        <w:rPr>
          <w:rFonts w:ascii="Times New Roman" w:hAnsi="Times New Roman" w:cs="Times New Roman" w:eastAsia="Times New Roman" w:hint="default"/>
        </w:rPr>
        <w:t>“</w:t>
      </w:r>
      <w:r>
        <w:rPr/>
        <w:t>董事会对所议事项作出决定应由占全体董事二分之一以 上的董事表决通过方为有效。</w:t>
      </w:r>
      <w:r>
        <w:rPr>
          <w:rFonts w:ascii="Times New Roman" w:hAnsi="Times New Roman" w:cs="Times New Roman" w:eastAsia="Times New Roman" w:hint="default"/>
        </w:rPr>
        <w:t>”</w:t>
      </w:r>
      <w:r>
        <w:rPr/>
        <w:t>因此，公司虽持股比例为</w:t>
      </w:r>
      <w:r>
        <w:rPr>
          <w:rFonts w:ascii="Times New Roman" w:hAnsi="Times New Roman" w:cs="Times New Roman" w:eastAsia="Times New Roman" w:hint="default"/>
        </w:rPr>
        <w:t>45%</w:t>
      </w:r>
      <w:r>
        <w:rPr/>
        <w:t>，但上述事项表明公司对新疆银海拥有实际控制权。</w:t>
      </w:r>
    </w:p>
    <w:p>
      <w:pPr>
        <w:pStyle w:val="BodyText"/>
        <w:spacing w:line="357" w:lineRule="auto" w:before="53"/>
        <w:ind w:right="1854"/>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6714"/>
        <w:jc w:val="left"/>
      </w:pPr>
      <w:r>
        <w:rPr/>
        <w:t>确定公司是代理人还是委托人的依据： 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成都兴政电子政务运营 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3,033,744.901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28,351,711.73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天津银海环球信息技术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2,923,694.50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18,621,696.19</w:t>
            </w:r>
          </w:p>
        </w:tc>
      </w:tr>
    </w:tbl>
    <w:p>
      <w:pPr>
        <w:pStyle w:val="BodyText"/>
        <w:spacing w:line="357" w:lineRule="auto" w:before="49"/>
        <w:ind w:right="545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成都兴 政电子 政务运 营服务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44,577,6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81.09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23,365,1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43.70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67,942,8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24.81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6,082,18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10,082,1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88.60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50,081,9</w:t>
            </w:r>
          </w:p>
          <w:p>
            <w:pPr>
              <w:pStyle w:val="TableParagraph"/>
              <w:spacing w:line="240" w:lineRule="auto" w:before="102"/>
              <w:ind w:left="298" w:right="0"/>
              <w:jc w:val="left"/>
              <w:rPr>
                <w:rFonts w:ascii="Times New Roman" w:hAnsi="Times New Roman" w:cs="Times New Roman" w:eastAsia="Times New Roman" w:hint="default"/>
                <w:sz w:val="18"/>
                <w:szCs w:val="18"/>
              </w:rPr>
            </w:pPr>
            <w:r>
              <w:rPr>
                <w:rFonts w:ascii="Times New Roman"/>
                <w:sz w:val="18"/>
              </w:rPr>
              <w:t>50.73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11,717,1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57.09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61,799,1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07.82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4,629,78</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7.74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5,129,78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7.74</w:t>
            </w: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61"/>
              <w:jc w:val="left"/>
              <w:rPr>
                <w:rFonts w:ascii="宋体" w:hAnsi="宋体" w:cs="宋体" w:eastAsia="宋体" w:hint="default"/>
                <w:sz w:val="18"/>
                <w:szCs w:val="18"/>
              </w:rPr>
            </w:pPr>
            <w:r>
              <w:rPr>
                <w:rFonts w:ascii="宋体" w:hAnsi="宋体" w:cs="宋体" w:eastAsia="宋体" w:hint="default"/>
                <w:sz w:val="18"/>
                <w:szCs w:val="18"/>
              </w:rPr>
              <w:t>天津银 海环球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51,025,5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1"/>
              <w:jc w:val="right"/>
              <w:rPr>
                <w:rFonts w:ascii="Times New Roman" w:hAnsi="Times New Roman" w:cs="Times New Roman" w:eastAsia="Times New Roman" w:hint="default"/>
                <w:sz w:val="18"/>
                <w:szCs w:val="18"/>
              </w:rPr>
            </w:pPr>
            <w:r>
              <w:rPr>
                <w:rFonts w:ascii="Times New Roman"/>
                <w:sz w:val="18"/>
              </w:rPr>
              <w:t>832,945.</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71" w:right="0"/>
              <w:jc w:val="left"/>
              <w:rPr>
                <w:rFonts w:ascii="Times New Roman" w:hAnsi="Times New Roman" w:cs="Times New Roman" w:eastAsia="Times New Roman" w:hint="default"/>
                <w:sz w:val="18"/>
                <w:szCs w:val="18"/>
              </w:rPr>
            </w:pPr>
            <w:r>
              <w:rPr>
                <w:rFonts w:ascii="Times New Roman"/>
                <w:sz w:val="18"/>
              </w:rPr>
              <w:t>51,858,5</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39.07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13,855,0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77.43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13,855,0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51,069,7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552,327.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51,622,1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14,585,3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86.29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14,585,3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86.29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信息技 术有限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成都兴政电 子政务运营 服务有限公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32,766,431.3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6,191,316.13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6,191,316.13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17,530,691.4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26,930,981.5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6,065,973.31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6,065,973.31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8,008,552.69</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天津银海环 球信息技术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31,349,000.3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5,966,723.47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5,966,723.47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-1,775,851.61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26,120,899.6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3,037,775.42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3,037,775.42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3,146,765.52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e0ffff">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e0ffff">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4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4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0"/>
        <w:jc w:val="left"/>
      </w:pPr>
      <w:r>
        <w:rPr/>
        <w:t>在合营企业或联营企业的持股比例不同于表决权比例的说明：</w:t>
      </w:r>
    </w:p>
    <w:p>
      <w:pPr>
        <w:pStyle w:val="BodyText"/>
        <w:spacing w:line="240" w:lineRule="auto" w:before="115"/>
        <w:ind w:right="0"/>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8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8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3177"/>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0"/>
        <w:ind w:right="4554"/>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Heading4"/>
        <w:spacing w:line="273" w:lineRule="auto"/>
        <w:ind w:left="152" w:right="146" w:firstLine="336"/>
        <w:jc w:val="both"/>
      </w:pPr>
      <w:r>
        <w:rPr/>
        <w:t>本公司在经营过程中面临各种金融风险：信用风险、市场风险和流动性风险。公司董事会全面负责风</w:t>
      </w:r>
      <w:r>
        <w:rPr>
          <w:w w:val="100"/>
        </w:rPr>
        <w:t> </w:t>
      </w:r>
      <w:r>
        <w:rPr>
          <w:spacing w:val="-2"/>
        </w:rPr>
        <w:t>险管理目标和政策的确定，并对风险管理目标和政策承担最终责任。本公司的内部审计师也会审计风险管</w:t>
      </w:r>
      <w:r>
        <w:rPr>
          <w:spacing w:val="-44"/>
        </w:rPr>
        <w:t> </w:t>
      </w:r>
      <w:r>
        <w:rPr>
          <w:spacing w:val="-44"/>
        </w:rPr>
      </w:r>
      <w:r>
        <w:rPr/>
        <w:t>理的政策和程序，并且将有关发现汇报给审计委员会。</w:t>
      </w:r>
    </w:p>
    <w:p>
      <w:pPr>
        <w:pStyle w:val="Heading4"/>
        <w:spacing w:line="273" w:lineRule="auto" w:before="7"/>
        <w:ind w:left="566" w:right="0"/>
        <w:jc w:val="left"/>
      </w:pPr>
      <w:r>
        <w:rPr>
          <w:spacing w:val="-2"/>
        </w:rPr>
        <w:t>本公司风险管理的总体目标是在不过度影响公司竞争力和应变力的情况下，制定尽可能降低风险的风</w:t>
      </w:r>
      <w:r>
        <w:rPr>
          <w:spacing w:val="-38"/>
        </w:rPr>
        <w:t> </w:t>
      </w:r>
      <w:r>
        <w:rPr>
          <w:spacing w:val="-38"/>
        </w:rPr>
      </w:r>
      <w:r>
        <w:rPr/>
        <w:t>险管理政策。</w:t>
      </w:r>
    </w:p>
    <w:p>
      <w:pPr>
        <w:spacing w:line="240" w:lineRule="auto" w:before="6"/>
        <w:rPr>
          <w:rFonts w:ascii="宋体" w:hAnsi="宋体" w:cs="宋体" w:eastAsia="宋体" w:hint="default"/>
          <w:sz w:val="24"/>
          <w:szCs w:val="24"/>
        </w:rPr>
      </w:pPr>
    </w:p>
    <w:p>
      <w:pPr>
        <w:pStyle w:val="Heading4"/>
        <w:spacing w:line="268" w:lineRule="auto"/>
        <w:ind w:left="157" w:right="0" w:hanging="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信用风险是指金融工具的一方不履行义务，造成另一方发生财务损失的风险。本公司主要面临赊销导致的</w:t>
      </w:r>
      <w:r>
        <w:rPr>
          <w:spacing w:val="-53"/>
        </w:rPr>
        <w:t> </w:t>
      </w:r>
      <w:r>
        <w:rPr>
          <w:spacing w:val="-53"/>
        </w:rPr>
      </w:r>
      <w:r>
        <w:rPr>
          <w:spacing w:val="-2"/>
        </w:rPr>
        <w:t>客户信用风险。在签订新合同之前，本公司会对新客户的信用风险进行评估，包括外部信用评级和在某些</w:t>
      </w:r>
      <w:r>
        <w:rPr>
          <w:spacing w:val="-53"/>
        </w:rPr>
        <w:t> </w:t>
      </w:r>
      <w:r>
        <w:rPr>
          <w:spacing w:val="-53"/>
        </w:rPr>
      </w:r>
      <w:r>
        <w:rPr/>
        <w:t>情况下的银行资信证明（当此信息可获取时）。</w:t>
      </w:r>
      <w:r>
        <w:rPr>
          <w:w w:val="100"/>
        </w:rPr>
        <w:t> </w:t>
      </w:r>
      <w:r>
        <w:rPr>
          <w:spacing w:val="2"/>
        </w:rPr>
        <w:t>公司通过对已有客户信用评级的季度监控以及应收账款账龄分析的月度审核来确保公司的整体信用风险</w:t>
      </w:r>
      <w:r>
        <w:rPr>
          <w:spacing w:val="-37"/>
        </w:rPr>
        <w:t> </w:t>
      </w:r>
      <w:r>
        <w:rPr>
          <w:spacing w:val="-37"/>
        </w:rPr>
      </w:r>
      <w:r>
        <w:rPr>
          <w:spacing w:val="-2"/>
        </w:rPr>
        <w:t>在可控的范围内。在监控客户的信用风险时，按照客户的信用特征对其分组。被评为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w:t>
      </w:r>
      <w:r>
        <w:rPr>
          <w:spacing w:val="-31"/>
        </w:rPr>
        <w:t> </w:t>
      </w:r>
      <w:r>
        <w:rPr>
          <w:spacing w:val="-31"/>
        </w:rPr>
      </w:r>
      <w:r>
        <w:rPr>
          <w:spacing w:val="-2"/>
        </w:rPr>
        <w:t>会放在受限制客户名单里，并且只有在额外批准的前提下，公司才可在未来期间内对其赊销，否则必须要</w:t>
      </w:r>
      <w:r>
        <w:rPr>
          <w:spacing w:val="-53"/>
        </w:rPr>
        <w:t> </w:t>
      </w:r>
      <w:r>
        <w:rPr>
          <w:spacing w:val="-53"/>
        </w:rPr>
      </w:r>
      <w:r>
        <w:rPr/>
        <w:t>求其提前支付相应款项。</w:t>
      </w:r>
    </w:p>
    <w:p>
      <w:pPr>
        <w:spacing w:line="240" w:lineRule="auto" w:before="10"/>
        <w:rPr>
          <w:rFonts w:ascii="宋体" w:hAnsi="宋体" w:cs="宋体" w:eastAsia="宋体" w:hint="default"/>
          <w:sz w:val="24"/>
          <w:szCs w:val="24"/>
        </w:rPr>
      </w:pPr>
    </w:p>
    <w:p>
      <w:pPr>
        <w:pStyle w:val="Heading4"/>
        <w:spacing w:line="271" w:lineRule="auto"/>
        <w:ind w:left="157" w:right="0" w:hanging="5"/>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金融工具的市场风险，是指金融工具的公允价值或未来现金流量因市场价格变动而发生波动的风险，包括</w:t>
      </w:r>
      <w:r>
        <w:rPr>
          <w:spacing w:val="-52"/>
        </w:rPr>
        <w:t> </w:t>
      </w:r>
      <w:r>
        <w:rPr>
          <w:spacing w:val="-52"/>
        </w:rPr>
      </w:r>
      <w:r>
        <w:rPr/>
        <w:t>汇率风险、利率风险和其他价格风险。</w:t>
      </w:r>
      <w:r>
        <w:rPr>
          <w:w w:val="100"/>
        </w:rPr>
        <w:t> </w:t>
      </w:r>
      <w:r>
        <w:rPr>
          <w:spacing w:val="-2"/>
        </w:rPr>
        <w:t>利率风险，是指金融工具的公允价值或未来现金流量因市场利率变动而发生波动的风险。本公司面临的利</w:t>
      </w:r>
      <w:r>
        <w:rPr>
          <w:spacing w:val="-52"/>
        </w:rPr>
        <w:t> </w:t>
      </w:r>
      <w:r>
        <w:rPr>
          <w:spacing w:val="-52"/>
        </w:rPr>
      </w:r>
      <w:r>
        <w:rPr/>
        <w:t>率风险主要来源于银行长期借款以及应付债券。期末公司无对外借款，不存在利率风险。</w:t>
      </w:r>
      <w:r>
        <w:rPr>
          <w:w w:val="100"/>
        </w:rPr>
        <w:t> </w:t>
      </w:r>
      <w:r>
        <w:rPr>
          <w:spacing w:val="-2"/>
        </w:rPr>
        <w:t>汇率风险，是指金融工具的公允价值或未来现金流量因外汇汇率变动而发生波动的风险。期末公司无对外</w:t>
      </w:r>
      <w:r>
        <w:rPr>
          <w:spacing w:val="-52"/>
        </w:rPr>
        <w:t> </w:t>
      </w:r>
      <w:r>
        <w:rPr>
          <w:spacing w:val="-52"/>
        </w:rPr>
      </w:r>
      <w:r>
        <w:rPr/>
        <w:t>币账户，不存在汇率风险。</w:t>
      </w:r>
      <w:r>
        <w:rPr>
          <w:w w:val="100"/>
        </w:rPr>
        <w:t> </w:t>
      </w:r>
      <w:r>
        <w:rPr/>
        <w:t>其他价格风险。本公司未持有其他上市公司的权益投资，不存在其他价格风险。</w:t>
      </w:r>
    </w:p>
    <w:p>
      <w:pPr>
        <w:spacing w:line="240" w:lineRule="auto" w:before="8"/>
        <w:rPr>
          <w:rFonts w:ascii="宋体" w:hAnsi="宋体" w:cs="宋体" w:eastAsia="宋体" w:hint="default"/>
          <w:sz w:val="24"/>
          <w:szCs w:val="24"/>
        </w:rPr>
      </w:pPr>
    </w:p>
    <w:p>
      <w:pPr>
        <w:pStyle w:val="Heading4"/>
        <w:spacing w:line="264" w:lineRule="auto"/>
        <w:ind w:left="265" w:right="0" w:hanging="113"/>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）流动性风险</w:t>
      </w:r>
      <w:r>
        <w:rPr>
          <w:rFonts w:ascii="宋体" w:hAnsi="宋体" w:cs="宋体" w:eastAsia="宋体" w:hint="default"/>
          <w:b/>
          <w:bCs/>
          <w:spacing w:val="-104"/>
        </w:rPr>
        <w:t> </w:t>
      </w:r>
      <w:r>
        <w:rPr/>
        <w:t>流动风险，是指企业在履行以交付现金或其他金融资产的方式结算的义务时发生资金短缺的风险。本公</w:t>
      </w:r>
      <w:r>
        <w:rPr>
          <w:w w:val="100"/>
        </w:rPr>
        <w:t> </w:t>
      </w:r>
      <w:r>
        <w:rPr/>
        <w:t>司的政策是确保拥有充足的现金以偿还到期债务。流动性风险由本公司的财务部门集中控制。财务部门</w:t>
      </w:r>
      <w:r>
        <w:rPr>
          <w:w w:val="100"/>
        </w:rPr>
        <w:t> </w:t>
      </w:r>
      <w:r>
        <w:rPr/>
        <w:t>通过监控现金余额、可随时变现的有价证券以及对未来</w:t>
      </w:r>
      <w:r>
        <w:rPr>
          <w:rFonts w:ascii="Times New Roman" w:hAnsi="Times New Roman" w:cs="Times New Roman" w:eastAsia="Times New Roman" w:hint="default"/>
        </w:rPr>
        <w:t>12</w:t>
      </w:r>
      <w:r>
        <w:rPr/>
        <w:t>个月现金流量的滚动预测，确保公司在所有合</w:t>
      </w:r>
      <w:r>
        <w:rPr>
          <w:w w:val="100"/>
        </w:rPr>
        <w:t> </w:t>
      </w:r>
      <w:r>
        <w:rPr/>
        <w:t>理预测的情况下拥有充足的资金偿还债务。</w:t>
      </w:r>
    </w:p>
    <w:p>
      <w:pPr>
        <w:spacing w:after="0" w:line="264"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71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19"/>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四川久远投资控股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8"/>
              <w:jc w:val="right"/>
              <w:rPr>
                <w:rFonts w:ascii="宋体" w:hAnsi="宋体" w:cs="宋体" w:eastAsia="宋体" w:hint="default"/>
                <w:sz w:val="18"/>
                <w:szCs w:val="18"/>
              </w:rPr>
            </w:pPr>
            <w:r>
              <w:rPr>
                <w:rFonts w:ascii="宋体" w:hAnsi="宋体" w:cs="宋体" w:eastAsia="宋体" w:hint="default"/>
                <w:sz w:val="18"/>
                <w:szCs w:val="18"/>
              </w:rPr>
              <w:t>四川省绵阳市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28.35%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28.35%</w:t>
            </w:r>
          </w:p>
        </w:tc>
      </w:tr>
    </w:tbl>
    <w:p>
      <w:pPr>
        <w:pStyle w:val="BodyText"/>
        <w:spacing w:line="240" w:lineRule="auto" w:before="49"/>
        <w:ind w:right="0"/>
        <w:jc w:val="left"/>
      </w:pPr>
      <w:r>
        <w:rPr/>
        <w:t>本企业的母公司情况的说明</w:t>
      </w:r>
    </w:p>
    <w:p>
      <w:pPr>
        <w:pStyle w:val="Heading4"/>
        <w:spacing w:line="264" w:lineRule="auto" w:before="96"/>
        <w:ind w:left="152" w:right="148" w:firstLine="252"/>
        <w:jc w:val="both"/>
      </w:pPr>
      <w:r>
        <w:rPr>
          <w:spacing w:val="-3"/>
        </w:rPr>
        <w:t>本公司实际控制人为中国工程物理研究院。公司第一大股东四川久远投资控股集团有限公司持有本公司</w:t>
      </w:r>
      <w:r>
        <w:rPr>
          <w:w w:val="100"/>
        </w:rPr>
        <w:t> </w:t>
      </w:r>
      <w:r>
        <w:rPr>
          <w:rFonts w:ascii="Times New Roman" w:hAnsi="Times New Roman" w:cs="Times New Roman" w:eastAsia="Times New Roman" w:hint="default"/>
        </w:rPr>
        <w:t>28.35%</w:t>
      </w:r>
      <w:r>
        <w:rPr/>
        <w:t>股权，中国工程物理研究院持有四川久远投资控股集团有限公司</w:t>
      </w:r>
      <w:r>
        <w:rPr>
          <w:rFonts w:ascii="Times New Roman" w:hAnsi="Times New Roman" w:cs="Times New Roman" w:eastAsia="Times New Roman" w:hint="default"/>
        </w:rPr>
        <w:t>100%</w:t>
      </w:r>
      <w:r>
        <w:rPr/>
        <w:t>股权，通过控制四川久远投</w:t>
      </w:r>
      <w:r>
        <w:rPr>
          <w:spacing w:val="-7"/>
        </w:rPr>
        <w:t> </w:t>
      </w:r>
      <w:r>
        <w:rPr>
          <w:spacing w:val="-7"/>
        </w:rPr>
      </w:r>
      <w:r>
        <w:rPr/>
        <w:t>资控股集团有限公司，最终达到控制本公司。</w:t>
      </w:r>
    </w:p>
    <w:p>
      <w:pPr>
        <w:spacing w:line="240" w:lineRule="auto" w:before="11"/>
        <w:rPr>
          <w:rFonts w:ascii="宋体" w:hAnsi="宋体" w:cs="宋体" w:eastAsia="宋体" w:hint="default"/>
          <w:sz w:val="29"/>
          <w:szCs w:val="29"/>
        </w:rPr>
      </w:pPr>
    </w:p>
    <w:p>
      <w:pPr>
        <w:pStyle w:val="BodyText"/>
        <w:spacing w:line="240" w:lineRule="auto"/>
        <w:ind w:right="0"/>
        <w:jc w:val="left"/>
      </w:pPr>
      <w:r>
        <w:rPr/>
        <w:t>本企业最终控制方是中国工程物理研究院。</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314"/>
        <w:jc w:val="left"/>
      </w:pPr>
      <w:r>
        <w:rPr>
          <w:spacing w:val="-4"/>
        </w:rPr>
        <w:t>本企业重要的合营或联营企业详见附注九、在其他主体中的权益。。</w:t>
      </w:r>
      <w:r>
        <w:rPr>
          <w:spacing w:val="-62"/>
        </w:rPr>
        <w:t> </w:t>
      </w:r>
      <w:r>
        <w:rPr>
          <w:spacing w:val="-62"/>
        </w:rPr>
      </w:r>
      <w:r>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四川银海天怡信息技术有限公司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年内转让的联营企业</w:t>
            </w:r>
          </w:p>
        </w:tc>
      </w:tr>
    </w:tbl>
    <w:p>
      <w:pPr>
        <w:pStyle w:val="BodyText"/>
        <w:spacing w:line="240" w:lineRule="auto" w:before="67"/>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成都久信信息技术股份有限公司（注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中国工程物理研究院及其下属单位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四川银海天怡信息技术有限公司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四川久信科诚信息技术有限公司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潜在关联方（注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平安科技（深圳）有限公司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潜在关联方（注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平安医疗健康管理股份有限公司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潜在关联方（注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天津环球磁卡股份有限公司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潜在关联方（注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pStyle w:val="BodyText"/>
        <w:spacing w:line="240" w:lineRule="auto" w:before="49"/>
        <w:ind w:right="0"/>
        <w:jc w:val="left"/>
      </w:pPr>
      <w:r>
        <w:rPr/>
        <w:t>其他说明</w:t>
      </w:r>
    </w:p>
    <w:p>
      <w:pPr>
        <w:pStyle w:val="Heading4"/>
        <w:spacing w:line="259" w:lineRule="auto" w:before="94"/>
        <w:ind w:left="518" w:right="0" w:hanging="366"/>
        <w:jc w:val="left"/>
      </w:pPr>
      <w:r>
        <w:rPr>
          <w:rFonts w:ascii="Times New Roman" w:hAnsi="Times New Roman" w:cs="Times New Roman" w:eastAsia="Times New Roman" w:hint="default"/>
          <w:spacing w:val="-2"/>
        </w:rPr>
        <w:t>1</w:t>
      </w:r>
      <w:r>
        <w:rPr>
          <w:spacing w:val="-2"/>
        </w:rPr>
        <w:t>、注</w:t>
      </w:r>
      <w:r>
        <w:rPr>
          <w:rFonts w:ascii="Times New Roman" w:hAnsi="Times New Roman" w:cs="Times New Roman" w:eastAsia="Times New Roman" w:hint="default"/>
          <w:spacing w:val="-2"/>
        </w:rPr>
        <w:t>1</w:t>
      </w:r>
      <w:r>
        <w:rPr>
          <w:spacing w:val="-2"/>
        </w:rPr>
        <w:t>：原成都久信网络咨询监理有限公司现更名为成都久信信息技术股份有限公司</w:t>
      </w:r>
      <w:r>
        <w:rPr>
          <w:spacing w:val="-33"/>
        </w:rPr>
        <w:t> </w:t>
      </w:r>
      <w:r>
        <w:rPr>
          <w:spacing w:val="-33"/>
        </w:rPr>
      </w:r>
      <w:r>
        <w:rPr/>
        <w:t>注</w:t>
      </w:r>
      <w:r>
        <w:rPr>
          <w:rFonts w:ascii="Times New Roman" w:hAnsi="Times New Roman" w:cs="Times New Roman" w:eastAsia="Times New Roman" w:hint="default"/>
        </w:rPr>
        <w:t>2</w:t>
      </w:r>
      <w:r>
        <w:rPr/>
        <w:t>：关联关系认定详见：十五、资产负债表日后事项</w:t>
      </w:r>
    </w:p>
    <w:p>
      <w:pPr>
        <w:pStyle w:val="Heading4"/>
        <w:spacing w:line="256" w:lineRule="auto" w:before="2"/>
        <w:ind w:left="152" w:right="0"/>
        <w:jc w:val="left"/>
      </w:pPr>
      <w:r>
        <w:rPr>
          <w:rFonts w:ascii="Times New Roman" w:hAnsi="Times New Roman" w:cs="Times New Roman" w:eastAsia="Times New Roman" w:hint="default"/>
        </w:rPr>
        <w:t>2</w:t>
      </w:r>
      <w:r>
        <w:rPr/>
        <w:t>、本公司与中物院及其下属单位签订的合同属于军工保密事项，根据《军工企业对外融资特殊财务信息</w:t>
      </w:r>
      <w:r>
        <w:rPr>
          <w:w w:val="100"/>
        </w:rPr>
        <w:t> </w:t>
      </w:r>
      <w:r>
        <w:rPr>
          <w:spacing w:val="-5"/>
        </w:rPr>
        <w:t>披露管理暂行办法》（科工财审</w:t>
      </w:r>
      <w:r>
        <w:rPr>
          <w:rFonts w:ascii="Times New Roman" w:hAnsi="Times New Roman" w:cs="Times New Roman" w:eastAsia="Times New Roman" w:hint="default"/>
          <w:spacing w:val="-5"/>
        </w:rPr>
        <w:t>[2008]702</w:t>
      </w:r>
      <w:r>
        <w:rPr>
          <w:spacing w:val="-5"/>
        </w:rPr>
        <w:t>号）的相关规定，并经国家国防科技工业局（科工财审</w:t>
      </w:r>
      <w:r>
        <w:rPr>
          <w:rFonts w:ascii="Times New Roman" w:hAnsi="Times New Roman" w:cs="Times New Roman" w:eastAsia="Times New Roman" w:hint="default"/>
          <w:spacing w:val="-5"/>
        </w:rPr>
        <w:t>[2012]1662</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spacing w:val="-3"/>
        </w:rPr>
        <w:t>号、科工财审</w:t>
      </w:r>
      <w:r>
        <w:rPr>
          <w:rFonts w:ascii="Times New Roman" w:hAnsi="Times New Roman" w:cs="Times New Roman" w:eastAsia="Times New Roman" w:hint="default"/>
          <w:spacing w:val="-3"/>
        </w:rPr>
        <w:t>[2014]407</w:t>
      </w:r>
      <w:r>
        <w:rPr>
          <w:spacing w:val="-3"/>
        </w:rPr>
        <w:t>号）文批准，对报告期内本公司与中物院及其下属单位发生的关联交易事项豁免披</w:t>
      </w:r>
      <w:r>
        <w:rPr>
          <w:spacing w:val="-18"/>
        </w:rPr>
        <w:t> </w:t>
      </w:r>
      <w:r>
        <w:rPr>
          <w:spacing w:val="-18"/>
        </w:rPr>
      </w:r>
      <w:r>
        <w:rPr/>
        <w:t>露。</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成都久信信息技术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28,301.89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5" w:right="0"/>
              <w:jc w:val="left"/>
              <w:rPr>
                <w:rFonts w:ascii="Times New Roman" w:hAnsi="Times New Roman" w:cs="Times New Roman" w:eastAsia="Times New Roman" w:hint="default"/>
                <w:sz w:val="18"/>
                <w:szCs w:val="18"/>
              </w:rPr>
            </w:pPr>
            <w:r>
              <w:rPr>
                <w:rFonts w:ascii="Times New Roman"/>
                <w:sz w:val="18"/>
              </w:rPr>
              <w:t>28,301.89</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171,700.00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平安医疗健康管理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95,471.70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中国工程物理研究院及其下属 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49,911,117.94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633,630.77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中国工程物理研究院及其下属 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12,074,243.79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2,144,132.08</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四川银海天怡信息技术有限公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376,251.61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128,767.25</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四川久信科诚信息技术有限公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235,849.06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2,349,056.60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106,603.77</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391"/>
        <w:gridCol w:w="2396"/>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平安科技（深圳）有限公司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846,610.27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本公司作为承租方：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523,378.06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410,674.43</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4"/>
        <w:gridCol w:w="2392"/>
        <w:gridCol w:w="2381"/>
      </w:tblGrid>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5,546,000.00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平安养老保险股份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四川银海天怡信息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136,493.27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6,824.66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5,067,245.49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338,359.57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137,995.76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89,336.04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平安医疗健康管理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中国工程物理研究 院及其下属单位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37,428.75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17,428.75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平安医疗健康管理股份有限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205,471.70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171,700.00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天津环球磁卡股份有限公司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80,812.80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平安养老保险股份有限公司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939,622.64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平安医疗健康管理股份有限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74,716.98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中国工程物理研究院及其下 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5" w:right="0"/>
              <w:jc w:val="left"/>
              <w:rPr>
                <w:rFonts w:ascii="Times New Roman" w:hAnsi="Times New Roman" w:cs="Times New Roman" w:eastAsia="Times New Roman" w:hint="default"/>
                <w:sz w:val="18"/>
                <w:szCs w:val="18"/>
              </w:rPr>
            </w:pPr>
            <w:r>
              <w:rPr>
                <w:rFonts w:ascii="Times New Roman"/>
                <w:sz w:val="18"/>
              </w:rPr>
              <w:t>13,563,844.45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47,211,263.70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四川久信科诚信息技术有限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235,849.06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2" w:right="69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6"/>
        <w:ind w:right="0"/>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240" w:lineRule="auto" w:before="44"/>
        <w:ind w:right="0"/>
        <w:jc w:val="left"/>
      </w:pPr>
      <w:r>
        <w:rPr/>
        <w:t>资产负债表日存在的重要承诺</w:t>
      </w:r>
    </w:p>
    <w:p>
      <w:pPr>
        <w:pStyle w:val="Heading4"/>
        <w:spacing w:line="240" w:lineRule="auto" w:before="96"/>
        <w:ind w:left="870" w:right="0"/>
        <w:jc w:val="left"/>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日，公司资产抵押情况如下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Heading4"/>
        <w:spacing w:line="240" w:lineRule="auto" w:before="165"/>
        <w:ind w:left="152" w:right="0"/>
        <w:jc w:val="left"/>
      </w:pPr>
      <w:r>
        <w:rPr/>
        <w:t>单位：元</w:t>
      </w:r>
    </w:p>
    <w:p>
      <w:pPr>
        <w:spacing w:after="0" w:line="240" w:lineRule="auto"/>
        <w:jc w:val="left"/>
        <w:sectPr>
          <w:type w:val="continuous"/>
          <w:pgSz w:w="11910" w:h="16840"/>
          <w:pgMar w:top="1060" w:bottom="1160" w:left="980" w:right="980"/>
          <w:cols w:num="2" w:equalWidth="0">
            <w:col w:w="5076" w:space="2468"/>
            <w:col w:w="2406"/>
          </w:cols>
        </w:sectPr>
      </w:pPr>
    </w:p>
    <w:p>
      <w:pPr>
        <w:spacing w:line="240" w:lineRule="auto" w:before="10"/>
        <w:rPr>
          <w:rFonts w:ascii="宋体" w:hAnsi="宋体" w:cs="宋体" w:eastAsia="宋体" w:hint="default"/>
          <w:sz w:val="3"/>
          <w:szCs w:val="3"/>
        </w:rPr>
      </w:pPr>
    </w:p>
    <w:tbl>
      <w:tblPr>
        <w:tblW w:w="0" w:type="auto"/>
        <w:jc w:val="left"/>
        <w:tblInd w:w="753" w:type="dxa"/>
        <w:tblLayout w:type="fixed"/>
        <w:tblCellMar>
          <w:top w:w="0" w:type="dxa"/>
          <w:left w:w="0" w:type="dxa"/>
          <w:bottom w:w="0" w:type="dxa"/>
          <w:right w:w="0" w:type="dxa"/>
        </w:tblCellMar>
        <w:tblLook w:val="01E0"/>
      </w:tblPr>
      <w:tblGrid>
        <w:gridCol w:w="2228"/>
        <w:gridCol w:w="1860"/>
        <w:gridCol w:w="1887"/>
        <w:gridCol w:w="1839"/>
      </w:tblGrid>
      <w:tr>
        <w:trPr>
          <w:trHeight w:val="355" w:hRule="exact"/>
        </w:trPr>
        <w:tc>
          <w:tcPr>
            <w:tcW w:w="2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大类</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72" w:right="0"/>
              <w:jc w:val="left"/>
              <w:rPr>
                <w:rFonts w:ascii="宋体" w:hAnsi="宋体" w:cs="宋体" w:eastAsia="宋体" w:hint="default"/>
                <w:sz w:val="18"/>
                <w:szCs w:val="18"/>
              </w:rPr>
            </w:pPr>
            <w:r>
              <w:rPr>
                <w:rFonts w:ascii="宋体" w:hAnsi="宋体" w:cs="宋体" w:eastAsia="宋体" w:hint="default"/>
                <w:sz w:val="18"/>
                <w:szCs w:val="18"/>
              </w:rPr>
              <w:t>抵押物原值</w:t>
            </w:r>
          </w:p>
        </w:tc>
        <w:tc>
          <w:tcPr>
            <w:tcW w:w="18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抵押物净值</w:t>
            </w:r>
          </w:p>
        </w:tc>
        <w:tc>
          <w:tcPr>
            <w:tcW w:w="18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463" w:right="0"/>
              <w:jc w:val="left"/>
              <w:rPr>
                <w:rFonts w:ascii="宋体" w:hAnsi="宋体" w:cs="宋体" w:eastAsia="宋体" w:hint="default"/>
                <w:sz w:val="18"/>
                <w:szCs w:val="18"/>
              </w:rPr>
            </w:pPr>
            <w:r>
              <w:rPr>
                <w:rFonts w:ascii="宋体" w:hAnsi="宋体" w:cs="宋体" w:eastAsia="宋体" w:hint="default"/>
                <w:sz w:val="18"/>
                <w:szCs w:val="18"/>
              </w:rPr>
              <w:t>抵押借款额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753" w:type="dxa"/>
        <w:tblLayout w:type="fixed"/>
        <w:tblCellMar>
          <w:top w:w="0" w:type="dxa"/>
          <w:left w:w="0" w:type="dxa"/>
          <w:bottom w:w="0" w:type="dxa"/>
          <w:right w:w="0" w:type="dxa"/>
        </w:tblCellMar>
        <w:tblLook w:val="01E0"/>
      </w:tblPr>
      <w:tblGrid>
        <w:gridCol w:w="2228"/>
        <w:gridCol w:w="1860"/>
        <w:gridCol w:w="1887"/>
        <w:gridCol w:w="1839"/>
      </w:tblGrid>
      <w:tr>
        <w:trPr>
          <w:trHeight w:val="356" w:hRule="exact"/>
        </w:trPr>
        <w:tc>
          <w:tcPr>
            <w:tcW w:w="2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8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49,098,751.40</w:t>
            </w:r>
          </w:p>
        </w:tc>
        <w:tc>
          <w:tcPr>
            <w:tcW w:w="18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37,546,217.42</w:t>
            </w:r>
          </w:p>
        </w:tc>
        <w:tc>
          <w:tcPr>
            <w:tcW w:w="1839" w:type="dxa"/>
            <w:vMerge w:val="restart"/>
            <w:tcBorders>
              <w:top w:val="single" w:sz="6" w:space="0" w:color="000000"/>
              <w:left w:val="single" w:sz="6" w:space="0" w:color="000000"/>
              <w:right w:val="nil" w:sz="6" w:space="0" w:color="auto"/>
            </w:tcBorders>
          </w:tcPr>
          <w:p>
            <w:pPr>
              <w:pStyle w:val="TableParagraph"/>
              <w:spacing w:line="240" w:lineRule="auto" w:before="60"/>
              <w:ind w:left="787" w:right="0"/>
              <w:jc w:val="left"/>
              <w:rPr>
                <w:rFonts w:ascii="Times New Roman" w:hAnsi="Times New Roman" w:cs="Times New Roman" w:eastAsia="Times New Roman" w:hint="default"/>
                <w:sz w:val="18"/>
                <w:szCs w:val="18"/>
              </w:rPr>
            </w:pPr>
            <w:r>
              <w:rPr>
                <w:rFonts w:ascii="Times New Roman"/>
                <w:sz w:val="18"/>
              </w:rPr>
              <w:t>75,000,000.00</w:t>
            </w:r>
          </w:p>
        </w:tc>
      </w:tr>
      <w:tr>
        <w:trPr>
          <w:trHeight w:val="350" w:hRule="exact"/>
        </w:trPr>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9,113,249.40</w:t>
            </w:r>
          </w:p>
        </w:tc>
        <w:tc>
          <w:tcPr>
            <w:tcW w:w="18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6,954,013.14</w:t>
            </w:r>
          </w:p>
        </w:tc>
        <w:tc>
          <w:tcPr>
            <w:tcW w:w="1839" w:type="dxa"/>
            <w:vMerge/>
            <w:tcBorders>
              <w:left w:val="single" w:sz="6" w:space="0" w:color="000000"/>
              <w:bottom w:val="single" w:sz="12" w:space="0" w:color="000000"/>
              <w:right w:val="nil" w:sz="6" w:space="0" w:color="auto"/>
            </w:tcBorders>
          </w:tcPr>
          <w:p>
            <w:pPr/>
          </w:p>
        </w:tc>
      </w:tr>
      <w:tr>
        <w:trPr>
          <w:trHeight w:val="353" w:hRule="exact"/>
        </w:trPr>
        <w:tc>
          <w:tcPr>
            <w:tcW w:w="22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58,212,000.80</w:t>
            </w:r>
          </w:p>
        </w:tc>
        <w:tc>
          <w:tcPr>
            <w:tcW w:w="18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44,500,230.56</w:t>
            </w:r>
          </w:p>
        </w:tc>
        <w:tc>
          <w:tcPr>
            <w:tcW w:w="1839" w:type="dxa"/>
            <w:tcBorders>
              <w:top w:val="single" w:sz="12" w:space="0" w:color="000000"/>
              <w:left w:val="single" w:sz="6" w:space="0" w:color="000000"/>
              <w:bottom w:val="single" w:sz="12" w:space="0" w:color="000000"/>
              <w:right w:val="nil" w:sz="6" w:space="0" w:color="auto"/>
            </w:tcBorders>
          </w:tcPr>
          <w:p>
            <w:pPr/>
          </w:p>
        </w:tc>
      </w:tr>
    </w:tbl>
    <w:p>
      <w:pPr>
        <w:pStyle w:val="Heading4"/>
        <w:spacing w:line="264" w:lineRule="auto"/>
        <w:ind w:right="146"/>
        <w:jc w:val="both"/>
      </w:pPr>
      <w:r>
        <w:rPr>
          <w:spacing w:val="-4"/>
        </w:rPr>
        <w:t>公司向中国农业重点建设基金有限公司贷款，获取长期借款</w:t>
      </w:r>
      <w:r>
        <w:rPr>
          <w:rFonts w:ascii="Times New Roman" w:hAnsi="Times New Roman" w:cs="Times New Roman" w:eastAsia="Times New Roman" w:hint="default"/>
          <w:spacing w:val="-4"/>
        </w:rPr>
        <w:t>7500</w:t>
      </w:r>
      <w:r>
        <w:rPr>
          <w:spacing w:val="-4"/>
        </w:rPr>
        <w:t>万元，借款期限为</w:t>
      </w:r>
      <w:r>
        <w:rPr>
          <w:rFonts w:ascii="Times New Roman" w:hAnsi="Times New Roman" w:cs="Times New Roman" w:eastAsia="Times New Roman" w:hint="default"/>
          <w:spacing w:val="-4"/>
        </w:rPr>
        <w:t>15</w:t>
      </w:r>
      <w:r>
        <w:rPr>
          <w:spacing w:val="-4"/>
        </w:rPr>
        <w:t>年，由四川发</w:t>
      </w:r>
      <w:r>
        <w:rPr>
          <w:spacing w:val="-29"/>
        </w:rPr>
        <w:t> </w:t>
      </w:r>
      <w:r>
        <w:rPr>
          <w:spacing w:val="-29"/>
        </w:rPr>
      </w:r>
      <w:r>
        <w:rPr>
          <w:spacing w:val="-4"/>
        </w:rPr>
        <w:t>展融资担保股份有限公司提供担保，公司以名下的银海芯座所有房屋及车位作为抵押物，为四川发</w:t>
      </w:r>
      <w:r>
        <w:rPr>
          <w:spacing w:val="-41"/>
        </w:rPr>
        <w:t> </w:t>
      </w:r>
      <w:r>
        <w:rPr>
          <w:spacing w:val="-41"/>
        </w:rPr>
      </w:r>
      <w:r>
        <w:rPr/>
        <w:t>展融资担保股份有限公司提供反担保。</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spacing w:line="506" w:lineRule="auto" w:before="0"/>
        <w:ind w:left="861" w:right="5494" w:hanging="709"/>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）资产负债表日存在的重要或有事项</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本公司无需要披露的或有事项。</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326"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12" w:lineRule="auto" w:before="49"/>
              <w:ind w:left="18"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公司以非公开发行方式向平 安养老保险股份有限公司、 平安资产管理有限责任公 </w:t>
            </w:r>
            <w:r>
              <w:rPr>
                <w:rFonts w:ascii="宋体" w:hAnsi="宋体" w:cs="宋体" w:eastAsia="宋体" w:hint="default"/>
                <w:spacing w:val="-3"/>
                <w:sz w:val="18"/>
                <w:szCs w:val="18"/>
              </w:rPr>
              <w:t>司、广发恒定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号久远银海 定向增发集合资产管理计 划、广发原驰</w:t>
            </w:r>
            <w:r>
              <w:rPr>
                <w:rFonts w:ascii="Times New Roman" w:hAnsi="Times New Roman" w:cs="Times New Roman" w:eastAsia="Times New Roman" w:hint="default"/>
                <w:sz w:val="18"/>
                <w:szCs w:val="18"/>
              </w:rPr>
              <w:t>·</w:t>
            </w:r>
            <w:r>
              <w:rPr>
                <w:rFonts w:ascii="宋体" w:hAnsi="宋体" w:cs="宋体" w:eastAsia="宋体" w:hint="default"/>
                <w:sz w:val="18"/>
                <w:szCs w:val="18"/>
              </w:rPr>
              <w:t>久远银海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定向资产管理计划合计发行 普通股股票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12,540,592.00</w:t>
            </w:r>
          </w:p>
          <w:p>
            <w:pPr>
              <w:pStyle w:val="TableParagraph"/>
              <w:spacing w:line="240" w:lineRule="auto" w:before="3"/>
              <w:ind w:left="18" w:right="0"/>
              <w:jc w:val="left"/>
              <w:rPr>
                <w:rFonts w:ascii="宋体" w:hAnsi="宋体" w:cs="宋体" w:eastAsia="宋体" w:hint="default"/>
                <w:sz w:val="18"/>
                <w:szCs w:val="18"/>
              </w:rPr>
            </w:pPr>
            <w:r>
              <w:rPr>
                <w:rFonts w:ascii="宋体" w:hAnsi="宋体" w:cs="宋体" w:eastAsia="宋体" w:hint="default"/>
                <w:sz w:val="18"/>
                <w:szCs w:val="18"/>
              </w:rPr>
              <w:t>股，每股面值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w:t>
            </w:r>
          </w:p>
          <w:p>
            <w:pPr>
              <w:pStyle w:val="TableParagraph"/>
              <w:spacing w:line="309" w:lineRule="auto" w:before="63"/>
              <w:ind w:left="18" w:right="17"/>
              <w:jc w:val="left"/>
              <w:rPr>
                <w:rFonts w:ascii="宋体" w:hAnsi="宋体" w:cs="宋体" w:eastAsia="宋体" w:hint="default"/>
                <w:sz w:val="18"/>
                <w:szCs w:val="18"/>
              </w:rPr>
            </w:pPr>
            <w:r>
              <w:rPr>
                <w:rFonts w:ascii="宋体" w:hAnsi="宋体" w:cs="宋体" w:eastAsia="宋体" w:hint="default"/>
                <w:sz w:val="18"/>
                <w:szCs w:val="18"/>
              </w:rPr>
              <w:t>发行价格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35.72</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元，均以现金</w:t>
            </w:r>
            <w:r>
              <w:rPr>
                <w:rFonts w:ascii="宋体" w:hAnsi="宋体" w:cs="宋体" w:eastAsia="宋体" w:hint="default"/>
                <w:sz w:val="18"/>
                <w:szCs w:val="18"/>
              </w:rPr>
              <w:t> 认购。本次发行募集资金于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日全部募集到 位。本次发行新增股份于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 登记结算有限责任公司深圳 分公司办理完毕登记托管手</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91"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2326"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2493"/>
        <w:gridCol w:w="2295"/>
        <w:gridCol w:w="2391"/>
        <w:gridCol w:w="2391"/>
      </w:tblGrid>
      <w:tr>
        <w:trPr>
          <w:trHeight w:val="315"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续。本次发行募集资金总额</w:t>
            </w:r>
          </w:p>
        </w:tc>
        <w:tc>
          <w:tcPr>
            <w:tcW w:w="2391" w:type="dxa"/>
            <w:vMerge w:val="restart"/>
            <w:tcBorders>
              <w:top w:val="single" w:sz="4" w:space="0" w:color="000000"/>
              <w:left w:val="single" w:sz="4" w:space="0" w:color="000000"/>
              <w:right w:val="single" w:sz="4" w:space="0" w:color="000000"/>
            </w:tcBorders>
          </w:tcPr>
          <w:p>
            <w:pPr>
              <w:pStyle w:val="TableParagraph"/>
              <w:spacing w:line="4097" w:lineRule="exact"/>
              <w:ind w:left="2" w:right="-51"/>
              <w:jc w:val="left"/>
              <w:rPr>
                <w:rFonts w:ascii="宋体" w:hAnsi="宋体" w:cs="宋体" w:eastAsia="宋体" w:hint="default"/>
                <w:sz w:val="20"/>
                <w:szCs w:val="20"/>
              </w:rPr>
            </w:pPr>
            <w:r>
              <w:rPr>
                <w:rFonts w:ascii="宋体" w:hAnsi="宋体" w:cs="宋体" w:eastAsia="宋体" w:hint="default"/>
                <w:position w:val="-81"/>
                <w:sz w:val="20"/>
                <w:szCs w:val="20"/>
              </w:rPr>
              <w:pict>
                <v:group style="width:118.95pt;height:204.9pt;mso-position-horizontal-relative:char;mso-position-vertical-relative:line" coordorigin="0,0" coordsize="2379,4098">
                  <v:group style="position:absolute;left:0;top:0;width:2379;height:4098" coordorigin="0,0" coordsize="2379,4098">
                    <v:shape style="position:absolute;left:0;top:0;width:2379;height:4098" coordorigin="0,0" coordsize="2379,4098" path="m0,4098l2379,4098,2379,0,0,0,0,4098xe" filled="true" fillcolor="#ffffff" stroked="false">
                      <v:path arrowok="t"/>
                      <v:fill type="solid"/>
                    </v:shape>
                  </v:group>
                </v:group>
              </w:pict>
            </w:r>
            <w:r>
              <w:rPr>
                <w:rFonts w:ascii="宋体" w:hAnsi="宋体" w:cs="宋体" w:eastAsia="宋体" w:hint="default"/>
                <w:position w:val="-81"/>
                <w:sz w:val="20"/>
                <w:szCs w:val="20"/>
              </w:rPr>
            </w:r>
          </w:p>
        </w:tc>
        <w:tc>
          <w:tcPr>
            <w:tcW w:w="2391" w:type="dxa"/>
            <w:vMerge w:val="restart"/>
            <w:tcBorders>
              <w:top w:val="single" w:sz="4" w:space="0" w:color="000000"/>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447,950,000.00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元，扣除各</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项发行费用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12,086,649.53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后，实际募集资金净额人民</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37"/>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435,863,350.47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记入股本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12,540,592.00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423,322,758.47</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元，记入</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资本公积。发行募集资金于</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日全部募集到</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位。发行新增股份于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日在中国证券登记结算</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有限责任公司深圳分公司办</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60"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理完毕登记托管手续。</w:t>
            </w: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927"/>
        <w:gridCol w:w="4928"/>
      </w:tblGrid>
      <w:tr>
        <w:trPr>
          <w:trHeight w:val="403"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43,135,148.00</w:t>
            </w:r>
          </w:p>
        </w:tc>
      </w:tr>
      <w:tr>
        <w:trPr>
          <w:trHeight w:val="401" w:hRule="exact"/>
        </w:trPr>
        <w:tc>
          <w:tcPr>
            <w:tcW w:w="49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43,135,148.00</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12"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left="212" w:right="0"/>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left="320" w:right="0"/>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9</w:t>
      </w:r>
      <w:r>
        <w:rPr>
          <w:spacing w:val="-2"/>
        </w:rPr>
        <w:t>日，根据公司第四届董事会第四次会议，审议通过了《关于向控股子公司天津银海环球</w:t>
      </w:r>
      <w:r>
        <w:rPr>
          <w:spacing w:val="-45"/>
        </w:rPr>
        <w:t> </w:t>
      </w:r>
      <w:r>
        <w:rPr>
          <w:spacing w:val="-45"/>
        </w:rPr>
      </w:r>
      <w:r>
        <w:rPr>
          <w:spacing w:val="-2"/>
        </w:rPr>
        <w:t>信息技术有限公司增资的议案》，同意公司以自有资金人民币</w:t>
      </w:r>
      <w:r>
        <w:rPr>
          <w:rFonts w:ascii="宋体" w:hAnsi="宋体" w:cs="宋体" w:eastAsia="宋体" w:hint="default"/>
          <w:spacing w:val="-2"/>
        </w:rPr>
        <w:t>590</w:t>
      </w:r>
      <w:r>
        <w:rPr>
          <w:spacing w:val="-2"/>
        </w:rPr>
        <w:t>万元，对控股子公司天津银海环球信息</w:t>
      </w:r>
      <w:r>
        <w:rPr>
          <w:spacing w:val="-47"/>
        </w:rPr>
        <w:t> </w:t>
      </w:r>
      <w:r>
        <w:rPr>
          <w:spacing w:val="-47"/>
        </w:rPr>
      </w:r>
      <w:r>
        <w:rPr>
          <w:spacing w:val="-3"/>
        </w:rPr>
        <w:t>技术有限公司（以下简称“天津银海”）进行增资，增资完成后，天津银海注册资本将由人民币</w:t>
      </w:r>
      <w:r>
        <w:rPr>
          <w:rFonts w:ascii="宋体" w:hAnsi="宋体" w:cs="宋体" w:eastAsia="宋体" w:hint="default"/>
          <w:spacing w:val="-3"/>
        </w:rPr>
        <w:t>200</w:t>
      </w:r>
      <w:r>
        <w:rPr>
          <w:spacing w:val="-3"/>
        </w:rPr>
        <w:t>万元</w:t>
      </w:r>
      <w:r>
        <w:rPr>
          <w:spacing w:val="-5"/>
        </w:rPr>
        <w:t> </w:t>
      </w:r>
      <w:r>
        <w:rPr/>
        <w:t>增加至</w:t>
      </w:r>
      <w:r>
        <w:rPr>
          <w:rFonts w:ascii="宋体" w:hAnsi="宋体" w:cs="宋体" w:eastAsia="宋体" w:hint="default"/>
        </w:rPr>
        <w:t>1,000</w:t>
      </w:r>
      <w:r>
        <w:rPr/>
        <w:t>万元，公司持有</w:t>
      </w:r>
      <w:r>
        <w:rPr>
          <w:rFonts w:ascii="宋体" w:hAnsi="宋体" w:cs="宋体" w:eastAsia="宋体" w:hint="default"/>
        </w:rPr>
        <w:t>69.2%</w:t>
      </w:r>
      <w:r>
        <w:rPr/>
        <w:t>的股权。</w:t>
      </w:r>
      <w:r>
        <w:rPr>
          <w:w w:val="100"/>
        </w:rPr>
        <w:t> </w:t>
      </w:r>
      <w:r>
        <w:rPr/>
        <w:t>天津银海完成了相关的工商变更并取得了天津市滨海新区市场和质量监督管理局颁发的《营业执照》。</w:t>
      </w:r>
    </w:p>
    <w:p>
      <w:pPr>
        <w:spacing w:line="240" w:lineRule="auto" w:before="6"/>
        <w:rPr>
          <w:rFonts w:ascii="宋体" w:hAnsi="宋体" w:cs="宋体" w:eastAsia="宋体" w:hint="default"/>
          <w:sz w:val="24"/>
          <w:szCs w:val="24"/>
        </w:rPr>
      </w:pPr>
    </w:p>
    <w:p>
      <w:pPr>
        <w:pStyle w:val="Heading4"/>
        <w:spacing w:line="273" w:lineRule="auto"/>
        <w:ind w:left="320" w:right="0"/>
        <w:jc w:val="left"/>
      </w:pPr>
      <w:r>
        <w:rPr/>
        <w:t>（</w:t>
      </w:r>
      <w:r>
        <w:rPr>
          <w:rFonts w:ascii="宋体" w:hAnsi="宋体" w:cs="宋体" w:eastAsia="宋体" w:hint="default"/>
        </w:rPr>
        <w:t>2</w:t>
      </w:r>
      <w:r>
        <w:rPr/>
        <w:t>）控股子公司设立子公司的事项</w:t>
      </w:r>
      <w:r>
        <w:rPr>
          <w:w w:val="100"/>
        </w:rPr>
        <w:t> </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9</w:t>
      </w:r>
      <w:r>
        <w:rPr/>
        <w:t>日，根据公司第四届董事会第四次会议，审议通过了《关于公司控股子公司天津银海环球信</w:t>
      </w:r>
      <w:r>
        <w:rPr>
          <w:spacing w:val="-26"/>
        </w:rPr>
        <w:t> </w:t>
      </w:r>
      <w:r>
        <w:rPr>
          <w:spacing w:val="-26"/>
        </w:rPr>
      </w:r>
      <w:r>
        <w:rPr/>
        <w:t>息技术有限公司拟设立合资子公司的议案》，天津银海为满足其业务拓展和战略发展的需要，拟以自有</w:t>
      </w:r>
      <w:r>
        <w:rPr>
          <w:spacing w:val="-28"/>
        </w:rPr>
        <w:t> </w:t>
      </w:r>
      <w:r>
        <w:rPr>
          <w:spacing w:val="-28"/>
        </w:rPr>
      </w:r>
      <w:r>
        <w:rPr>
          <w:spacing w:val="-7"/>
        </w:rPr>
        <w:t>资金人民币</w:t>
      </w:r>
      <w:r>
        <w:rPr>
          <w:rFonts w:ascii="宋体" w:hAnsi="宋体" w:cs="宋体" w:eastAsia="宋体" w:hint="default"/>
          <w:spacing w:val="-7"/>
        </w:rPr>
        <w:t>510.00</w:t>
      </w:r>
      <w:r>
        <w:rPr>
          <w:spacing w:val="-7"/>
        </w:rPr>
        <w:t>万元投资设立天津银海健康服务有限公司（新设公司名称暂定，具体以工商登记为准），</w:t>
      </w:r>
      <w:r>
        <w:rPr>
          <w:spacing w:val="-2"/>
        </w:rPr>
        <w:t> </w:t>
      </w:r>
      <w:r>
        <w:rPr>
          <w:spacing w:val="-2"/>
        </w:rPr>
      </w:r>
      <w:r>
        <w:rPr/>
        <w:t>占新设公司注册资本的</w:t>
      </w:r>
      <w:r>
        <w:rPr>
          <w:rFonts w:ascii="宋体" w:hAnsi="宋体" w:cs="宋体" w:eastAsia="宋体" w:hint="default"/>
        </w:rPr>
        <w:t>51%</w:t>
      </w:r>
      <w:r>
        <w:rPr/>
        <w:t>。截至本报告出具日，工商登记手续尚未办理完毕。</w:t>
      </w:r>
      <w:r>
        <w:rPr>
          <w:w w:val="100"/>
        </w:rPr>
        <w:t>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8</w:t>
      </w:r>
      <w:r>
        <w:rPr/>
        <w:t>日，根据公司第四届董事会第五次会议，审议通过了《关于公司控股子公司新疆银海鼎峰软</w:t>
      </w:r>
      <w:r>
        <w:rPr>
          <w:spacing w:val="-29"/>
        </w:rPr>
        <w:t> </w:t>
      </w:r>
      <w:r>
        <w:rPr>
          <w:spacing w:val="-29"/>
        </w:rPr>
      </w:r>
      <w:r>
        <w:rPr/>
        <w:t>件有限公司拟设立全资子公司的议案》，新疆银海鼎峰软件有限公司（以下简称“新疆鼎峰”）为满足</w:t>
      </w:r>
      <w:r>
        <w:rPr>
          <w:spacing w:val="-28"/>
        </w:rPr>
        <w:t> </w:t>
      </w:r>
      <w:r>
        <w:rPr>
          <w:spacing w:val="-28"/>
        </w:rPr>
      </w:r>
      <w:r>
        <w:rPr/>
        <w:t>其业务拓展和战略发展的需要，拟以自有资金人民币</w:t>
      </w:r>
      <w:r>
        <w:rPr>
          <w:rFonts w:ascii="宋体" w:hAnsi="宋体" w:cs="宋体" w:eastAsia="宋体" w:hint="default"/>
        </w:rPr>
        <w:t>100.00</w:t>
      </w:r>
      <w:r>
        <w:rPr/>
        <w:t>万元投资设立喀什银海鼎峰软件有限公司，</w:t>
      </w:r>
      <w:r>
        <w:rPr>
          <w:spacing w:val="-28"/>
        </w:rPr>
        <w:t> </w:t>
      </w:r>
      <w:r>
        <w:rPr>
          <w:spacing w:val="-28"/>
        </w:rPr>
      </w:r>
      <w:r>
        <w:rPr/>
        <w:t>占新设公司注册资本的</w:t>
      </w:r>
      <w:r>
        <w:rPr>
          <w:rFonts w:ascii="宋体" w:hAnsi="宋体" w:cs="宋体" w:eastAsia="宋体" w:hint="default"/>
        </w:rPr>
        <w:t>100%</w:t>
      </w:r>
      <w:r>
        <w:rPr/>
        <w:t>。截至本报告出具日，工商登记手续已办理完毕。</w:t>
      </w:r>
    </w:p>
    <w:p>
      <w:pPr>
        <w:spacing w:line="240" w:lineRule="auto" w:before="6"/>
        <w:rPr>
          <w:rFonts w:ascii="宋体" w:hAnsi="宋体" w:cs="宋体" w:eastAsia="宋体" w:hint="default"/>
          <w:sz w:val="24"/>
          <w:szCs w:val="24"/>
        </w:rPr>
      </w:pPr>
    </w:p>
    <w:p>
      <w:pPr>
        <w:pStyle w:val="Heading4"/>
        <w:spacing w:line="273" w:lineRule="auto"/>
        <w:ind w:left="320" w:right="0"/>
        <w:jc w:val="left"/>
      </w:pPr>
      <w:r>
        <w:rPr/>
        <w:t>（</w:t>
      </w:r>
      <w:r>
        <w:rPr>
          <w:rFonts w:ascii="宋体" w:hAnsi="宋体" w:cs="宋体" w:eastAsia="宋体" w:hint="default"/>
        </w:rPr>
        <w:t>3</w:t>
      </w:r>
      <w:r>
        <w:rPr/>
        <w:t>）收购北京哲齐合明科技有限公司</w:t>
      </w:r>
      <w:r>
        <w:rPr>
          <w:spacing w:val="-2"/>
        </w:rPr>
        <w:t> </w:t>
      </w:r>
      <w:r>
        <w:rPr>
          <w:rFonts w:ascii="宋体" w:hAnsi="宋体" w:cs="宋体" w:eastAsia="宋体" w:hint="default"/>
        </w:rPr>
        <w:t>60%</w:t>
      </w:r>
      <w:r>
        <w:rPr/>
        <w:t>股权</w:t>
      </w:r>
      <w:r>
        <w:rPr>
          <w:w w:val="100"/>
        </w:rPr>
        <w:t> </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9</w:t>
      </w:r>
      <w:r>
        <w:rPr>
          <w:spacing w:val="-3"/>
        </w:rPr>
        <w:t>日，根据公司第四届董事会第四次会议，审议通过了《</w:t>
      </w:r>
      <w:r>
        <w:rPr>
          <w:spacing w:val="58"/>
        </w:rPr>
        <w:t> </w:t>
      </w:r>
      <w:r>
        <w:rPr/>
        <w:t>四川久远银海软件股份有限公司关于</w:t>
      </w:r>
    </w:p>
    <w:p>
      <w:pPr>
        <w:spacing w:after="0" w:line="273" w:lineRule="auto"/>
        <w:jc w:val="left"/>
        <w:sectPr>
          <w:pgSz w:w="11910" w:h="16840"/>
          <w:pgMar w:header="745" w:footer="979" w:top="1060" w:bottom="1160" w:left="920" w:right="900"/>
        </w:sectPr>
      </w:pPr>
    </w:p>
    <w:p>
      <w:pPr>
        <w:spacing w:line="240" w:lineRule="auto" w:before="10"/>
        <w:rPr>
          <w:rFonts w:ascii="宋体" w:hAnsi="宋体" w:cs="宋体" w:eastAsia="宋体" w:hint="default"/>
          <w:sz w:val="24"/>
          <w:szCs w:val="24"/>
        </w:rPr>
      </w:pPr>
    </w:p>
    <w:p>
      <w:pPr>
        <w:pStyle w:val="Heading4"/>
        <w:spacing w:line="273" w:lineRule="auto" w:before="36"/>
        <w:ind w:left="260" w:right="148"/>
        <w:jc w:val="both"/>
      </w:pPr>
      <w:r>
        <w:rPr/>
        <w:t>拟收购北京哲齐合明科技有限公司控股股权的议案》，同意公司使用自有资金收购自然人周林持有的北</w:t>
      </w:r>
      <w:r>
        <w:rPr>
          <w:spacing w:val="-28"/>
        </w:rPr>
        <w:t> </w:t>
      </w:r>
      <w:r>
        <w:rPr>
          <w:spacing w:val="-28"/>
        </w:rPr>
      </w:r>
      <w:r>
        <w:rPr>
          <w:spacing w:val="-2"/>
        </w:rPr>
        <w:t>京哲齐合明科技有限公司（以下简称“北京哲齐”股权，公司以现金方式出资人民币</w:t>
      </w:r>
      <w:r>
        <w:rPr>
          <w:rFonts w:ascii="宋体" w:hAnsi="宋体" w:cs="宋体" w:eastAsia="宋体" w:hint="default"/>
          <w:spacing w:val="-2"/>
        </w:rPr>
        <w:t>190</w:t>
      </w:r>
      <w:r>
        <w:rPr>
          <w:spacing w:val="-2"/>
        </w:rPr>
        <w:t>万元受让北京哲</w:t>
      </w:r>
      <w:r>
        <w:rPr>
          <w:spacing w:val="-47"/>
        </w:rPr>
        <w:t> </w:t>
      </w:r>
      <w:r>
        <w:rPr>
          <w:spacing w:val="-47"/>
        </w:rPr>
      </w:r>
      <w:r>
        <w:rPr>
          <w:spacing w:val="-2"/>
        </w:rPr>
        <w:t>齐</w:t>
      </w:r>
      <w:r>
        <w:rPr>
          <w:rFonts w:ascii="宋体" w:hAnsi="宋体" w:cs="宋体" w:eastAsia="宋体" w:hint="default"/>
          <w:spacing w:val="-2"/>
        </w:rPr>
        <w:t>60%</w:t>
      </w:r>
      <w:r>
        <w:rPr>
          <w:spacing w:val="-2"/>
        </w:rPr>
        <w:t>股权；在完成股权变更工商登记</w:t>
      </w:r>
      <w:r>
        <w:rPr>
          <w:rFonts w:ascii="宋体" w:hAnsi="宋体" w:cs="宋体" w:eastAsia="宋体" w:hint="default"/>
          <w:spacing w:val="-2"/>
        </w:rPr>
        <w:t>10</w:t>
      </w:r>
      <w:r>
        <w:rPr>
          <w:spacing w:val="-2"/>
        </w:rPr>
        <w:t>日内，出资人民币</w:t>
      </w:r>
      <w:r>
        <w:rPr>
          <w:rFonts w:ascii="宋体" w:hAnsi="宋体" w:cs="宋体" w:eastAsia="宋体" w:hint="default"/>
          <w:spacing w:val="-2"/>
        </w:rPr>
        <w:t>300</w:t>
      </w:r>
      <w:r>
        <w:rPr>
          <w:spacing w:val="-2"/>
        </w:rPr>
        <w:t>万元完成北京哲齐</w:t>
      </w:r>
      <w:r>
        <w:rPr>
          <w:rFonts w:ascii="宋体" w:hAnsi="宋体" w:cs="宋体" w:eastAsia="宋体" w:hint="default"/>
          <w:spacing w:val="-2"/>
        </w:rPr>
        <w:t>60%</w:t>
      </w:r>
      <w:r>
        <w:rPr>
          <w:spacing w:val="-2"/>
        </w:rPr>
        <w:t>股权出资义务。截至</w:t>
      </w:r>
      <w:r>
        <w:rPr>
          <w:spacing w:val="-40"/>
        </w:rPr>
        <w:t> </w:t>
      </w:r>
      <w:r>
        <w:rPr>
          <w:spacing w:val="-40"/>
        </w:rPr>
      </w:r>
      <w:r>
        <w:rPr/>
        <w:t>本报告出具日，北京哲齐工商变更手续已办理完毕，公司持有</w:t>
      </w:r>
      <w:r>
        <w:rPr>
          <w:rFonts w:ascii="宋体" w:hAnsi="宋体" w:cs="宋体" w:eastAsia="宋体" w:hint="default"/>
        </w:rPr>
        <w:t>60%</w:t>
      </w:r>
      <w:r>
        <w:rPr/>
        <w:t>股权的出资义务已全额实缴。</w:t>
      </w:r>
    </w:p>
    <w:p>
      <w:pPr>
        <w:spacing w:line="240" w:lineRule="auto" w:before="6"/>
        <w:rPr>
          <w:rFonts w:ascii="宋体" w:hAnsi="宋体" w:cs="宋体" w:eastAsia="宋体" w:hint="default"/>
          <w:sz w:val="24"/>
          <w:szCs w:val="24"/>
        </w:rPr>
      </w:pPr>
    </w:p>
    <w:p>
      <w:pPr>
        <w:pStyle w:val="Heading4"/>
        <w:spacing w:line="268" w:lineRule="auto"/>
        <w:ind w:left="260" w:right="148"/>
        <w:jc w:val="left"/>
      </w:pPr>
      <w:r>
        <w:rPr/>
        <w:t>（</w:t>
      </w:r>
      <w:r>
        <w:rPr>
          <w:rFonts w:ascii="宋体" w:hAnsi="宋体" w:cs="宋体" w:eastAsia="宋体" w:hint="default"/>
        </w:rPr>
        <w:t>4</w:t>
      </w:r>
      <w:r>
        <w:rPr/>
        <w:t>）公司实际控制人拟变更事项。</w:t>
      </w:r>
      <w:r>
        <w:rPr>
          <w:w w:val="100"/>
        </w:rPr>
        <w:t> </w:t>
      </w:r>
      <w:r>
        <w:rPr/>
        <w:t>公司于报告期内收到第一大股东四川久远投资控股集团有限公司的《告知函》，告知公司其股东方即公</w:t>
      </w:r>
      <w:r>
        <w:rPr>
          <w:spacing w:val="-28"/>
        </w:rPr>
        <w:t> </w:t>
      </w:r>
      <w:r>
        <w:rPr>
          <w:spacing w:val="-28"/>
        </w:rPr>
      </w:r>
      <w:r>
        <w:rPr/>
        <w:t>司实际控制人中国工程物理研究院正在筹划久远集团股权变动的相关事宜，该事项可能会导致公司实际</w:t>
      </w:r>
      <w:r>
        <w:rPr>
          <w:spacing w:val="-28"/>
        </w:rPr>
        <w:t> </w:t>
      </w:r>
      <w:r>
        <w:rPr>
          <w:spacing w:val="-28"/>
        </w:rPr>
      </w:r>
      <w:r>
        <w:rPr>
          <w:spacing w:val="-2"/>
        </w:rPr>
        <w:t>控制人的变更，但该事项还涉及国资审批等相关流程，存在一定的不确定性。</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日，公司就上</w:t>
      </w:r>
      <w:r>
        <w:rPr>
          <w:spacing w:val="-42"/>
        </w:rPr>
        <w:t> </w:t>
      </w:r>
      <w:r>
        <w:rPr>
          <w:spacing w:val="-42"/>
        </w:rPr>
      </w:r>
      <w:r>
        <w:rPr/>
        <w:t>述事项发布了关于控股股东的实际控制人拟变更的提示性公告（公告编号：</w:t>
      </w:r>
      <w:r>
        <w:rPr>
          <w:rFonts w:ascii="Times New Roman" w:hAnsi="Times New Roman" w:cs="Times New Roman" w:eastAsia="Times New Roman" w:hint="default"/>
        </w:rPr>
        <w:t>2017-011</w:t>
      </w:r>
      <w:r>
        <w:rPr/>
        <w:t>）。</w:t>
      </w:r>
    </w:p>
    <w:p>
      <w:pPr>
        <w:spacing w:line="240" w:lineRule="auto" w:before="5"/>
        <w:rPr>
          <w:rFonts w:ascii="宋体" w:hAnsi="宋体" w:cs="宋体" w:eastAsia="宋体" w:hint="default"/>
          <w:sz w:val="23"/>
          <w:szCs w:val="23"/>
        </w:rPr>
      </w:pPr>
    </w:p>
    <w:p>
      <w:pPr>
        <w:pStyle w:val="Heading4"/>
        <w:spacing w:line="307" w:lineRule="auto"/>
        <w:ind w:left="352" w:right="0" w:hanging="92"/>
        <w:jc w:val="left"/>
      </w:pPr>
      <w:r>
        <w:rPr/>
        <w:t>（</w:t>
      </w:r>
      <w:r>
        <w:rPr>
          <w:rFonts w:ascii="宋体" w:hAnsi="宋体" w:cs="宋体" w:eastAsia="宋体" w:hint="default"/>
        </w:rPr>
        <w:t>5</w:t>
      </w:r>
      <w:r>
        <w:rPr/>
        <w:t>）公司</w:t>
      </w:r>
      <w:r>
        <w:rPr>
          <w:rFonts w:ascii="宋体" w:hAnsi="宋体" w:cs="宋体" w:eastAsia="宋体" w:hint="default"/>
        </w:rPr>
        <w:t>2017</w:t>
      </w:r>
      <w:r>
        <w:rPr/>
        <w:t>年利润分配预案。</w:t>
      </w:r>
      <w:r>
        <w:rPr>
          <w:w w:val="100"/>
        </w:rPr>
        <w:t> </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23</w:t>
      </w:r>
      <w:r>
        <w:rPr>
          <w:spacing w:val="-2"/>
        </w:rPr>
        <w:t>日，经公司第四届董事会第六次会议审议，通过公司</w:t>
      </w:r>
      <w:r>
        <w:rPr>
          <w:rFonts w:ascii="宋体" w:hAnsi="宋体" w:cs="宋体" w:eastAsia="宋体" w:hint="default"/>
          <w:spacing w:val="-2"/>
        </w:rPr>
        <w:t>2017</w:t>
      </w:r>
      <w:r>
        <w:rPr>
          <w:spacing w:val="-2"/>
        </w:rPr>
        <w:t>年度利润分配预案：以总股本</w:t>
      </w:r>
    </w:p>
    <w:p>
      <w:pPr>
        <w:pStyle w:val="Heading4"/>
        <w:spacing w:line="253" w:lineRule="exact"/>
        <w:ind w:left="352" w:right="0"/>
        <w:jc w:val="left"/>
        <w:rPr>
          <w:rFonts w:ascii="宋体" w:hAnsi="宋体" w:cs="宋体" w:eastAsia="宋体" w:hint="default"/>
        </w:rPr>
      </w:pPr>
      <w:r>
        <w:rPr>
          <w:rFonts w:ascii="宋体" w:hAnsi="宋体" w:cs="宋体" w:eastAsia="宋体" w:hint="default"/>
        </w:rPr>
        <w:t>172,540,592</w:t>
      </w:r>
      <w:r>
        <w:rPr/>
        <w:t>股为基数，向全体股东每</w:t>
      </w:r>
      <w:r>
        <w:rPr>
          <w:rFonts w:ascii="宋体" w:hAnsi="宋体" w:cs="宋体" w:eastAsia="宋体" w:hint="default"/>
        </w:rPr>
        <w:t>10</w:t>
      </w:r>
      <w:r>
        <w:rPr/>
        <w:t>股派发现金红利</w:t>
      </w:r>
      <w:r>
        <w:rPr>
          <w:rFonts w:ascii="宋体" w:hAnsi="宋体" w:cs="宋体" w:eastAsia="宋体" w:hint="default"/>
        </w:rPr>
        <w:t>2.50</w:t>
      </w:r>
      <w:r>
        <w:rPr/>
        <w:t>元（含税），共分配现金红利</w:t>
      </w:r>
      <w:r>
        <w:rPr>
          <w:rFonts w:ascii="宋体" w:hAnsi="宋体" w:cs="宋体" w:eastAsia="宋体" w:hint="default"/>
        </w:rPr>
        <w:t>43,135,148</w:t>
      </w:r>
    </w:p>
    <w:p>
      <w:pPr>
        <w:pStyle w:val="Heading4"/>
        <w:spacing w:line="240" w:lineRule="auto" w:before="37"/>
        <w:ind w:left="352" w:right="0"/>
        <w:jc w:val="left"/>
      </w:pPr>
      <w:r>
        <w:rPr/>
        <w:t>元；不以公积金转增股本；不送红股；剩余未分配利润结转以后年度。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38"/>
        <w:ind w:right="0"/>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1"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29"/>
          <w:szCs w:val="29"/>
        </w:rPr>
      </w:pPr>
    </w:p>
    <w:p>
      <w:pPr>
        <w:pStyle w:val="Heading2"/>
        <w:spacing w:line="240" w:lineRule="auto"/>
        <w:ind w:right="0"/>
        <w:jc w:val="left"/>
        <w:rPr>
          <w:b w:val="0"/>
          <w:bCs w:val="0"/>
        </w:rPr>
      </w:pP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143,998,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667.31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22,480,1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15.61%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121,518,5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55.85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91,746,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645.21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14,693,94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6.28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16.02%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77,052,698.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143,998,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667.31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22,480,1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11.46</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121,518,5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55.85</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91,746,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645.21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14,693,94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6.28</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77,052,698.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980"/>
        </w:sectPr>
      </w:pPr>
    </w:p>
    <w:p>
      <w:pPr>
        <w:pStyle w:val="BodyText"/>
        <w:spacing w:line="240" w:lineRule="auto" w:before="44"/>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98,825,709.05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4,941,398.09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16,152,508.27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1,615,025.55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10,436,323.28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2,087,264.66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7,374,972.82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3,687,486.41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5,301,085.71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4,240,868.57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5,908,068.18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5,908,068.18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143,998,667.31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22,480,111.46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组合中，采用余额百分比法计提坏账准备的应收账款：</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7,786,165.18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7"/>
        <w:gridCol w:w="1603"/>
      </w:tblGrid>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36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32"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414"/>
        <w:jc w:val="right"/>
      </w:pPr>
      <w:r>
        <w:rPr/>
        <w:t>单位：元</w:t>
      </w:r>
    </w:p>
    <w:p>
      <w:pPr>
        <w:spacing w:line="240" w:lineRule="auto" w:before="4"/>
        <w:rPr>
          <w:rFonts w:ascii="宋体" w:hAnsi="宋体" w:cs="宋体" w:eastAsia="宋体" w:hint="default"/>
          <w:sz w:val="8"/>
          <w:szCs w:val="8"/>
        </w:rPr>
      </w:pPr>
    </w:p>
    <w:tbl>
      <w:tblPr>
        <w:tblW w:w="0" w:type="auto"/>
        <w:jc w:val="left"/>
        <w:tblInd w:w="753" w:type="dxa"/>
        <w:tblLayout w:type="fixed"/>
        <w:tblCellMar>
          <w:top w:w="0" w:type="dxa"/>
          <w:left w:w="0" w:type="dxa"/>
          <w:bottom w:w="0" w:type="dxa"/>
          <w:right w:w="0" w:type="dxa"/>
        </w:tblCellMar>
        <w:tblLook w:val="01E0"/>
      </w:tblPr>
      <w:tblGrid>
        <w:gridCol w:w="2938"/>
        <w:gridCol w:w="1678"/>
        <w:gridCol w:w="1483"/>
        <w:gridCol w:w="1714"/>
      </w:tblGrid>
      <w:tr>
        <w:trPr>
          <w:trHeight w:val="353" w:hRule="exact"/>
        </w:trPr>
        <w:tc>
          <w:tcPr>
            <w:tcW w:w="2938" w:type="dxa"/>
            <w:vMerge w:val="restart"/>
            <w:tcBorders>
              <w:top w:val="single" w:sz="6" w:space="0" w:color="000000"/>
              <w:left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4875" w:type="dxa"/>
            <w:gridSpan w:val="3"/>
            <w:tcBorders>
              <w:top w:val="single" w:sz="6" w:space="0" w:color="000000"/>
              <w:left w:val="single" w:sz="6" w:space="0" w:color="000000"/>
              <w:bottom w:val="single" w:sz="12" w:space="0" w:color="000000"/>
              <w:right w:val="nil" w:sz="6" w:space="0" w:color="auto"/>
            </w:tcBorders>
          </w:tcPr>
          <w:p>
            <w:pPr>
              <w:pStyle w:val="TableParagraph"/>
              <w:spacing w:line="272" w:lineRule="exact"/>
              <w:ind w:right="5"/>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665" w:hRule="exact"/>
        </w:trPr>
        <w:tc>
          <w:tcPr>
            <w:tcW w:w="2938" w:type="dxa"/>
            <w:vMerge/>
            <w:tcBorders>
              <w:left w:val="single" w:sz="6" w:space="0" w:color="000000"/>
              <w:bottom w:val="single" w:sz="12" w:space="0" w:color="000000"/>
              <w:right w:val="single" w:sz="6" w:space="0" w:color="000000"/>
            </w:tcBorders>
          </w:tcPr>
          <w:p>
            <w:pP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ind w:left="52" w:right="46"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w:t>
            </w:r>
            <w:r>
              <w:rPr>
                <w:rFonts w:ascii="宋体" w:hAnsi="宋体" w:cs="宋体" w:eastAsia="宋体" w:hint="default"/>
                <w:w w:val="100"/>
                <w:sz w:val="21"/>
                <w:szCs w:val="21"/>
              </w:rPr>
              <w:t> </w:t>
            </w:r>
            <w:r>
              <w:rPr>
                <w:rFonts w:ascii="宋体" w:hAnsi="宋体" w:cs="宋体" w:eastAsia="宋体" w:hint="default"/>
                <w:sz w:val="21"/>
                <w:szCs w:val="21"/>
              </w:rPr>
              <w:t>计数的比例</w:t>
            </w:r>
            <w:r>
              <w:rPr>
                <w:rFonts w:ascii="Times New Roman" w:hAnsi="Times New Roman" w:cs="Times New Roman" w:eastAsia="Times New Roman" w:hint="default"/>
                <w:sz w:val="21"/>
                <w:szCs w:val="21"/>
              </w:rPr>
              <w:t>(%)</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left="42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22,654,081.23</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15.73</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1,132,704.06</w:t>
            </w:r>
          </w:p>
        </w:tc>
      </w:tr>
      <w:tr>
        <w:trPr>
          <w:trHeight w:val="351"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3" w:lineRule="exact"/>
              <w:ind w:left="2"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right"/>
              <w:rPr>
                <w:rFonts w:ascii="Times New Roman" w:hAnsi="Times New Roman" w:cs="Times New Roman" w:eastAsia="Times New Roman" w:hint="default"/>
                <w:sz w:val="21"/>
                <w:szCs w:val="21"/>
              </w:rPr>
            </w:pPr>
            <w:r>
              <w:rPr>
                <w:rFonts w:ascii="Times New Roman"/>
                <w:spacing w:val="-1"/>
                <w:sz w:val="21"/>
              </w:rPr>
              <w:t>4,810,542.88</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3"/>
              <w:jc w:val="right"/>
              <w:rPr>
                <w:rFonts w:ascii="Times New Roman" w:hAnsi="Times New Roman" w:cs="Times New Roman" w:eastAsia="Times New Roman" w:hint="default"/>
                <w:sz w:val="21"/>
                <w:szCs w:val="21"/>
              </w:rPr>
            </w:pPr>
            <w:r>
              <w:rPr>
                <w:rFonts w:ascii="Times New Roman"/>
                <w:sz w:val="21"/>
              </w:rPr>
              <w:t>3.34</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5"/>
              <w:ind w:right="5"/>
              <w:jc w:val="right"/>
              <w:rPr>
                <w:rFonts w:ascii="Times New Roman" w:hAnsi="Times New Roman" w:cs="Times New Roman" w:eastAsia="Times New Roman" w:hint="default"/>
                <w:sz w:val="21"/>
                <w:szCs w:val="21"/>
              </w:rPr>
            </w:pPr>
            <w:r>
              <w:rPr>
                <w:rFonts w:ascii="Times New Roman"/>
                <w:spacing w:val="-1"/>
                <w:sz w:val="21"/>
              </w:rPr>
              <w:t>391,204.29</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3,701,839.08</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2.57</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189,936.95</w:t>
            </w:r>
          </w:p>
        </w:tc>
      </w:tr>
      <w:tr>
        <w:trPr>
          <w:trHeight w:val="353"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3,287,512.77</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2.28</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190,792.13</w:t>
            </w:r>
          </w:p>
        </w:tc>
      </w:tr>
      <w:tr>
        <w:trPr>
          <w:trHeight w:val="350"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3,248,000.00</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3"/>
              <w:jc w:val="right"/>
              <w:rPr>
                <w:rFonts w:ascii="Times New Roman" w:hAnsi="Times New Roman" w:cs="Times New Roman" w:eastAsia="Times New Roman" w:hint="default"/>
                <w:sz w:val="21"/>
                <w:szCs w:val="21"/>
              </w:rPr>
            </w:pPr>
            <w:r>
              <w:rPr>
                <w:rFonts w:ascii="Times New Roman"/>
                <w:sz w:val="21"/>
              </w:rPr>
              <w:t>2.26</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1"/>
                <w:szCs w:val="21"/>
              </w:rPr>
            </w:pPr>
            <w:r>
              <w:rPr>
                <w:rFonts w:ascii="Times New Roman"/>
                <w:spacing w:val="-1"/>
                <w:sz w:val="21"/>
              </w:rPr>
              <w:t>220,000.00</w:t>
            </w:r>
          </w:p>
        </w:tc>
      </w:tr>
      <w:tr>
        <w:trPr>
          <w:trHeight w:val="355" w:hRule="exact"/>
        </w:trPr>
        <w:tc>
          <w:tcPr>
            <w:tcW w:w="2938"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spacing w:val="-1"/>
                <w:sz w:val="21"/>
              </w:rPr>
              <w:t>37,701,975.96</w:t>
            </w:r>
          </w:p>
        </w:tc>
        <w:tc>
          <w:tcPr>
            <w:tcW w:w="148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3"/>
              <w:jc w:val="right"/>
              <w:rPr>
                <w:rFonts w:ascii="Times New Roman" w:hAnsi="Times New Roman" w:cs="Times New Roman" w:eastAsia="Times New Roman" w:hint="default"/>
                <w:sz w:val="21"/>
                <w:szCs w:val="21"/>
              </w:rPr>
            </w:pPr>
            <w:r>
              <w:rPr>
                <w:rFonts w:ascii="Times New Roman"/>
                <w:sz w:val="21"/>
              </w:rPr>
              <w:t>26.18</w:t>
            </w:r>
          </w:p>
        </w:tc>
        <w:tc>
          <w:tcPr>
            <w:tcW w:w="171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5"/>
              <w:jc w:val="right"/>
              <w:rPr>
                <w:rFonts w:ascii="Times New Roman" w:hAnsi="Times New Roman" w:cs="Times New Roman" w:eastAsia="Times New Roman" w:hint="default"/>
                <w:sz w:val="21"/>
                <w:szCs w:val="21"/>
              </w:rPr>
            </w:pPr>
            <w:r>
              <w:rPr>
                <w:rFonts w:ascii="Times New Roman"/>
                <w:spacing w:val="-1"/>
                <w:sz w:val="21"/>
              </w:rPr>
              <w:t>2,124,637.43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65,060,0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24.06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15,438,3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31.84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23.73%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49,621,69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2.22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46,098,</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993.22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9,554,352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20.73%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36,544,640.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r>
      <w:tr>
        <w:trPr>
          <w:trHeight w:val="163"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65,060,0</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24.06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15,438,3</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31.84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23.73%</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49,621,69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2.22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46,098,</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993.22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9,554,352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20.73%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36,544,640.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7"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26,841,783.64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1,341,589.18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12,342,027.80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1,234,202.78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11,421,993.48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2,284,398.70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4,915,537.29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2,457,768.65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7,091,546.60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5,673,237.28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2,447,135.25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2,447,135.25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65,060,024.06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15,438,331.84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组合中，采用余额百分比法计提坏账准备的其他应收款：</w:t>
      </w:r>
    </w:p>
    <w:p>
      <w:pPr>
        <w:pStyle w:val="BodyText"/>
        <w:spacing w:line="338" w:lineRule="auto" w:before="117"/>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5,883,979.61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60" w:space="2370"/>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55,236,987.05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36,979,321.00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往来款债权债务转让</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7,281,228.09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6,998,274.29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1,656,838.77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1,152,400.35</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884,970.15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968,997.58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65,060,024.06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46,098,993.22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11,386,888.90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569,344.45</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往来款债权债务转 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7,281,228.09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5,083,130.27</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5,013,118.60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695,566.86</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3,933,800.00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587,590.00</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3,185,350.00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1,705,929.00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30,800,385.59</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8,641,560.58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6"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4103"/>
        <w:gridCol w:w="4091"/>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157,332,520.20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157,332,520.20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156,632,520.20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156,632,520.20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157,332,520.20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156,632,520.20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156,632,520.20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53"/>
              <w:jc w:val="left"/>
              <w:rPr>
                <w:rFonts w:ascii="宋体" w:hAnsi="宋体" w:cs="宋体" w:eastAsia="宋体" w:hint="default"/>
                <w:sz w:val="18"/>
                <w:szCs w:val="18"/>
              </w:rPr>
            </w:pPr>
            <w:r>
              <w:rPr>
                <w:rFonts w:ascii="宋体" w:hAnsi="宋体" w:cs="宋体" w:eastAsia="宋体" w:hint="default"/>
                <w:sz w:val="18"/>
                <w:szCs w:val="18"/>
              </w:rPr>
              <w:t>天津银海环球信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4,484,029.11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4,484,029.11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四川银海软件有 限责任公司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76,628,491.09</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76,628,491.09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重庆久远银海方 联软件有限公司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北京久远银海技 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6,120,000.00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北京银海奥尼思 特咨询有限公司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成都兴政电子政 务运营服务有限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山西久远爱思普 软件股份有限公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新疆银海鼎峰软 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四川久远银海畅 辉软件有限公司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四川久远国基科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156,632,520.20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157,332,520.20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9"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3"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5"/>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1"/>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547,282,922.16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335,490,470.47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434,209,349.11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256,362,305.06</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1,184,461.71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336,706.56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392,603.77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128,312.57</w:t>
            </w: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548,467,383.87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335,827,177.03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434,601,952.88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256,490,617.63</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-29,230.61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6,543,091.84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-365,895.97</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856,139.76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708,445.31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4,583,380.19</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0.57</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0.54</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12"/>
        <w:rPr>
          <w:rFonts w:ascii="宋体" w:hAnsi="宋体" w:cs="宋体" w:eastAsia="宋体" w:hint="default"/>
          <w:b/>
          <w:bCs/>
          <w:sz w:val="40"/>
          <w:szCs w:val="40"/>
        </w:rPr>
      </w:pPr>
    </w:p>
    <w:p>
      <w:pPr>
        <w:pStyle w:val="Heading4"/>
        <w:spacing w:line="319" w:lineRule="auto"/>
        <w:ind w:left="152" w:right="0"/>
        <w:jc w:val="left"/>
      </w:pPr>
      <w:r>
        <w:rPr/>
        <w:t>一、载有法定代表人、主管会计工作负责人、会计机构负责人签名并盖章的财务报表。</w:t>
      </w:r>
      <w:r>
        <w:rPr>
          <w:w w:val="100"/>
        </w:rPr>
        <w:t> </w:t>
      </w:r>
      <w:r>
        <w:rPr/>
        <w:t>二、载有会计师事务所盖章、注册会计师签名并盖章的审计报告原件。</w:t>
      </w:r>
      <w:r>
        <w:rPr>
          <w:w w:val="100"/>
        </w:rPr>
        <w:t> </w:t>
      </w:r>
      <w:r>
        <w:rPr/>
        <w:t>三、载有公司董事长签名的</w:t>
      </w:r>
      <w:r>
        <w:rPr>
          <w:rFonts w:ascii="Times New Roman" w:hAnsi="Times New Roman" w:cs="Times New Roman" w:eastAsia="Times New Roman" w:hint="default"/>
        </w:rPr>
        <w:t>2017</w:t>
      </w:r>
      <w:r>
        <w:rPr/>
        <w:t>年年度报告文本原件。</w:t>
      </w:r>
      <w:r>
        <w:rPr>
          <w:w w:val="100"/>
        </w:rPr>
        <w:t> </w:t>
      </w:r>
      <w:r>
        <w:rPr>
          <w:spacing w:val="-2"/>
        </w:rPr>
        <w:t>四、报告期内在中国证监会指定媒体上公开披露过的所有公司文件的正本及公告的原稿。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4"/>
        <w:spacing w:line="240" w:lineRule="auto"/>
        <w:ind w:left="4353" w:right="0"/>
        <w:jc w:val="left"/>
      </w:pPr>
      <w:r>
        <w:rPr/>
        <w:t>四川久远银海软件股份有限公司</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650" w:lineRule="auto"/>
        <w:ind w:left="4773" w:right="1134" w:firstLine="504"/>
        <w:jc w:val="left"/>
      </w:pPr>
      <w:r>
        <w:rPr/>
        <w:t>董事长：连春华</w:t>
      </w:r>
      <w:r>
        <w:rPr>
          <w:w w:val="100"/>
        </w:rPr>
        <w:t> </w:t>
      </w:r>
      <w:r>
        <w:rPr>
          <w:spacing w:val="-2"/>
        </w:rPr>
        <w:t>二〇一八年四月二十三日</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917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17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917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57947pt;width:15.7pt;height:11pt;mso-position-horizontal-relative:page;mso-position-vertical-relative:page;z-index:-917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17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917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917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917992" type="#_x0000_t202" filled="false" stroked="false">
          <v:textbox inset="0,0,0,0">
            <w:txbxContent>
              <w:p>
                <w:pPr>
                  <w:pStyle w:val="BodyText"/>
                  <w:spacing w:line="214" w:lineRule="exact"/>
                  <w:ind w:left="20" w:right="0"/>
                  <w:jc w:val="left"/>
                </w:pPr>
                <w:r>
                  <w:rPr/>
                  <w:t>四川久远银海软件股份有限公司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861"/>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yinhai.com/" TargetMode="External"/><Relationship Id="rId10" Type="http://schemas.openxmlformats.org/officeDocument/2006/relationships/hyperlink" Target="mailto:public@yinhai.com" TargetMode="External"/><Relationship Id="rId11" Type="http://schemas.openxmlformats.org/officeDocument/2006/relationships/hyperlink" Target="mailto:yangchengwen@yinhai.com" TargetMode="External"/><Relationship Id="rId12" Type="http://schemas.openxmlformats.org/officeDocument/2006/relationships/hyperlink" Target="mailto:youxin@yinhai.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四川久远银海软件股份有限公司</dc:creator>
  <dc:title>四川久远银海软件股份有限公司2017年年度报告全文</dc:title>
  <dcterms:created xsi:type="dcterms:W3CDTF">2020-05-02T23:15:15Z</dcterms:created>
  <dcterms:modified xsi:type="dcterms:W3CDTF">2020-05-02T23:15:15Z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