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2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408883" cy="10953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883" cy="1095375"/>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33" w:right="1117" w:firstLine="0"/>
        <w:jc w:val="center"/>
        <w:rPr>
          <w:rFonts w:ascii="宋体" w:hAnsi="宋体" w:cs="宋体" w:eastAsia="宋体" w:hint="default"/>
          <w:sz w:val="36"/>
          <w:szCs w:val="36"/>
        </w:rPr>
      </w:pPr>
      <w:r>
        <w:rPr>
          <w:rFonts w:ascii="宋体" w:hAnsi="宋体" w:cs="宋体" w:eastAsia="宋体" w:hint="default"/>
          <w:b/>
          <w:bCs/>
          <w:sz w:val="36"/>
          <w:szCs w:val="36"/>
        </w:rPr>
        <w:t>四川久远银海软件股份有限公司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3"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302"/>
        <w:ind w:left="133" w:right="1112" w:firstLine="0"/>
        <w:jc w:val="center"/>
        <w:rPr>
          <w:rFonts w:ascii="Times New Roman" w:hAnsi="Times New Roman" w:cs="Times New Roman" w:eastAsia="Times New Roman" w:hint="default"/>
          <w:sz w:val="32"/>
          <w:szCs w:val="32"/>
        </w:rPr>
      </w:pPr>
      <w:r>
        <w:rPr>
          <w:rFonts w:ascii="Times New Roman"/>
          <w:b/>
          <w:sz w:val="32"/>
        </w:rPr>
        <w:t>2020-016</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133"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3"/>
        <w:ind w:right="1131" w:firstLine="562"/>
        <w:jc w:val="both"/>
        <w:rPr>
          <w:b w:val="0"/>
          <w:bCs w:val="0"/>
        </w:rPr>
      </w:pPr>
      <w:r>
        <w:rPr>
          <w:w w:val="95"/>
        </w:rPr>
        <w:t>公司负责人连春华、主管会计工作负责人杨成文及会计机构负责人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张昕声明：保证年度报告中财务报告的真实、准确、完整。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本报告中所涉及未来的经营计划和经营目标，并不代表公司的盈利预测，</w:t>
      </w:r>
      <w:r>
        <w:rPr>
          <w:b w:val="0"/>
          <w:bCs w:val="0"/>
          <w:spacing w:val="2"/>
        </w:rPr>
      </w:r>
    </w:p>
    <w:p>
      <w:pPr>
        <w:pStyle w:val="Heading2"/>
        <w:spacing w:line="408" w:lineRule="auto"/>
        <w:ind w:right="986"/>
        <w:jc w:val="left"/>
        <w:rPr>
          <w:b w:val="0"/>
          <w:bCs w:val="0"/>
        </w:rPr>
      </w:pPr>
      <w:r>
        <w:rPr>
          <w:spacing w:val="-2"/>
        </w:rPr>
        <w:t>也不构成公司对投资者的实质承诺，能否实现取决于市场状况变化等多种因素，</w:t>
      </w:r>
      <w:r>
        <w:rPr>
          <w:spacing w:val="-133"/>
        </w:rPr>
        <w:t> </w:t>
      </w:r>
      <w:r>
        <w:rPr>
          <w:spacing w:val="-133"/>
        </w:rPr>
      </w:r>
      <w:r>
        <w:rPr/>
        <w:t>存在不确定性，请投资者注意投资风险。</w:t>
      </w:r>
      <w:r>
        <w:rPr>
          <w:b w:val="0"/>
          <w:bCs w:val="0"/>
        </w:rPr>
      </w:r>
    </w:p>
    <w:p>
      <w:pPr>
        <w:pStyle w:val="Heading2"/>
        <w:spacing w:line="386" w:lineRule="auto" w:before="162"/>
        <w:ind w:right="1131" w:firstLine="562"/>
        <w:jc w:val="both"/>
        <w:rPr>
          <w:b w:val="0"/>
          <w:bCs w:val="0"/>
        </w:rPr>
      </w:pPr>
      <w:r>
        <w:rPr>
          <w:spacing w:val="10"/>
        </w:rPr>
        <w:t>公司在本报告第四节</w:t>
      </w:r>
      <w:r>
        <w:rPr>
          <w:rFonts w:ascii="Times New Roman" w:hAnsi="Times New Roman" w:cs="Times New Roman" w:eastAsia="Times New Roman" w:hint="default"/>
          <w:spacing w:val="10"/>
        </w:rPr>
        <w:t>“</w:t>
      </w:r>
      <w:r>
        <w:rPr>
          <w:spacing w:val="10"/>
        </w:rPr>
        <w:t>经营情况讨论与分析</w:t>
      </w:r>
      <w:r>
        <w:rPr>
          <w:rFonts w:ascii="Times New Roman" w:hAnsi="Times New Roman" w:cs="Times New Roman" w:eastAsia="Times New Roman" w:hint="default"/>
          <w:spacing w:val="10"/>
        </w:rPr>
        <w:t>”</w:t>
      </w:r>
      <w:r>
        <w:rPr>
          <w:spacing w:val="10"/>
        </w:rPr>
        <w:t>中</w:t>
      </w:r>
      <w:r>
        <w:rPr>
          <w:rFonts w:ascii="Times New Roman" w:hAnsi="Times New Roman" w:cs="Times New Roman" w:eastAsia="Times New Roman" w:hint="default"/>
          <w:spacing w:val="10"/>
        </w:rPr>
        <w:t>“</w:t>
      </w:r>
      <w:r>
        <w:rPr>
          <w:spacing w:val="10"/>
        </w:rPr>
        <w:t>公司未来发展的展望</w:t>
      </w:r>
      <w:r>
        <w:rPr>
          <w:rFonts w:ascii="Times New Roman" w:hAnsi="Times New Roman" w:cs="Times New Roman" w:eastAsia="Times New Roman" w:hint="default"/>
          <w:spacing w:val="10"/>
        </w:rPr>
        <w:t>”</w:t>
      </w:r>
      <w:r>
        <w:rPr>
          <w:spacing w:val="10"/>
        </w:rPr>
        <w:t>部</w:t>
      </w:r>
      <w:r>
        <w:rPr>
          <w:w w:val="99"/>
        </w:rPr>
        <w:t> </w:t>
      </w:r>
      <w:r>
        <w:rPr/>
        <w:t>分，描述了公司未来经营中可能面临的风险，敬请广大投资者注意查阅。</w:t>
      </w:r>
      <w:r>
        <w:rPr>
          <w:b w:val="0"/>
          <w:bCs w:val="0"/>
        </w:rPr>
      </w:r>
    </w:p>
    <w:p>
      <w:pPr>
        <w:pStyle w:val="Heading2"/>
        <w:spacing w:line="240" w:lineRule="auto" w:before="187"/>
        <w:ind w:left="714" w:right="986"/>
        <w:jc w:val="left"/>
        <w:rPr>
          <w:b w:val="0"/>
          <w:bCs w:val="0"/>
        </w:rPr>
      </w:pPr>
      <w:r>
        <w:rPr/>
        <w:t>公司经本次董事会审议通过的利润分配预案为：以</w:t>
      </w:r>
      <w:r>
        <w:rPr>
          <w:spacing w:val="-74"/>
        </w:rPr>
        <w:t> </w:t>
      </w:r>
      <w:r>
        <w:rPr>
          <w:rFonts w:ascii="Times New Roman" w:hAnsi="Times New Roman" w:cs="Times New Roman" w:eastAsia="Times New Roman" w:hint="default"/>
        </w:rPr>
        <w:t>224,302,769</w:t>
      </w:r>
      <w:r>
        <w:rPr>
          <w:rFonts w:ascii="Times New Roman" w:hAnsi="Times New Roman" w:cs="Times New Roman" w:eastAsia="Times New Roman" w:hint="default"/>
          <w:spacing w:val="-3"/>
        </w:rPr>
        <w:t> </w:t>
      </w:r>
      <w:r>
        <w:rPr/>
        <w:t>股为基数，</w:t>
      </w:r>
      <w:r>
        <w:rPr>
          <w:b w:val="0"/>
          <w:bCs w:val="0"/>
        </w:rPr>
      </w:r>
    </w:p>
    <w:p>
      <w:pPr>
        <w:pStyle w:val="Heading2"/>
        <w:spacing w:line="240" w:lineRule="auto" w:before="236"/>
        <w:ind w:right="986"/>
        <w:jc w:val="left"/>
        <w:rPr>
          <w:b w:val="0"/>
          <w:bCs w:val="0"/>
        </w:rPr>
      </w:pPr>
      <w:r>
        <w:rPr>
          <w:w w:val="99"/>
        </w:rPr>
        <w:t>向全</w:t>
      </w:r>
      <w:r>
        <w:rPr>
          <w:spacing w:val="2"/>
          <w:w w:val="99"/>
        </w:rPr>
        <w:t>体</w:t>
      </w:r>
      <w:r>
        <w:rPr>
          <w:w w:val="99"/>
        </w:rPr>
        <w:t>股东每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w:t>
      </w:r>
      <w:r>
        <w:rPr>
          <w:spacing w:val="2"/>
          <w:w w:val="99"/>
        </w:rPr>
        <w:t>现</w:t>
      </w:r>
      <w:r>
        <w:rPr>
          <w:w w:val="99"/>
        </w:rPr>
        <w:t>金红利</w:t>
      </w:r>
      <w:r>
        <w:rPr>
          <w:spacing w:val="-6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spacing w:val="-15"/>
          <w:w w:val="99"/>
        </w:rPr>
        <w:t>元</w:t>
      </w:r>
      <w:r>
        <w:rPr>
          <w:w w:val="99"/>
        </w:rPr>
        <w:t>（含</w:t>
      </w:r>
      <w:r>
        <w:rPr>
          <w:spacing w:val="2"/>
          <w:w w:val="99"/>
        </w:rPr>
        <w:t>税</w:t>
      </w:r>
      <w:r>
        <w:rPr>
          <w:spacing w:val="-142"/>
          <w:w w:val="99"/>
        </w:rPr>
        <w:t>）</w:t>
      </w:r>
      <w:r>
        <w:rPr>
          <w:spacing w:val="-15"/>
          <w:w w:val="99"/>
        </w:rPr>
        <w:t>，</w:t>
      </w:r>
      <w:r>
        <w:rPr>
          <w:w w:val="99"/>
        </w:rPr>
        <w:t>送</w:t>
      </w:r>
      <w:r>
        <w:rPr>
          <w:spacing w:val="2"/>
          <w:w w:val="99"/>
        </w:rPr>
        <w:t>红</w:t>
      </w:r>
      <w:r>
        <w:rPr>
          <w:w w:val="99"/>
        </w:rPr>
        <w:t>股</w:t>
      </w:r>
      <w:r>
        <w:rPr>
          <w:spacing w:val="-7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15"/>
          <w:w w:val="99"/>
        </w:rPr>
        <w:t>股</w:t>
      </w:r>
      <w:r>
        <w:rPr>
          <w:w w:val="99"/>
        </w:rPr>
        <w:t>（</w:t>
      </w:r>
      <w:r>
        <w:rPr>
          <w:spacing w:val="2"/>
          <w:w w:val="99"/>
        </w:rPr>
        <w:t>含</w:t>
      </w:r>
      <w:r>
        <w:rPr>
          <w:w w:val="99"/>
        </w:rPr>
        <w:t>税</w:t>
      </w:r>
      <w:r>
        <w:rPr>
          <w:spacing w:val="-142"/>
          <w:w w:val="99"/>
        </w:rPr>
        <w:t>）</w:t>
      </w:r>
      <w:r>
        <w:rPr>
          <w:spacing w:val="-15"/>
          <w:w w:val="99"/>
        </w:rPr>
        <w:t>，</w:t>
      </w:r>
      <w:r>
        <w:rPr>
          <w:w w:val="99"/>
        </w:rPr>
        <w:t>以</w:t>
      </w:r>
      <w:r>
        <w:rPr>
          <w:spacing w:val="2"/>
          <w:w w:val="99"/>
        </w:rPr>
        <w:t>资</w:t>
      </w:r>
      <w:r>
        <w:rPr>
          <w:w w:val="99"/>
        </w:rPr>
        <w:t>本公</w:t>
      </w:r>
      <w:r>
        <w:rPr>
          <w:b w:val="0"/>
          <w:bCs w:val="0"/>
        </w:rPr>
      </w:r>
    </w:p>
    <w:p>
      <w:pPr>
        <w:pStyle w:val="Heading2"/>
        <w:spacing w:line="240" w:lineRule="auto" w:before="237"/>
        <w:ind w:right="1133"/>
        <w:jc w:val="left"/>
        <w:rPr>
          <w:b w:val="0"/>
          <w:bCs w:val="0"/>
        </w:rPr>
      </w:pPr>
      <w:r>
        <w:rPr/>
        <w:t>积金向全体股东每</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3"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5">
            <w:r>
              <w:rPr/>
              <w:t>第八节</w:t>
            </w:r>
            <w:r>
              <w:rPr>
                <w:spacing w:val="-18"/>
              </w:rPr>
              <w:t> </w:t>
            </w:r>
            <w:r>
              <w:rPr/>
              <w:t>可转换公司债券相关情况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18"/>
              </w:rPr>
              <w:t> </w:t>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8"/>
              </w:rPr>
              <w:t> </w:t>
            </w:r>
            <w:r>
              <w:rPr/>
              <w:t>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18"/>
              </w:rPr>
              <w:t> </w:t>
            </w:r>
            <w:r>
              <w:rPr/>
              <w:t>公司债券相关情况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7"/>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18"/>
              </w:rPr>
              <w:t> </w:t>
            </w:r>
            <w:r>
              <w:rPr/>
              <w:t>备查文件目录</w:t>
            </w:r>
            <w:r>
              <w:rPr>
                <w:rFonts w:ascii="Times New Roman" w:hAnsi="Times New Roman" w:cs="Times New Roman" w:eastAsia="Times New Roman" w:hint="default"/>
              </w:rPr>
              <w:tab/>
              <w:t>203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before="945"/>
        <w:ind w:left="133"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久远银海、公司、本公司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控股股东、久远集团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实际控制人、中物院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中国工程物理研究院</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锐锋集团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保荐机构、广发证券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49976pt;width:361.55pt;height:19.7pt;mso-position-horizontal-relative:page;mso-position-vertical-relative:page;z-index:-1103176"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33"/>
        <w:jc w:val="left"/>
        <w:rPr>
          <w:b w:val="0"/>
          <w:bCs w:val="0"/>
        </w:rPr>
      </w:pPr>
      <w:bookmarkStart w:name="_bookmark0" w:id="1"/>
      <w:bookmarkEnd w:id="1"/>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002777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Sichuan Jiuyuan Yinhai</w:t>
            </w:r>
            <w:r>
              <w:rPr>
                <w:rFonts w:ascii="Times New Roman"/>
                <w:spacing w:val="-30"/>
                <w:sz w:val="18"/>
              </w:rPr>
              <w:t> </w:t>
            </w:r>
            <w:r>
              <w:rPr>
                <w:rFonts w:ascii="Times New Roman"/>
                <w:sz w:val="18"/>
              </w:rPr>
              <w:t>Software.Co.,Ltd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Jiuyuan</w:t>
            </w:r>
            <w:r>
              <w:rPr>
                <w:rFonts w:ascii="Times New Roman"/>
                <w:spacing w:val="-20"/>
                <w:sz w:val="18"/>
              </w:rPr>
              <w:t> </w:t>
            </w:r>
            <w:r>
              <w:rPr>
                <w:rFonts w:ascii="Times New Roman"/>
                <w:sz w:val="18"/>
              </w:rPr>
              <w:t>Yinhai</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连春华</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成都市高新区科园一路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610045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www.yinhai.com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public@yinhai.com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游新</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yangchengwen@yinhai.com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youxin@yinhai.com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4"/>
        <w:spacing w:line="240" w:lineRule="auto" w:before="26"/>
        <w:ind w:right="113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上海市黄埔区南京东路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杨志平、周芳芳</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广东省广州市天河区马场路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号广发证券大厦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龚晓锋、马东林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1,016,378,796.96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864,138,782.82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690,447,976.82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161,493,339.26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118,696,797.76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90,795,508.19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145,789,629.47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98,828,121.65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86,212,128.00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170,688,672.64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220,735,744.07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139,076,410.79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18.81%</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2,045,383,667.36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1,956,721,003.04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1,297,610,972.99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1,137,804,187.93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1,019,445,996.67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508,020,996.44</w:t>
            </w: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126,257,210.73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214,514,529.78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154,720,350.88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520,886,705.57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14,024,418.08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47,888,767.99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22,321,535.75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77,258,617.44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13,385,182.81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46,769,994.01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19,374,981.42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66,259,471.23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-92,947,202.29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-56,585,973.60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26,187,459.71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294,034,388.82</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4"/>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45,953.29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31,371.94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-29,230.61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10,780,873.39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18,500,387.96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6,543,091.84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4,652,846.99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9,723,487.98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-396,484.82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305,111.27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-365,895.97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33,092.62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3,018,417.55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2,911,463.73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856,139.76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1,464,795.12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709,578.32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708,445.31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15,703,709.79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19,868,676.11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4,583,380.19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7"/>
        <w:jc w:val="center"/>
        <w:rPr>
          <w:b w:val="0"/>
          <w:bCs w:val="0"/>
        </w:rPr>
      </w:pPr>
      <w:bookmarkStart w:name="_bookmark1" w:id="2"/>
      <w:bookmarkEnd w:id="2"/>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left="513" w:right="113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久远银海是智慧民生和军民融合服务商，起源于中国工程物理研究院并由中物院国有控股，是中物院</w:t>
      </w:r>
      <w:r>
        <w:rPr>
          <w:rFonts w:ascii="Times New Roman" w:hAnsi="Times New Roman" w:cs="Times New Roman" w:eastAsia="Times New Roman" w:hint="default"/>
          <w:spacing w:val="-2"/>
        </w:rPr>
        <w:t>“</w:t>
      </w:r>
      <w:r>
        <w:rPr>
          <w:spacing w:val="-2"/>
        </w:rPr>
        <w:t>军转民</w:t>
      </w:r>
      <w:r>
        <w:rPr>
          <w:rFonts w:ascii="Times New Roman" w:hAnsi="Times New Roman" w:cs="Times New Roman" w:eastAsia="Times New Roman" w:hint="default"/>
          <w:spacing w:val="-2"/>
        </w:rPr>
        <w:t>”</w:t>
      </w:r>
      <w:r>
        <w:rPr>
          <w:spacing w:val="-2"/>
        </w:rPr>
        <w:t>支柱型企</w:t>
      </w:r>
    </w:p>
    <w:p>
      <w:pPr>
        <w:pStyle w:val="BodyText"/>
        <w:spacing w:line="215" w:lineRule="exact" w:before="0"/>
        <w:ind w:right="0"/>
        <w:jc w:val="both"/>
      </w:pPr>
      <w:r>
        <w:rPr/>
        <w:t>业，公司市场覆盖全国</w:t>
      </w:r>
      <w:r>
        <w:rPr>
          <w:rFonts w:ascii="宋体" w:hAnsi="宋体" w:cs="宋体" w:eastAsia="宋体" w:hint="default"/>
        </w:rPr>
        <w:t>25</w:t>
      </w:r>
      <w:r>
        <w:rPr/>
        <w:t>个省份、</w:t>
      </w:r>
      <w:r>
        <w:rPr>
          <w:rFonts w:ascii="宋体" w:hAnsi="宋体" w:cs="宋体" w:eastAsia="宋体" w:hint="default"/>
        </w:rPr>
        <w:t>100</w:t>
      </w:r>
      <w:r>
        <w:rPr/>
        <w:t>余个城市，为</w:t>
      </w:r>
      <w:r>
        <w:rPr>
          <w:rFonts w:ascii="宋体" w:hAnsi="宋体" w:cs="宋体" w:eastAsia="宋体" w:hint="default"/>
        </w:rPr>
        <w:t>9</w:t>
      </w:r>
      <w:r>
        <w:rPr/>
        <w:t>万家机构和</w:t>
      </w:r>
      <w:r>
        <w:rPr>
          <w:rFonts w:ascii="宋体" w:hAnsi="宋体" w:cs="宋体" w:eastAsia="宋体" w:hint="default"/>
        </w:rPr>
        <w:t>6</w:t>
      </w:r>
      <w:r>
        <w:rPr/>
        <w:t>亿社会公众提供服务。久远银海聚焦医疗医保、数字政务、</w:t>
      </w:r>
    </w:p>
    <w:p>
      <w:pPr>
        <w:pStyle w:val="BodyText"/>
        <w:spacing w:line="309" w:lineRule="auto" w:before="76"/>
        <w:ind w:right="1131"/>
        <w:jc w:val="both"/>
      </w:pPr>
      <w:r>
        <w:rPr>
          <w:spacing w:val="-2"/>
        </w:rPr>
        <w:t>智慧城市、军民融合四大战略方向，面向医保、医疗健康、价值医疗，以及人社、住房金融、民政、工会、智慧城市、市场</w:t>
      </w:r>
      <w:r>
        <w:rPr>
          <w:spacing w:val="-72"/>
        </w:rPr>
        <w:t> </w:t>
      </w:r>
      <w:r>
        <w:rPr>
          <w:spacing w:val="-72"/>
        </w:rPr>
      </w:r>
      <w:r>
        <w:rPr>
          <w:spacing w:val="-2"/>
        </w:rPr>
        <w:t>监管、退军事务、人大政协、军工等业务领域，开展信息化、大数据应用和云服务，助力</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w:t>
      </w:r>
      <w:r>
        <w:rPr>
          <w:spacing w:val="-2"/>
        </w:rPr>
        <w:t>行动，助力国家治理体</w:t>
      </w:r>
      <w:r>
        <w:rPr>
          <w:spacing w:val="-45"/>
        </w:rPr>
        <w:t> </w:t>
      </w:r>
      <w:r>
        <w:rPr>
          <w:spacing w:val="-45"/>
        </w:rPr>
      </w:r>
      <w:r>
        <w:rPr/>
        <w:t>系和治理能力现代化建设。</w:t>
      </w:r>
    </w:p>
    <w:p>
      <w:pPr>
        <w:pStyle w:val="BodyText"/>
        <w:spacing w:line="360" w:lineRule="auto" w:before="62"/>
        <w:ind w:left="578" w:right="1133" w:firstLine="28"/>
        <w:jc w:val="left"/>
      </w:pPr>
      <w:r>
        <w:rPr>
          <w:rFonts w:ascii="宋体" w:hAnsi="宋体" w:cs="宋体" w:eastAsia="宋体" w:hint="default"/>
          <w:b/>
          <w:bCs/>
        </w:rPr>
        <w:t>1.</w:t>
      </w:r>
      <w:r>
        <w:rPr>
          <w:rFonts w:ascii="宋体" w:hAnsi="宋体" w:cs="宋体" w:eastAsia="宋体" w:hint="default"/>
          <w:b/>
          <w:bCs/>
        </w:rPr>
        <w:t>医保：</w:t>
      </w:r>
      <w:r>
        <w:rPr>
          <w:rFonts w:ascii="宋体" w:hAnsi="宋体" w:cs="宋体" w:eastAsia="宋体" w:hint="default"/>
          <w:b/>
          <w:bCs/>
          <w:w w:val="99"/>
        </w:rPr>
        <w:t> </w:t>
      </w:r>
      <w:r>
        <w:rPr>
          <w:spacing w:val="-2"/>
        </w:rPr>
        <w:t>报告期内，公司陆续中标国家医保局医疗保障信息平台建设工程第</w:t>
      </w:r>
      <w:r>
        <w:rPr>
          <w:rFonts w:ascii="Times New Roman" w:hAnsi="Times New Roman" w:cs="Times New Roman" w:eastAsia="Times New Roman" w:hint="default"/>
          <w:spacing w:val="-2"/>
        </w:rPr>
        <w:t>8</w:t>
      </w:r>
      <w:r>
        <w:rPr>
          <w:spacing w:val="-2"/>
        </w:rPr>
        <w:t>包和第</w:t>
      </w:r>
      <w:r>
        <w:rPr>
          <w:rFonts w:ascii="Times New Roman" w:hAnsi="Times New Roman" w:cs="Times New Roman" w:eastAsia="Times New Roman" w:hint="default"/>
          <w:spacing w:val="-2"/>
        </w:rPr>
        <w:t>2</w:t>
      </w:r>
      <w:r>
        <w:rPr>
          <w:spacing w:val="-2"/>
        </w:rPr>
        <w:t>包。第</w:t>
      </w:r>
      <w:r>
        <w:rPr>
          <w:rFonts w:ascii="Times New Roman" w:hAnsi="Times New Roman" w:cs="Times New Roman" w:eastAsia="Times New Roman" w:hint="default"/>
          <w:spacing w:val="-2"/>
        </w:rPr>
        <w:t>8</w:t>
      </w:r>
      <w:r>
        <w:rPr>
          <w:spacing w:val="-2"/>
        </w:rPr>
        <w:t>包属于医保核心业务系统，对医保</w:t>
      </w:r>
    </w:p>
    <w:p>
      <w:pPr>
        <w:pStyle w:val="BodyText"/>
        <w:spacing w:line="199" w:lineRule="exact" w:before="0"/>
        <w:ind w:right="0"/>
        <w:jc w:val="both"/>
      </w:pPr>
      <w:r>
        <w:rPr/>
        <w:t>支付、医保定价、医保监管三大医保核心职能的履行发挥基础性作用，包括基础信息管理子系统、医保业务基础子系统、应</w:t>
      </w:r>
    </w:p>
    <w:p>
      <w:pPr>
        <w:pStyle w:val="BodyText"/>
        <w:spacing w:line="309" w:lineRule="auto" w:before="76"/>
        <w:ind w:right="1133"/>
        <w:jc w:val="both"/>
      </w:pPr>
      <w:r>
        <w:rPr/>
        <w:t>用支撑平台子系统，该项目已进入开发阶段。第</w:t>
      </w:r>
      <w:r>
        <w:rPr>
          <w:rFonts w:ascii="Times New Roman" w:hAnsi="Times New Roman" w:cs="Times New Roman" w:eastAsia="Times New Roman" w:hint="default"/>
        </w:rPr>
        <w:t>2</w:t>
      </w:r>
      <w:r>
        <w:rPr/>
        <w:t>包跨省异地就医管理子系统，支撑城镇职工医保和城乡居民医保（含新农 </w:t>
      </w:r>
      <w:r>
        <w:rPr>
          <w:spacing w:val="-2"/>
        </w:rPr>
        <w:t>合）的跨省异地就医住院结算，并支持异地普通门诊、异地门特门慢、异地购药，该项目已基本完成开发工作。国家医保局</w:t>
      </w:r>
      <w:r>
        <w:rPr>
          <w:spacing w:val="-68"/>
        </w:rPr>
        <w:t> </w:t>
      </w:r>
      <w:r>
        <w:rPr>
          <w:spacing w:val="-68"/>
        </w:rPr>
      </w:r>
      <w:r>
        <w:rPr/>
        <w:t>医疗保障信息平台建设工程第</w:t>
      </w:r>
      <w:r>
        <w:rPr>
          <w:rFonts w:ascii="Times New Roman" w:hAnsi="Times New Roman" w:cs="Times New Roman" w:eastAsia="Times New Roman" w:hint="default"/>
        </w:rPr>
        <w:t>8</w:t>
      </w:r>
      <w:r>
        <w:rPr/>
        <w:t>包和第</w:t>
      </w:r>
      <w:r>
        <w:rPr>
          <w:rFonts w:ascii="Times New Roman" w:hAnsi="Times New Roman" w:cs="Times New Roman" w:eastAsia="Times New Roman" w:hint="default"/>
        </w:rPr>
        <w:t>2</w:t>
      </w:r>
      <w:r>
        <w:rPr/>
        <w:t>包的成功中标和建设推进，为公司在新医保格局下参与市场竞争奠定了良好基础。</w:t>
      </w:r>
    </w:p>
    <w:p>
      <w:pPr>
        <w:pStyle w:val="BodyText"/>
        <w:spacing w:line="316" w:lineRule="auto" w:before="46"/>
        <w:ind w:right="1130" w:firstLine="346"/>
        <w:jc w:val="both"/>
      </w:pPr>
      <w:r>
        <w:rPr>
          <w:spacing w:val="-2"/>
        </w:rPr>
        <w:t>公司医保经办产品继续向商保、长护险等领域延伸，在天津、成都等地上线商保一站式结算系统，并在天津金医宝、山</w:t>
      </w:r>
      <w:r>
        <w:rPr/>
        <w:t> 西保协平台等项目中逐步建立起长效运营模式。</w:t>
      </w:r>
    </w:p>
    <w:p>
      <w:pPr>
        <w:pStyle w:val="BodyText"/>
        <w:spacing w:line="309" w:lineRule="auto" w:before="57"/>
        <w:ind w:right="1129" w:firstLine="362"/>
        <w:jc w:val="both"/>
      </w:pPr>
      <w:r>
        <w:rPr>
          <w:spacing w:val="-2"/>
        </w:rPr>
        <w:t>公司医保互联网产品体系更加完善，实施了新疆区域医保融合支付平台、四川基层医疗机构医保结算平台、昆明远程审</w:t>
      </w:r>
      <w:r>
        <w:rPr/>
        <w:t> </w:t>
      </w:r>
      <w:r>
        <w:rPr>
          <w:spacing w:val="-1"/>
        </w:rPr>
        <w:t>方平台等重要项目，医院智慧支付产品已完成</w:t>
      </w:r>
      <w:r>
        <w:rPr>
          <w:rFonts w:ascii="Times New Roman" w:hAnsi="Times New Roman" w:cs="Times New Roman" w:eastAsia="Times New Roman" w:hint="default"/>
          <w:spacing w:val="-1"/>
        </w:rPr>
        <w:t>15</w:t>
      </w:r>
      <w:r>
        <w:rPr>
          <w:spacing w:val="-1"/>
        </w:rPr>
        <w:t>家二级以上医院和两个区域级平台上线，药店云</w:t>
      </w:r>
      <w:r>
        <w:rPr>
          <w:rFonts w:ascii="Times New Roman" w:hAnsi="Times New Roman" w:cs="Times New Roman" w:eastAsia="Times New Roman" w:hint="default"/>
          <w:spacing w:val="-1"/>
        </w:rPr>
        <w:t>MIS</w:t>
      </w:r>
      <w:r>
        <w:rPr>
          <w:spacing w:val="-1"/>
        </w:rPr>
        <w:t>累计交付</w:t>
      </w:r>
      <w:r>
        <w:rPr>
          <w:rFonts w:ascii="Times New Roman" w:hAnsi="Times New Roman" w:cs="Times New Roman" w:eastAsia="Times New Roman" w:hint="default"/>
          <w:spacing w:val="-1"/>
        </w:rPr>
        <w:t>3270</w:t>
      </w:r>
      <w:r>
        <w:rPr>
          <w:spacing w:val="-1"/>
        </w:rPr>
        <w:t>家，云诊</w:t>
      </w:r>
      <w:r>
        <w:rPr>
          <w:spacing w:val="-79"/>
        </w:rPr>
        <w:t> </w:t>
      </w:r>
      <w:r>
        <w:rPr>
          <w:spacing w:val="-79"/>
        </w:rPr>
      </w:r>
      <w:r>
        <w:rPr/>
        <w:t>所上线</w:t>
      </w:r>
      <w:r>
        <w:rPr>
          <w:rFonts w:ascii="Times New Roman" w:hAnsi="Times New Roman" w:cs="Times New Roman" w:eastAsia="Times New Roman" w:hint="default"/>
        </w:rPr>
        <w:t>19</w:t>
      </w:r>
      <w:r>
        <w:rPr/>
        <w:t>家。</w:t>
      </w:r>
    </w:p>
    <w:p>
      <w:pPr>
        <w:pStyle w:val="BodyText"/>
        <w:spacing w:line="240" w:lineRule="auto" w:before="46"/>
        <w:ind w:left="515" w:right="1133"/>
        <w:jc w:val="left"/>
      </w:pPr>
      <w:r>
        <w:rPr/>
        <w:t>公司医保大数据产品持续升级，</w:t>
      </w:r>
      <w:r>
        <w:rPr>
          <w:rFonts w:ascii="Times New Roman" w:hAnsi="Times New Roman" w:cs="Times New Roman" w:eastAsia="Times New Roman" w:hint="default"/>
        </w:rPr>
        <w:t>DRG</w:t>
      </w:r>
      <w:r>
        <w:rPr/>
        <w:t>产品在市场实现了对医保、卫健、医院三端的全覆盖。</w:t>
      </w:r>
    </w:p>
    <w:p>
      <w:pPr>
        <w:pStyle w:val="BodyText"/>
        <w:spacing w:line="338" w:lineRule="auto" w:before="103"/>
        <w:ind w:left="518" w:right="1118" w:hanging="5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44"/>
        </w:rPr>
        <w:t> </w:t>
      </w:r>
      <w:r>
        <w:rPr>
          <w:rFonts w:ascii="宋体" w:hAnsi="宋体" w:cs="宋体" w:eastAsia="宋体" w:hint="default"/>
          <w:b/>
          <w:bCs/>
        </w:rPr>
        <w:t>医疗健康：</w:t>
      </w:r>
      <w:r>
        <w:rPr>
          <w:rFonts w:ascii="宋体" w:hAnsi="宋体" w:cs="宋体" w:eastAsia="宋体" w:hint="default"/>
          <w:b/>
          <w:bCs/>
          <w:w w:val="99"/>
        </w:rPr>
        <w:t> </w:t>
      </w:r>
      <w:r>
        <w:rPr/>
        <w:t>报告期内，在医院端，公司新增</w:t>
      </w:r>
      <w:r>
        <w:rPr>
          <w:rFonts w:ascii="Times New Roman" w:hAnsi="Times New Roman" w:cs="Times New Roman" w:eastAsia="Times New Roman" w:hint="default"/>
        </w:rPr>
        <w:t>5</w:t>
      </w:r>
      <w:r>
        <w:rPr/>
        <w:t>个三甲医院客户，陆续在广东、江苏、广西、贵州等地承建了多个大型智慧医院项目</w:t>
      </w:r>
    </w:p>
    <w:p>
      <w:pPr>
        <w:pStyle w:val="BodyText"/>
        <w:spacing w:line="217" w:lineRule="exact" w:before="0"/>
        <w:ind w:right="0"/>
        <w:jc w:val="both"/>
      </w:pPr>
      <w:r>
        <w:rPr/>
        <w:t>和医共体项目。在卫健端，承建了广东省汕尾市全民健康信息综合管理平台等多个重大项目。</w:t>
      </w:r>
    </w:p>
    <w:p>
      <w:pPr>
        <w:pStyle w:val="BodyText"/>
        <w:spacing w:line="340" w:lineRule="auto" w:before="117"/>
        <w:ind w:left="460" w:right="986"/>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2"/>
        </w:rPr>
        <w:t> </w:t>
      </w:r>
      <w:r>
        <w:rPr>
          <w:rFonts w:ascii="宋体" w:hAnsi="宋体" w:cs="宋体" w:eastAsia="宋体" w:hint="default"/>
          <w:b/>
          <w:bCs/>
        </w:rPr>
        <w:t>价值医疗：</w:t>
      </w:r>
      <w:r>
        <w:rPr>
          <w:rFonts w:ascii="宋体" w:hAnsi="宋体" w:cs="宋体" w:eastAsia="宋体" w:hint="default"/>
          <w:b/>
          <w:bCs/>
          <w:w w:val="99"/>
        </w:rPr>
        <w:t> </w:t>
      </w:r>
      <w:r>
        <w:rPr>
          <w:spacing w:val="-1"/>
        </w:rPr>
        <w:t>报告期内，公司联合四川大学华西医院，发展价值医疗业务，以大数据医院管理、大数据医疗科研、专科专病诊疗大数</w:t>
      </w:r>
    </w:p>
    <w:p>
      <w:pPr>
        <w:pStyle w:val="BodyText"/>
        <w:spacing w:line="319" w:lineRule="auto" w:before="1"/>
        <w:ind w:right="1131"/>
        <w:jc w:val="both"/>
      </w:pPr>
      <w:r>
        <w:rPr>
          <w:spacing w:val="-2"/>
        </w:rPr>
        <w:t>据应用三大方向为抓手，解决传统医疗模式在成本控制、治疗效果、患者需求等方面的问题，已产出了基于临床实际的医疗</w:t>
      </w:r>
      <w:r>
        <w:rPr>
          <w:spacing w:val="-65"/>
        </w:rPr>
        <w:t> </w:t>
      </w:r>
      <w:r>
        <w:rPr>
          <w:spacing w:val="-65"/>
        </w:rPr>
      </w:r>
      <w:r>
        <w:rPr/>
        <w:t>费用管理系统、医院</w:t>
      </w:r>
      <w:r>
        <w:rPr>
          <w:rFonts w:ascii="Times New Roman" w:hAnsi="Times New Roman" w:cs="Times New Roman" w:eastAsia="Times New Roman" w:hint="default"/>
        </w:rPr>
        <w:t>DRGs</w:t>
      </w:r>
      <w:r>
        <w:rPr/>
        <w:t>质量和绩效管理平台、心理健康促进服务平台等近十个产品。</w:t>
      </w:r>
    </w:p>
    <w:p>
      <w:pPr>
        <w:pStyle w:val="BodyText"/>
        <w:spacing w:line="340" w:lineRule="auto" w:before="35"/>
        <w:ind w:left="460" w:right="1176"/>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2"/>
        </w:rPr>
        <w:t> </w:t>
      </w:r>
      <w:r>
        <w:rPr>
          <w:rFonts w:ascii="宋体" w:hAnsi="宋体" w:cs="宋体" w:eastAsia="宋体" w:hint="default"/>
          <w:b/>
          <w:bCs/>
        </w:rPr>
        <w:t>人社：</w:t>
      </w:r>
      <w:r>
        <w:rPr>
          <w:rFonts w:ascii="宋体" w:hAnsi="宋体" w:cs="宋体" w:eastAsia="宋体" w:hint="default"/>
          <w:b/>
          <w:bCs/>
          <w:w w:val="99"/>
        </w:rPr>
        <w:t> </w:t>
      </w:r>
      <w:r>
        <w:rPr/>
        <w:t>报告期内，公司持续深挖拓展人社市场，新增</w:t>
      </w:r>
      <w:r>
        <w:rPr>
          <w:rFonts w:ascii="Times New Roman" w:hAnsi="Times New Roman" w:cs="Times New Roman" w:eastAsia="Times New Roman" w:hint="default"/>
        </w:rPr>
        <w:t>7</w:t>
      </w:r>
      <w:r>
        <w:rPr/>
        <w:t>个社保城市客户和</w:t>
      </w:r>
      <w:r>
        <w:rPr>
          <w:rFonts w:ascii="Times New Roman" w:hAnsi="Times New Roman" w:cs="Times New Roman" w:eastAsia="Times New Roman" w:hint="default"/>
        </w:rPr>
        <w:t>11</w:t>
      </w:r>
      <w:r>
        <w:rPr/>
        <w:t>个就业城市客户。在四川，承建了基于人社大数据</w:t>
      </w:r>
    </w:p>
    <w:p>
      <w:pPr>
        <w:pStyle w:val="BodyText"/>
        <w:spacing w:line="228" w:lineRule="exact" w:before="0"/>
        <w:ind w:right="0"/>
        <w:jc w:val="both"/>
      </w:pPr>
      <w:r>
        <w:rPr/>
        <w:t>的</w:t>
      </w:r>
      <w:r>
        <w:rPr>
          <w:rFonts w:ascii="Times New Roman" w:hAnsi="Times New Roman" w:cs="Times New Roman" w:eastAsia="Times New Roman" w:hint="default"/>
        </w:rPr>
        <w:t>“</w:t>
      </w:r>
      <w:r>
        <w:rPr/>
        <w:t>成都人社智慧治理平台</w:t>
      </w:r>
      <w:r>
        <w:rPr>
          <w:rFonts w:ascii="Times New Roman" w:hAnsi="Times New Roman" w:cs="Times New Roman" w:eastAsia="Times New Roman" w:hint="default"/>
        </w:rPr>
        <w:t>”</w:t>
      </w:r>
      <w:r>
        <w:rPr/>
        <w:t>；在天津，承建了天津人社就业培训、技能鉴定、公共服务平台等项目；在广东，承建潮州、汕</w:t>
      </w:r>
    </w:p>
    <w:p>
      <w:pPr>
        <w:pStyle w:val="BodyText"/>
        <w:spacing w:line="309" w:lineRule="auto" w:before="63"/>
        <w:ind w:right="1131"/>
        <w:jc w:val="both"/>
      </w:pPr>
      <w:r>
        <w:rPr>
          <w:spacing w:val="-1"/>
        </w:rPr>
        <w:t>尾等地智慧人社项目。在湖北，承建了东风集团职称评定系统，该项目为公司首个人事人才</w:t>
      </w:r>
      <w:r>
        <w:rPr>
          <w:rFonts w:ascii="Times New Roman" w:hAnsi="Times New Roman" w:cs="Times New Roman" w:eastAsia="Times New Roman" w:hint="default"/>
          <w:spacing w:val="-1"/>
        </w:rPr>
        <w:t>B</w:t>
      </w:r>
      <w:r>
        <w:rPr>
          <w:spacing w:val="-1"/>
        </w:rPr>
        <w:t>端项目；在吉林，承建了长春</w:t>
      </w:r>
      <w:r>
        <w:rPr>
          <w:spacing w:val="-61"/>
        </w:rPr>
        <w:t> </w:t>
      </w:r>
      <w:r>
        <w:rPr>
          <w:spacing w:val="-61"/>
        </w:rPr>
      </w:r>
      <w:r>
        <w:rPr>
          <w:spacing w:val="-2"/>
        </w:rPr>
        <w:t>全新社保线上线下一体化服务平台；在广西，承建了广西人社就业创业、劳动仲裁、技工院校等项目；青海，承建了人社全</w:t>
      </w:r>
      <w:r>
        <w:rPr>
          <w:spacing w:val="-67"/>
        </w:rPr>
        <w:t> </w:t>
      </w:r>
      <w:r>
        <w:rPr>
          <w:spacing w:val="-67"/>
        </w:rPr>
      </w:r>
      <w:r>
        <w:rPr/>
        <w:t>民参保登记、大数据支撑平台、公共服务平台等项目。</w:t>
      </w:r>
    </w:p>
    <w:p>
      <w:pPr>
        <w:pStyle w:val="BodyText"/>
        <w:spacing w:line="338" w:lineRule="auto" w:before="65"/>
        <w:ind w:left="460" w:right="1133"/>
        <w:jc w:val="left"/>
      </w:pPr>
      <w:r>
        <w:rPr>
          <w:rFonts w:ascii="Times New Roman" w:hAnsi="Times New Roman" w:cs="Times New Roman" w:eastAsia="Times New Roman" w:hint="default"/>
          <w:b/>
          <w:bCs/>
        </w:rPr>
        <w:t>5.</w:t>
      </w:r>
      <w:r>
        <w:rPr>
          <w:rFonts w:ascii="Times New Roman" w:hAnsi="Times New Roman" w:cs="Times New Roman" w:eastAsia="Times New Roman" w:hint="default"/>
          <w:b/>
          <w:bCs/>
          <w:spacing w:val="32"/>
        </w:rPr>
        <w:t> </w:t>
      </w:r>
      <w:r>
        <w:rPr>
          <w:rFonts w:ascii="宋体" w:hAnsi="宋体" w:cs="宋体" w:eastAsia="宋体" w:hint="default"/>
          <w:b/>
          <w:bCs/>
        </w:rPr>
        <w:t>惠民惠农</w:t>
      </w:r>
      <w:r>
        <w:rPr>
          <w:rFonts w:ascii="Times New Roman" w:hAnsi="Times New Roman" w:cs="Times New Roman" w:eastAsia="Times New Roman" w:hint="default"/>
          <w:b/>
          <w:bCs/>
        </w:rPr>
        <w:t>:</w:t>
      </w:r>
      <w:r>
        <w:rPr>
          <w:rFonts w:ascii="Times New Roman" w:hAnsi="Times New Roman" w:cs="Times New Roman" w:eastAsia="Times New Roman" w:hint="default"/>
          <w:b/>
          <w:bCs/>
          <w:w w:val="99"/>
        </w:rPr>
        <w:t> </w:t>
      </w:r>
      <w:r>
        <w:rPr>
          <w:spacing w:val="-1"/>
        </w:rPr>
        <w:t>报告期内，公司针对惠民惠农财政补贴资金监管这项重要工作，研发了</w:t>
      </w:r>
      <w:r>
        <w:rPr>
          <w:rFonts w:ascii="Times New Roman" w:hAnsi="Times New Roman" w:cs="Times New Roman" w:eastAsia="Times New Roman" w:hint="default"/>
          <w:spacing w:val="-1"/>
        </w:rPr>
        <w:t>“</w:t>
      </w:r>
      <w:r>
        <w:rPr>
          <w:spacing w:val="-1"/>
        </w:rPr>
        <w:t>惠民惠农财政补贴一卡通补贴监管系统</w:t>
      </w:r>
      <w:r>
        <w:rPr>
          <w:rFonts w:ascii="Times New Roman" w:hAnsi="Times New Roman" w:cs="Times New Roman" w:eastAsia="Times New Roman" w:hint="default"/>
          <w:spacing w:val="-1"/>
        </w:rPr>
        <w:t>”</w:t>
      </w:r>
      <w:r>
        <w:rPr>
          <w:spacing w:val="-1"/>
        </w:rPr>
        <w:t>，以社</w:t>
      </w:r>
    </w:p>
    <w:p>
      <w:pPr>
        <w:pStyle w:val="BodyText"/>
        <w:spacing w:line="230" w:lineRule="exact" w:before="0"/>
        <w:ind w:right="0"/>
        <w:jc w:val="both"/>
      </w:pPr>
      <w:r>
        <w:rPr/>
        <w:t>会保障卡为载体，以政务大数据为抓手，助力实现惠民惠农财政补贴资金</w:t>
      </w:r>
      <w:r>
        <w:rPr>
          <w:rFonts w:ascii="Times New Roman" w:hAnsi="Times New Roman" w:cs="Times New Roman" w:eastAsia="Times New Roman" w:hint="default"/>
        </w:rPr>
        <w:t>“</w:t>
      </w:r>
      <w:r>
        <w:rPr/>
        <w:t>全程监管、阳光审批、阳光公开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年已陆续</w:t>
      </w:r>
    </w:p>
    <w:p>
      <w:pPr>
        <w:pStyle w:val="BodyText"/>
        <w:spacing w:line="240" w:lineRule="auto" w:before="63"/>
        <w:ind w:right="0"/>
        <w:jc w:val="both"/>
      </w:pPr>
      <w:r>
        <w:rPr/>
        <w:t>在四川省财政厅以及成都市、内江市等四川</w:t>
      </w:r>
      <w:r>
        <w:rPr>
          <w:rFonts w:ascii="Times New Roman" w:hAnsi="Times New Roman" w:cs="Times New Roman" w:eastAsia="Times New Roman" w:hint="default"/>
        </w:rPr>
        <w:t>15</w:t>
      </w:r>
      <w:r>
        <w:rPr/>
        <w:t>个市（州）上线并稳定运行。</w:t>
      </w:r>
    </w:p>
    <w:p>
      <w:pPr>
        <w:pStyle w:val="Heading7"/>
        <w:spacing w:line="240" w:lineRule="auto" w:before="103"/>
        <w:ind w:left="460" w:right="1133"/>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t>住房金融</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b/>
          <w:bCs/>
          <w:sz w:val="29"/>
          <w:szCs w:val="29"/>
        </w:rPr>
      </w:pPr>
    </w:p>
    <w:p>
      <w:pPr>
        <w:pStyle w:val="BodyText"/>
        <w:spacing w:line="309" w:lineRule="auto"/>
        <w:ind w:right="1129" w:firstLine="307"/>
        <w:jc w:val="both"/>
      </w:pPr>
      <w:r>
        <w:rPr>
          <w:spacing w:val="-1"/>
        </w:rPr>
        <w:t>报告期内，公司持续推进市场拓展，新增</w:t>
      </w:r>
      <w:r>
        <w:rPr>
          <w:rFonts w:ascii="Times New Roman" w:hAnsi="Times New Roman" w:cs="Times New Roman" w:eastAsia="Times New Roman" w:hint="default"/>
          <w:spacing w:val="-1"/>
        </w:rPr>
        <w:t>3</w:t>
      </w:r>
      <w:r>
        <w:rPr>
          <w:spacing w:val="-1"/>
        </w:rPr>
        <w:t>个公积金核心系统城市客户和</w:t>
      </w:r>
      <w:r>
        <w:rPr>
          <w:rFonts w:ascii="Times New Roman" w:hAnsi="Times New Roman" w:cs="Times New Roman" w:eastAsia="Times New Roman" w:hint="default"/>
          <w:spacing w:val="-1"/>
        </w:rPr>
        <w:t>6</w:t>
      </w:r>
      <w:r>
        <w:rPr>
          <w:spacing w:val="-1"/>
        </w:rPr>
        <w:t>个公积金综合服务平台城市客户，陆续承建了</w:t>
      </w:r>
      <w:r>
        <w:rPr/>
        <w:t> </w:t>
      </w:r>
      <w:r>
        <w:rPr>
          <w:spacing w:val="-2"/>
        </w:rPr>
        <w:t>四川省省级住房公积金管理中心新一代住房公积金信息管理系统、西藏自治区住房公积金综合服务平台等重大项目，并助力</w:t>
      </w:r>
      <w:r>
        <w:rPr>
          <w:spacing w:val="-64"/>
        </w:rPr>
        <w:t> </w:t>
      </w:r>
      <w:r>
        <w:rPr>
          <w:spacing w:val="-64"/>
        </w:rPr>
      </w:r>
      <w:r>
        <w:rPr>
          <w:rFonts w:ascii="Times New Roman" w:hAnsi="Times New Roman" w:cs="Times New Roman" w:eastAsia="Times New Roman" w:hint="default"/>
        </w:rPr>
        <w:t>43</w:t>
      </w:r>
      <w:r>
        <w:rPr/>
        <w:t>个城市接入住建部数据平台。</w:t>
      </w:r>
    </w:p>
    <w:p>
      <w:pPr>
        <w:pStyle w:val="BodyText"/>
        <w:spacing w:line="338" w:lineRule="auto" w:before="46"/>
        <w:ind w:left="460" w:right="986"/>
        <w:jc w:val="left"/>
      </w:pPr>
      <w:r>
        <w:rPr>
          <w:rFonts w:ascii="Times New Roman" w:hAnsi="Times New Roman" w:cs="Times New Roman" w:eastAsia="Times New Roman" w:hint="default"/>
          <w:b/>
          <w:bCs/>
        </w:rPr>
        <w:t>7.</w:t>
      </w:r>
      <w:r>
        <w:rPr>
          <w:rFonts w:ascii="Times New Roman" w:hAnsi="Times New Roman" w:cs="Times New Roman" w:eastAsia="Times New Roman" w:hint="default"/>
          <w:b/>
          <w:bCs/>
          <w:spacing w:val="32"/>
        </w:rPr>
        <w:t> </w:t>
      </w:r>
      <w:r>
        <w:rPr>
          <w:rFonts w:ascii="宋体" w:hAnsi="宋体" w:cs="宋体" w:eastAsia="宋体" w:hint="default"/>
          <w:b/>
          <w:bCs/>
        </w:rPr>
        <w:t>民政及工会：</w:t>
      </w:r>
      <w:r>
        <w:rPr>
          <w:rFonts w:ascii="宋体" w:hAnsi="宋体" w:cs="宋体" w:eastAsia="宋体" w:hint="default"/>
          <w:b/>
          <w:bCs/>
          <w:w w:val="99"/>
        </w:rPr>
        <w:t> </w:t>
      </w:r>
      <w:r>
        <w:rPr>
          <w:spacing w:val="-1"/>
        </w:rPr>
        <w:t>报告期内，公司在民政部以及湖北、四川、云南等地的签单项目顺利落地实施，并新拓展出山西、广西、西藏三个省级</w:t>
      </w:r>
    </w:p>
    <w:p>
      <w:pPr>
        <w:pStyle w:val="BodyText"/>
        <w:spacing w:line="240" w:lineRule="auto" w:before="2"/>
        <w:ind w:right="1133"/>
        <w:jc w:val="left"/>
      </w:pPr>
      <w:r>
        <w:rPr/>
        <w:t>区域。在工会市场，成功中标新疆维吾尔自治区总工会</w:t>
      </w:r>
      <w:r>
        <w:rPr>
          <w:rFonts w:ascii="Times New Roman" w:hAnsi="Times New Roman" w:cs="Times New Roman" w:eastAsia="Times New Roman" w:hint="default"/>
        </w:rPr>
        <w:t>“</w:t>
      </w:r>
      <w:r>
        <w:rPr/>
        <w:t>智慧工会</w:t>
      </w:r>
      <w:r>
        <w:rPr>
          <w:rFonts w:ascii="Times New Roman" w:hAnsi="Times New Roman" w:cs="Times New Roman" w:eastAsia="Times New Roman" w:hint="default"/>
        </w:rPr>
        <w:t>”</w:t>
      </w:r>
      <w:r>
        <w:rPr/>
        <w:t>信息化项目，实现工会领域省级案例重大突破。</w:t>
      </w:r>
    </w:p>
    <w:p>
      <w:pPr>
        <w:pStyle w:val="BodyText"/>
        <w:spacing w:line="340" w:lineRule="auto" w:before="103"/>
        <w:ind w:left="460" w:right="986"/>
        <w:jc w:val="left"/>
      </w:pPr>
      <w:r>
        <w:rPr>
          <w:rFonts w:ascii="Times New Roman" w:hAnsi="Times New Roman" w:cs="Times New Roman" w:eastAsia="Times New Roman" w:hint="default"/>
          <w:b/>
          <w:bCs/>
        </w:rPr>
        <w:t>8.</w:t>
      </w:r>
      <w:r>
        <w:rPr>
          <w:rFonts w:ascii="Times New Roman" w:hAnsi="Times New Roman" w:cs="Times New Roman" w:eastAsia="Times New Roman" w:hint="default"/>
          <w:b/>
          <w:bCs/>
          <w:spacing w:val="32"/>
        </w:rPr>
        <w:t> </w:t>
      </w:r>
      <w:r>
        <w:rPr>
          <w:rFonts w:ascii="宋体" w:hAnsi="宋体" w:cs="宋体" w:eastAsia="宋体" w:hint="default"/>
          <w:b/>
          <w:bCs/>
        </w:rPr>
        <w:t>人大政协：</w:t>
      </w:r>
      <w:r>
        <w:rPr>
          <w:rFonts w:ascii="宋体" w:hAnsi="宋体" w:cs="宋体" w:eastAsia="宋体" w:hint="default"/>
          <w:b/>
          <w:bCs/>
          <w:w w:val="99"/>
        </w:rPr>
        <w:t> </w:t>
      </w:r>
      <w:r>
        <w:rPr>
          <w:spacing w:val="-2"/>
        </w:rPr>
        <w:t>报告期内，公司承建的成都市</w:t>
      </w:r>
      <w:r>
        <w:rPr>
          <w:rFonts w:ascii="Times New Roman" w:hAnsi="Times New Roman" w:cs="Times New Roman" w:eastAsia="Times New Roman" w:hint="default"/>
          <w:spacing w:val="-2"/>
        </w:rPr>
        <w:t>“</w:t>
      </w:r>
      <w:r>
        <w:rPr>
          <w:spacing w:val="-2"/>
        </w:rPr>
        <w:t>智慧人大</w:t>
      </w:r>
      <w:r>
        <w:rPr>
          <w:rFonts w:ascii="Times New Roman" w:hAnsi="Times New Roman" w:cs="Times New Roman" w:eastAsia="Times New Roman" w:hint="default"/>
          <w:spacing w:val="-2"/>
        </w:rPr>
        <w:t>”</w:t>
      </w:r>
      <w:r>
        <w:rPr>
          <w:spacing w:val="-2"/>
        </w:rPr>
        <w:t>项目顺利推进，已于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月上线，目前已完成初验，区县推广工作已启动。</w:t>
      </w:r>
    </w:p>
    <w:p>
      <w:pPr>
        <w:pStyle w:val="BodyText"/>
        <w:spacing w:line="228" w:lineRule="exact" w:before="0"/>
        <w:ind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月，公司中标云南省</w:t>
      </w:r>
      <w:r>
        <w:rPr>
          <w:rFonts w:ascii="Times New Roman" w:hAnsi="Times New Roman" w:cs="Times New Roman" w:eastAsia="Times New Roman" w:hint="default"/>
        </w:rPr>
        <w:t>“</w:t>
      </w:r>
      <w:r>
        <w:rPr/>
        <w:t>数字政协</w:t>
      </w:r>
      <w:r>
        <w:rPr>
          <w:rFonts w:ascii="Times New Roman" w:hAnsi="Times New Roman" w:cs="Times New Roman" w:eastAsia="Times New Roman" w:hint="default"/>
        </w:rPr>
        <w:t>”</w:t>
      </w:r>
      <w:r>
        <w:rPr/>
        <w:t>项目，已实现项目一期上线。公司承建的四川省人大移动平台项目也已启动建设。</w:t>
      </w:r>
    </w:p>
    <w:p>
      <w:pPr>
        <w:pStyle w:val="BodyText"/>
        <w:spacing w:line="240" w:lineRule="auto" w:before="63"/>
        <w:ind w:right="1133"/>
        <w:jc w:val="left"/>
      </w:pPr>
      <w:r>
        <w:rPr/>
        <w:t>人大政协条线有望成为公司新的重要增长点。</w:t>
      </w:r>
    </w:p>
    <w:p>
      <w:pPr>
        <w:pStyle w:val="BodyText"/>
        <w:spacing w:line="340" w:lineRule="auto" w:before="115"/>
        <w:ind w:left="460" w:right="1086"/>
        <w:jc w:val="left"/>
      </w:pPr>
      <w:r>
        <w:rPr>
          <w:rFonts w:ascii="Times New Roman" w:hAnsi="Times New Roman" w:cs="Times New Roman" w:eastAsia="Times New Roman" w:hint="default"/>
          <w:b/>
          <w:bCs/>
        </w:rPr>
        <w:t>9.</w:t>
      </w:r>
      <w:r>
        <w:rPr>
          <w:rFonts w:ascii="Times New Roman" w:hAnsi="Times New Roman" w:cs="Times New Roman" w:eastAsia="Times New Roman" w:hint="default"/>
          <w:b/>
          <w:bCs/>
          <w:spacing w:val="32"/>
        </w:rPr>
        <w:t> </w:t>
      </w:r>
      <w:r>
        <w:rPr>
          <w:rFonts w:ascii="宋体" w:hAnsi="宋体" w:cs="宋体" w:eastAsia="宋体" w:hint="default"/>
          <w:b/>
          <w:bCs/>
        </w:rPr>
        <w:t>智慧城市：</w:t>
      </w:r>
      <w:r>
        <w:rPr>
          <w:rFonts w:ascii="宋体" w:hAnsi="宋体" w:cs="宋体" w:eastAsia="宋体" w:hint="default"/>
          <w:b/>
          <w:bCs/>
          <w:w w:val="99"/>
        </w:rPr>
        <w:t> </w:t>
      </w:r>
      <w:r>
        <w:rPr/>
        <w:t>报告期内，公司继续加强城市治理产品的市场拓展，横向拓展面向社治委、环保、法院的应用，纵向深化在平安社区、</w:t>
      </w:r>
    </w:p>
    <w:p>
      <w:pPr>
        <w:pStyle w:val="BodyText"/>
        <w:spacing w:line="300" w:lineRule="auto" w:before="1"/>
        <w:ind w:right="1134"/>
        <w:jc w:val="left"/>
      </w:pPr>
      <w:r>
        <w:rPr/>
        <w:t>智慧街道、智慧社区等领域的应用。公司运营的成都市政务云平台，已服务于全市</w:t>
      </w:r>
      <w:r>
        <w:rPr>
          <w:rFonts w:ascii="Times New Roman" w:hAnsi="Times New Roman" w:cs="Times New Roman" w:eastAsia="Times New Roman" w:hint="default"/>
        </w:rPr>
        <w:t>37</w:t>
      </w:r>
      <w:r>
        <w:rPr/>
        <w:t>家市级单位。公司参与项目</w:t>
      </w:r>
      <w:r>
        <w:rPr>
          <w:rFonts w:ascii="Times New Roman" w:hAnsi="Times New Roman" w:cs="Times New Roman" w:eastAsia="Times New Roman" w:hint="default"/>
        </w:rPr>
        <w:t>“</w:t>
      </w:r>
      <w:r>
        <w:rPr/>
        <w:t>川渝特大 城市群服务集成与治理关键技术研究与应用示范</w:t>
      </w:r>
      <w:r>
        <w:rPr>
          <w:rFonts w:ascii="Times New Roman" w:hAnsi="Times New Roman" w:cs="Times New Roman" w:eastAsia="Times New Roman" w:hint="default"/>
        </w:rPr>
        <w:t>”</w:t>
      </w:r>
      <w:r>
        <w:rPr/>
        <w:t>，入围国家重点研发计划</w:t>
      </w:r>
      <w:r>
        <w:rPr>
          <w:rFonts w:ascii="Times New Roman" w:hAnsi="Times New Roman" w:cs="Times New Roman" w:eastAsia="Times New Roman" w:hint="default"/>
        </w:rPr>
        <w:t>“</w:t>
      </w:r>
      <w:r>
        <w:rPr/>
        <w:t>物联网与智慧城市关键技术及示范</w:t>
      </w:r>
      <w:r>
        <w:rPr>
          <w:rFonts w:ascii="Times New Roman" w:hAnsi="Times New Roman" w:cs="Times New Roman" w:eastAsia="Times New Roman" w:hint="default"/>
        </w:rPr>
        <w:t>”</w:t>
      </w:r>
      <w:r>
        <w:rPr/>
        <w:t>重点专项。</w:t>
      </w:r>
    </w:p>
    <w:p>
      <w:pPr>
        <w:pStyle w:val="BodyText"/>
        <w:spacing w:line="338" w:lineRule="auto" w:before="53"/>
        <w:ind w:left="460" w:right="1086" w:hanging="77"/>
        <w:jc w:val="left"/>
      </w:pPr>
      <w:r>
        <w:rPr>
          <w:rFonts w:ascii="Times New Roman" w:hAnsi="Times New Roman" w:cs="Times New Roman" w:eastAsia="Times New Roman" w:hint="default"/>
          <w:b/>
          <w:bCs/>
        </w:rPr>
        <w:t>10.</w:t>
      </w:r>
      <w:r>
        <w:rPr>
          <w:rFonts w:ascii="Times New Roman" w:hAnsi="Times New Roman" w:cs="Times New Roman" w:eastAsia="Times New Roman" w:hint="default"/>
          <w:b/>
          <w:bCs/>
          <w:spacing w:val="30"/>
        </w:rPr>
        <w:t> </w:t>
      </w:r>
      <w:r>
        <w:rPr>
          <w:rFonts w:ascii="宋体" w:hAnsi="宋体" w:cs="宋体" w:eastAsia="宋体" w:hint="default"/>
          <w:b/>
          <w:bCs/>
        </w:rPr>
        <w:t>军工：</w:t>
      </w:r>
      <w:r>
        <w:rPr>
          <w:rFonts w:ascii="宋体" w:hAnsi="宋体" w:cs="宋体" w:eastAsia="宋体" w:hint="default"/>
          <w:b/>
          <w:bCs/>
          <w:w w:val="99"/>
        </w:rPr>
        <w:t> </w:t>
      </w:r>
      <w:r>
        <w:rPr/>
        <w:t>报告期内，公司实现了基于生产制造领域的大数据应用落地（玻璃分组成分分析系统），完成了基于大型装备的运行、</w:t>
      </w:r>
    </w:p>
    <w:p>
      <w:pPr>
        <w:pStyle w:val="BodyText"/>
        <w:spacing w:line="316" w:lineRule="auto" w:before="2"/>
        <w:ind w:right="986"/>
        <w:jc w:val="left"/>
      </w:pPr>
      <w:r>
        <w:rPr>
          <w:spacing w:val="-2"/>
        </w:rPr>
        <w:t>维护形成相关的应用产品研发，完成了涉密单位的涉密跨域交换平台应用产品研发，实现了基于自主可控环境的电子公文和</w:t>
      </w:r>
      <w:r>
        <w:rPr>
          <w:spacing w:val="-63"/>
        </w:rPr>
        <w:t> </w:t>
      </w:r>
      <w:r>
        <w:rPr>
          <w:spacing w:val="-63"/>
        </w:rPr>
      </w:r>
      <w:r>
        <w:rPr/>
        <w:t>涉密电子会议系统的应用落地。</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line="357" w:lineRule="auto" w:before="0"/>
        <w:ind w:left="436" w:right="4274" w:firstLine="76"/>
        <w:jc w:val="left"/>
        <w:rPr>
          <w:rFonts w:ascii="宋体" w:hAnsi="宋体" w:cs="宋体" w:eastAsia="宋体" w:hint="default"/>
          <w:sz w:val="18"/>
          <w:szCs w:val="18"/>
        </w:rPr>
      </w:pPr>
      <w:r>
        <w:rPr>
          <w:rFonts w:ascii="宋体" w:hAnsi="宋体" w:cs="宋体" w:eastAsia="宋体" w:hint="default"/>
          <w:sz w:val="18"/>
          <w:szCs w:val="18"/>
        </w:rPr>
        <w:t>报告期内公司所属行业的发展阶段、周期性特点以及公司所处的行业地位等： </w:t>
      </w:r>
      <w:r>
        <w:rPr>
          <w:rFonts w:ascii="宋体" w:hAnsi="宋体" w:cs="宋体" w:eastAsia="宋体" w:hint="default"/>
          <w:b/>
          <w:bCs/>
          <w:sz w:val="18"/>
          <w:szCs w:val="18"/>
        </w:rPr>
        <w:t>一、中国之治新格局</w:t>
      </w:r>
      <w:r>
        <w:rPr>
          <w:rFonts w:ascii="宋体" w:hAnsi="宋体" w:cs="宋体" w:eastAsia="宋体" w:hint="default"/>
          <w:sz w:val="18"/>
          <w:szCs w:val="18"/>
        </w:rPr>
      </w:r>
    </w:p>
    <w:p>
      <w:pPr>
        <w:pStyle w:val="BodyText"/>
        <w:spacing w:line="304" w:lineRule="auto" w:before="29"/>
        <w:ind w:right="1129" w:firstLine="283"/>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日，中国共产党十九届四中全会通过《中共中央关于坚持和完善中国特色社会主义制度</w:t>
      </w:r>
      <w:r>
        <w:rPr>
          <w:spacing w:val="-6"/>
        </w:rPr>
        <w:t> </w:t>
      </w:r>
      <w:r>
        <w:rPr/>
        <w:t>推进国家治理体系</w:t>
      </w:r>
      <w:r>
        <w:rPr/>
        <w:t> </w:t>
      </w:r>
      <w:r>
        <w:rPr>
          <w:spacing w:val="-2"/>
        </w:rPr>
        <w:t>和治理能力现代化若干重大问题的决定》，提出了包括以中国式民主让人民更好当家作主、推动法治中国建设行稳致远、建</w:t>
      </w:r>
      <w:r>
        <w:rPr>
          <w:spacing w:val="-66"/>
        </w:rPr>
        <w:t> </w:t>
      </w:r>
      <w:r>
        <w:rPr>
          <w:spacing w:val="-66"/>
        </w:rPr>
      </w:r>
      <w:r>
        <w:rPr/>
        <w:t>设人民满意的服务型政府、织就更加公平更高质量的民生保障之</w:t>
      </w:r>
      <w:r>
        <w:rPr>
          <w:rFonts w:ascii="Times New Roman" w:hAnsi="Times New Roman" w:cs="Times New Roman" w:eastAsia="Times New Roman" w:hint="default"/>
        </w:rPr>
        <w:t>“</w:t>
      </w:r>
      <w:r>
        <w:rPr/>
        <w:t>网</w:t>
      </w:r>
      <w:r>
        <w:rPr>
          <w:rFonts w:ascii="Times New Roman" w:hAnsi="Times New Roman" w:cs="Times New Roman" w:eastAsia="Times New Roman" w:hint="default"/>
        </w:rPr>
        <w:t>”</w:t>
      </w:r>
      <w:r>
        <w:rPr/>
        <w:t>、打造平安中国</w:t>
      </w:r>
      <w:r>
        <w:rPr>
          <w:rFonts w:ascii="Times New Roman" w:hAnsi="Times New Roman" w:cs="Times New Roman" w:eastAsia="Times New Roman" w:hint="default"/>
        </w:rPr>
        <w:t>“</w:t>
      </w:r>
      <w:r>
        <w:rPr/>
        <w:t>升级版</w:t>
      </w:r>
      <w:r>
        <w:rPr>
          <w:rFonts w:ascii="Times New Roman" w:hAnsi="Times New Roman" w:cs="Times New Roman" w:eastAsia="Times New Roman" w:hint="default"/>
        </w:rPr>
        <w:t>”</w:t>
      </w:r>
      <w:r>
        <w:rPr/>
        <w:t>、为公权力运行扎紧</w:t>
      </w:r>
      <w:r>
        <w:rPr>
          <w:rFonts w:ascii="Times New Roman" w:hAnsi="Times New Roman" w:cs="Times New Roman" w:eastAsia="Times New Roman" w:hint="default"/>
        </w:rPr>
        <w:t>“</w:t>
      </w:r>
      <w:r>
        <w:rPr/>
        <w:t>制度之 </w:t>
      </w:r>
      <w:r>
        <w:rPr>
          <w:spacing w:val="-2"/>
        </w:rPr>
        <w:t>笼</w:t>
      </w:r>
      <w:r>
        <w:rPr>
          <w:rFonts w:ascii="Times New Roman" w:hAnsi="Times New Roman" w:cs="Times New Roman" w:eastAsia="Times New Roman" w:hint="default"/>
          <w:spacing w:val="-2"/>
        </w:rPr>
        <w:t>”</w:t>
      </w:r>
      <w:r>
        <w:rPr>
          <w:spacing w:val="-2"/>
        </w:rPr>
        <w:t>等在内的一系列重大举措，并提出</w:t>
      </w:r>
      <w:r>
        <w:rPr>
          <w:rFonts w:ascii="Times New Roman" w:hAnsi="Times New Roman" w:cs="Times New Roman" w:eastAsia="Times New Roman" w:hint="default"/>
          <w:spacing w:val="-2"/>
        </w:rPr>
        <w:t>“</w:t>
      </w:r>
      <w:r>
        <w:rPr>
          <w:spacing w:val="-2"/>
        </w:rPr>
        <w:t>建立健全运用互联网、大数据、人工智能等技术手段进行行政管理的制度规则。推进</w:t>
      </w:r>
      <w:r>
        <w:rPr>
          <w:spacing w:val="-42"/>
        </w:rPr>
        <w:t> </w:t>
      </w:r>
      <w:r>
        <w:rPr>
          <w:spacing w:val="-42"/>
        </w:rPr>
      </w:r>
      <w:r>
        <w:rPr/>
        <w:t>数字政府建设。</w:t>
      </w:r>
      <w:r>
        <w:rPr>
          <w:rFonts w:ascii="Times New Roman" w:hAnsi="Times New Roman" w:cs="Times New Roman" w:eastAsia="Times New Roman" w:hint="default"/>
        </w:rPr>
        <w:t>”</w:t>
      </w:r>
      <w:r>
        <w:rPr/>
        <w:t>信息化已成为推进国家治理体系和治理能力现代化、提升治理能效的新动能。同时，部分政府正探索引入 科技企业，采取</w:t>
      </w:r>
      <w:r>
        <w:rPr>
          <w:rFonts w:ascii="Times New Roman" w:hAnsi="Times New Roman" w:cs="Times New Roman" w:eastAsia="Times New Roman" w:hint="default"/>
        </w:rPr>
        <w:t>“</w:t>
      </w:r>
      <w:r>
        <w:rPr/>
        <w:t>政企合作、管运分离</w:t>
      </w:r>
      <w:r>
        <w:rPr>
          <w:rFonts w:ascii="Times New Roman" w:hAnsi="Times New Roman" w:cs="Times New Roman" w:eastAsia="Times New Roman" w:hint="default"/>
        </w:rPr>
        <w:t>”</w:t>
      </w:r>
      <w:r>
        <w:rPr/>
        <w:t>的机制共同参与</w:t>
      </w:r>
      <w:r>
        <w:rPr>
          <w:rFonts w:ascii="Times New Roman" w:hAnsi="Times New Roman" w:cs="Times New Roman" w:eastAsia="Times New Roman" w:hint="default"/>
        </w:rPr>
        <w:t>“</w:t>
      </w:r>
      <w:r>
        <w:rPr/>
        <w:t>数字政府</w:t>
      </w:r>
      <w:r>
        <w:rPr>
          <w:rFonts w:ascii="Times New Roman" w:hAnsi="Times New Roman" w:cs="Times New Roman" w:eastAsia="Times New Roman" w:hint="default"/>
        </w:rPr>
        <w:t>”</w:t>
      </w:r>
      <w:r>
        <w:rPr/>
        <w:t>建设，成为创新社会治理模式的新思路。</w:t>
      </w:r>
    </w:p>
    <w:p>
      <w:pPr>
        <w:pStyle w:val="Heading7"/>
        <w:spacing w:line="240" w:lineRule="auto"/>
        <w:ind w:left="436" w:right="1133"/>
        <w:jc w:val="left"/>
        <w:rPr>
          <w:b w:val="0"/>
          <w:bCs w:val="0"/>
        </w:rPr>
      </w:pPr>
      <w:r>
        <w:rPr/>
        <w:t>二、健康中国新行动</w:t>
      </w:r>
      <w:r>
        <w:rPr>
          <w:b w:val="0"/>
          <w:bCs w:val="0"/>
        </w:rPr>
      </w:r>
    </w:p>
    <w:p>
      <w:pPr>
        <w:pStyle w:val="BodyText"/>
        <w:spacing w:line="309" w:lineRule="auto" w:before="115"/>
        <w:ind w:right="1050" w:firstLine="28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月，国家发布《健康中国行动</w:t>
      </w:r>
      <w:r>
        <w:rPr>
          <w:rFonts w:ascii="Times New Roman" w:hAnsi="Times New Roman" w:cs="Times New Roman" w:eastAsia="Times New Roman" w:hint="default"/>
        </w:rPr>
        <w:t>(2019</w:t>
      </w:r>
      <w:r>
        <w:rPr>
          <w:rFonts w:ascii="Times New Roman" w:hAnsi="Times New Roman" w:cs="Times New Roman" w:eastAsia="Times New Roman" w:hint="default"/>
        </w:rPr>
        <w:t>—</w:t>
      </w:r>
      <w:r>
        <w:rPr>
          <w:rFonts w:ascii="Times New Roman" w:hAnsi="Times New Roman" w:cs="Times New Roman" w:eastAsia="Times New Roman" w:hint="default"/>
        </w:rPr>
        <w:t>2030</w:t>
      </w:r>
      <w:r>
        <w:rPr/>
        <w:t>年</w:t>
      </w:r>
      <w:r>
        <w:rPr>
          <w:rFonts w:ascii="Times New Roman" w:hAnsi="Times New Roman" w:cs="Times New Roman" w:eastAsia="Times New Roman" w:hint="default"/>
        </w:rPr>
        <w:t>)</w:t>
      </w:r>
      <w:r>
        <w:rPr/>
        <w:t>》，提出开展</w:t>
      </w:r>
      <w:r>
        <w:rPr>
          <w:rFonts w:ascii="Times New Roman" w:hAnsi="Times New Roman" w:cs="Times New Roman" w:eastAsia="Times New Roman" w:hint="default"/>
        </w:rPr>
        <w:t>15</w:t>
      </w:r>
      <w:r>
        <w:rPr/>
        <w:t>个重大专项行动，包括健康知识普及行动、合理膳 食行动、全民健身行动、控烟行动、心理健康促进行动、健康环境促进行动、妇幼健康促进行动、区域人口健康信息平台、 </w:t>
      </w:r>
      <w:r>
        <w:rPr>
          <w:spacing w:val="-2"/>
        </w:rPr>
        <w:t>中小学健康促进行动、职业健康保护行动、老年健康促进行动、心脑血管疾病防治行动、癌症防治行动、慢性呼吸系统疾病</w:t>
      </w:r>
      <w:r>
        <w:rPr>
          <w:spacing w:val="-67"/>
        </w:rPr>
        <w:t> </w:t>
      </w:r>
      <w:r>
        <w:rPr>
          <w:spacing w:val="-67"/>
        </w:rPr>
      </w:r>
      <w:r>
        <w:rPr>
          <w:spacing w:val="-3"/>
        </w:rPr>
        <w:t>防治行动、糖尿病防治行动、传染病及地方病防控行动。随着人口老龄化、计划生育政策逐步放开、健康消费升级，医保</w:t>
      </w:r>
      <w:r>
        <w:rPr>
          <w:rFonts w:ascii="Times New Roman" w:hAnsi="Times New Roman" w:cs="Times New Roman" w:eastAsia="Times New Roman" w:hint="default"/>
          <w:spacing w:val="-3"/>
        </w:rPr>
        <w:t>“</w:t>
      </w:r>
      <w:r>
        <w:rPr>
          <w:spacing w:val="-3"/>
        </w:rPr>
        <w:t>价</w:t>
      </w:r>
      <w:r>
        <w:rPr>
          <w:spacing w:val="-86"/>
        </w:rPr>
        <w:t> </w:t>
      </w:r>
      <w:r>
        <w:rPr/>
        <w:t>值导向战略性购买者</w:t>
      </w:r>
      <w:r>
        <w:rPr>
          <w:rFonts w:ascii="Times New Roman" w:hAnsi="Times New Roman" w:cs="Times New Roman" w:eastAsia="Times New Roman" w:hint="default"/>
        </w:rPr>
        <w:t>”</w:t>
      </w:r>
      <w:r>
        <w:rPr/>
        <w:t>定位的确立，医疗医保信息化市场规模巨大。特别是未来</w:t>
      </w:r>
      <w:r>
        <w:rPr>
          <w:rFonts w:ascii="Times New Roman" w:hAnsi="Times New Roman" w:cs="Times New Roman" w:eastAsia="Times New Roman" w:hint="default"/>
        </w:rPr>
        <w:t>2-3</w:t>
      </w:r>
      <w:r>
        <w:rPr/>
        <w:t>年，医保信息化建设浪潮将迎来高峰。</w:t>
      </w:r>
    </w:p>
    <w:p>
      <w:pPr>
        <w:pStyle w:val="BodyText"/>
        <w:spacing w:line="360" w:lineRule="auto" w:before="46"/>
        <w:ind w:left="436" w:right="986"/>
        <w:jc w:val="left"/>
      </w:pPr>
      <w:r>
        <w:rPr>
          <w:rFonts w:ascii="宋体" w:hAnsi="宋体" w:cs="宋体" w:eastAsia="宋体" w:hint="default"/>
          <w:b/>
          <w:bCs/>
        </w:rPr>
        <w:t>三、数字中国新赛道</w:t>
      </w:r>
      <w:r>
        <w:rPr>
          <w:rFonts w:ascii="宋体" w:hAnsi="宋体" w:cs="宋体" w:eastAsia="宋体" w:hint="default"/>
          <w:b/>
          <w:bCs/>
          <w:w w:val="99"/>
        </w:rPr>
        <w:t> </w:t>
      </w:r>
      <w:r>
        <w:rPr>
          <w:spacing w:val="-3"/>
        </w:rPr>
        <w:t>随着</w:t>
      </w:r>
      <w:r>
        <w:rPr>
          <w:rFonts w:ascii="Times New Roman" w:hAnsi="Times New Roman" w:cs="Times New Roman" w:eastAsia="Times New Roman" w:hint="default"/>
          <w:spacing w:val="-3"/>
        </w:rPr>
        <w:t>5G</w:t>
      </w:r>
      <w:r>
        <w:rPr>
          <w:spacing w:val="-3"/>
        </w:rPr>
        <w:t>、大数据、人工智能、区块链等新技术的深化应用，</w:t>
      </w:r>
      <w:r>
        <w:rPr>
          <w:rFonts w:ascii="Times New Roman" w:hAnsi="Times New Roman" w:cs="Times New Roman" w:eastAsia="Times New Roman" w:hint="default"/>
          <w:spacing w:val="-3"/>
        </w:rPr>
        <w:t>“</w:t>
      </w:r>
      <w:r>
        <w:rPr>
          <w:spacing w:val="-3"/>
        </w:rPr>
        <w:t>数字中国</w:t>
      </w:r>
      <w:r>
        <w:rPr>
          <w:rFonts w:ascii="Times New Roman" w:hAnsi="Times New Roman" w:cs="Times New Roman" w:eastAsia="Times New Roman" w:hint="default"/>
          <w:spacing w:val="-3"/>
        </w:rPr>
        <w:t>”</w:t>
      </w:r>
      <w:r>
        <w:rPr>
          <w:spacing w:val="-3"/>
        </w:rPr>
        <w:t>建设迎来新的发展阶段，软件企业、互联网企业、</w:t>
      </w:r>
    </w:p>
    <w:p>
      <w:pPr>
        <w:pStyle w:val="BodyText"/>
        <w:spacing w:line="199" w:lineRule="exact" w:before="0"/>
        <w:ind w:right="1133"/>
        <w:jc w:val="left"/>
      </w:pPr>
      <w:r>
        <w:rPr/>
        <w:t>金融科技企业的共同参与，为数字政务、数字经济、新型智慧城市的发展持续带来新场景、新形态、新空间。</w:t>
      </w:r>
    </w:p>
    <w:p>
      <w:pPr>
        <w:pStyle w:val="BodyText"/>
        <w:spacing w:line="316" w:lineRule="auto" w:before="115"/>
        <w:ind w:right="1134" w:firstLine="283"/>
        <w:jc w:val="both"/>
      </w:pPr>
      <w:r>
        <w:rPr>
          <w:spacing w:val="-1"/>
        </w:rPr>
        <w:t>面对发展机遇，久远银海作为深耕智慧民生领域多年的企业，具备能力先发优势和较好的市场基础，同时也面临着激烈</w:t>
      </w:r>
      <w:r>
        <w:rPr/>
        <w:t> 的竞争和挑战。</w:t>
      </w:r>
    </w:p>
    <w:p>
      <w:pPr>
        <w:spacing w:after="0" w:line="316"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spacing w:line="240" w:lineRule="auto"/>
        <w:ind w:left="0" w:right="1150"/>
        <w:jc w:val="right"/>
      </w:pPr>
      <w:r>
        <w:rPr/>
        <w:pict>
          <v:shape style="position:absolute;margin-left:56.400002pt;margin-top:-275.698273pt;width:479.3pt;height:315.6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130.72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44.61%</w:t>
                        </w:r>
                        <w:r>
                          <w:rPr>
                            <w:rFonts w:ascii="宋体" w:hAnsi="宋体" w:cs="宋体" w:eastAsia="宋体" w:hint="default"/>
                            <w:sz w:val="18"/>
                            <w:szCs w:val="18"/>
                          </w:rPr>
                          <w:t>，主要是应收票据到期承兑。</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8,663.13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46.46%</w:t>
                        </w:r>
                        <w:r>
                          <w:rPr>
                            <w:rFonts w:ascii="宋体" w:hAnsi="宋体" w:cs="宋体" w:eastAsia="宋体" w:hint="default"/>
                            <w:sz w:val="18"/>
                            <w:szCs w:val="18"/>
                          </w:rPr>
                          <w:t>，主要是公司经营规模扩大所致。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437.48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35.53%</w:t>
                        </w:r>
                        <w:r>
                          <w:rPr>
                            <w:rFonts w:ascii="宋体" w:hAnsi="宋体" w:cs="宋体" w:eastAsia="宋体" w:hint="default"/>
                            <w:sz w:val="18"/>
                            <w:szCs w:val="18"/>
                          </w:rPr>
                          <w:t>，主要是预付房屋租赁款等费用减少所致。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144.80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115.88%</w:t>
                        </w:r>
                        <w:r>
                          <w:rPr>
                            <w:rFonts w:ascii="宋体" w:hAnsi="宋体" w:cs="宋体" w:eastAsia="宋体" w:hint="default"/>
                            <w:sz w:val="18"/>
                            <w:szCs w:val="18"/>
                          </w:rPr>
                          <w:t>，主要是未认证待抵扣进项税增加所致。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1,344.09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47.48%</w:t>
                        </w:r>
                        <w:r>
                          <w:rPr>
                            <w:rFonts w:ascii="宋体" w:hAnsi="宋体" w:cs="宋体" w:eastAsia="宋体" w:hint="default"/>
                            <w:sz w:val="18"/>
                            <w:szCs w:val="18"/>
                          </w:rPr>
                          <w:t>，主要是公司自主研发投入增加。</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157.41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33.35%</w:t>
                        </w:r>
                        <w:r>
                          <w:rPr>
                            <w:rFonts w:ascii="宋体" w:hAnsi="宋体" w:cs="宋体" w:eastAsia="宋体" w:hint="default"/>
                            <w:sz w:val="18"/>
                            <w:szCs w:val="18"/>
                          </w:rPr>
                          <w:t>，主要是本期归还长期借款，长期借款分摊 的担保费减少。</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13"/>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716.20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，主要是本期购固定资产预付款增加所致。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2,793.22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41.06%</w:t>
                        </w:r>
                        <w:r>
                          <w:rPr>
                            <w:rFonts w:ascii="宋体" w:hAnsi="宋体" w:cs="宋体" w:eastAsia="宋体" w:hint="default"/>
                            <w:sz w:val="18"/>
                            <w:szCs w:val="18"/>
                          </w:rPr>
                          <w:t>，主要是预付供应商材料采购款增加所致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，主要是本期归还长期借款减少所致。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40" w:lineRule="auto" w:before="0"/>
        <w:ind w:left="573" w:right="1173" w:firstLine="4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、行业深度理解能力及行业创新能力</w:t>
      </w:r>
      <w:r>
        <w:rPr>
          <w:rFonts w:ascii="宋体" w:hAnsi="宋体" w:cs="宋体" w:eastAsia="宋体" w:hint="default"/>
          <w:b/>
          <w:bCs/>
          <w:w w:val="99"/>
          <w:sz w:val="18"/>
          <w:szCs w:val="18"/>
        </w:rPr>
        <w:t> </w:t>
      </w:r>
      <w:r>
        <w:rPr>
          <w:rFonts w:ascii="宋体" w:hAnsi="宋体" w:cs="宋体" w:eastAsia="宋体" w:hint="default"/>
          <w:sz w:val="18"/>
          <w:szCs w:val="18"/>
        </w:rPr>
        <w:t>报告期内，公司新承建了国家医保局医疗保障信息平台建设工程第</w:t>
      </w:r>
      <w:r>
        <w:rPr>
          <w:rFonts w:ascii="Times New Roman" w:hAnsi="Times New Roman" w:cs="Times New Roman" w:eastAsia="Times New Roman" w:hint="default"/>
          <w:sz w:val="18"/>
          <w:szCs w:val="18"/>
        </w:rPr>
        <w:t>8</w:t>
      </w:r>
      <w:r>
        <w:rPr>
          <w:rFonts w:ascii="宋体" w:hAnsi="宋体" w:cs="宋体" w:eastAsia="宋体" w:hint="default"/>
          <w:sz w:val="18"/>
          <w:szCs w:val="18"/>
        </w:rPr>
        <w:t>包和第</w:t>
      </w:r>
      <w:r>
        <w:rPr>
          <w:rFonts w:ascii="Times New Roman" w:hAnsi="Times New Roman" w:cs="Times New Roman" w:eastAsia="Times New Roman" w:hint="default"/>
          <w:sz w:val="18"/>
          <w:szCs w:val="18"/>
        </w:rPr>
        <w:t>2</w:t>
      </w:r>
      <w:r>
        <w:rPr>
          <w:rFonts w:ascii="宋体" w:hAnsi="宋体" w:cs="宋体" w:eastAsia="宋体" w:hint="default"/>
          <w:sz w:val="18"/>
          <w:szCs w:val="18"/>
        </w:rPr>
        <w:t>包、成都市</w:t>
      </w:r>
      <w:r>
        <w:rPr>
          <w:rFonts w:ascii="Times New Roman" w:hAnsi="Times New Roman" w:cs="Times New Roman" w:eastAsia="Times New Roman" w:hint="default"/>
          <w:sz w:val="18"/>
          <w:szCs w:val="18"/>
        </w:rPr>
        <w:t>“</w:t>
      </w:r>
      <w:r>
        <w:rPr>
          <w:rFonts w:ascii="宋体" w:hAnsi="宋体" w:cs="宋体" w:eastAsia="宋体" w:hint="default"/>
          <w:sz w:val="18"/>
          <w:szCs w:val="18"/>
        </w:rPr>
        <w:t>智慧人大</w:t>
      </w:r>
      <w:r>
        <w:rPr>
          <w:rFonts w:ascii="Times New Roman" w:hAnsi="Times New Roman" w:cs="Times New Roman" w:eastAsia="Times New Roman" w:hint="default"/>
          <w:sz w:val="18"/>
          <w:szCs w:val="18"/>
        </w:rPr>
        <w:t>”</w:t>
      </w:r>
      <w:r>
        <w:rPr>
          <w:rFonts w:ascii="宋体" w:hAnsi="宋体" w:cs="宋体" w:eastAsia="宋体" w:hint="default"/>
          <w:sz w:val="18"/>
          <w:szCs w:val="18"/>
        </w:rPr>
        <w:t>等重大项目，以及</w:t>
      </w:r>
    </w:p>
    <w:p>
      <w:pPr>
        <w:pStyle w:val="BodyText"/>
        <w:spacing w:line="215" w:lineRule="exact" w:before="0"/>
        <w:ind w:right="986"/>
        <w:jc w:val="left"/>
      </w:pPr>
      <w:r>
        <w:rPr/>
        <w:t>全国各省医保、医疗健康、人社、住房金融、民政、智慧城市等项目，依托上述重大项目的建设，公司的行业深度理解能力</w:t>
      </w:r>
    </w:p>
    <w:p>
      <w:pPr>
        <w:pStyle w:val="BodyText"/>
        <w:spacing w:line="240" w:lineRule="auto" w:before="76"/>
        <w:ind w:right="1133"/>
        <w:jc w:val="left"/>
      </w:pPr>
      <w:r>
        <w:rPr/>
        <w:t>及行业创新能力进一步提升。</w:t>
      </w:r>
    </w:p>
    <w:p>
      <w:pPr>
        <w:spacing w:line="340" w:lineRule="auto" w:before="115"/>
        <w:ind w:left="573" w:right="11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、与行业发展深度融合的</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大智移云物</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技术产品体系</w:t>
      </w:r>
      <w:r>
        <w:rPr>
          <w:rFonts w:ascii="宋体" w:hAnsi="宋体" w:cs="宋体" w:eastAsia="宋体" w:hint="default"/>
          <w:b/>
          <w:bCs/>
          <w:w w:val="99"/>
          <w:sz w:val="18"/>
          <w:szCs w:val="18"/>
        </w:rPr>
        <w:t> </w:t>
      </w:r>
      <w:r>
        <w:rPr>
          <w:rFonts w:ascii="宋体" w:hAnsi="宋体" w:cs="宋体" w:eastAsia="宋体" w:hint="default"/>
          <w:sz w:val="18"/>
          <w:szCs w:val="18"/>
        </w:rPr>
        <w:t>报告期内，公司以满足各行业国家级</w:t>
      </w:r>
      <w:r>
        <w:rPr>
          <w:rFonts w:ascii="Times New Roman" w:hAnsi="Times New Roman" w:cs="Times New Roman" w:eastAsia="Times New Roman" w:hint="default"/>
          <w:sz w:val="18"/>
          <w:szCs w:val="18"/>
        </w:rPr>
        <w:t>/</w:t>
      </w:r>
      <w:r>
        <w:rPr>
          <w:rFonts w:ascii="宋体" w:hAnsi="宋体" w:cs="宋体" w:eastAsia="宋体" w:hint="default"/>
          <w:sz w:val="18"/>
          <w:szCs w:val="18"/>
        </w:rPr>
        <w:t>省级大型项目的技术需求为目标，围绕分布式、微服务、中台化（业务设计）、</w:t>
      </w:r>
    </w:p>
    <w:p>
      <w:pPr>
        <w:pStyle w:val="BodyText"/>
        <w:spacing w:line="228" w:lineRule="exact" w:before="0"/>
        <w:ind w:right="986"/>
        <w:jc w:val="left"/>
      </w:pPr>
      <w:r>
        <w:rPr/>
        <w:t>高并发、高可用开展基础技术和关键技术研究。完成</w:t>
      </w:r>
      <w:r>
        <w:rPr>
          <w:rFonts w:ascii="Times New Roman" w:hAnsi="Times New Roman" w:cs="Times New Roman" w:eastAsia="Times New Roman" w:hint="default"/>
        </w:rPr>
        <w:t>Ta</w:t>
      </w:r>
      <w:r>
        <w:rPr>
          <w:rFonts w:ascii="Times New Roman" w:hAnsi="Times New Roman" w:cs="Times New Roman" w:eastAsia="Times New Roman" w:hint="default"/>
          <w:position w:val="8"/>
          <w:sz w:val="12"/>
          <w:szCs w:val="12"/>
        </w:rPr>
        <w:t>+3Cloud</w:t>
      </w:r>
      <w:r>
        <w:rPr>
          <w:rFonts w:ascii="Times New Roman" w:hAnsi="Times New Roman" w:cs="Times New Roman" w:eastAsia="Times New Roman" w:hint="default"/>
          <w:spacing w:val="-3"/>
          <w:position w:val="8"/>
          <w:sz w:val="12"/>
          <w:szCs w:val="12"/>
        </w:rPr>
        <w:t> </w:t>
      </w:r>
      <w:r>
        <w:rPr>
          <w:rFonts w:ascii="Times New Roman" w:hAnsi="Times New Roman" w:cs="Times New Roman" w:eastAsia="Times New Roman" w:hint="default"/>
        </w:rPr>
        <w:t>V5.0</w:t>
      </w:r>
      <w:r>
        <w:rPr/>
        <w:t>核心技术平台升级研发；完成容器云、服务集成、应用运</w:t>
      </w:r>
    </w:p>
    <w:p>
      <w:pPr>
        <w:pStyle w:val="BodyText"/>
        <w:spacing w:line="307" w:lineRule="auto" w:before="63"/>
        <w:ind w:right="1049"/>
        <w:jc w:val="left"/>
      </w:pPr>
      <w:r>
        <w:rPr/>
        <w:t>行监控、运维服务</w:t>
      </w:r>
      <w:r>
        <w:rPr>
          <w:rFonts w:ascii="Times New Roman" w:hAnsi="Times New Roman" w:cs="Times New Roman" w:eastAsia="Times New Roman" w:hint="default"/>
        </w:rPr>
        <w:t>2.0</w:t>
      </w:r>
      <w:r>
        <w:rPr/>
        <w:t>、一体化政务服务管理、公共服务等平台研发；持续演进视界</w:t>
      </w:r>
      <w:r>
        <w:rPr>
          <w:rFonts w:ascii="Times New Roman" w:hAnsi="Times New Roman" w:cs="Times New Roman" w:eastAsia="Times New Roman" w:hint="default"/>
        </w:rPr>
        <w:t>·</w:t>
      </w:r>
      <w:r>
        <w:rPr/>
        <w:t>大数据分析平台和见智</w:t>
      </w:r>
      <w:r>
        <w:rPr>
          <w:rFonts w:ascii="Times New Roman" w:hAnsi="Times New Roman" w:cs="Times New Roman" w:eastAsia="Times New Roman" w:hint="default"/>
        </w:rPr>
        <w:t>·</w:t>
      </w:r>
      <w:r>
        <w:rPr/>
        <w:t>人工智能平台； </w:t>
      </w:r>
      <w:r>
        <w:rPr>
          <w:spacing w:val="-2"/>
        </w:rPr>
        <w:t>针对行业区块链典型应用场景，形成各行业区块链应用研发和产品研发行动计划，并已推进落实；推进标准化运维、规范化</w:t>
      </w:r>
      <w:r>
        <w:rPr>
          <w:spacing w:val="-64"/>
        </w:rPr>
        <w:t> </w:t>
      </w:r>
      <w:r>
        <w:rPr>
          <w:spacing w:val="-64"/>
        </w:rPr>
      </w:r>
      <w:r>
        <w:rPr/>
        <w:t>运维、工具化运维，并持续推进规范化服务，成为四川首家通过</w:t>
      </w:r>
      <w:r>
        <w:rPr>
          <w:rFonts w:ascii="Times New Roman" w:hAnsi="Times New Roman" w:cs="Times New Roman" w:eastAsia="Times New Roman" w:hint="default"/>
        </w:rPr>
        <w:t>ITSS</w:t>
      </w:r>
      <w:r>
        <w:rPr/>
        <w:t>运行维护服务能力成熟度一级符合性评估的企业。公 司的技术体系更加成熟，技术能力和输出已经成为公司重要生产力。</w:t>
      </w:r>
    </w:p>
    <w:p>
      <w:pPr>
        <w:spacing w:line="338" w:lineRule="auto" w:before="67"/>
        <w:ind w:left="573" w:right="1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、完整的、成体系的智慧民生解决方案及产品线</w:t>
      </w:r>
      <w:r>
        <w:rPr>
          <w:rFonts w:ascii="宋体" w:hAnsi="宋体" w:cs="宋体" w:eastAsia="宋体" w:hint="default"/>
          <w:b/>
          <w:bCs/>
          <w:w w:val="99"/>
          <w:sz w:val="18"/>
          <w:szCs w:val="18"/>
        </w:rPr>
        <w:t> </w:t>
      </w:r>
      <w:r>
        <w:rPr>
          <w:rFonts w:ascii="宋体" w:hAnsi="宋体" w:cs="宋体" w:eastAsia="宋体" w:hint="default"/>
          <w:sz w:val="18"/>
          <w:szCs w:val="18"/>
        </w:rPr>
        <w:t>报告期内，公司将业务范围从传统优势行业进一步拓展至价值医疗、人大政协、惠民惠农等领域，以更加完整、更加</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38" w:lineRule="auto"/>
        <w:ind w:left="573" w:right="986" w:hanging="421"/>
        <w:jc w:val="left"/>
      </w:pPr>
      <w:r>
        <w:rPr/>
        <w:t>成体系的解决方案及产品线助力</w:t>
      </w:r>
      <w:r>
        <w:rPr>
          <w:rFonts w:ascii="Times New Roman" w:hAnsi="Times New Roman" w:cs="Times New Roman" w:eastAsia="Times New Roman" w:hint="default"/>
        </w:rPr>
        <w:t>“</w:t>
      </w:r>
      <w:r>
        <w:rPr/>
        <w:t>劳有所得、病有所医、老有所养、住有所居、弱有所扶</w:t>
      </w:r>
      <w:r>
        <w:rPr>
          <w:rFonts w:ascii="Times New Roman" w:hAnsi="Times New Roman" w:cs="Times New Roman" w:eastAsia="Times New Roman" w:hint="default"/>
        </w:rPr>
        <w:t>”</w:t>
      </w:r>
      <w:r>
        <w:rPr/>
        <w:t>，助推智慧民生发展。 </w:t>
      </w:r>
      <w:r>
        <w:rPr>
          <w:rFonts w:ascii="Times New Roman" w:hAnsi="Times New Roman" w:cs="Times New Roman" w:eastAsia="Times New Roman" w:hint="default"/>
          <w:b/>
          <w:bCs/>
        </w:rPr>
        <w:t>4</w:t>
      </w:r>
      <w:r>
        <w:rPr>
          <w:rFonts w:ascii="宋体" w:hAnsi="宋体" w:cs="宋体" w:eastAsia="宋体" w:hint="default"/>
          <w:b/>
          <w:bCs/>
        </w:rPr>
        <w:t>、军民融合与自主可控竞争优势</w:t>
      </w:r>
      <w:r>
        <w:rPr>
          <w:rFonts w:ascii="宋体" w:hAnsi="宋体" w:cs="宋体" w:eastAsia="宋体" w:hint="default"/>
          <w:b/>
          <w:bCs/>
          <w:w w:val="99"/>
        </w:rPr>
        <w:t> </w:t>
      </w:r>
      <w:r>
        <w:rPr>
          <w:spacing w:val="-1"/>
        </w:rPr>
        <w:t>报告期内，公司推进自主可控实验室建设，已对接大部分主流国产化</w:t>
      </w:r>
      <w:r>
        <w:rPr>
          <w:rFonts w:ascii="Times New Roman" w:hAnsi="Times New Roman" w:cs="Times New Roman" w:eastAsia="Times New Roman" w:hint="default"/>
          <w:spacing w:val="-1"/>
        </w:rPr>
        <w:t>IT</w:t>
      </w:r>
      <w:r>
        <w:rPr>
          <w:spacing w:val="-1"/>
        </w:rPr>
        <w:t>厂商的软硬件产品（芯片、操作系统、数据库、</w:t>
      </w:r>
    </w:p>
    <w:p>
      <w:pPr>
        <w:pStyle w:val="BodyText"/>
        <w:spacing w:line="217" w:lineRule="exact" w:before="0"/>
        <w:ind w:right="1133"/>
        <w:jc w:val="left"/>
      </w:pPr>
      <w:r>
        <w:rPr/>
        <w:t>中间件、虚拟化、存储、网络、安全等），进行软硬件适配和性能测试工作，并在部分行业领域形成自主可控建设方案。</w:t>
      </w:r>
    </w:p>
    <w:p>
      <w:pPr>
        <w:spacing w:after="0" w:line="217" w:lineRule="exact"/>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2" w:id="3"/>
      <w:bookmarkEnd w:id="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before="0"/>
        <w:ind w:right="1129" w:firstLine="274"/>
        <w:jc w:val="both"/>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日，公司资产总额为</w:t>
      </w:r>
      <w:r>
        <w:rPr>
          <w:rFonts w:ascii="Times New Roman" w:hAnsi="Times New Roman" w:cs="Times New Roman" w:eastAsia="Times New Roman" w:hint="default"/>
          <w:spacing w:val="-2"/>
        </w:rPr>
        <w:t>204,538.37</w:t>
      </w:r>
      <w:r>
        <w:rPr>
          <w:spacing w:val="-2"/>
        </w:rPr>
        <w:t>万元，同比上升</w:t>
      </w:r>
      <w:r>
        <w:rPr>
          <w:rFonts w:ascii="Times New Roman" w:hAnsi="Times New Roman" w:cs="Times New Roman" w:eastAsia="Times New Roman" w:hint="default"/>
          <w:spacing w:val="-2"/>
        </w:rPr>
        <w:t>4.53%</w:t>
      </w:r>
      <w:r>
        <w:rPr>
          <w:spacing w:val="-2"/>
        </w:rPr>
        <w:t>；归属于上市公司股东的净资产总额为</w:t>
      </w:r>
      <w:r>
        <w:rPr>
          <w:rFonts w:ascii="Times New Roman" w:hAnsi="Times New Roman" w:cs="Times New Roman" w:eastAsia="Times New Roman" w:hint="default"/>
          <w:spacing w:val="-2"/>
        </w:rPr>
        <w:t>113,780.42</w:t>
      </w:r>
      <w:r>
        <w:rPr>
          <w:rFonts w:ascii="Times New Roman" w:hAnsi="Times New Roman" w:cs="Times New Roman" w:eastAsia="Times New Roman" w:hint="default"/>
        </w:rPr>
        <w:t> </w:t>
      </w:r>
      <w:r>
        <w:rPr>
          <w:spacing w:val="-1"/>
        </w:rPr>
        <w:t>万元，同比上升</w:t>
      </w:r>
      <w:r>
        <w:rPr>
          <w:rFonts w:ascii="Times New Roman" w:hAnsi="Times New Roman" w:cs="Times New Roman" w:eastAsia="Times New Roman" w:hint="default"/>
          <w:spacing w:val="-1"/>
        </w:rPr>
        <w:t>11.61%</w:t>
      </w:r>
      <w:r>
        <w:rPr>
          <w:spacing w:val="-1"/>
        </w:rPr>
        <w:t>。</w:t>
      </w:r>
      <w:r>
        <w:rPr>
          <w:rFonts w:ascii="Times New Roman" w:hAnsi="Times New Roman" w:cs="Times New Roman" w:eastAsia="Times New Roman" w:hint="default"/>
          <w:spacing w:val="-1"/>
        </w:rPr>
        <w:t>2019</w:t>
      </w:r>
      <w:r>
        <w:rPr>
          <w:spacing w:val="-1"/>
        </w:rPr>
        <w:t>年度，公司实现营业收入</w:t>
      </w:r>
      <w:r>
        <w:rPr>
          <w:rFonts w:ascii="Times New Roman" w:hAnsi="Times New Roman" w:cs="Times New Roman" w:eastAsia="Times New Roman" w:hint="default"/>
          <w:spacing w:val="-1"/>
        </w:rPr>
        <w:t>101,637.88</w:t>
      </w:r>
      <w:r>
        <w:rPr>
          <w:spacing w:val="-1"/>
        </w:rPr>
        <w:t>万元，同比上升</w:t>
      </w:r>
      <w:r>
        <w:rPr>
          <w:rFonts w:ascii="Times New Roman" w:hAnsi="Times New Roman" w:cs="Times New Roman" w:eastAsia="Times New Roman" w:hint="default"/>
          <w:spacing w:val="-1"/>
        </w:rPr>
        <w:t>17.62</w:t>
      </w:r>
      <w:r>
        <w:rPr>
          <w:spacing w:val="-1"/>
        </w:rPr>
        <w:t>％，主要是软件和运维服务收入增长</w:t>
      </w:r>
      <w:r>
        <w:rPr>
          <w:spacing w:val="-87"/>
        </w:rPr>
        <w:t> </w:t>
      </w:r>
      <w:r>
        <w:rPr>
          <w:spacing w:val="-87"/>
        </w:rPr>
      </w:r>
      <w:r>
        <w:rPr/>
        <w:t>较大；利润总额</w:t>
      </w:r>
      <w:r>
        <w:rPr>
          <w:rFonts w:ascii="Times New Roman" w:hAnsi="Times New Roman" w:cs="Times New Roman" w:eastAsia="Times New Roman" w:hint="default"/>
        </w:rPr>
        <w:t>19,781.09</w:t>
      </w:r>
      <w:r>
        <w:rPr/>
        <w:t>万元，同比上升</w:t>
      </w:r>
      <w:r>
        <w:rPr>
          <w:rFonts w:ascii="Times New Roman" w:hAnsi="Times New Roman" w:cs="Times New Roman" w:eastAsia="Times New Roman" w:hint="default"/>
        </w:rPr>
        <w:t>28.80%</w:t>
      </w:r>
      <w:r>
        <w:rPr/>
        <w:t>，归属于上市公司股东的净利润</w:t>
      </w:r>
      <w:r>
        <w:rPr>
          <w:rFonts w:ascii="Times New Roman" w:hAnsi="Times New Roman" w:cs="Times New Roman" w:eastAsia="Times New Roman" w:hint="default"/>
        </w:rPr>
        <w:t>16,149.33</w:t>
      </w:r>
      <w:r>
        <w:rPr/>
        <w:t>万元，同比上升</w:t>
      </w:r>
      <w:r>
        <w:rPr>
          <w:rFonts w:ascii="Times New Roman" w:hAnsi="Times New Roman" w:cs="Times New Roman" w:eastAsia="Times New Roman" w:hint="default"/>
        </w:rPr>
        <w:t>36.06%</w:t>
      </w:r>
      <w:r>
        <w:rPr/>
        <w:t>，利润增</w:t>
      </w:r>
      <w:r>
        <w:rPr>
          <w:spacing w:val="-36"/>
        </w:rPr>
        <w:t> </w:t>
      </w:r>
      <w:r>
        <w:rPr>
          <w:spacing w:val="-36"/>
        </w:rPr>
      </w:r>
      <w:r>
        <w:rPr>
          <w:spacing w:val="-2"/>
        </w:rPr>
        <w:t>长主要因素有公司主营业务保持稳定增长、享受研发费用加计扣除金额较上年同期增长致企业所得税减少及理财投资收益增</w:t>
      </w:r>
      <w:r>
        <w:rPr>
          <w:spacing w:val="-64"/>
        </w:rPr>
        <w:t> </w:t>
      </w:r>
      <w:r>
        <w:rPr>
          <w:spacing w:val="-64"/>
        </w:rPr>
      </w:r>
      <w:r>
        <w:rPr/>
        <w:t>加等；经营活动产生的现金流量净额</w:t>
      </w:r>
      <w:r>
        <w:rPr>
          <w:rFonts w:ascii="Times New Roman" w:hAnsi="Times New Roman" w:cs="Times New Roman" w:eastAsia="Times New Roman" w:hint="default"/>
        </w:rPr>
        <w:t>17,068.87</w:t>
      </w:r>
      <w:r>
        <w:rPr/>
        <w:t>万元，同比下降</w:t>
      </w:r>
      <w:r>
        <w:rPr>
          <w:rFonts w:ascii="Times New Roman" w:hAnsi="Times New Roman" w:cs="Times New Roman" w:eastAsia="Times New Roman" w:hint="default"/>
        </w:rPr>
        <w:t>22.67%</w:t>
      </w:r>
      <w:r>
        <w:rPr/>
        <w:t>，主要受公司经营规模扩大、职工人数及薪酬增长等</w:t>
      </w:r>
      <w:r>
        <w:rPr>
          <w:spacing w:val="-17"/>
        </w:rPr>
        <w:t> </w:t>
      </w:r>
      <w:r>
        <w:rPr>
          <w:spacing w:val="-17"/>
        </w:rPr>
      </w:r>
      <w:r>
        <w:rPr/>
        <w:t>因素影响导致支付给职工以及为职工支付的现金增加。</w:t>
      </w:r>
    </w:p>
    <w:p>
      <w:pPr>
        <w:pStyle w:val="BodyText"/>
        <w:spacing w:line="309" w:lineRule="auto" w:before="66"/>
        <w:ind w:right="986" w:firstLine="288"/>
        <w:jc w:val="left"/>
      </w:pPr>
      <w:r>
        <w:rPr>
          <w:rFonts w:ascii="Times New Roman" w:hAnsi="Times New Roman" w:cs="Times New Roman" w:eastAsia="Times New Roman" w:hint="default"/>
          <w:spacing w:val="-2"/>
        </w:rPr>
        <w:t>2019</w:t>
      </w:r>
      <w:r>
        <w:rPr>
          <w:spacing w:val="-2"/>
        </w:rPr>
        <w:t>年度，公司继续加大研发投入，加强软件和运维生产过程控制，深入推进</w:t>
      </w:r>
      <w:r>
        <w:rPr>
          <w:rFonts w:ascii="Times New Roman" w:hAnsi="Times New Roman" w:cs="Times New Roman" w:eastAsia="Times New Roman" w:hint="default"/>
          <w:spacing w:val="-2"/>
        </w:rPr>
        <w:t>“</w:t>
      </w:r>
      <w:r>
        <w:rPr>
          <w:spacing w:val="-2"/>
        </w:rPr>
        <w:t>业务中台</w:t>
      </w:r>
      <w:r>
        <w:rPr>
          <w:rFonts w:ascii="Times New Roman" w:hAnsi="Times New Roman" w:cs="Times New Roman" w:eastAsia="Times New Roman" w:hint="default"/>
          <w:spacing w:val="-2"/>
        </w:rPr>
        <w:t>”</w:t>
      </w:r>
      <w:r>
        <w:rPr>
          <w:spacing w:val="-2"/>
        </w:rPr>
        <w:t>建设，提升公司技术服务能力；</w:t>
      </w:r>
      <w:r>
        <w:rPr/>
        <w:t> </w:t>
      </w:r>
      <w:r>
        <w:rPr>
          <w:spacing w:val="-2"/>
        </w:rPr>
        <w:t>同时积极进行市场拓展，扩大与医疗机构的深层次合作，持续完善拓展行业的信息化解决方案和产品线，持续提升公司创新</w:t>
      </w:r>
      <w:r>
        <w:rPr>
          <w:spacing w:val="-63"/>
        </w:rPr>
        <w:t> </w:t>
      </w:r>
      <w:r>
        <w:rPr>
          <w:spacing w:val="-63"/>
        </w:rPr>
      </w:r>
      <w:r>
        <w:rPr/>
        <w:t>能力和经营管理能力，实现了业绩的稳定增长。</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1,016,378,796.96</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864,138,782.82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医疗医保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385,443,539.86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316,348,175.11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21.84%</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智慧城市与数字政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564,465,384.25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498,047,903.22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13.34%</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军民融合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56,856,195.70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42,955,993.89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32.36%</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5,576,848.09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2,648,690.76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4,036,829.06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4,138,019.84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466,637,461.23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326,277,347.72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43.02%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313,762,506.20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246,777,969.84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28.56%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230,505,784.00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282,532,251.09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1,436,216.47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4,413,194.33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4,036,829.06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4,138,019.84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491,057,624.38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473,798,033.14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106,731,075.03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114,277,326.48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167,246,581.77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138,084,920.59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34,764,820.70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31,423,673.09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131,998,739.52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47,359,664.16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13,750,310.93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19,235,117.22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66,792,815.57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35,822,028.30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86.46%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西南地区（其他业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4,036,829.06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4,138,019.84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126,257,210.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214,514,529.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154,720,350.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520,886,705.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121,629,652.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174,328,899.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125,486,252.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442,693,978.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14,024,418.0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47,888,767.9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22,321,535.7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77,258,617.4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8,331,977.12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35,117,341.3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16,000,766.8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59,246,712.4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133"/>
        <w:jc w:val="left"/>
      </w:pPr>
      <w:r>
        <w:rPr/>
        <w:t>说明经营季节性（或周期性）发生的原因及波动风险</w:t>
      </w:r>
    </w:p>
    <w:p>
      <w:pPr>
        <w:spacing w:line="240" w:lineRule="auto" w:before="8"/>
        <w:rPr>
          <w:rFonts w:ascii="宋体" w:hAnsi="宋体" w:cs="宋体" w:eastAsia="宋体" w:hint="default"/>
          <w:sz w:val="13"/>
          <w:szCs w:val="13"/>
        </w:rPr>
      </w:pPr>
    </w:p>
    <w:p>
      <w:pPr>
        <w:pStyle w:val="Heading6"/>
        <w:spacing w:line="271" w:lineRule="auto"/>
        <w:ind w:left="152" w:right="1126" w:firstLine="420"/>
        <w:jc w:val="both"/>
      </w:pPr>
      <w:r>
        <w:rPr>
          <w:spacing w:val="-2"/>
        </w:rPr>
        <w:t>本行业没有明显的周期性。受政府部门预算管理制度的约束，人力资源和社会保障、民政及住房金融</w:t>
      </w:r>
      <w:r>
        <w:rPr>
          <w:w w:val="100"/>
        </w:rPr>
        <w:t> </w:t>
      </w:r>
      <w:r>
        <w:rPr>
          <w:spacing w:val="-2"/>
        </w:rPr>
        <w:t>信息化市场具有一定的季节性特征，系统验收更多集中在下半年，因此，公司主营业务收入在下半年确认</w:t>
      </w:r>
      <w:r>
        <w:rPr>
          <w:spacing w:val="-44"/>
        </w:rPr>
        <w:t> </w:t>
      </w:r>
      <w:r>
        <w:rPr>
          <w:spacing w:val="-44"/>
        </w:rPr>
      </w:r>
      <w:r>
        <w:rPr/>
        <w:t>部分占比略高。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医疗医保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385,443,539.85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153,788,617.44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60.10%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40.20%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-5.22%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智慧城市与数字 政务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564,465,384.25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308,660,204.58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466,637,461.23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207,420,590.53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313,762,506.20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117,312,467.05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230,505,784.00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186,527,073.94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491,057,624.38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237,855,502.98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106,731,075.03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58,837,608.89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167,246,581.77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88,846,802.22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131,998,739.52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71,824,271.40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-1.31%</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行业和产品分类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179,200,090.41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226,503,871.67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216,182,986.31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169,653,920.51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116,379,520.25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97,556,698.70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1,635,431.87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1,475,663.44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1,305,452.65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2,698,657.11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133,039,178.77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95,316,916.71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73,075,959.11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51,949,656.15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1,838,611.46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624,237.84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75,953,559.54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69,185,191.95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39,520,296.05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37,770,990.46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175,802,146.97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223,122,521.80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6,946,596.20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5,136,927.74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3,778,330.77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3,481,358.79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253,879.33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58,454.92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14,884.11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4,934.32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4,354,693.30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1,635,431.87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1,475,663.44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179,200,090.41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226,503,871.67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216,182,986.31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169,653,920.51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116,379,520.25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97,556,698.70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511,762,596.97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493,714,490.88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1"/>
        <w:ind w:right="1035"/>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3"/>
        </w:rPr>
        <w:t> </w:t>
      </w:r>
      <w:r>
        <w:rPr>
          <w:spacing w:val="-3"/>
        </w:rPr>
        <w:t>日，公司第四届董事会第十六次会议审议通过了《关于注销控股子公司北京奥尼思特咨询有限公司的议案》，</w:t>
      </w:r>
      <w:r>
        <w:rPr/>
        <w:t> 北京奥尼思特咨询有限公司注销后，公司合并范围相应变更。</w:t>
      </w:r>
    </w:p>
    <w:p>
      <w:pPr>
        <w:spacing w:line="240" w:lineRule="auto" w:before="10"/>
        <w:rPr>
          <w:rFonts w:ascii="宋体" w:hAnsi="宋体" w:cs="宋体" w:eastAsia="宋体" w:hint="default"/>
          <w:sz w:val="23"/>
          <w:szCs w:val="23"/>
        </w:rPr>
      </w:pPr>
    </w:p>
    <w:p>
      <w:pPr>
        <w:pStyle w:val="Heading5"/>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150,886,607.02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14.84%</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42,985,470.50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35,620,760.74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28,629,500.67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23,830,416.97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19,820,458.14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150,886,607.02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14.84%</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39,942,092.22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25.14%</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13,838,865.50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9,344,495.32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5,873,723.00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5,482,302.15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5,402,706.25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39,942,092.22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98,304,546.55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80,587,168.42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21.99%</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主要是本期市场拓展发生的人工成 本和费用较同期增加所致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112,072,597.58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95,868,159.27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因公司经营规模扩大，职工工资、社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保、公积金等费用增加。</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-7,361,688.01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-6,370,776.11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主要是本期归还银行借款利息支出 减少影响。</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85,385,784.15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44,837,071.04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主要是本期公司加大基础研究投入 增加所致</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left="515" w:right="1133"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公司围绕医疗医保、数字政务、智慧城市、军民融合四大战略方向，持续推进医保便民服务平台项目、医保基金精算与</w:t>
      </w:r>
    </w:p>
    <w:p>
      <w:pPr>
        <w:pStyle w:val="BodyText"/>
        <w:spacing w:line="316" w:lineRule="auto" w:before="1"/>
        <w:ind w:right="986"/>
        <w:jc w:val="left"/>
      </w:pPr>
      <w:r>
        <w:rPr>
          <w:spacing w:val="-2"/>
        </w:rPr>
        <w:t>医保服务治理解决方案项目、军民融合公共服务平台信息化支撑服务项目、技术平台研发与技术管理体系建设项目、数字政</w:t>
      </w:r>
      <w:r>
        <w:rPr>
          <w:spacing w:val="-63"/>
        </w:rPr>
        <w:t> </w:t>
      </w:r>
      <w:r>
        <w:rPr>
          <w:spacing w:val="-63"/>
        </w:rPr>
      </w:r>
      <w:r>
        <w:rPr/>
        <w:t>务与智慧城市行业基础研究项目等重大研发项目的建设。</w:t>
      </w:r>
    </w:p>
    <w:p>
      <w:pPr>
        <w:pStyle w:val="BodyText"/>
        <w:spacing w:line="338" w:lineRule="auto" w:before="59"/>
        <w:ind w:right="1052" w:firstLine="362"/>
        <w:jc w:val="left"/>
      </w:pPr>
      <w:r>
        <w:rPr/>
        <w:t>报告期内所进行的研发项目，将有助于公司按照</w:t>
      </w:r>
      <w:r>
        <w:rPr>
          <w:rFonts w:ascii="Times New Roman" w:hAnsi="Times New Roman" w:cs="Times New Roman" w:eastAsia="Times New Roman" w:hint="default"/>
        </w:rPr>
        <w:t>“</w:t>
      </w:r>
      <w:r>
        <w:rPr/>
        <w:t>做实做深主营、围绕主营拓展、多元营收探索</w:t>
      </w:r>
      <w:r>
        <w:rPr>
          <w:rFonts w:ascii="Times New Roman" w:hAnsi="Times New Roman" w:cs="Times New Roman" w:eastAsia="Times New Roman" w:hint="default"/>
        </w:rPr>
        <w:t>”</w:t>
      </w:r>
      <w:r>
        <w:rPr/>
        <w:t>的经营方针持续推进。 公司研发投入情况</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23.86%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122,875,971.18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112,565,252.69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33,884,184.25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60,217,462.55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-43.73%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240" w:lineRule="auto" w:before="115"/>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9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医保便民服务平台项目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2,724,862.09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研发大健康融合支付平台、医 疗便民服务平台、医药便民服 务平台、医疗保险控费解决方 案、智慧医养云服务平台等内 容，并建设基础设施及运营中 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总体处于开发阶段，部分产品 进行试点应用。</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军民融合公共服务平台信息 化支撑服务项目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4,422,965.68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包括平台信息化基础设施建 设、平台软件系统建设、平台 运维及运营中心建设等。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处于开发阶段。</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97"/>
              <w:jc w:val="left"/>
              <w:rPr>
                <w:rFonts w:ascii="宋体" w:hAnsi="宋体" w:cs="宋体" w:eastAsia="宋体" w:hint="default"/>
                <w:sz w:val="18"/>
                <w:szCs w:val="18"/>
              </w:rPr>
            </w:pPr>
            <w:r>
              <w:rPr>
                <w:rFonts w:ascii="宋体" w:hAnsi="宋体" w:cs="宋体" w:eastAsia="宋体" w:hint="default"/>
                <w:sz w:val="18"/>
                <w:szCs w:val="18"/>
              </w:rPr>
              <w:t>技术平台研发与技术管理体 系建设项目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2,977,831.69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包括项目管理、技术研发、平 </w:t>
            </w:r>
            <w:r>
              <w:rPr>
                <w:rFonts w:ascii="宋体" w:hAnsi="宋体" w:cs="宋体" w:eastAsia="宋体" w:hint="default"/>
                <w:spacing w:val="-5"/>
                <w:sz w:val="18"/>
                <w:szCs w:val="18"/>
              </w:rPr>
              <w:t>台研发、工程技术、质量、</w:t>
            </w:r>
            <w:r>
              <w:rPr>
                <w:rFonts w:ascii="Times New Roman" w:hAnsi="Times New Roman" w:cs="Times New Roman" w:eastAsia="Times New Roman" w:hint="default"/>
                <w:spacing w:val="-5"/>
                <w:sz w:val="18"/>
                <w:szCs w:val="18"/>
              </w:rPr>
              <w:t>UE</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设计等研发工作与技术管理 工作。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left"/>
              <w:rPr>
                <w:rFonts w:ascii="宋体" w:hAnsi="宋体" w:cs="宋体" w:eastAsia="宋体" w:hint="default"/>
                <w:sz w:val="18"/>
                <w:szCs w:val="18"/>
              </w:rPr>
            </w:pPr>
            <w:r>
              <w:rPr>
                <w:rFonts w:ascii="宋体" w:hAnsi="宋体" w:cs="宋体" w:eastAsia="宋体" w:hint="default"/>
                <w:sz w:val="18"/>
                <w:szCs w:val="18"/>
              </w:rPr>
              <w:t>总体处于研究阶段，部分平台 产品进入开发阶段。</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7"/>
              <w:jc w:val="left"/>
              <w:rPr>
                <w:rFonts w:ascii="宋体" w:hAnsi="宋体" w:cs="宋体" w:eastAsia="宋体" w:hint="default"/>
                <w:sz w:val="18"/>
                <w:szCs w:val="18"/>
              </w:rPr>
            </w:pPr>
            <w:r>
              <w:rPr>
                <w:rFonts w:ascii="宋体" w:hAnsi="宋体" w:cs="宋体" w:eastAsia="宋体" w:hint="default"/>
                <w:sz w:val="18"/>
                <w:szCs w:val="18"/>
              </w:rPr>
              <w:t>数字政务与智慧城市行业基 础研究项目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2,154,750.03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包括人社、住房金融、民政、 智慧城市等行业的基础研究 工作。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总体处于研究阶段，部分行业 产品进入开发阶段。</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综合研发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21,603,774.76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开展技术标准研制、新行业产 品研发、研发支撑等工作。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总体处于开发阶段，部分产品 进行试点应用。</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33,884,184.25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352" w:right="1133"/>
        <w:jc w:val="left"/>
      </w:pPr>
      <w:r>
        <w:rPr/>
        <w:t>资本化评价依据：</w:t>
      </w:r>
    </w:p>
    <w:p>
      <w:pPr>
        <w:pStyle w:val="BodyText"/>
        <w:spacing w:line="240" w:lineRule="auto" w:before="76"/>
        <w:ind w:left="352" w:right="1133"/>
        <w:jc w:val="left"/>
      </w:pPr>
      <w:r>
        <w:rPr/>
        <w:t>（</w:t>
      </w:r>
      <w:r>
        <w:rPr>
          <w:rFonts w:ascii="Times New Roman" w:hAnsi="Times New Roman" w:cs="Times New Roman" w:eastAsia="Times New Roman" w:hint="default"/>
        </w:rPr>
        <w:t>1</w:t>
      </w:r>
      <w:r>
        <w:rPr/>
        <w:t>）项目采用成熟的开发平台进行开发，技术路线明确，工作基础良好，不存在明显技术障碍。</w:t>
      </w:r>
    </w:p>
    <w:p>
      <w:pPr>
        <w:pStyle w:val="BodyText"/>
        <w:spacing w:line="240" w:lineRule="auto" w:before="63"/>
        <w:ind w:left="352" w:right="1133"/>
        <w:jc w:val="left"/>
      </w:pPr>
      <w:r>
        <w:rPr/>
        <w:t>（</w:t>
      </w:r>
      <w:r>
        <w:rPr>
          <w:rFonts w:ascii="Times New Roman" w:hAnsi="Times New Roman" w:cs="Times New Roman" w:eastAsia="Times New Roman" w:hint="default"/>
        </w:rPr>
        <w:t>2</w:t>
      </w:r>
      <w:r>
        <w:rPr/>
        <w:t>）研发成果将投入到明确的行业市场进行销售或项目实施。</w:t>
      </w:r>
    </w:p>
    <w:p>
      <w:pPr>
        <w:pStyle w:val="BodyText"/>
        <w:spacing w:line="300" w:lineRule="auto" w:before="63"/>
        <w:ind w:left="352" w:right="1032"/>
        <w:jc w:val="left"/>
      </w:pPr>
      <w:r>
        <w:rPr>
          <w:spacing w:val="-2"/>
        </w:rPr>
        <w:t>（</w:t>
      </w:r>
      <w:r>
        <w:rPr>
          <w:rFonts w:ascii="Times New Roman" w:hAnsi="Times New Roman" w:cs="Times New Roman" w:eastAsia="Times New Roman" w:hint="default"/>
          <w:spacing w:val="-2"/>
        </w:rPr>
        <w:t>3</w:t>
      </w:r>
      <w:r>
        <w:rPr>
          <w:spacing w:val="-2"/>
        </w:rPr>
        <w:t>）根据公司的市场调查和行业经验，市场存在对该产品的使用需求，公司存在通过出售该产品产生经济利益的可能性。</w:t>
      </w:r>
      <w:r>
        <w:rPr>
          <w:spacing w:val="-86"/>
        </w:rPr>
        <w:t> </w:t>
      </w:r>
      <w:r>
        <w:rPr>
          <w:spacing w:val="-86"/>
        </w:rPr>
      </w:r>
      <w:r>
        <w:rPr/>
        <w:t>或有助于公司研发团队借助该平台研发出更具市场竞争力的产品，促进产品的销售。</w:t>
      </w:r>
    </w:p>
    <w:p>
      <w:pPr>
        <w:pStyle w:val="BodyText"/>
        <w:spacing w:line="300" w:lineRule="auto" w:before="31"/>
        <w:ind w:left="352" w:right="1133"/>
        <w:jc w:val="left"/>
      </w:pPr>
      <w:r>
        <w:rPr>
          <w:spacing w:val="-1"/>
        </w:rPr>
        <w:t>（</w:t>
      </w:r>
      <w:r>
        <w:rPr>
          <w:rFonts w:ascii="Times New Roman" w:hAnsi="Times New Roman" w:cs="Times New Roman" w:eastAsia="Times New Roman" w:hint="default"/>
          <w:spacing w:val="-1"/>
        </w:rPr>
        <w:t>4</w:t>
      </w:r>
      <w:r>
        <w:rPr>
          <w:spacing w:val="-1"/>
        </w:rPr>
        <w:t>）公司具备研发该产品技术平台的知识产权，技术资源满足。公司将以自有资金、定增资金、政府科技基金开展开发</w:t>
      </w:r>
      <w:r>
        <w:rPr>
          <w:spacing w:val="-51"/>
        </w:rPr>
        <w:t> </w:t>
      </w:r>
      <w:r>
        <w:rPr>
          <w:spacing w:val="-51"/>
        </w:rPr>
      </w:r>
      <w:r>
        <w:rPr/>
        <w:t>活动，财务资源具备。</w:t>
      </w:r>
    </w:p>
    <w:p>
      <w:pPr>
        <w:pStyle w:val="BodyText"/>
        <w:spacing w:line="300" w:lineRule="auto" w:before="31"/>
        <w:ind w:left="352" w:right="4524"/>
        <w:jc w:val="left"/>
      </w:pPr>
      <w:r>
        <w:rPr/>
        <w:t>（</w:t>
      </w:r>
      <w:r>
        <w:rPr>
          <w:rFonts w:ascii="Times New Roman" w:hAnsi="Times New Roman" w:cs="Times New Roman" w:eastAsia="Times New Roman" w:hint="default"/>
        </w:rPr>
        <w:t>5</w:t>
      </w:r>
      <w:r>
        <w:rPr/>
        <w:t>）公司已对该研发活动立项，将发生的人工费、材料费等支出单独核算。 按照公司内控制度规定，公司每季度对研发项目的资本化情况进行评估。</w:t>
      </w:r>
    </w:p>
    <w:p>
      <w:pPr>
        <w:spacing w:line="240" w:lineRule="auto" w:before="4"/>
        <w:rPr>
          <w:rFonts w:ascii="宋体" w:hAnsi="宋体" w:cs="宋体" w:eastAsia="宋体" w:hint="default"/>
          <w:sz w:val="26"/>
          <w:szCs w:val="26"/>
        </w:rPr>
      </w:pPr>
    </w:p>
    <w:p>
      <w:pPr>
        <w:pStyle w:val="BodyText"/>
        <w:spacing w:line="240" w:lineRule="auto" w:before="0"/>
        <w:ind w:right="1133"/>
        <w:jc w:val="left"/>
      </w:pPr>
      <w:r>
        <w:rPr/>
        <w:t>研发投入资本化率大幅变动的原因及其合理性说明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left="352" w:right="986" w:firstLine="362"/>
        <w:jc w:val="left"/>
      </w:pPr>
      <w:r>
        <w:rPr/>
        <w:t>报告期内，公司加大基础研究投入，新启动了技术平台研发与技术管理体系建设项目和数字政务与智慧城市行业基 </w:t>
      </w:r>
      <w:r>
        <w:rPr>
          <w:spacing w:val="-1"/>
        </w:rPr>
        <w:t>础研究项目，围绕技术发展趋势及“八化”（云化、中台化、微服务化、互联网化、国产化、智能化、研发运维一体化、</w:t>
      </w:r>
      <w:r>
        <w:rPr>
          <w:spacing w:val="-49"/>
        </w:rPr>
        <w:t> </w:t>
      </w:r>
      <w:r>
        <w:rPr>
          <w:spacing w:val="-49"/>
        </w:rPr>
      </w:r>
      <w:r>
        <w:rPr/>
        <w:t>标准化）推进技术研发，以及开展人社、住房金融、民政、智慧城市等行业的基础研究，该两项目总体处于研究阶段。 另外，为应对即将到来的医保信息化建设高峰，公司还加大了对医保行业的基础研究投入。综上所述，研发支出资本化 的比例降低。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990,673,937.68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980,714,683.05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819,985,265.04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759,978,938.98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170,688,672.64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220,735,744.07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416,739,498.38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62,937.23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662,051.00%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434,199,359.54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429,787,272.59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-17,459,861.16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-429,724,335.36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440,843,350.47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122,436,577.12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51,745,618.29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-122,436,577.12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389,097,732.18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30,792,234.36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180,109,140.89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-82.90%</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rFonts w:ascii="Times New Roman" w:hAnsi="Times New Roman" w:cs="Times New Roman" w:eastAsia="Times New Roman" w:hint="default"/>
        </w:rPr>
        <w:t>1</w:t>
      </w:r>
      <w:r>
        <w:rPr/>
        <w:t>、经营活动产生的现金流量净额同比减少</w:t>
      </w:r>
      <w:r>
        <w:rPr>
          <w:rFonts w:ascii="Times New Roman" w:hAnsi="Times New Roman" w:cs="Times New Roman" w:eastAsia="Times New Roman" w:hint="default"/>
        </w:rPr>
        <w:t>22.67%</w:t>
      </w:r>
      <w:r>
        <w:rPr/>
        <w:t>，主要是支付给职工及为职工支付现金和各项税费较同期增长较大。</w:t>
      </w:r>
    </w:p>
    <w:p>
      <w:pPr>
        <w:pStyle w:val="BodyText"/>
        <w:spacing w:line="240" w:lineRule="auto" w:before="63"/>
        <w:ind w:right="1133"/>
        <w:jc w:val="left"/>
      </w:pPr>
      <w:r>
        <w:rPr>
          <w:rFonts w:ascii="Times New Roman" w:hAnsi="Times New Roman" w:cs="Times New Roman" w:eastAsia="Times New Roman" w:hint="default"/>
        </w:rPr>
        <w:t>2</w:t>
      </w:r>
      <w:r>
        <w:rPr/>
        <w:t>、投资活动现金流入同比增长</w:t>
      </w:r>
      <w:r>
        <w:rPr>
          <w:rFonts w:ascii="Times New Roman" w:hAnsi="Times New Roman" w:cs="Times New Roman" w:eastAsia="Times New Roman" w:hint="default"/>
        </w:rPr>
        <w:t>662,051%</w:t>
      </w:r>
      <w:r>
        <w:rPr/>
        <w:t>，主要是本期收回到期理财产品增加。</w:t>
      </w:r>
    </w:p>
    <w:p>
      <w:pPr>
        <w:pStyle w:val="BodyText"/>
        <w:spacing w:line="300" w:lineRule="auto" w:before="63"/>
        <w:ind w:right="1109"/>
        <w:jc w:val="left"/>
      </w:pPr>
      <w:r>
        <w:rPr>
          <w:rFonts w:ascii="Times New Roman" w:hAnsi="Times New Roman" w:cs="Times New Roman" w:eastAsia="Times New Roman" w:hint="default"/>
        </w:rPr>
        <w:t>3</w:t>
      </w:r>
      <w:r>
        <w:rPr/>
        <w:t>、投资活动产生现金流量净额同比增长</w:t>
      </w:r>
      <w:r>
        <w:rPr>
          <w:rFonts w:ascii="Times New Roman" w:hAnsi="Times New Roman" w:cs="Times New Roman" w:eastAsia="Times New Roman" w:hint="default"/>
        </w:rPr>
        <w:t>95.94%</w:t>
      </w:r>
      <w:r>
        <w:rPr/>
        <w:t>，主要是上期子公司增资、新设子公司、新购办公用房等投资性流出较本期 增长。</w:t>
      </w:r>
    </w:p>
    <w:p>
      <w:pPr>
        <w:pStyle w:val="BodyText"/>
        <w:spacing w:line="240" w:lineRule="auto" w:before="31"/>
        <w:ind w:right="1133"/>
        <w:jc w:val="left"/>
      </w:pPr>
      <w:r>
        <w:rPr>
          <w:rFonts w:ascii="Times New Roman" w:hAnsi="Times New Roman" w:cs="Times New Roman" w:eastAsia="Times New Roman" w:hint="default"/>
        </w:rPr>
        <w:t>4</w:t>
      </w:r>
      <w:r>
        <w:rPr/>
        <w:t>、筹资活动现金流入同比减少</w:t>
      </w:r>
      <w:r>
        <w:rPr>
          <w:rFonts w:ascii="Times New Roman" w:hAnsi="Times New Roman" w:cs="Times New Roman" w:eastAsia="Times New Roman" w:hint="default"/>
        </w:rPr>
        <w:t>100%</w:t>
      </w:r>
      <w:r>
        <w:rPr/>
        <w:t>，主要是上期非公开发行股票募集资金影响，而本期无此业务发生。</w:t>
      </w:r>
    </w:p>
    <w:p>
      <w:pPr>
        <w:pStyle w:val="BodyText"/>
        <w:spacing w:line="240" w:lineRule="auto" w:before="63"/>
        <w:ind w:right="1133"/>
        <w:jc w:val="left"/>
      </w:pPr>
      <w:r>
        <w:rPr>
          <w:rFonts w:ascii="Times New Roman" w:hAnsi="Times New Roman" w:cs="Times New Roman" w:eastAsia="Times New Roman" w:hint="default"/>
        </w:rPr>
        <w:t>5</w:t>
      </w:r>
      <w:r>
        <w:rPr/>
        <w:t>、筹资活动现金流出同比增加</w:t>
      </w:r>
      <w:r>
        <w:rPr>
          <w:rFonts w:ascii="Times New Roman" w:hAnsi="Times New Roman" w:cs="Times New Roman" w:eastAsia="Times New Roman" w:hint="default"/>
        </w:rPr>
        <w:t>136.61%</w:t>
      </w:r>
      <w:r>
        <w:rPr/>
        <w:t>，主要是本期归还长期借款影响。</w:t>
      </w:r>
    </w:p>
    <w:p>
      <w:pPr>
        <w:pStyle w:val="BodyText"/>
        <w:spacing w:line="240" w:lineRule="auto" w:before="63"/>
        <w:ind w:right="1133"/>
        <w:jc w:val="left"/>
      </w:pPr>
      <w:r>
        <w:rPr>
          <w:rFonts w:ascii="Times New Roman" w:hAnsi="Times New Roman" w:cs="Times New Roman" w:eastAsia="Times New Roman" w:hint="default"/>
        </w:rPr>
        <w:t>6</w:t>
      </w:r>
      <w:r>
        <w:rPr/>
        <w:t>、筹资活动现金流量净额同比减少</w:t>
      </w:r>
      <w:r>
        <w:rPr>
          <w:rFonts w:ascii="Times New Roman" w:hAnsi="Times New Roman" w:cs="Times New Roman" w:eastAsia="Times New Roman" w:hint="default"/>
        </w:rPr>
        <w:t>131.47%</w:t>
      </w:r>
      <w:r>
        <w:rPr/>
        <w:t>，主要是受本期归还长期借款、本期无筹资活动现金流入影响。</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before="0"/>
        <w:ind w:right="1133"/>
        <w:jc w:val="left"/>
      </w:pPr>
      <w:r>
        <w:rPr/>
        <w:t>报告期内公司经营活动产生的现金净流量与本年度净利润存在重大差异的原因说明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6,592,027.40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取得理财产品收益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3,131,460.58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理财产品应收利息</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-14,768,861.44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-7.47%</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无形资产、存货计提减值准 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152,706.74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取得合同违约金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549,191.56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支付合同违约金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45,953.29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处置非流动资产取得收益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10,813,966.01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确认政府补助收益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-13,364,084.07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195"/>
        <w:gridCol w:w="1064"/>
        <w:gridCol w:w="797"/>
        <w:gridCol w:w="2919"/>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802,569,291.67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762,196,258.03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273,083,819.83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186,452,491.18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287,385,739.68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315,624,957.41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46,339,447.74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93,430,308.99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2"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2,697,451.79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1,249,497.71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253,131,460.58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tabs>
          <w:tab w:pos="8828" w:val="left" w:leader="none"/>
        </w:tabs>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tab/>
        <w:t>单位：元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92"/>
        <w:gridCol w:w="1092"/>
        <w:gridCol w:w="1093"/>
        <w:gridCol w:w="1092"/>
        <w:gridCol w:w="1090"/>
        <w:gridCol w:w="1092"/>
        <w:gridCol w:w="1090"/>
        <w:gridCol w:w="965"/>
        <w:gridCol w:w="965"/>
      </w:tblGrid>
      <w:tr>
        <w:trPr>
          <w:trHeight w:val="1337"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79" w:hanging="1"/>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80"/>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17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62" w:right="17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59" w:right="17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w:t>
            </w:r>
            <w:r>
              <w:rPr>
                <w:rFonts w:ascii="宋体" w:hAnsi="宋体" w:cs="宋体" w:eastAsia="宋体" w:hint="default"/>
                <w:spacing w:val="-5"/>
                <w:sz w:val="18"/>
                <w:szCs w:val="18"/>
              </w:rPr>
              <w:t>融资产（不</w:t>
            </w:r>
            <w:r>
              <w:rPr>
                <w:rFonts w:ascii="宋体" w:hAnsi="宋体" w:cs="宋体" w:eastAsia="宋体" w:hint="default"/>
                <w:sz w:val="18"/>
                <w:szCs w:val="18"/>
              </w:rPr>
              <w:t> 含衍生金 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2"/>
              <w:ind w:left="664" w:right="0"/>
              <w:jc w:val="lef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3,131,460.5</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380,000,00</w:t>
            </w:r>
          </w:p>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410,000,00</w:t>
            </w:r>
          </w:p>
          <w:p>
            <w:pPr>
              <w:pStyle w:val="TableParagraph"/>
              <w:spacing w:line="240" w:lineRule="auto" w:before="102"/>
              <w:ind w:left="664" w:right="0"/>
              <w:jc w:val="lef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253,131,4</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60.58</w:t>
            </w:r>
          </w:p>
        </w:tc>
      </w:tr>
      <w:tr>
        <w:trPr>
          <w:trHeight w:val="716"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57"/>
              <w:jc w:val="left"/>
              <w:rPr>
                <w:rFonts w:ascii="宋体" w:hAnsi="宋体" w:cs="宋体" w:eastAsia="宋体" w:hint="default"/>
                <w:sz w:val="18"/>
                <w:szCs w:val="18"/>
              </w:rPr>
            </w:pPr>
            <w:r>
              <w:rPr>
                <w:rFonts w:ascii="宋体" w:hAnsi="宋体" w:cs="宋体" w:eastAsia="宋体" w:hint="default"/>
                <w:sz w:val="18"/>
                <w:szCs w:val="18"/>
              </w:rPr>
              <w:t>金融资产 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57"/>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54"/>
              <w:jc w:val="center"/>
              <w:rPr>
                <w:rFonts w:ascii="宋体" w:hAnsi="宋体" w:cs="宋体" w:eastAsia="宋体" w:hint="default"/>
                <w:sz w:val="18"/>
                <w:szCs w:val="18"/>
              </w:rPr>
            </w:pPr>
            <w:r>
              <w:rPr>
                <w:rFonts w:ascii="宋体" w:hAnsi="宋体" w:cs="宋体" w:eastAsia="宋体" w:hint="default"/>
                <w:sz w:val="18"/>
                <w:szCs w:val="18"/>
              </w:rPr>
              <w:t>生产性生</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92"/>
        <w:gridCol w:w="1092"/>
        <w:gridCol w:w="1093"/>
        <w:gridCol w:w="1092"/>
        <w:gridCol w:w="1090"/>
        <w:gridCol w:w="1092"/>
        <w:gridCol w:w="1090"/>
        <w:gridCol w:w="965"/>
        <w:gridCol w:w="965"/>
      </w:tblGrid>
      <w:tr>
        <w:trPr>
          <w:trHeight w:val="36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物资产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3,131,460.5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380,000,00</w:t>
            </w:r>
          </w:p>
          <w:p>
            <w:pPr>
              <w:pStyle w:val="TableParagraph"/>
              <w:spacing w:line="240" w:lineRule="auto" w:before="105"/>
              <w:ind w:left="667"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410,000,00</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253,131,4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60.58</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注：</w:t>
      </w:r>
      <w:r>
        <w:rPr>
          <w:rFonts w:ascii="Times New Roman" w:hAnsi="Times New Roman" w:cs="Times New Roman" w:eastAsia="Times New Roman" w:hint="default"/>
        </w:rPr>
        <w:t>1</w:t>
      </w:r>
      <w:r>
        <w:rPr/>
        <w:t>、上表中的“单位”应统一折算成人民币列示；</w:t>
      </w:r>
    </w:p>
    <w:p>
      <w:pPr>
        <w:pStyle w:val="BodyText"/>
        <w:spacing w:line="240" w:lineRule="auto" w:before="101"/>
        <w:ind w:right="1133"/>
        <w:jc w:val="left"/>
      </w:pPr>
      <w:r>
        <w:rPr>
          <w:rFonts w:ascii="Times New Roman" w:hAnsi="Times New Roman" w:cs="Times New Roman" w:eastAsia="Times New Roman" w:hint="default"/>
          <w:spacing w:val="1"/>
        </w:rPr>
        <w:t>2</w:t>
      </w:r>
      <w:r>
        <w:rPr>
          <w:spacing w:val="-92"/>
        </w:rPr>
        <w:t>、</w:t>
      </w:r>
      <w:r>
        <w:rPr/>
        <w:t>“其他”中金额重大的项目，可以在表中单独列示；</w:t>
      </w:r>
    </w:p>
    <w:p>
      <w:pPr>
        <w:pStyle w:val="BodyText"/>
        <w:spacing w:line="240" w:lineRule="auto" w:before="103"/>
        <w:ind w:right="1133"/>
        <w:jc w:val="left"/>
      </w:pPr>
      <w:r>
        <w:rPr>
          <w:rFonts w:ascii="Times New Roman" w:hAnsi="Times New Roman" w:cs="Times New Roman" w:eastAsia="Times New Roman" w:hint="default"/>
        </w:rPr>
        <w:t>3</w:t>
      </w:r>
      <w:r>
        <w:rPr/>
        <w:t>、直接计入权益的累计公允价值变动；</w:t>
      </w:r>
    </w:p>
    <w:p>
      <w:pPr>
        <w:pStyle w:val="BodyText"/>
        <w:spacing w:line="338" w:lineRule="auto" w:before="104"/>
        <w:ind w:right="8144"/>
        <w:jc w:val="left"/>
      </w:pPr>
      <w:r>
        <w:rPr>
          <w:rFonts w:ascii="Times New Roman" w:hAnsi="Times New Roman" w:cs="Times New Roman" w:eastAsia="Times New Roman" w:hint="default"/>
        </w:rPr>
        <w:t>4</w:t>
      </w:r>
      <w:r>
        <w:rPr/>
        <w:t>、上表不存在必然的勾稽关系。 其他变动的内容</w:t>
      </w:r>
    </w:p>
    <w:p>
      <w:pPr>
        <w:pStyle w:val="BodyText"/>
        <w:spacing w:line="240" w:lineRule="auto" w:before="43"/>
        <w:ind w:right="1133"/>
        <w:jc w:val="left"/>
      </w:pPr>
      <w:r>
        <w:rPr/>
        <w:t>报告期内公司主要资产计量属性是否发生重大变化</w:t>
      </w:r>
    </w:p>
    <w:p>
      <w:pPr>
        <w:pStyle w:val="BodyText"/>
        <w:spacing w:line="357" w:lineRule="auto" w:before="117"/>
        <w:ind w:right="3734"/>
        <w:jc w:val="left"/>
      </w:pPr>
      <w:r>
        <w:rPr/>
        <w:t>□ 是 √</w:t>
      </w:r>
      <w:r>
        <w:rPr>
          <w:spacing w:val="3"/>
        </w:rPr>
        <w:t> </w:t>
      </w:r>
      <w:r>
        <w:rPr/>
        <w:t>否</w:t>
      </w:r>
      <w:r>
        <w:rPr/>
        <w:t> 报告期内公司主要资产计量属性发生重大变化的原因说明及对其经营成果和财务状况影响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9"/>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3"/>
        <w:rPr>
          <w:rFonts w:ascii="宋体" w:hAnsi="宋体" w:cs="宋体" w:eastAsia="宋体" w:hint="default"/>
          <w:b/>
          <w:bCs/>
          <w:sz w:val="21"/>
          <w:szCs w:val="21"/>
        </w:rPr>
      </w:pPr>
    </w:p>
    <w:p>
      <w:pPr>
        <w:pStyle w:val="Heading5"/>
        <w:spacing w:line="240" w:lineRule="auto" w:before="36"/>
        <w:ind w:left="861" w:right="1133"/>
        <w:jc w:val="left"/>
        <w:rPr>
          <w:b w:val="0"/>
          <w:bCs w:val="0"/>
        </w:rPr>
      </w:pPr>
      <w:r>
        <w:rPr/>
        <w:t>所有权或使用权受到限制的资产</w:t>
      </w:r>
      <w:r>
        <w:rPr>
          <w:b w:val="0"/>
          <w:bCs w:val="0"/>
        </w:rPr>
      </w:r>
    </w:p>
    <w:p>
      <w:pPr>
        <w:pStyle w:val="Heading5"/>
        <w:spacing w:line="240" w:lineRule="auto" w:before="37"/>
        <w:ind w:left="0" w:right="2396"/>
        <w:jc w:val="right"/>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3"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7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9,119,838.77</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3,477,409.12</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预提但未到期的定期存款利息</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5,378,281.55</w:t>
            </w:r>
          </w:p>
        </w:tc>
        <w:tc>
          <w:tcPr>
            <w:tcW w:w="2240"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14,498,120.32</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3,477,409.12</w:t>
            </w:r>
          </w:p>
        </w:tc>
      </w:tr>
    </w:tbl>
    <w:p>
      <w:pPr>
        <w:pStyle w:val="BodyText"/>
        <w:spacing w:line="300" w:lineRule="auto" w:before="8"/>
        <w:ind w:right="1133" w:firstLine="425"/>
        <w:jc w:val="left"/>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w:t>
      </w:r>
      <w:r>
        <w:rPr>
          <w:rFonts w:ascii="Times New Roman" w:hAnsi="Times New Roman" w:cs="Times New Roman" w:eastAsia="Times New Roman" w:hint="default"/>
          <w:spacing w:val="-1"/>
        </w:rPr>
        <w:t>9,119,838.77</w:t>
      </w:r>
      <w:r>
        <w:rPr>
          <w:spacing w:val="-1"/>
        </w:rPr>
        <w:t>元为本公司向银行申请开具无条件、不可撤销的担保函所存入的保</w:t>
      </w:r>
      <w:r>
        <w:rPr/>
        <w:t> 证金存款。</w:t>
      </w:r>
    </w:p>
    <w:p>
      <w:pPr>
        <w:pStyle w:val="BodyText"/>
        <w:spacing w:line="240" w:lineRule="auto" w:before="31"/>
        <w:ind w:left="578"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日，银行存款中包含已预提但尚未到期的定期存款利息</w:t>
      </w:r>
      <w:r>
        <w:rPr>
          <w:rFonts w:ascii="Times New Roman" w:hAnsi="Times New Roman" w:cs="Times New Roman" w:eastAsia="Times New Roman" w:hint="default"/>
        </w:rPr>
        <w:t>5,378,281.55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8"/>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-90.34%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四川久 远银海 畅辉软 件有限 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主要从 事计算 机软件 行业信 息化服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3"/>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2019-05</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7"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3,131,460.58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6,592,027.4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253,131,460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尚未使用的 募集资金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3,131,460.58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6,592,027.4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253,131,460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449.5pt;margin-top:221.42598pt;width:85.2pt;height:62.45pt;mso-position-horizontal-relative:page;mso-position-vertical-relative:page;z-index:-1103104" type="#_x0000_t202" filled="false" stroked="false">
            <v:textbox inset="0,0,0,0">
              <w:txbxContent>
                <w:p>
                  <w:pPr>
                    <w:pStyle w:val="BodyText"/>
                    <w:spacing w:line="203" w:lineRule="exact" w:before="0"/>
                    <w:ind w:left="0" w:right="0"/>
                    <w:jc w:val="left"/>
                  </w:pPr>
                  <w:r>
                    <w:rPr/>
                    <w:t>专管账户，</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7" w:hRule="exact"/>
        </w:trPr>
        <w:tc>
          <w:tcPr>
            <w:tcW w:w="867"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尚未使用</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124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43pt;height:62.45pt;mso-position-horizontal-relative:char;mso-position-vertical-relative:line" coordorigin="0,0" coordsize="860,1249">
                  <v:group style="position:absolute;left:0;top:0;width:860;height:1249" coordorigin="0,0" coordsize="860,1249">
                    <v:shape style="position:absolute;left:0;top:0;width:860;height:1249" coordorigin="0,0" coordsize="860,1249" path="m0,1248l859,1248,859,0,0,0,0,1248xe" filled="true" fillcolor="#ffffff" stroked="false">
                      <v:path arrowok="t"/>
                      <v:fill type="solid"/>
                    </v:shape>
                  </v:group>
                </v:group>
              </w:pict>
            </w:r>
            <w:r>
              <w:rPr>
                <w:rFonts w:ascii="宋体" w:hAnsi="宋体" w:cs="宋体" w:eastAsia="宋体" w:hint="default"/>
                <w:position w:val="-24"/>
                <w:sz w:val="20"/>
                <w:szCs w:val="20"/>
              </w:rPr>
            </w:r>
          </w:p>
        </w:tc>
      </w:tr>
      <w:tr>
        <w:trPr>
          <w:trHeight w:val="311"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86"/>
              <w:jc w:val="center"/>
              <w:rPr>
                <w:rFonts w:ascii="宋体" w:hAnsi="宋体" w:cs="宋体" w:eastAsia="宋体" w:hint="default"/>
                <w:sz w:val="18"/>
                <w:szCs w:val="18"/>
              </w:rPr>
            </w:pPr>
            <w:r>
              <w:rPr>
                <w:rFonts w:ascii="宋体" w:hAnsi="宋体" w:cs="宋体" w:eastAsia="宋体" w:hint="default"/>
                <w:sz w:val="18"/>
                <w:szCs w:val="18"/>
              </w:rPr>
              <w:t>的募集资</w:t>
            </w:r>
          </w:p>
        </w:tc>
        <w:tc>
          <w:tcPr>
            <w:tcW w:w="869" w:type="dxa"/>
            <w:vMerge/>
            <w:tcBorders>
              <w:left w:val="single" w:sz="4" w:space="0" w:color="000000"/>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金存储于</w:t>
            </w:r>
          </w:p>
        </w:tc>
        <w:tc>
          <w:tcPr>
            <w:tcW w:w="869" w:type="dxa"/>
            <w:vMerge/>
            <w:tcBorders>
              <w:left w:val="single" w:sz="4" w:space="0" w:color="000000"/>
              <w:right w:val="single" w:sz="4" w:space="0" w:color="000000"/>
            </w:tcBorders>
          </w:tcPr>
          <w:p>
            <w:pPr/>
          </w:p>
        </w:tc>
      </w:tr>
      <w:tr>
        <w:trPr>
          <w:trHeight w:val="858" w:hRule="exact"/>
        </w:trPr>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pacing w:val="-1"/>
                <w:sz w:val="18"/>
              </w:rPr>
              <w:t>43,745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w w:val="95"/>
                <w:sz w:val="18"/>
              </w:rPr>
              <w:t>3,161.68</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w w:val="95"/>
                <w:sz w:val="18"/>
              </w:rPr>
              <w:t>3,286.93</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22,120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pacing w:val="-1"/>
                <w:sz w:val="18"/>
              </w:rPr>
              <w:t>22,120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6"/>
              <w:jc w:val="right"/>
              <w:rPr>
                <w:rFonts w:ascii="Times New Roman" w:hAnsi="Times New Roman" w:cs="Times New Roman" w:eastAsia="Times New Roman" w:hint="default"/>
                <w:sz w:val="18"/>
                <w:szCs w:val="18"/>
              </w:rPr>
            </w:pPr>
            <w:r>
              <w:rPr>
                <w:rFonts w:ascii="Times New Roman"/>
                <w:sz w:val="18"/>
              </w:rPr>
              <w:t>50.57%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41,641.47</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13"/>
              <w:jc w:val="left"/>
              <w:rPr>
                <w:rFonts w:ascii="宋体" w:hAnsi="宋体" w:cs="宋体" w:eastAsia="宋体" w:hint="default"/>
                <w:sz w:val="18"/>
                <w:szCs w:val="18"/>
              </w:rPr>
            </w:pPr>
            <w:r>
              <w:rPr>
                <w:rFonts w:ascii="宋体" w:hAnsi="宋体" w:cs="宋体" w:eastAsia="宋体" w:hint="default"/>
                <w:sz w:val="18"/>
                <w:szCs w:val="18"/>
              </w:rPr>
              <w:t>相关银行 募集资金</w:t>
            </w:r>
          </w:p>
        </w:tc>
        <w:tc>
          <w:tcPr>
            <w:tcW w:w="869" w:type="dxa"/>
            <w:vMerge/>
            <w:tcBorders>
              <w:left w:val="single" w:sz="4" w:space="0" w:color="000000"/>
              <w:right w:val="single" w:sz="4" w:space="0" w:color="000000"/>
            </w:tcBorders>
          </w:tcPr>
          <w:p>
            <w:pPr/>
          </w:p>
        </w:tc>
      </w:tr>
      <w:tr>
        <w:trPr>
          <w:trHeight w:val="390"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86"/>
              <w:jc w:val="center"/>
              <w:rPr>
                <w:rFonts w:ascii="宋体" w:hAnsi="宋体" w:cs="宋体" w:eastAsia="宋体" w:hint="default"/>
                <w:sz w:val="18"/>
                <w:szCs w:val="18"/>
              </w:rPr>
            </w:pPr>
            <w:r>
              <w:rPr>
                <w:rFonts w:ascii="宋体" w:hAnsi="宋体" w:cs="宋体" w:eastAsia="宋体" w:hint="default"/>
                <w:sz w:val="18"/>
                <w:szCs w:val="18"/>
              </w:rPr>
              <w:t>以及用于</w:t>
            </w:r>
          </w:p>
        </w:tc>
        <w:tc>
          <w:tcPr>
            <w:tcW w:w="869" w:type="dxa"/>
            <w:vMerge/>
            <w:tcBorders>
              <w:left w:val="single" w:sz="4" w:space="0" w:color="000000"/>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购买短期</w:t>
            </w:r>
          </w:p>
        </w:tc>
        <w:tc>
          <w:tcPr>
            <w:tcW w:w="869" w:type="dxa"/>
            <w:vMerge/>
            <w:tcBorders>
              <w:left w:val="single" w:sz="4" w:space="0" w:color="000000"/>
              <w:right w:val="single" w:sz="4" w:space="0" w:color="000000"/>
            </w:tcBorders>
          </w:tcPr>
          <w:p>
            <w:pPr/>
          </w:p>
        </w:tc>
      </w:tr>
      <w:tr>
        <w:trPr>
          <w:trHeight w:val="360" w:hRule="exact"/>
        </w:trPr>
        <w:tc>
          <w:tcPr>
            <w:tcW w:w="867"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869" w:type="dxa"/>
            <w:vMerge/>
            <w:tcBorders>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3,161.68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3,286.93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50.57%</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41,641.47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85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firstLine="362"/>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 1504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号《关于核准四川久远银海软件股份有限公司非公开发行股票的批 复》核准，本公司由主承销商广发证券采取定价方式，向特定投资者非公开发行人民币普通股股票（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12,540,592.00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447,950,000.00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日，广发证券股份有限公司</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扣除承销费及保荐费人民币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元后的募集资金为</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77"/>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日公司开立的募集资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金账户实际收到由广发证券股份有限公司转入的募集资金为人民币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元（已扣除非发行费用的承销费和保荐费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税款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。扣除其他发行费用人民币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元（律师费用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验资费用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元，信息披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露费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印花税</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实际募集资</w:t>
            </w:r>
            <w:r>
              <w:rPr>
                <w:rFonts w:ascii="宋体" w:hAnsi="宋体" w:cs="宋体" w:eastAsia="宋体" w:hint="default"/>
                <w:spacing w:val="-3"/>
                <w:sz w:val="18"/>
                <w:szCs w:val="18"/>
              </w:rPr>
              <w:t>金</w:t>
            </w:r>
            <w:r>
              <w:rPr>
                <w:rFonts w:ascii="宋体" w:hAnsi="宋体" w:cs="宋体" w:eastAsia="宋体" w:hint="default"/>
                <w:sz w:val="18"/>
                <w:szCs w:val="18"/>
              </w:rPr>
              <w:t>净额人民币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上述资金到位情况业经立信会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计师事务所（特殊普通合伙）验证，并由其出具信会师报字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pStyle w:val="TableParagraph"/>
              <w:spacing w:line="240" w:lineRule="auto" w:before="101"/>
              <w:ind w:left="295"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439,605,082.80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年度使用募集资金总额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1,252,518.83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元，使用情况</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pacing w:val="-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本期支付信息披</w:t>
            </w:r>
            <w:r>
              <w:rPr>
                <w:rFonts w:ascii="宋体" w:hAnsi="宋体" w:cs="宋体" w:eastAsia="宋体" w:hint="default"/>
                <w:spacing w:val="2"/>
                <w:sz w:val="18"/>
                <w:szCs w:val="18"/>
              </w:rPr>
              <w:t>露</w:t>
            </w:r>
            <w:r>
              <w:rPr>
                <w:rFonts w:ascii="宋体" w:hAnsi="宋体" w:cs="宋体" w:eastAsia="宋体" w:hint="default"/>
                <w:sz w:val="18"/>
                <w:szCs w:val="18"/>
              </w:rPr>
              <w:t>费</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募集资金账户手续费支出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本年募集资金发生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3,407,601.63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3"/>
              <w:ind w:left="295"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416,414,681.16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年度使用募集资金总额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31,616,840.92</w:t>
            </w:r>
            <w:r>
              <w:rPr>
                <w:rFonts w:ascii="宋体" w:hAnsi="宋体" w:cs="宋体" w:eastAsia="宋体" w:hint="default"/>
                <w:sz w:val="18"/>
                <w:szCs w:val="18"/>
              </w:rPr>
              <w:t>，使用情况如</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w:t>
            </w:r>
            <w:r>
              <w:rPr>
                <w:rFonts w:ascii="宋体" w:hAnsi="宋体" w:cs="宋体" w:eastAsia="宋体" w:hint="default"/>
                <w:spacing w:val="-79"/>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使用募集资金置换预先投入的自筹资金合计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医保便民服务</w:t>
            </w:r>
            <w:r>
              <w:rPr>
                <w:rFonts w:ascii="宋体" w:hAnsi="宋体" w:cs="宋体" w:eastAsia="宋体" w:hint="default"/>
                <w:spacing w:val="-3"/>
                <w:sz w:val="18"/>
                <w:szCs w:val="18"/>
              </w:rPr>
              <w:t>平</w:t>
            </w:r>
            <w:r>
              <w:rPr>
                <w:rFonts w:ascii="宋体" w:hAnsi="宋体" w:cs="宋体" w:eastAsia="宋体" w:hint="default"/>
                <w:sz w:val="18"/>
                <w:szCs w:val="18"/>
              </w:rPr>
              <w:t>台项目预先投入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元；医保基金精算与医保服务治理解决方案项目预先投入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1,495,539.93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元；军民融合公共服务平台信息化支撑服务项目预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先投入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募集资金账户手续费支出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元。本年募集资金发生的利息收入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医保便民服务平台项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2,792.32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2,792.32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8.73%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6,136.56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医保基金精算与医保 服务治理解决方案项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军民融合公共服务平 台信息化支撑服务项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3,161.33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3,161.33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w w:val="95"/>
                <w:sz w:val="18"/>
              </w:rPr>
              <w:t>7,028.64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3,161.33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7,028.64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军民融合公共服务平台信息化支撑服务项目市场拓展缓慢，暂未产生效益。</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4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日，公司第四届董事会第十三次会议审议通过了《关于变更部分募集资金投资项目 </w:t>
            </w:r>
            <w:r>
              <w:rPr>
                <w:rFonts w:ascii="宋体" w:hAnsi="宋体" w:cs="宋体" w:eastAsia="宋体" w:hint="default"/>
                <w:spacing w:val="-3"/>
                <w:w w:val="100"/>
                <w:sz w:val="18"/>
                <w:szCs w:val="18"/>
              </w:rPr>
              <w:t>实施方式的议案》，决议公司募投项目：</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医保便民服务平台项目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取消外购无形资产，将拟用于</w:t>
            </w:r>
            <w:r>
              <w:rPr>
                <w:rFonts w:ascii="宋体" w:hAnsi="宋体" w:cs="宋体" w:eastAsia="宋体" w:hint="default"/>
                <w:spacing w:val="-47"/>
                <w:w w:val="100"/>
                <w:sz w:val="18"/>
                <w:szCs w:val="18"/>
              </w:rPr>
              <w:t> </w:t>
            </w:r>
            <w:r>
              <w:rPr>
                <w:rFonts w:ascii="宋体" w:hAnsi="宋体" w:cs="宋体" w:eastAsia="宋体" w:hint="default"/>
                <w:sz w:val="18"/>
                <w:szCs w:val="18"/>
              </w:rPr>
              <w:t>外购无形资产的剩余资金全部用于研发支出；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医保基金精算与医保服务治理解决方案项目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取 消外购无形资产，将拟用于外购无形资产的剩余资金全部用于研发支出。该项变更已于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300" w:lineRule="auto" w:before="13"/>
              <w:ind w:left="16" w:right="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日公告，实际变更情况与公告内容一致，并经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东大会审议通过。</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right w:val="single" w:sz="4" w:space="0" w:color="000000"/>
            </w:tcBorders>
          </w:tcPr>
          <w:p>
            <w:pPr/>
          </w:p>
        </w:tc>
      </w:tr>
      <w:tr>
        <w:trPr>
          <w:trHeight w:val="103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年度，公司利用自有资金代垫支付募集资金投资项目费用合计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31,613,340.92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元，其中：医保</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便民服务平台项目投入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27,923,154.88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元；医保基金精算与医保服务治理解决方案项目投入</w:t>
            </w:r>
          </w:p>
          <w:p>
            <w:pPr>
              <w:pStyle w:val="TableParagraph"/>
              <w:spacing w:line="304" w:lineRule="auto" w:before="63"/>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1,495,539.93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元；军民融合公共服务平台信息化支撑服务项目投入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2,194,646.11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元。公司已聘请立信</w:t>
            </w:r>
            <w:r>
              <w:rPr>
                <w:rFonts w:ascii="宋体" w:hAnsi="宋体" w:cs="宋体" w:eastAsia="宋体" w:hint="default"/>
                <w:sz w:val="18"/>
                <w:szCs w:val="18"/>
              </w:rPr>
              <w:t> 会计师事务所（特殊普通合伙）进行了专项审计，出具了信会师报字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ZA12936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号《关于四 川久远银海软件股份有限公司以募集资金置换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年度内自有资金代垫募投项目支出的鉴证报 </w:t>
            </w:r>
            <w:r>
              <w:rPr>
                <w:rFonts w:ascii="宋体" w:hAnsi="宋体" w:cs="宋体" w:eastAsia="宋体" w:hint="default"/>
                <w:spacing w:val="-5"/>
                <w:sz w:val="18"/>
                <w:szCs w:val="18"/>
              </w:rPr>
              <w:t>告》，保荐机构广发证券股份有限公司已发表明确同意意见。上述代垫投入的自筹资金，已通过公司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董事会决议，同意用募集资金置换。该置换事项已于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年度完成。</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98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尚未使用的募集资金存储于相关银行募集资金专管账户，以及用于购买短期理财产品</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0" w:right="1136"/>
        <w:jc w:val="right"/>
      </w:pPr>
      <w:r>
        <w:rPr/>
        <w:pict>
          <v:shape style="position:absolute;margin-left:56.400002pt;margin-top:-268.378265pt;width:479.4pt;height:359.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医保便民服 务平台项目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医保便民服 务平台项目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2,792.32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2,792.32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8.73%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6,136.56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医保基金精 算与医保服 务治理解决 方案项目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医保基金精 算与医保服 务治理解决 方案项目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2.31%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2,941.87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2,941.87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7,028.64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964"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日，公司第四届董事会第十三次会议审议通过了《关于变更部分募集 </w:t>
                        </w:r>
                        <w:r>
                          <w:rPr>
                            <w:rFonts w:ascii="宋体" w:hAnsi="宋体" w:cs="宋体" w:eastAsia="宋体" w:hint="default"/>
                            <w:spacing w:val="-3"/>
                            <w:w w:val="100"/>
                            <w:sz w:val="18"/>
                            <w:szCs w:val="18"/>
                          </w:rPr>
                          <w:t>资金投资项目实施方式的议案》，决议公司募投项目：</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医保便民服务平台项目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取</w:t>
                        </w:r>
                        <w:r>
                          <w:rPr>
                            <w:rFonts w:ascii="宋体" w:hAnsi="宋体" w:cs="宋体" w:eastAsia="宋体" w:hint="default"/>
                            <w:spacing w:val="-64"/>
                            <w:w w:val="100"/>
                            <w:sz w:val="18"/>
                            <w:szCs w:val="18"/>
                          </w:rPr>
                          <w:t> </w:t>
                        </w:r>
                        <w:r>
                          <w:rPr>
                            <w:rFonts w:ascii="宋体" w:hAnsi="宋体" w:cs="宋体" w:eastAsia="宋体" w:hint="default"/>
                            <w:sz w:val="18"/>
                            <w:szCs w:val="18"/>
                          </w:rPr>
                          <w:t>消外购无形资产，将拟用于外购无形资产的剩余资金全部用于研发支出；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医保基 金精算与医保服务治理解决方案项目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取消外购无形资产，将拟用于外购无形资产的 剩余资金全部用于研发支出。该项变更已于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日公告，实际变更情况与</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公告内容一致，并经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w:t>
                        </w:r>
                      </w:p>
                    </w:tc>
                  </w:tr>
                  <w:tr>
                    <w:trPr>
                      <w:trHeight w:val="71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4"/>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年经营目标完成情况</w:t>
      </w:r>
    </w:p>
    <w:p>
      <w:pPr>
        <w:pStyle w:val="BodyText"/>
        <w:spacing w:line="314" w:lineRule="auto" w:before="101"/>
        <w:ind w:right="1131" w:firstLine="360"/>
        <w:jc w:val="both"/>
      </w:pPr>
      <w:r>
        <w:rPr>
          <w:rFonts w:ascii="Times New Roman" w:hAnsi="Times New Roman" w:cs="Times New Roman" w:eastAsia="Times New Roman" w:hint="default"/>
          <w:spacing w:val="-2"/>
        </w:rPr>
        <w:t>2019</w:t>
      </w:r>
      <w:r>
        <w:rPr>
          <w:spacing w:val="-2"/>
        </w:rPr>
        <w:t>年，公司继续坚持</w:t>
      </w:r>
      <w:r>
        <w:rPr>
          <w:rFonts w:ascii="Times New Roman" w:hAnsi="Times New Roman" w:cs="Times New Roman" w:eastAsia="Times New Roman" w:hint="default"/>
          <w:spacing w:val="-2"/>
        </w:rPr>
        <w:t>“</w:t>
      </w:r>
      <w:r>
        <w:rPr>
          <w:spacing w:val="-2"/>
        </w:rPr>
        <w:t>做实做深主营、围绕主营拓展、创新多元产值</w:t>
      </w:r>
      <w:r>
        <w:rPr>
          <w:rFonts w:ascii="Times New Roman" w:hAnsi="Times New Roman" w:cs="Times New Roman" w:eastAsia="Times New Roman" w:hint="default"/>
          <w:spacing w:val="-2"/>
        </w:rPr>
        <w:t>”</w:t>
      </w:r>
      <w:r>
        <w:rPr>
          <w:spacing w:val="-2"/>
        </w:rPr>
        <w:t>的总体经营思路，聚焦医疗医保、数字政务、智</w:t>
      </w:r>
      <w:r>
        <w:rPr/>
        <w:t> </w:t>
      </w:r>
      <w:r>
        <w:rPr>
          <w:spacing w:val="-2"/>
        </w:rPr>
        <w:t>慧城市、军民融合四大战略方向，通过加大研发投入和市场拓展，精细化管理体系，使公司行业核心竞争力逐年提升，公司</w:t>
      </w:r>
      <w:r>
        <w:rPr>
          <w:spacing w:val="-67"/>
        </w:rPr>
        <w:t> </w:t>
      </w:r>
      <w:r>
        <w:rPr>
          <w:spacing w:val="-67"/>
        </w:rPr>
      </w:r>
      <w:r>
        <w:rPr>
          <w:spacing w:val="-2"/>
        </w:rPr>
        <w:t>在医保、人社信息化领域的优势地位进一步巩固，在医疗健康、民政、住房金融、智慧城市等信息化领域的市场影响力进一</w:t>
      </w:r>
      <w:r>
        <w:rPr>
          <w:spacing w:val="-65"/>
        </w:rPr>
        <w:t> </w:t>
      </w:r>
      <w:r>
        <w:rPr>
          <w:spacing w:val="-65"/>
        </w:rPr>
      </w:r>
      <w:r>
        <w:rPr>
          <w:spacing w:val="-2"/>
        </w:rPr>
        <w:t>步加强，并在价值医疗、人大政协、总工会、财政（惠民惠农）等信息化领域取得了显著进展。公司顺利完成了各项经营目</w:t>
      </w:r>
      <w:r>
        <w:rPr>
          <w:spacing w:val="-71"/>
        </w:rPr>
        <w:t> </w:t>
      </w:r>
      <w:r>
        <w:rPr>
          <w:spacing w:val="-71"/>
        </w:rPr>
      </w:r>
      <w:r>
        <w:rPr/>
        <w:t>标，业绩稳定增长，并持续保持高质量发展。</w:t>
      </w:r>
    </w:p>
    <w:p>
      <w:pPr>
        <w:pStyle w:val="BodyText"/>
        <w:spacing w:line="340" w:lineRule="auto" w:before="61"/>
        <w:ind w:left="573" w:right="1126" w:hanging="421"/>
        <w:jc w:val="left"/>
      </w:pPr>
      <w:r>
        <w:rPr/>
        <w:t>（</w:t>
      </w:r>
      <w:r>
        <w:rPr>
          <w:rFonts w:ascii="Times New Roman" w:hAnsi="Times New Roman" w:cs="Times New Roman" w:eastAsia="Times New Roman" w:hint="default"/>
        </w:rPr>
        <w:t>2</w:t>
      </w:r>
      <w:r>
        <w:rPr/>
        <w:t>）未来发展战略 </w:t>
      </w:r>
      <w:r>
        <w:rPr>
          <w:spacing w:val="-1"/>
        </w:rPr>
        <w:t>公司继续聚焦医疗医保、数字政务、智慧城市、军民融合四大战略方向，推进</w:t>
      </w:r>
      <w:r>
        <w:rPr>
          <w:rFonts w:ascii="Times New Roman" w:hAnsi="Times New Roman" w:cs="Times New Roman" w:eastAsia="Times New Roman" w:hint="default"/>
          <w:spacing w:val="-1"/>
        </w:rPr>
        <w:t>“7+4”</w:t>
      </w:r>
      <w:r>
        <w:rPr>
          <w:spacing w:val="-1"/>
        </w:rPr>
        <w:t>行业发展，即医保、医疗健康、人</w:t>
      </w:r>
    </w:p>
    <w:p>
      <w:pPr>
        <w:pStyle w:val="BodyText"/>
        <w:spacing w:line="228" w:lineRule="exact" w:before="0"/>
        <w:ind w:right="986"/>
        <w:jc w:val="left"/>
      </w:pPr>
      <w:r>
        <w:rPr/>
        <w:t>社、住房金融、民政、智慧城市、军工</w:t>
      </w:r>
      <w:r>
        <w:rPr>
          <w:rFonts w:ascii="Times New Roman" w:hAnsi="Times New Roman" w:cs="Times New Roman" w:eastAsia="Times New Roman" w:hint="default"/>
        </w:rPr>
        <w:t>7</w:t>
      </w:r>
      <w:r>
        <w:rPr/>
        <w:t>大主营行业，市场监管、价值医疗、退军事务、人大政协</w:t>
      </w:r>
      <w:r>
        <w:rPr>
          <w:rFonts w:ascii="Times New Roman" w:hAnsi="Times New Roman" w:cs="Times New Roman" w:eastAsia="Times New Roman" w:hint="default"/>
        </w:rPr>
        <w:t>4</w:t>
      </w:r>
      <w:r>
        <w:rPr/>
        <w:t>大孵化行业，面向政府部</w:t>
      </w:r>
    </w:p>
    <w:p>
      <w:pPr>
        <w:pStyle w:val="BodyText"/>
        <w:spacing w:line="240" w:lineRule="auto" w:before="63"/>
        <w:ind w:right="1133"/>
        <w:jc w:val="left"/>
      </w:pPr>
      <w:r>
        <w:rPr/>
        <w:t>门以及行业生态主体，以信息化、大数据应用、区块链和云服务能力，为民生国防赋能。</w:t>
      </w:r>
    </w:p>
    <w:p>
      <w:pPr>
        <w:pStyle w:val="BodyText"/>
        <w:spacing w:line="340" w:lineRule="auto" w:before="115"/>
        <w:ind w:left="513" w:right="1153" w:hanging="36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年经营计划 公司将继续坚持</w:t>
      </w:r>
      <w:r>
        <w:rPr>
          <w:rFonts w:ascii="Times New Roman" w:hAnsi="Times New Roman" w:cs="Times New Roman" w:eastAsia="Times New Roman" w:hint="default"/>
        </w:rPr>
        <w:t>“</w:t>
      </w:r>
      <w:r>
        <w:rPr/>
        <w:t>做实做深主营，围绕主营拓展，创新多元产值</w:t>
      </w:r>
      <w:r>
        <w:rPr>
          <w:rFonts w:ascii="Times New Roman" w:hAnsi="Times New Roman" w:cs="Times New Roman" w:eastAsia="Times New Roman" w:hint="default"/>
        </w:rPr>
        <w:t>”</w:t>
      </w:r>
      <w:r>
        <w:rPr/>
        <w:t>的总体经营思路，通过</w:t>
      </w:r>
      <w:r>
        <w:rPr>
          <w:rFonts w:ascii="Times New Roman" w:hAnsi="Times New Roman" w:cs="Times New Roman" w:eastAsia="Times New Roman" w:hint="default"/>
        </w:rPr>
        <w:t>“</w:t>
      </w:r>
      <w:r>
        <w:rPr/>
        <w:t>创新发展、做强行业、做大区</w:t>
      </w:r>
    </w:p>
    <w:p>
      <w:pPr>
        <w:pStyle w:val="BodyText"/>
        <w:spacing w:line="228" w:lineRule="exact" w:before="0"/>
        <w:ind w:right="1133"/>
        <w:jc w:val="left"/>
      </w:pPr>
      <w:r>
        <w:rPr/>
        <w:t>域、精细研发、人才成长</w:t>
      </w:r>
      <w:r>
        <w:rPr>
          <w:rFonts w:ascii="Times New Roman" w:hAnsi="Times New Roman" w:cs="Times New Roman" w:eastAsia="Times New Roman" w:hint="default"/>
        </w:rPr>
        <w:t>”</w:t>
      </w:r>
      <w:r>
        <w:rPr/>
        <w:t>五大经营策略，推进公司战略纵深发展。</w:t>
      </w:r>
    </w:p>
    <w:p>
      <w:pPr>
        <w:pStyle w:val="BodyText"/>
        <w:spacing w:line="240" w:lineRule="auto" w:before="63"/>
        <w:ind w:left="441" w:right="1133"/>
        <w:jc w:val="left"/>
      </w:pPr>
      <w:r>
        <w:rPr>
          <w:rFonts w:ascii="Times New Roman" w:hAnsi="Times New Roman" w:cs="Times New Roman" w:eastAsia="Times New Roman" w:hint="default"/>
        </w:rPr>
        <w:t>1</w:t>
      </w:r>
      <w:r>
        <w:rPr/>
        <w:t>、创新发展：继续加强创新投入，持续深化解决方案创新和行业发展创新，并进一步优化创新管理。</w:t>
      </w:r>
    </w:p>
    <w:p>
      <w:pPr>
        <w:pStyle w:val="BodyText"/>
        <w:spacing w:line="300" w:lineRule="auto" w:before="63"/>
        <w:ind w:right="1211" w:firstLine="288"/>
        <w:jc w:val="both"/>
      </w:pPr>
      <w:r>
        <w:rPr>
          <w:rFonts w:ascii="Times New Roman" w:hAnsi="Times New Roman" w:cs="Times New Roman" w:eastAsia="Times New Roman" w:hint="default"/>
        </w:rPr>
        <w:t>2</w:t>
      </w:r>
      <w:r>
        <w:rPr/>
        <w:t>、做强行业：加速医保、医疗健康、民政、智慧城市的发展，巩固人社、住房金融、军工的发展，推进市场监管、价 值医疗、退军事务、人大政协的孵化。</w:t>
      </w:r>
    </w:p>
    <w:p>
      <w:pPr>
        <w:pStyle w:val="BodyText"/>
        <w:spacing w:line="240" w:lineRule="auto" w:before="31"/>
        <w:ind w:left="441" w:right="1133"/>
        <w:jc w:val="left"/>
      </w:pPr>
      <w:r>
        <w:rPr>
          <w:rFonts w:ascii="Times New Roman" w:hAnsi="Times New Roman" w:cs="Times New Roman" w:eastAsia="Times New Roman" w:hint="default"/>
        </w:rPr>
        <w:t>3</w:t>
      </w:r>
      <w:r>
        <w:rPr/>
        <w:t>、做大区域：在区域组织设立</w:t>
      </w:r>
      <w:r>
        <w:rPr>
          <w:rFonts w:ascii="Times New Roman" w:hAnsi="Times New Roman" w:cs="Times New Roman" w:eastAsia="Times New Roman" w:hint="default"/>
        </w:rPr>
        <w:t>“</w:t>
      </w:r>
      <w:r>
        <w:rPr/>
        <w:t>大区</w:t>
      </w:r>
      <w:r>
        <w:rPr>
          <w:rFonts w:ascii="Times New Roman" w:hAnsi="Times New Roman" w:cs="Times New Roman" w:eastAsia="Times New Roman" w:hint="default"/>
        </w:rPr>
        <w:t>”</w:t>
      </w:r>
      <w:r>
        <w:rPr/>
        <w:t>制，形成行业部和区域组织矩阵管理模式，推进区域深入拓展。</w:t>
      </w:r>
    </w:p>
    <w:p>
      <w:pPr>
        <w:pStyle w:val="BodyText"/>
        <w:spacing w:line="300" w:lineRule="auto" w:before="63"/>
        <w:ind w:right="1131" w:firstLine="307"/>
        <w:jc w:val="both"/>
      </w:pPr>
      <w:r>
        <w:rPr>
          <w:rFonts w:ascii="Times New Roman" w:hAnsi="Times New Roman" w:cs="Times New Roman" w:eastAsia="Times New Roman" w:hint="default"/>
          <w:spacing w:val="-2"/>
        </w:rPr>
        <w:t>4</w:t>
      </w:r>
      <w:r>
        <w:rPr>
          <w:spacing w:val="-2"/>
        </w:rPr>
        <w:t>、精细研发：坚持以</w:t>
      </w:r>
      <w:r>
        <w:rPr>
          <w:rFonts w:ascii="Times New Roman" w:hAnsi="Times New Roman" w:cs="Times New Roman" w:eastAsia="Times New Roman" w:hint="default"/>
          <w:spacing w:val="-2"/>
        </w:rPr>
        <w:t>Ta</w:t>
      </w:r>
      <w:r>
        <w:rPr>
          <w:rFonts w:ascii="Times New Roman" w:hAnsi="Times New Roman" w:cs="Times New Roman" w:eastAsia="Times New Roman" w:hint="default"/>
          <w:spacing w:val="-2"/>
          <w:position w:val="8"/>
          <w:sz w:val="12"/>
          <w:szCs w:val="12"/>
        </w:rPr>
        <w:t>+3</w:t>
      </w:r>
      <w:r>
        <w:rPr>
          <w:spacing w:val="-2"/>
        </w:rPr>
        <w:t>为核心的自主可控的技术体系，围绕技术发展趋势及</w:t>
      </w:r>
      <w:r>
        <w:rPr>
          <w:rFonts w:ascii="Times New Roman" w:hAnsi="Times New Roman" w:cs="Times New Roman" w:eastAsia="Times New Roman" w:hint="default"/>
          <w:spacing w:val="-2"/>
        </w:rPr>
        <w:t>“</w:t>
      </w:r>
      <w:r>
        <w:rPr>
          <w:spacing w:val="-2"/>
        </w:rPr>
        <w:t>八化</w:t>
      </w:r>
      <w:r>
        <w:rPr>
          <w:rFonts w:ascii="Times New Roman" w:hAnsi="Times New Roman" w:cs="Times New Roman" w:eastAsia="Times New Roman" w:hint="default"/>
          <w:spacing w:val="-2"/>
        </w:rPr>
        <w:t>”</w:t>
      </w:r>
      <w:r>
        <w:rPr>
          <w:spacing w:val="-2"/>
        </w:rPr>
        <w:t>（云化、中台化、微服务化、互联</w:t>
      </w:r>
      <w:r>
        <w:rPr/>
        <w:t> </w:t>
      </w:r>
      <w:r>
        <w:rPr>
          <w:spacing w:val="-2"/>
        </w:rPr>
        <w:t>网化、国产化、智能化、研发运维一体化、标准化）推进技术研发。结合行业应用，探索研发</w:t>
      </w:r>
      <w:r>
        <w:rPr>
          <w:rFonts w:ascii="Times New Roman" w:hAnsi="Times New Roman" w:cs="Times New Roman" w:eastAsia="Times New Roman" w:hint="default"/>
          <w:spacing w:val="-2"/>
        </w:rPr>
        <w:t>“</w:t>
      </w:r>
      <w:r>
        <w:rPr>
          <w:spacing w:val="-2"/>
        </w:rPr>
        <w:t>银海链</w:t>
      </w:r>
      <w:r>
        <w:rPr>
          <w:rFonts w:ascii="Times New Roman" w:hAnsi="Times New Roman" w:cs="Times New Roman" w:eastAsia="Times New Roman" w:hint="default"/>
          <w:spacing w:val="-2"/>
        </w:rPr>
        <w:t>”</w:t>
      </w:r>
      <w:r>
        <w:rPr>
          <w:spacing w:val="-2"/>
        </w:rPr>
        <w:t>，助力面向行业的区</w:t>
      </w:r>
      <w:r>
        <w:rPr>
          <w:spacing w:val="-48"/>
        </w:rPr>
        <w:t> </w:t>
      </w:r>
      <w:r>
        <w:rPr>
          <w:spacing w:val="-48"/>
        </w:rPr>
      </w:r>
      <w:r>
        <w:rPr/>
        <w:t>块链应用场景落地。</w:t>
      </w:r>
    </w:p>
    <w:p>
      <w:pPr>
        <w:pStyle w:val="BodyText"/>
        <w:spacing w:line="300" w:lineRule="auto" w:before="32"/>
        <w:ind w:right="1211" w:firstLine="288"/>
        <w:jc w:val="both"/>
      </w:pPr>
      <w:r>
        <w:rPr>
          <w:rFonts w:ascii="Times New Roman" w:hAnsi="Times New Roman" w:cs="Times New Roman" w:eastAsia="Times New Roman" w:hint="default"/>
        </w:rPr>
        <w:t>5</w:t>
      </w:r>
      <w:r>
        <w:rPr/>
        <w:t>、人才成长：优化面向优秀干部和优秀员工的激励机制，为优秀年轻员工搭建更大的发展舞台，加强行业领军人才和 高端人才的引进力度。</w:t>
      </w:r>
    </w:p>
    <w:p>
      <w:pPr>
        <w:spacing w:after="0" w:line="30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0"/>
        <w:ind w:right="1133"/>
        <w:jc w:val="left"/>
      </w:pPr>
      <w:r>
        <w:rPr/>
        <w:t>（</w:t>
      </w:r>
      <w:r>
        <w:rPr>
          <w:rFonts w:ascii="Times New Roman" w:hAnsi="Times New Roman" w:cs="Times New Roman" w:eastAsia="Times New Roman" w:hint="default"/>
        </w:rPr>
        <w:t>4</w:t>
      </w:r>
      <w:r>
        <w:rPr/>
        <w:t>）可能面临的风险</w:t>
      </w:r>
    </w:p>
    <w:p>
      <w:pPr>
        <w:pStyle w:val="Heading7"/>
        <w:spacing w:line="240" w:lineRule="auto" w:before="101"/>
        <w:ind w:right="1133"/>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16" w:lineRule="auto" w:before="63"/>
        <w:ind w:right="1087" w:firstLine="307"/>
        <w:jc w:val="left"/>
      </w:pPr>
      <w:r>
        <w:rPr/>
        <w:t>市场竞争加剧的风险：随着国家对民生信息化领域的重视和投入逐年增加，市场规模不断扩大，市场环境的逐步成熟， 国内外越来越多的企业 开始涉足该领域，市场竞争程度不断加剧。新竞争者的进入，将会使公司面临更严峻的市场竞争风险。</w:t>
      </w:r>
    </w:p>
    <w:p>
      <w:pPr>
        <w:pStyle w:val="BodyText"/>
        <w:spacing w:line="316" w:lineRule="auto" w:before="19"/>
        <w:ind w:right="1123" w:firstLine="288"/>
        <w:jc w:val="both"/>
      </w:pPr>
      <w:r>
        <w:rPr/>
        <w:t>新开拓市场的持续增长风险：公司通过特色化和差异化的服务将现有的竞争优势复制到新兴民生领域已取得一定成果， </w:t>
      </w:r>
      <w:r>
        <w:rPr>
          <w:spacing w:val="-2"/>
        </w:rPr>
        <w:t>但是，公司在上述领域的竞争优势、行业地位和经营经验仍显不足。未来，能否在上述新开拓市场保持快速增长，对公司的</w:t>
      </w:r>
      <w:r>
        <w:rPr>
          <w:spacing w:val="-67"/>
        </w:rPr>
        <w:t> </w:t>
      </w:r>
      <w:r>
        <w:rPr>
          <w:spacing w:val="-67"/>
        </w:rPr>
      </w:r>
      <w:r>
        <w:rPr/>
        <w:t>综合能力提出了更高要求和挑战，公司将面临新开拓市场的持续增长风险。</w:t>
      </w:r>
    </w:p>
    <w:p>
      <w:pPr>
        <w:pStyle w:val="BodyText"/>
        <w:spacing w:line="300" w:lineRule="auto" w:before="19"/>
        <w:ind w:left="369" w:right="1177" w:hanging="217"/>
        <w:jc w:val="left"/>
      </w:pPr>
      <w:r>
        <w:rPr>
          <w:rFonts w:ascii="Times New Roman" w:hAnsi="Times New Roman" w:cs="Times New Roman" w:eastAsia="Times New Roman" w:hint="default"/>
          <w:b/>
          <w:bCs/>
        </w:rPr>
        <w:t>2</w:t>
      </w:r>
      <w:r>
        <w:rPr>
          <w:rFonts w:ascii="宋体" w:hAnsi="宋体" w:cs="宋体" w:eastAsia="宋体" w:hint="default"/>
          <w:b/>
          <w:bCs/>
        </w:rPr>
        <w:t>、技术风险</w:t>
      </w:r>
      <w:r>
        <w:rPr>
          <w:rFonts w:ascii="宋体" w:hAnsi="宋体" w:cs="宋体" w:eastAsia="宋体" w:hint="default"/>
          <w:b/>
          <w:bCs/>
          <w:w w:val="99"/>
        </w:rPr>
        <w:t> </w:t>
      </w:r>
      <w:r>
        <w:rPr/>
        <w:t>技术研发不能紧跟政策变化的风险：公司主营业务与政府部门颁布的涉及民生领域的政策密切相关。公司的产品和服务</w:t>
      </w:r>
    </w:p>
    <w:p>
      <w:pPr>
        <w:pStyle w:val="BodyText"/>
        <w:spacing w:line="316" w:lineRule="auto" w:before="32"/>
        <w:ind w:right="1034"/>
        <w:jc w:val="left"/>
      </w:pPr>
      <w:r>
        <w:rPr>
          <w:spacing w:val="-4"/>
        </w:rPr>
        <w:t>需要紧随政策的变化而及时更新和调整，甚至需要做大量的前瞻性政策和技术研究工作。随着国家对民生信息化领域的重视，</w:t>
      </w:r>
      <w:r>
        <w:rPr>
          <w:spacing w:val="-43"/>
        </w:rPr>
        <w:t> </w:t>
      </w:r>
      <w:r>
        <w:rPr>
          <w:spacing w:val="-43"/>
        </w:rPr>
      </w:r>
      <w:r>
        <w:rPr/>
        <w:t>一系列涉及民生信息化领域的政策将会密集出台，新政策对公司现有产品和服务的功能、类型等方面都提出了更高的要求， </w:t>
      </w:r>
      <w:r>
        <w:rPr>
          <w:spacing w:val="-2"/>
        </w:rPr>
        <w:t>对公司的技术研发能力提出了更高的挑战。未来，如果公司不能继续保持在行业内的技术研发优势，提供的产品和服务不能</w:t>
      </w:r>
      <w:r>
        <w:rPr>
          <w:spacing w:val="-66"/>
        </w:rPr>
        <w:t> </w:t>
      </w:r>
      <w:r>
        <w:rPr>
          <w:spacing w:val="-66"/>
        </w:rPr>
      </w:r>
      <w:r>
        <w:rPr/>
        <w:t>及时满足政策变化的要求，公司现有的竞争优势将会被削弱，现有的市场地位将受到挑战。</w:t>
      </w:r>
    </w:p>
    <w:p>
      <w:pPr>
        <w:pStyle w:val="BodyText"/>
        <w:spacing w:line="316" w:lineRule="auto" w:before="19"/>
        <w:ind w:right="1034" w:firstLine="288"/>
        <w:jc w:val="left"/>
      </w:pPr>
      <w:r>
        <w:rPr/>
        <w:t>技术失密的风险：</w:t>
      </w:r>
      <w:r>
        <w:rPr>
          <w:spacing w:val="-64"/>
        </w:rPr>
        <w:t> </w:t>
      </w:r>
      <w:r>
        <w:rPr/>
        <w:t>公司自成立以来持续进行技术创新，拥有一系列处于国内领先水平的核心技术和产品，并积累了丰富</w:t>
      </w:r>
      <w:r>
        <w:rPr/>
        <w:t> 的行业经验，公司的研发、生产和服务能力处于行业领先水平。公司生产经营和技术创新依赖于多年积累起来的核心技术， </w:t>
      </w:r>
      <w:r>
        <w:rPr>
          <w:spacing w:val="-2"/>
        </w:rPr>
        <w:t>而这些核心技术由相关的核心技术人员和关键管理人员所掌握。核心技术人员和关键管理人员的流失或者出现不慎技术信息</w:t>
      </w:r>
      <w:r>
        <w:rPr>
          <w:spacing w:val="-64"/>
        </w:rPr>
        <w:t> </w:t>
      </w:r>
      <w:r>
        <w:rPr>
          <w:spacing w:val="-64"/>
        </w:rPr>
      </w:r>
      <w:r>
        <w:rPr/>
        <w:t>失密，可能会给公司技术研发、生产经营带来不利影响，因此，公司存在技术失密的风险。</w:t>
      </w:r>
    </w:p>
    <w:p>
      <w:pPr>
        <w:pStyle w:val="BodyText"/>
        <w:spacing w:line="300" w:lineRule="auto" w:before="19"/>
        <w:ind w:left="441" w:right="1133" w:hanging="289"/>
        <w:jc w:val="left"/>
      </w:pPr>
      <w:r>
        <w:rPr>
          <w:rFonts w:ascii="Times New Roman" w:hAnsi="Times New Roman" w:cs="Times New Roman" w:eastAsia="Times New Roman" w:hint="default"/>
          <w:b/>
          <w:bCs/>
        </w:rPr>
        <w:t>3</w:t>
      </w:r>
      <w:r>
        <w:rPr>
          <w:rFonts w:ascii="宋体" w:hAnsi="宋体" w:cs="宋体" w:eastAsia="宋体" w:hint="default"/>
          <w:b/>
          <w:bCs/>
        </w:rPr>
        <w:t>、经营成本上涨的风险</w:t>
      </w:r>
      <w:r>
        <w:rPr>
          <w:rFonts w:ascii="宋体" w:hAnsi="宋体" w:cs="宋体" w:eastAsia="宋体" w:hint="default"/>
          <w:b/>
          <w:bCs/>
          <w:w w:val="99"/>
        </w:rPr>
        <w:t> </w:t>
      </w:r>
      <w:r>
        <w:rPr>
          <w:spacing w:val="-1"/>
        </w:rPr>
        <w:t>近年来，随着经济社会的全面发展以及通货膨胀带来的生活成本上升，公司的用工成本呈现逐年增加的趋势。随着未来</w:t>
      </w:r>
    </w:p>
    <w:p>
      <w:pPr>
        <w:pStyle w:val="BodyText"/>
        <w:spacing w:line="240" w:lineRule="auto" w:before="32"/>
        <w:ind w:right="986"/>
        <w:jc w:val="left"/>
      </w:pPr>
      <w:r>
        <w:rPr/>
        <w:t>全社会平均工资水平持续上升</w:t>
      </w:r>
      <w:r>
        <w:rPr>
          <w:rFonts w:ascii="Times New Roman" w:hAnsi="Times New Roman" w:cs="Times New Roman" w:eastAsia="Times New Roman" w:hint="default"/>
        </w:rPr>
        <w:t>,</w:t>
      </w:r>
      <w:r>
        <w:rPr/>
        <w:t>行业人力资源成本的上涨</w:t>
      </w:r>
      <w:r>
        <w:rPr>
          <w:rFonts w:ascii="Times New Roman" w:hAnsi="Times New Roman" w:cs="Times New Roman" w:eastAsia="Times New Roman" w:hint="default"/>
        </w:rPr>
        <w:t>,</w:t>
      </w:r>
      <w:r>
        <w:rPr/>
        <w:t>公司员工薪酬水平面临上涨压力</w:t>
      </w:r>
      <w:r>
        <w:rPr>
          <w:rFonts w:ascii="Times New Roman" w:hAnsi="Times New Roman" w:cs="Times New Roman" w:eastAsia="Times New Roman" w:hint="default"/>
        </w:rPr>
        <w:t>,</w:t>
      </w:r>
      <w:r>
        <w:rPr/>
        <w:t>从而给公司带来较大的经营压力。</w:t>
      </w:r>
    </w:p>
    <w:p>
      <w:pPr>
        <w:spacing w:line="300" w:lineRule="auto" w:before="63"/>
        <w:ind w:left="513" w:right="986"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、运维服务收费标准下降的风险</w:t>
      </w:r>
      <w:r>
        <w:rPr>
          <w:rFonts w:ascii="宋体" w:hAnsi="宋体" w:cs="宋体" w:eastAsia="宋体" w:hint="default"/>
          <w:b/>
          <w:bCs/>
          <w:w w:val="99"/>
          <w:sz w:val="18"/>
          <w:szCs w:val="18"/>
        </w:rPr>
        <w:t> </w:t>
      </w:r>
      <w:r>
        <w:rPr>
          <w:rFonts w:ascii="宋体" w:hAnsi="宋体" w:cs="宋体" w:eastAsia="宋体" w:hint="default"/>
          <w:spacing w:val="-2"/>
          <w:sz w:val="18"/>
          <w:szCs w:val="18"/>
        </w:rPr>
        <w:t>运维服务业务的服务对象主要为药店、医疗机构、企业、社区服务机构及各级政府相关部门。未来，受到运维服务市场</w:t>
      </w:r>
    </w:p>
    <w:p>
      <w:pPr>
        <w:pStyle w:val="BodyText"/>
        <w:spacing w:line="316" w:lineRule="auto" w:before="31"/>
        <w:ind w:right="986"/>
        <w:jc w:val="left"/>
      </w:pPr>
      <w:r>
        <w:rPr>
          <w:spacing w:val="-2"/>
        </w:rPr>
        <w:t>规模扩大、市场成熟度提高、市场竞争程度加剧等因素的影响，运维服务收费标准将可能呈现下降的趋势，公司将面临运维</w:t>
      </w:r>
      <w:r>
        <w:rPr>
          <w:spacing w:val="-64"/>
        </w:rPr>
        <w:t> </w:t>
      </w:r>
      <w:r>
        <w:rPr>
          <w:spacing w:val="-64"/>
        </w:rPr>
      </w:r>
      <w:r>
        <w:rPr/>
        <w:t>服务收费标准下降的风险。</w:t>
      </w:r>
    </w:p>
    <w:p>
      <w:pPr>
        <w:pStyle w:val="BodyText"/>
        <w:spacing w:line="300" w:lineRule="auto" w:before="19"/>
        <w:ind w:left="513" w:right="986" w:hanging="361"/>
        <w:jc w:val="left"/>
      </w:pPr>
      <w:r>
        <w:rPr>
          <w:rFonts w:ascii="Times New Roman" w:hAnsi="Times New Roman" w:cs="Times New Roman" w:eastAsia="Times New Roman" w:hint="default"/>
          <w:b/>
          <w:bCs/>
        </w:rPr>
        <w:t>5</w:t>
      </w:r>
      <w:r>
        <w:rPr>
          <w:rFonts w:ascii="宋体" w:hAnsi="宋体" w:cs="宋体" w:eastAsia="宋体" w:hint="default"/>
          <w:b/>
          <w:bCs/>
        </w:rPr>
        <w:t>、行业政策变化的风险</w:t>
      </w:r>
      <w:r>
        <w:rPr>
          <w:rFonts w:ascii="宋体" w:hAnsi="宋体" w:cs="宋体" w:eastAsia="宋体" w:hint="default"/>
          <w:b/>
          <w:bCs/>
          <w:w w:val="99"/>
        </w:rPr>
        <w:t> </w:t>
      </w:r>
      <w:r>
        <w:rPr>
          <w:spacing w:val="-2"/>
        </w:rPr>
        <w:t>民生信息化领域的市场规模与政府部门的重视程度和投资力度密切相关。近年来，国家各级政府部门相继出台了一系列</w:t>
      </w:r>
    </w:p>
    <w:p>
      <w:pPr>
        <w:pStyle w:val="BodyText"/>
        <w:spacing w:line="316" w:lineRule="auto" w:before="31"/>
        <w:ind w:right="1034"/>
        <w:jc w:val="left"/>
        <w:rPr>
          <w:rFonts w:ascii="宋体" w:hAnsi="宋体" w:cs="宋体" w:eastAsia="宋体" w:hint="default"/>
        </w:rPr>
      </w:pPr>
      <w:r>
        <w:rPr/>
        <w:t>扶持和发展民生信息化领域的政策措施，政府投资逐步增加，从而带动了政府部门、经办机构、社会服务机构、参保单位、 </w:t>
      </w:r>
      <w:r>
        <w:rPr>
          <w:spacing w:val="-2"/>
        </w:rPr>
        <w:t>社会公众等对民生信息化产品和服务的需求，以人力资源和社会保障为核心的民生信息化领域取得了快速发展。但是，不排</w:t>
      </w:r>
      <w:r>
        <w:rPr>
          <w:spacing w:val="-65"/>
        </w:rPr>
        <w:t> </w:t>
      </w:r>
      <w:r>
        <w:rPr>
          <w:spacing w:val="-65"/>
        </w:rPr>
      </w:r>
      <w:r>
        <w:rPr/>
        <w:t>除国家未来减少民生信息化领域的投资力度或者政策环境发生重大不利变化的可能，从而对公司的生产经营带来不利影响。 </w:t>
      </w:r>
      <w:r>
        <w:rPr>
          <w:rFonts w:ascii="Times New Roman" w:hAnsi="Times New Roman" w:cs="Times New Roman" w:eastAsia="Times New Roman" w:hint="default"/>
          <w:b/>
          <w:bCs/>
        </w:rPr>
        <w:t>6</w:t>
      </w:r>
      <w:r>
        <w:rPr>
          <w:rFonts w:ascii="宋体" w:hAnsi="宋体" w:cs="宋体" w:eastAsia="宋体" w:hint="default"/>
          <w:b/>
          <w:bCs/>
        </w:rPr>
        <w:t>、快速发展带来的管理风险</w:t>
      </w:r>
      <w:r>
        <w:rPr>
          <w:rFonts w:ascii="宋体" w:hAnsi="宋体" w:cs="宋体" w:eastAsia="宋体" w:hint="default"/>
        </w:rPr>
      </w:r>
    </w:p>
    <w:p>
      <w:pPr>
        <w:pStyle w:val="BodyText"/>
        <w:spacing w:line="316" w:lineRule="auto" w:before="0"/>
        <w:ind w:right="986" w:firstLine="360"/>
        <w:jc w:val="left"/>
      </w:pPr>
      <w:r>
        <w:rPr>
          <w:spacing w:val="-4"/>
        </w:rPr>
        <w:t>公司自成立以来，保持了较快的发展速度。公司资产规模的扩大和人员的增加使得公司的组织架构、管理体系趋于复杂。</w:t>
      </w:r>
      <w:r>
        <w:rPr/>
        <w:t> 随着募集资金的到位和募投项目的实施，以及设立新的全资或控股子公司，公司的资产规模还将进一步扩大，</w:t>
      </w:r>
      <w:r>
        <w:rPr>
          <w:spacing w:val="-16"/>
        </w:rPr>
        <w:t> </w:t>
      </w:r>
      <w:r>
        <w:rPr/>
        <w:t>对公司管理</w:t>
      </w:r>
      <w:r>
        <w:rPr/>
        <w:t> </w:t>
      </w:r>
      <w:r>
        <w:rPr>
          <w:spacing w:val="-2"/>
        </w:rPr>
        <w:t>层的管理能力和管理水平提出了更高要求。如果公司管理层的管理能力和管理水平以及管理人员配置不能及时满足资产、业</w:t>
      </w:r>
      <w:r>
        <w:rPr>
          <w:spacing w:val="-63"/>
        </w:rPr>
        <w:t> </w:t>
      </w:r>
      <w:r>
        <w:rPr>
          <w:spacing w:val="-63"/>
        </w:rPr>
      </w:r>
      <w:r>
        <w:rPr/>
        <w:t>务规模迅速扩张的要求，公司的生产经营和业绩提升将会受到一定影响。</w:t>
      </w:r>
    </w:p>
    <w:p>
      <w:pPr>
        <w:pStyle w:val="BodyText"/>
        <w:spacing w:line="300" w:lineRule="auto" w:before="19"/>
        <w:ind w:left="441" w:right="1115" w:hanging="289"/>
        <w:jc w:val="left"/>
      </w:pPr>
      <w:r>
        <w:rPr>
          <w:rFonts w:ascii="Times New Roman" w:hAnsi="Times New Roman" w:cs="Times New Roman" w:eastAsia="Times New Roman" w:hint="default"/>
          <w:b/>
          <w:bCs/>
        </w:rPr>
        <w:t>7</w:t>
      </w:r>
      <w:r>
        <w:rPr>
          <w:rFonts w:ascii="宋体" w:hAnsi="宋体" w:cs="宋体" w:eastAsia="宋体" w:hint="default"/>
          <w:b/>
          <w:bCs/>
        </w:rPr>
        <w:t>、人力资源风险</w:t>
      </w:r>
      <w:r>
        <w:rPr>
          <w:rFonts w:ascii="宋体" w:hAnsi="宋体" w:cs="宋体" w:eastAsia="宋体" w:hint="default"/>
          <w:b/>
          <w:bCs/>
          <w:w w:val="99"/>
        </w:rPr>
        <w:t> </w:t>
      </w:r>
      <w:r>
        <w:rPr/>
        <w:t>作为专业从事</w:t>
      </w:r>
      <w:r>
        <w:rPr>
          <w:rFonts w:ascii="Times New Roman" w:hAnsi="Times New Roman" w:cs="Times New Roman" w:eastAsia="Times New Roman" w:hint="default"/>
        </w:rPr>
        <w:t>IT</w:t>
      </w:r>
      <w:r>
        <w:rPr/>
        <w:t>软件及服务的高新技术企业，公司的研发和创新都不可避免地依赖于核心技术人员。多年以来，公司秉</w:t>
      </w:r>
    </w:p>
    <w:p>
      <w:pPr>
        <w:pStyle w:val="BodyText"/>
        <w:spacing w:line="314" w:lineRule="auto" w:before="13"/>
        <w:ind w:right="1129"/>
        <w:jc w:val="both"/>
      </w:pPr>
      <w:r>
        <w:rPr>
          <w:spacing w:val="-2"/>
        </w:rPr>
        <w:t>承和倡导中物院</w:t>
      </w:r>
      <w:r>
        <w:rPr>
          <w:rFonts w:ascii="Times New Roman" w:hAnsi="Times New Roman" w:cs="Times New Roman" w:eastAsia="Times New Roman" w:hint="default"/>
          <w:spacing w:val="-2"/>
        </w:rPr>
        <w:t>“</w:t>
      </w:r>
      <w:r>
        <w:rPr>
          <w:spacing w:val="-2"/>
        </w:rPr>
        <w:t>铸国防基石、做民族脊梁</w:t>
      </w:r>
      <w:r>
        <w:rPr>
          <w:rFonts w:ascii="Times New Roman" w:hAnsi="Times New Roman" w:cs="Times New Roman" w:eastAsia="Times New Roman" w:hint="default"/>
          <w:spacing w:val="-2"/>
        </w:rPr>
        <w:t>”</w:t>
      </w:r>
      <w:r>
        <w:rPr>
          <w:spacing w:val="-2"/>
        </w:rPr>
        <w:t>的核心价值观，提供有竞争力的薪酬和福利，建立科学的绩效管理和人才培训机</w:t>
      </w:r>
      <w:r>
        <w:rPr>
          <w:spacing w:val="-44"/>
        </w:rPr>
        <w:t> </w:t>
      </w:r>
      <w:r>
        <w:rPr>
          <w:spacing w:val="-44"/>
        </w:rPr>
      </w:r>
      <w:r>
        <w:rPr/>
        <w:t>制，培养和锻炼了一支具有丰富行业经验和高度专业化的人才队伍。但随着行业内市场竞争程度逐步加剧，</w:t>
      </w:r>
      <w:r>
        <w:rPr>
          <w:spacing w:val="-16"/>
        </w:rPr>
        <w:t> </w:t>
      </w:r>
      <w:r>
        <w:rPr/>
        <w:t>对于高素质人</w:t>
      </w:r>
      <w:r>
        <w:rPr/>
        <w:t> </w:t>
      </w:r>
      <w:r>
        <w:rPr>
          <w:spacing w:val="-2"/>
        </w:rPr>
        <w:t>才的争夺将会更加激烈，公司面临因竞争而流失人才的风险。同时，随着公司业务的发展，公司对于专业人才的需求将进一</w:t>
      </w:r>
      <w:r>
        <w:rPr>
          <w:spacing w:val="-63"/>
        </w:rPr>
        <w:t> </w:t>
      </w:r>
      <w:r>
        <w:rPr>
          <w:spacing w:val="-63"/>
        </w:rPr>
      </w:r>
      <w:r>
        <w:rPr>
          <w:spacing w:val="-2"/>
        </w:rPr>
        <w:t>步增加，如果公司不能保持现有人才队伍的稳定，并及时招聘和培养一批足够且合格的专业人才，将会对公司未来业务的发</w:t>
      </w:r>
      <w:r>
        <w:rPr>
          <w:spacing w:val="-63"/>
        </w:rPr>
        <w:t> </w:t>
      </w:r>
      <w:r>
        <w:rPr>
          <w:spacing w:val="-63"/>
        </w:rPr>
      </w:r>
      <w:r>
        <w:rPr/>
        <w:t>展造成不利影响。</w:t>
      </w:r>
    </w:p>
    <w:p>
      <w:pPr>
        <w:spacing w:after="0" w:line="314"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2019-001</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2019-002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_bookmark3" w:id="4"/>
      <w:bookmarkEnd w:id="4"/>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left="515" w:right="986" w:hanging="36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spacing w:val="-2"/>
        </w:rPr>
        <w:t>报告期内，公司严格执行《公司章程》中利润分配的政策，从制度上保证了利润分配政策的连续性和稳定性，能够充分</w:t>
      </w:r>
    </w:p>
    <w:p>
      <w:pPr>
        <w:pStyle w:val="BodyText"/>
        <w:spacing w:line="240" w:lineRule="auto" w:before="1"/>
        <w:ind w:right="1133"/>
        <w:jc w:val="left"/>
      </w:pPr>
      <w:r>
        <w:rPr/>
        <w:t>保护中小投资者的合法权益，兼顾股东的合理投资回报和公司中远期发展规划相结合。</w:t>
      </w:r>
    </w:p>
    <w:p>
      <w:pPr>
        <w:pStyle w:val="BodyText"/>
        <w:spacing w:line="240" w:lineRule="auto" w:before="117"/>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424" w:right="986"/>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日召开了第四届董事会第二十一次会议，审议通过了</w:t>
      </w:r>
      <w:r>
        <w:rPr>
          <w:spacing w:val="-46"/>
        </w:rPr>
        <w:t> </w:t>
      </w:r>
      <w:r>
        <w:rPr>
          <w:rFonts w:ascii="Times New Roman" w:hAnsi="Times New Roman" w:cs="Times New Roman" w:eastAsia="Times New Roman" w:hint="default"/>
        </w:rPr>
        <w:t>2019 </w:t>
      </w:r>
      <w:r>
        <w:rPr/>
        <w:t>年利润分配预案：拟以总股本</w:t>
      </w:r>
      <w:r>
        <w:rPr>
          <w:spacing w:val="-46"/>
        </w:rPr>
        <w:t> </w:t>
      </w:r>
      <w:r>
        <w:rPr>
          <w:rFonts w:ascii="Times New Roman" w:hAnsi="Times New Roman" w:cs="Times New Roman" w:eastAsia="Times New Roman" w:hint="default"/>
        </w:rPr>
        <w:t>224,302,769</w:t>
      </w:r>
    </w:p>
    <w:p>
      <w:pPr>
        <w:pStyle w:val="BodyText"/>
        <w:spacing w:line="240" w:lineRule="auto" w:before="63"/>
        <w:ind w:right="1133"/>
        <w:jc w:val="left"/>
      </w:pPr>
      <w:r>
        <w:rPr/>
        <w:t>股为基数，以资本公积金向全体股东按每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4 </w:t>
      </w:r>
      <w:r>
        <w:rPr/>
        <w:t>股，转增后资本公积金余额为</w:t>
      </w:r>
      <w:r>
        <w:rPr>
          <w:spacing w:val="-20"/>
        </w:rPr>
        <w:t> </w:t>
      </w:r>
      <w:r>
        <w:rPr>
          <w:rFonts w:ascii="Times New Roman" w:hAnsi="Times New Roman" w:cs="Times New Roman" w:eastAsia="Times New Roman" w:hint="default"/>
        </w:rPr>
        <w:t>40,389.20</w:t>
      </w:r>
      <w:r>
        <w:rPr>
          <w:rFonts w:ascii="Times New Roman" w:hAnsi="Times New Roman" w:cs="Times New Roman" w:eastAsia="Times New Roman" w:hint="default"/>
          <w:spacing w:val="1"/>
        </w:rPr>
        <w:t> </w:t>
      </w:r>
      <w:r>
        <w:rPr/>
        <w:t>万元，转增后公司总股本变</w:t>
      </w:r>
    </w:p>
    <w:p>
      <w:pPr>
        <w:pStyle w:val="BodyText"/>
        <w:spacing w:line="240" w:lineRule="auto" w:before="63"/>
        <w:ind w:right="986"/>
        <w:jc w:val="left"/>
      </w:pPr>
      <w:r>
        <w:rPr/>
        <w:t>更为</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87</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股；拟以</w:t>
      </w:r>
      <w:r>
        <w:rPr>
          <w:spacing w:val="-3"/>
        </w:rPr>
        <w:t>总</w:t>
      </w:r>
      <w:r>
        <w:rPr/>
        <w:t>股本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股为基数，</w:t>
      </w:r>
      <w:r>
        <w:rPr>
          <w:spacing w:val="-3"/>
        </w:rPr>
        <w:t>向</w:t>
      </w:r>
      <w:r>
        <w:rPr/>
        <w:t>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红</w:t>
      </w:r>
      <w:r>
        <w:rPr/>
        <w:t>利</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元（含税</w:t>
      </w:r>
      <w:r>
        <w:rPr>
          <w:spacing w:val="-92"/>
        </w:rPr>
        <w:t>）</w:t>
      </w:r>
      <w:r>
        <w:rPr/>
        <w:t>，共分配</w:t>
      </w:r>
      <w:r>
        <w:rPr>
          <w:spacing w:val="-3"/>
        </w:rPr>
        <w:t>现</w:t>
      </w:r>
      <w:r>
        <w:rPr/>
        <w:t>金红</w:t>
      </w:r>
    </w:p>
    <w:p>
      <w:pPr>
        <w:pStyle w:val="BodyText"/>
        <w:spacing w:line="240" w:lineRule="auto" w:before="63"/>
        <w:ind w:right="1133"/>
        <w:jc w:val="left"/>
      </w:pPr>
      <w:r>
        <w:rPr/>
        <w:t>利</w:t>
      </w:r>
      <w:r>
        <w:rPr>
          <w:spacing w:val="-48"/>
        </w:rPr>
        <w:t> </w:t>
      </w:r>
      <w:r>
        <w:rPr>
          <w:rFonts w:ascii="Times New Roman" w:hAnsi="Times New Roman" w:cs="Times New Roman" w:eastAsia="Times New Roman" w:hint="default"/>
        </w:rPr>
        <w:t>44,860,553.80</w:t>
      </w:r>
      <w:r>
        <w:rPr>
          <w:rFonts w:ascii="Times New Roman" w:hAnsi="Times New Roman" w:cs="Times New Roman" w:eastAsia="Times New Roman" w:hint="default"/>
          <w:spacing w:val="-2"/>
        </w:rPr>
        <w:t> </w:t>
      </w:r>
      <w:r>
        <w:rPr/>
        <w:t>元，剩余未分配利润结转以后年度。</w:t>
      </w:r>
    </w:p>
    <w:p>
      <w:pPr>
        <w:pStyle w:val="BodyText"/>
        <w:spacing w:line="240" w:lineRule="auto" w:before="103"/>
        <w:ind w:left="424"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年度利润分配预案及资本公积金转增股本方案情况</w:t>
      </w:r>
    </w:p>
    <w:p>
      <w:pPr>
        <w:pStyle w:val="BodyText"/>
        <w:spacing w:line="240" w:lineRule="auto" w:before="103"/>
        <w:ind w:right="1133"/>
        <w:jc w:val="left"/>
        <w:rPr>
          <w:rFonts w:ascii="Times New Roman" w:hAnsi="Times New Roman" w:cs="Times New Roman" w:eastAsia="Times New Roman" w:hint="default"/>
        </w:rPr>
      </w:pPr>
      <w:r>
        <w:rPr/>
        <w:t>以总股本</w:t>
      </w:r>
      <w:r>
        <w:rPr>
          <w:spacing w:val="-46"/>
        </w:rPr>
        <w:t> </w:t>
      </w:r>
      <w:r>
        <w:rPr>
          <w:rFonts w:ascii="Times New Roman" w:hAnsi="Times New Roman" w:cs="Times New Roman" w:eastAsia="Times New Roman" w:hint="default"/>
        </w:rPr>
        <w:t>172,540,592 </w:t>
      </w:r>
      <w:r>
        <w:rPr/>
        <w:t>股为基数，以资本公积金向全体股东按每</w:t>
      </w:r>
      <w:r>
        <w:rPr>
          <w:spacing w:val="-46"/>
        </w:rPr>
        <w:t> </w:t>
      </w:r>
      <w:r>
        <w:rPr>
          <w:rFonts w:ascii="Times New Roman" w:hAnsi="Times New Roman" w:cs="Times New Roman" w:eastAsia="Times New Roman" w:hint="default"/>
        </w:rPr>
        <w:t>10 </w:t>
      </w:r>
      <w:r>
        <w:rPr/>
        <w:t>股转增</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股，转增后资本公积金余额为</w:t>
      </w:r>
      <w:r>
        <w:rPr>
          <w:spacing w:val="-3"/>
        </w:rPr>
        <w:t> </w:t>
      </w:r>
      <w:r>
        <w:rPr>
          <w:rFonts w:ascii="Times New Roman" w:hAnsi="Times New Roman" w:cs="Times New Roman" w:eastAsia="Times New Roman" w:hint="default"/>
        </w:rPr>
        <w:t>49,361.31 </w:t>
      </w:r>
      <w:r>
        <w:rPr/>
        <w:t>万元</w:t>
      </w:r>
      <w:r>
        <w:rPr>
          <w:rFonts w:ascii="Times New Roman" w:hAnsi="Times New Roman" w:cs="Times New Roman" w:eastAsia="Times New Roman" w:hint="default"/>
        </w:rPr>
        <w:t>,</w:t>
      </w:r>
    </w:p>
    <w:p>
      <w:pPr>
        <w:pStyle w:val="BodyText"/>
        <w:spacing w:line="240" w:lineRule="auto" w:before="63"/>
        <w:ind w:right="986"/>
        <w:jc w:val="left"/>
      </w:pPr>
      <w:r>
        <w:rPr/>
        <w:t>转增后公司总股本变更为 </w:t>
      </w:r>
      <w:r>
        <w:rPr>
          <w:rFonts w:ascii="Times New Roman" w:hAnsi="Times New Roman" w:cs="Times New Roman" w:eastAsia="Times New Roman" w:hint="default"/>
        </w:rPr>
        <w:t>224,302,769.60</w:t>
      </w:r>
      <w:r>
        <w:rPr>
          <w:rFonts w:ascii="Times New Roman" w:hAnsi="Times New Roman" w:cs="Times New Roman" w:eastAsia="Times New Roman" w:hint="default"/>
          <w:spacing w:val="2"/>
        </w:rPr>
        <w:t> </w:t>
      </w:r>
      <w:r>
        <w:rPr>
          <w:spacing w:val="-8"/>
        </w:rPr>
        <w:t>股；以总股本</w:t>
      </w:r>
      <w:r>
        <w:rPr>
          <w:spacing w:val="-46"/>
        </w:rPr>
        <w:t> </w:t>
      </w:r>
      <w:r>
        <w:rPr>
          <w:rFonts w:ascii="Times New Roman" w:hAnsi="Times New Roman" w:cs="Times New Roman" w:eastAsia="Times New Roman" w:hint="default"/>
        </w:rPr>
        <w:t>172,540,592</w:t>
      </w:r>
      <w:r>
        <w:rPr>
          <w:rFonts w:ascii="Times New Roman" w:hAnsi="Times New Roman" w:cs="Times New Roman" w:eastAsia="Times New Roman" w:hint="default"/>
          <w:spacing w:val="2"/>
        </w:rPr>
        <w:t> </w:t>
      </w:r>
      <w:r>
        <w:rPr>
          <w:spacing w:val="-4"/>
        </w:rPr>
        <w:t>股为基数，向全体股东每</w:t>
      </w:r>
      <w:r>
        <w:rPr>
          <w:spacing w:val="-48"/>
        </w:rPr>
        <w:t> </w:t>
      </w:r>
      <w:r>
        <w:rPr>
          <w:rFonts w:ascii="Times New Roman" w:hAnsi="Times New Roman" w:cs="Times New Roman" w:eastAsia="Times New Roman" w:hint="default"/>
        </w:rPr>
        <w:t>10 </w:t>
      </w:r>
      <w:r>
        <w:rPr/>
        <w:t>股派发现金红利</w:t>
      </w:r>
      <w:r>
        <w:rPr>
          <w:spacing w:val="-48"/>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spacing w:val="-15"/>
        </w:rPr>
        <w:t>元（含</w:t>
      </w:r>
    </w:p>
    <w:p>
      <w:pPr>
        <w:pStyle w:val="BodyText"/>
        <w:spacing w:line="240" w:lineRule="auto" w:before="63"/>
        <w:ind w:right="1133"/>
        <w:jc w:val="left"/>
      </w:pPr>
      <w:r>
        <w:rPr/>
        <w:t>税</w:t>
      </w:r>
      <w:r>
        <w:rPr>
          <w:spacing w:val="-92"/>
        </w:rPr>
        <w:t>）</w:t>
      </w:r>
      <w:r>
        <w:rPr/>
        <w:t>，共分配现金红利</w:t>
      </w:r>
      <w:r>
        <w:rPr>
          <w:spacing w:val="-44"/>
        </w:rPr>
        <w:t> </w:t>
      </w:r>
      <w:r>
        <w:rPr>
          <w:rFonts w:ascii="Times New Roman" w:hAnsi="Times New Roman" w:cs="Times New Roman" w:eastAsia="Times New Roman" w:hint="default"/>
          <w:spacing w:val="1"/>
        </w:rPr>
        <w:t>43</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元，剩余未分配利润结转</w:t>
      </w:r>
      <w:r>
        <w:rPr>
          <w:spacing w:val="-3"/>
        </w:rPr>
        <w:t>以</w:t>
      </w:r>
      <w:r>
        <w:rPr/>
        <w:t>后年度。</w:t>
      </w:r>
    </w:p>
    <w:p>
      <w:pPr>
        <w:pStyle w:val="BodyText"/>
        <w:spacing w:line="240" w:lineRule="auto" w:before="101"/>
        <w:ind w:left="424"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年度利润分配预案及资本公积金转增股本方案情况</w:t>
      </w:r>
    </w:p>
    <w:p>
      <w:pPr>
        <w:pStyle w:val="BodyText"/>
        <w:spacing w:line="300" w:lineRule="auto" w:before="103"/>
        <w:ind w:right="1133" w:firstLine="91"/>
        <w:jc w:val="left"/>
      </w:pPr>
      <w:r>
        <w:rPr/>
        <w:t>以总股本</w:t>
      </w:r>
      <w:r>
        <w:rPr>
          <w:spacing w:val="-40"/>
        </w:rPr>
        <w:t> </w:t>
      </w:r>
      <w:r>
        <w:rPr>
          <w:rFonts w:ascii="Times New Roman" w:hAnsi="Times New Roman" w:cs="Times New Roman" w:eastAsia="Times New Roman" w:hint="default"/>
          <w:spacing w:val="-1"/>
        </w:rPr>
        <w:t>172,540,592</w:t>
      </w:r>
      <w:r>
        <w:rPr>
          <w:rFonts w:ascii="Times New Roman" w:hAnsi="Times New Roman" w:cs="Times New Roman" w:eastAsia="Times New Roman" w:hint="default"/>
          <w:spacing w:val="6"/>
        </w:rPr>
        <w:t> </w:t>
      </w:r>
      <w:r>
        <w:rPr>
          <w:spacing w:val="-1"/>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1"/>
        </w:rPr>
        <w:t>股派发现金红利</w:t>
      </w:r>
      <w:r>
        <w:rPr>
          <w:spacing w:val="-41"/>
        </w:rPr>
        <w:t> </w:t>
      </w:r>
      <w:r>
        <w:rPr>
          <w:rFonts w:ascii="Times New Roman" w:hAnsi="Times New Roman" w:cs="Times New Roman" w:eastAsia="Times New Roman" w:hint="default"/>
          <w:spacing w:val="-1"/>
        </w:rPr>
        <w:t>2.50</w:t>
      </w:r>
      <w:r>
        <w:rPr>
          <w:rFonts w:ascii="Times New Roman" w:hAnsi="Times New Roman" w:cs="Times New Roman" w:eastAsia="Times New Roman" w:hint="default"/>
          <w:spacing w:val="6"/>
        </w:rPr>
        <w:t> </w:t>
      </w:r>
      <w:r>
        <w:rPr>
          <w:spacing w:val="-8"/>
        </w:rPr>
        <w:t>元（含税），共分配现金红利</w:t>
      </w:r>
      <w:r>
        <w:rPr>
          <w:spacing w:val="-40"/>
        </w:rPr>
        <w:t> </w:t>
      </w:r>
      <w:r>
        <w:rPr>
          <w:rFonts w:ascii="Times New Roman" w:hAnsi="Times New Roman" w:cs="Times New Roman" w:eastAsia="Times New Roman" w:hint="default"/>
          <w:spacing w:val="-1"/>
        </w:rPr>
        <w:t>43,135,148</w:t>
      </w:r>
      <w:r>
        <w:rPr>
          <w:rFonts w:ascii="Times New Roman" w:hAnsi="Times New Roman" w:cs="Times New Roman" w:eastAsia="Times New Roman" w:hint="default"/>
          <w:spacing w:val="6"/>
        </w:rPr>
        <w:t> </w:t>
      </w:r>
      <w:r>
        <w:rPr>
          <w:spacing w:val="-1"/>
        </w:rPr>
        <w:t>元；不以</w:t>
      </w:r>
      <w:r>
        <w:rPr/>
        <w:t> 公积金转增股本；不送红股；剩余未分配利润结转以后年度。</w:t>
      </w:r>
    </w:p>
    <w:p>
      <w:pPr>
        <w:pStyle w:val="BodyText"/>
        <w:spacing w:line="240" w:lineRule="auto" w:before="72"/>
        <w:ind w:left="424" w:right="113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年半年度利润分配预案及资本公积金转增股本方案情况</w:t>
      </w:r>
    </w:p>
    <w:p>
      <w:pPr>
        <w:pStyle w:val="BodyText"/>
        <w:spacing w:line="300" w:lineRule="auto" w:before="101"/>
        <w:ind w:right="1127"/>
        <w:jc w:val="left"/>
      </w:pPr>
      <w:r>
        <w:rPr/>
        <w:t>以公司总股本</w:t>
      </w:r>
      <w:r>
        <w:rPr>
          <w:spacing w:val="-41"/>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5"/>
        </w:rPr>
        <w:t> </w:t>
      </w:r>
      <w:r>
        <w:rPr>
          <w:spacing w:val="-3"/>
        </w:rPr>
        <w:t>股为基数，向全体股东每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股以资本公积转增</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股。不派发现金股利，不送红股。剩余未分配利</w:t>
      </w:r>
      <w:r>
        <w:rPr/>
        <w:t> 润结转以后年度。</w:t>
      </w:r>
    </w:p>
    <w:p>
      <w:pPr>
        <w:pStyle w:val="BodyText"/>
        <w:spacing w:line="240" w:lineRule="auto" w:before="72"/>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44,860,553.80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161,493,339.26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44,860,553.80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27.78%</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118,696,797.76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43,135,148.00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36.34%</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90,795,508.19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43,135,148.00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47.51%</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224,302,769</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44,860,553.80</w:t>
            </w:r>
          </w:p>
        </w:tc>
      </w:tr>
      <w:tr>
        <w:trPr>
          <w:trHeight w:val="401"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44,860,553.80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352,603,456.64</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224,302,769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股，转增后资本公积金余额为</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40,389.20 </w:t>
            </w:r>
            <w:r>
              <w:rPr>
                <w:rFonts w:ascii="宋体" w:hAnsi="宋体" w:cs="宋体" w:eastAsia="宋体" w:hint="default"/>
                <w:sz w:val="18"/>
                <w:szCs w:val="18"/>
              </w:rPr>
              <w:t>万</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元，转增后公司总股本变更为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314,023,878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股；拟以总股本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224,302,769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，共分配现金红利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w:t>
            </w:r>
            <w:r>
              <w:rPr>
                <w:rFonts w:ascii="宋体" w:hAnsi="宋体" w:cs="宋体" w:eastAsia="宋体" w:hint="default"/>
                <w:spacing w:val="-3"/>
                <w:sz w:val="18"/>
                <w:szCs w:val="18"/>
              </w:rPr>
              <w:t>利</w:t>
            </w:r>
            <w:r>
              <w:rPr>
                <w:rFonts w:ascii="宋体" w:hAnsi="宋体" w:cs="宋体" w:eastAsia="宋体" w:hint="default"/>
                <w:sz w:val="18"/>
                <w:szCs w:val="18"/>
              </w:rPr>
              <w:t>润结转以后年度。</w:t>
            </w: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430"/>
        <w:gridCol w:w="1274"/>
        <w:gridCol w:w="2268"/>
        <w:gridCol w:w="994"/>
        <w:gridCol w:w="850"/>
        <w:gridCol w:w="778"/>
      </w:tblGrid>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30"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8"/>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430"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30"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27.089996pt;margin-top:279.889984pt;width:63.4pt;height:85.8pt;mso-position-horizontal-relative:page;mso-position-vertical-relative:page;z-index:-1103056" coordorigin="4542,5598" coordsize="1268,1716">
            <v:shape style="position:absolute;left:4542;top:5598;width:1268;height:1716" coordorigin="4542,5598" coordsize="1268,1716" path="m4542,7314l5809,7314,5809,5598,4542,5598,4542,731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4"/>
        <w:gridCol w:w="1419"/>
        <w:gridCol w:w="1274"/>
        <w:gridCol w:w="2268"/>
        <w:gridCol w:w="994"/>
        <w:gridCol w:w="850"/>
        <w:gridCol w:w="778"/>
      </w:tblGrid>
      <w:tr>
        <w:trPr>
          <w:trHeight w:val="4146"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2"/>
              <w:jc w:val="left"/>
              <w:rPr>
                <w:rFonts w:ascii="宋体" w:hAnsi="宋体" w:cs="宋体" w:eastAsia="宋体" w:hint="default"/>
                <w:sz w:val="18"/>
                <w:szCs w:val="18"/>
              </w:rPr>
            </w:pPr>
            <w:r>
              <w:rPr>
                <w:rFonts w:ascii="宋体" w:hAnsi="宋体" w:cs="宋体" w:eastAsia="宋体" w:hint="default"/>
                <w:spacing w:val="-10"/>
                <w:sz w:val="18"/>
                <w:szCs w:val="18"/>
              </w:rPr>
              <w:t>久远集团、锐锋集</w:t>
            </w:r>
            <w:r>
              <w:rPr>
                <w:rFonts w:ascii="宋体" w:hAnsi="宋体" w:cs="宋体" w:eastAsia="宋体" w:hint="default"/>
                <w:sz w:val="18"/>
                <w:szCs w:val="18"/>
              </w:rPr>
              <w:t> 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58"/>
              <w:jc w:val="left"/>
              <w:rPr>
                <w:rFonts w:ascii="宋体" w:hAnsi="宋体" w:cs="宋体" w:eastAsia="宋体" w:hint="default"/>
                <w:sz w:val="18"/>
                <w:szCs w:val="18"/>
              </w:rPr>
            </w:pPr>
            <w:r>
              <w:rPr>
                <w:rFonts w:ascii="宋体" w:hAnsi="宋体" w:cs="宋体" w:eastAsia="宋体" w:hint="default"/>
                <w:sz w:val="18"/>
                <w:szCs w:val="18"/>
              </w:rPr>
              <w:t>股份锁定及减 持价格承诺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自发行人上市之日起三十六 个月内，不转让或者委托他 人管理其直接或间接持有的 发行人股份，也不由发行人 回购其持有的股份。所持股 票在锁定期满后两年内减持 的，其减持价格不低于发行 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公司股票连续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 收盘价均低于发行价，或者 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 于发行价，持有公司股票的 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4148" w:hRule="exact"/>
        </w:trPr>
        <w:tc>
          <w:tcPr>
            <w:tcW w:w="1984"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20"/>
              <w:jc w:val="left"/>
              <w:rPr>
                <w:rFonts w:ascii="宋体" w:hAnsi="宋体" w:cs="宋体" w:eastAsia="宋体" w:hint="default"/>
                <w:sz w:val="18"/>
                <w:szCs w:val="18"/>
              </w:rPr>
            </w:pPr>
            <w:r>
              <w:rPr>
                <w:rFonts w:ascii="宋体" w:hAnsi="宋体" w:cs="宋体" w:eastAsia="宋体" w:hint="default"/>
                <w:sz w:val="18"/>
                <w:szCs w:val="18"/>
              </w:rPr>
              <w:t>公司董事、监事 高级管理人员李 </w:t>
            </w:r>
            <w:r>
              <w:rPr>
                <w:rFonts w:ascii="宋体" w:hAnsi="宋体" w:cs="宋体" w:eastAsia="宋体" w:hint="default"/>
                <w:spacing w:val="-10"/>
                <w:sz w:val="18"/>
                <w:szCs w:val="18"/>
              </w:rPr>
              <w:t>慧霞、单卫民、程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树忠、王卒、詹开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明、田志勇、连春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华、杨成文、翟峻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梓、张光红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0"/>
              <w:ind w:left="23" w:right="158"/>
              <w:jc w:val="left"/>
              <w:rPr>
                <w:rFonts w:ascii="宋体" w:hAnsi="宋体" w:cs="宋体" w:eastAsia="宋体" w:hint="default"/>
                <w:sz w:val="18"/>
                <w:szCs w:val="18"/>
              </w:rPr>
            </w:pPr>
            <w:r>
              <w:rPr>
                <w:rFonts w:ascii="宋体" w:hAnsi="宋体" w:cs="宋体" w:eastAsia="宋体" w:hint="default"/>
                <w:sz w:val="18"/>
                <w:szCs w:val="18"/>
              </w:rPr>
              <w:t>股份锁定及减 持价格承诺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自发行人上市之日起三十六 个月内，不转让或者委托他 人管理其直接或间接持有的 发行人股份，也不由发行人 回购其持有的股份。所持股 票在锁定期满后两年内减持 的，其减持价格不低于发行 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公司股票连续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个交易日的 收盘价均低于发行价，或者 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 于发行价，持有公司股票的 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1"/>
              <w:ind w:left="23" w:right="2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5084"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0"/>
                <w:sz w:val="18"/>
                <w:szCs w:val="18"/>
              </w:rPr>
              <w:t>久远集团、锐锋集</w:t>
            </w:r>
            <w:r>
              <w:rPr>
                <w:rFonts w:ascii="宋体" w:hAnsi="宋体" w:cs="宋体" w:eastAsia="宋体" w:hint="default"/>
                <w:sz w:val="18"/>
                <w:szCs w:val="18"/>
              </w:rPr>
              <w:t> 团</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32"/>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72"/>
              <w:jc w:val="both"/>
              <w:rPr>
                <w:rFonts w:ascii="宋体" w:hAnsi="宋体" w:cs="宋体" w:eastAsia="宋体" w:hint="default"/>
                <w:sz w:val="18"/>
                <w:szCs w:val="18"/>
              </w:rPr>
            </w:pPr>
            <w:r>
              <w:rPr>
                <w:rFonts w:ascii="宋体" w:hAnsi="宋体" w:cs="宋体" w:eastAsia="宋体" w:hint="default"/>
                <w:sz w:val="18"/>
                <w:szCs w:val="18"/>
              </w:rPr>
              <w:t>在本公司作为中物院所控制 的企业期间，本公司将严格 遵守有关法律、法规、规范 性文件的规定及中国证监会 的有关规定，不在中国境内 或境外，直接或间接从事与 久远银海及其控制的企业相 同或相似并构成竞争关系的 业务，亦不会直接或间接拥 有与久远银海及其控制的企 业从事相同或相似并构成竞 争关系的企业、组织、经济 实体的控制权。本公司承诺 将促使本公司控制的企业按 照与本公司同样的标准遵守 以上保证及承诺事项。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4"/>
        <w:gridCol w:w="1419"/>
        <w:gridCol w:w="1286"/>
        <w:gridCol w:w="2256"/>
        <w:gridCol w:w="994"/>
        <w:gridCol w:w="850"/>
        <w:gridCol w:w="778"/>
      </w:tblGrid>
      <w:tr>
        <w:trPr>
          <w:trHeight w:val="7266"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中物院</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20"/>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256"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right="19"/>
              <w:jc w:val="left"/>
              <w:rPr>
                <w:rFonts w:ascii="宋体" w:hAnsi="宋体" w:cs="宋体" w:eastAsia="宋体" w:hint="default"/>
                <w:sz w:val="18"/>
                <w:szCs w:val="18"/>
              </w:rPr>
            </w:pPr>
            <w:r>
              <w:rPr>
                <w:rFonts w:ascii="宋体" w:hAnsi="宋体" w:cs="宋体" w:eastAsia="宋体" w:hint="default"/>
                <w:sz w:val="18"/>
                <w:szCs w:val="18"/>
              </w:rPr>
              <w:t>本院作为四川久远银海软件 </w:t>
            </w:r>
            <w:r>
              <w:rPr>
                <w:rFonts w:ascii="宋体" w:hAnsi="宋体" w:cs="宋体" w:eastAsia="宋体" w:hint="default"/>
                <w:spacing w:val="-2"/>
                <w:sz w:val="18"/>
                <w:szCs w:val="18"/>
              </w:rPr>
              <w:t>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w:t>
            </w:r>
            <w:r>
              <w:rPr>
                <w:rFonts w:ascii="宋体" w:hAnsi="宋体" w:cs="宋体" w:eastAsia="宋体" w:hint="default"/>
                <w:sz w:val="18"/>
                <w:szCs w:val="18"/>
              </w:rPr>
              <w:t> </w:t>
            </w:r>
            <w:r>
              <w:rPr>
                <w:rFonts w:ascii="宋体" w:hAnsi="宋体" w:cs="宋体" w:eastAsia="宋体" w:hint="default"/>
                <w:spacing w:val="-2"/>
                <w:sz w:val="18"/>
                <w:szCs w:val="18"/>
              </w:rPr>
              <w:t>份公司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）的实际控制人，为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有效支持股份公司发展，维 护股份公司及其他股东的合 法权益，就承担的与避免同 业竞争有关的义务郑重承 </w:t>
            </w:r>
            <w:r>
              <w:rPr>
                <w:rFonts w:ascii="宋体" w:hAnsi="宋体" w:cs="宋体" w:eastAsia="宋体" w:hint="default"/>
                <w:spacing w:val="-3"/>
                <w:sz w:val="18"/>
                <w:szCs w:val="18"/>
              </w:rPr>
              <w:t>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、本院及本院下属单位</w:t>
            </w:r>
            <w:r>
              <w:rPr>
                <w:rFonts w:ascii="宋体" w:hAnsi="宋体" w:cs="宋体" w:eastAsia="宋体" w:hint="default"/>
                <w:sz w:val="18"/>
                <w:szCs w:val="18"/>
              </w:rPr>
              <w:t> 和企业保证现时不存在与股 份公司相同或同类的经营业 </w:t>
            </w:r>
            <w:r>
              <w:rPr>
                <w:rFonts w:ascii="宋体" w:hAnsi="宋体" w:cs="宋体" w:eastAsia="宋体" w:hint="default"/>
                <w:spacing w:val="-3"/>
                <w:sz w:val="18"/>
                <w:szCs w:val="18"/>
              </w:rPr>
              <w:t>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、本院及本院下属单位</w:t>
            </w:r>
            <w:r>
              <w:rPr>
                <w:rFonts w:ascii="宋体" w:hAnsi="宋体" w:cs="宋体" w:eastAsia="宋体" w:hint="default"/>
                <w:sz w:val="18"/>
                <w:szCs w:val="18"/>
              </w:rPr>
              <w:t> 和企业将不在任何地方以任 何方式自营与股份公司相同 或相似的经营业务，不自营 任何对股份公司经营及拟经 营业务构成直接竞争的类同 项目或功能上具有替代作用 的项目，也不会以任何方式 投资与股份公司经营业务构 成或可能构成竞争的业务， 从而确保避免对股份公司的 生产经营构成任何直接或间 接的业务竞争。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收购杭州海量</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1,082.24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43"/>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pStyle w:val="BodyText"/>
        <w:spacing w:line="240" w:lineRule="auto" w:before="49"/>
        <w:ind w:right="1133"/>
        <w:jc w:val="left"/>
      </w:pPr>
      <w:r>
        <w:rPr/>
        <w:t>公司股东、交易对手方在报告年度经营业绩做出的承诺情况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49" w:firstLine="425"/>
        <w:jc w:val="left"/>
      </w:pPr>
      <w:r>
        <w:rPr/>
        <w:t>根据公司与杭州海量信息技术有限公司股东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日签署的《股权转让协议》，转让方承诺，杭州海量</w:t>
      </w:r>
      <w:r>
        <w:rPr>
          <w:rFonts w:ascii="Times New Roman" w:hAnsi="Times New Roman" w:cs="Times New Roman" w:eastAsia="Times New Roman" w:hint="default"/>
        </w:rPr>
        <w:t>2019</w:t>
      </w:r>
      <w:r>
        <w:rPr/>
        <w:t>年 实现的扣除非经常性损益的税后净利润将不少于</w:t>
      </w:r>
      <w:r>
        <w:rPr>
          <w:rFonts w:ascii="Times New Roman" w:hAnsi="Times New Roman" w:cs="Times New Roman" w:eastAsia="Times New Roman" w:hint="default"/>
        </w:rPr>
        <w:t>700</w:t>
      </w:r>
      <w:r>
        <w:rPr/>
        <w:t>万元。</w:t>
      </w:r>
    </w:p>
    <w:p>
      <w:pPr>
        <w:pStyle w:val="BodyText"/>
        <w:spacing w:line="300" w:lineRule="auto" w:before="13"/>
        <w:ind w:right="1149" w:firstLine="425"/>
        <w:jc w:val="left"/>
      </w:pPr>
      <w:r>
        <w:rPr/>
        <w:t>根据立信会计师事务所（特殊普通合伙）出具的《</w:t>
      </w:r>
      <w:r>
        <w:rPr>
          <w:rFonts w:ascii="Times New Roman" w:hAnsi="Times New Roman" w:cs="Times New Roman" w:eastAsia="Times New Roman" w:hint="default"/>
        </w:rPr>
        <w:t>2019</w:t>
      </w:r>
      <w:r>
        <w:rPr/>
        <w:t>年度杭州海量信息技术有限公司审计报告及财务报表》，杭州 海量</w:t>
      </w:r>
      <w:r>
        <w:rPr>
          <w:rFonts w:ascii="Times New Roman" w:hAnsi="Times New Roman" w:cs="Times New Roman" w:eastAsia="Times New Roman" w:hint="default"/>
        </w:rPr>
        <w:t>2019</w:t>
      </w:r>
      <w:r>
        <w:rPr/>
        <w:t>年度实现的扣除非经常性损益后税后净利润为</w:t>
      </w:r>
      <w:r>
        <w:rPr>
          <w:rFonts w:ascii="Times New Roman" w:hAnsi="Times New Roman" w:cs="Times New Roman" w:eastAsia="Times New Roman" w:hint="default"/>
        </w:rPr>
        <w:t>1,082.24</w:t>
      </w:r>
      <w:r>
        <w:rPr/>
        <w:t>万元，完成了</w:t>
      </w:r>
      <w:r>
        <w:rPr>
          <w:rFonts w:ascii="Times New Roman" w:hAnsi="Times New Roman" w:cs="Times New Roman" w:eastAsia="Times New Roman" w:hint="default"/>
        </w:rPr>
        <w:t>2019</w:t>
      </w:r>
      <w:r>
        <w:rPr/>
        <w:t>年度的业绩承诺。</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ind w:left="513" w:right="6073" w:hanging="361"/>
        <w:jc w:val="left"/>
      </w:pPr>
      <w:r>
        <w:rPr/>
        <w:t>业绩承诺的完成情况及其对商誉减值测试的影响 交易对手完成了业绩承诺，目前不存在商誉减值风险。</w:t>
      </w:r>
    </w:p>
    <w:p>
      <w:pPr>
        <w:spacing w:line="240" w:lineRule="auto" w:before="5"/>
        <w:rPr>
          <w:rFonts w:ascii="宋体" w:hAnsi="宋体" w:cs="宋体" w:eastAsia="宋体" w:hint="default"/>
          <w:sz w:val="18"/>
          <w:szCs w:val="18"/>
        </w:rPr>
      </w:pPr>
    </w:p>
    <w:p>
      <w:pPr>
        <w:pStyle w:val="Heading4"/>
        <w:spacing w:line="240" w:lineRule="auto"/>
        <w:ind w:right="1133"/>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4"/>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32"/>
        <w:jc w:val="left"/>
      </w:pPr>
      <w:r>
        <w:rPr/>
        <w:t>（</w:t>
      </w:r>
      <w:r>
        <w:rPr>
          <w:rFonts w:ascii="Times New Roman" w:hAnsi="Times New Roman" w:cs="Times New Roman" w:eastAsia="Times New Roman" w:hint="default"/>
        </w:rPr>
        <w:t>1</w:t>
      </w:r>
      <w:r>
        <w:rPr/>
        <w:t>）执行《财政部关于修订印发</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年度一般企业财务报表格式的通知》和《关于修订印发合并财务报表格式（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spacing w:val="-3"/>
        </w:rPr>
        <w:t>版） </w:t>
      </w:r>
      <w:r>
        <w:rPr/>
        <w:t>的通知》</w:t>
      </w:r>
    </w:p>
    <w:p>
      <w:pPr>
        <w:pStyle w:val="BodyText"/>
        <w:spacing w:line="240" w:lineRule="auto" w:before="70"/>
        <w:ind w:left="515" w:right="986"/>
        <w:jc w:val="left"/>
      </w:pPr>
      <w:r>
        <w:rPr/>
        <w:t>财政部分别于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19 </w:t>
      </w:r>
      <w:r>
        <w:rPr/>
        <w:t>日发布了《关于修订印发</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年度一般企业财务报表格式的通知》</w:t>
      </w:r>
    </w:p>
    <w:p>
      <w:pPr>
        <w:pStyle w:val="BodyText"/>
        <w:spacing w:line="300" w:lineRule="auto" w:before="63"/>
        <w:ind w:right="1183"/>
        <w:jc w:val="left"/>
      </w:pPr>
      <w:r>
        <w:rPr>
          <w:spacing w:val="-1"/>
        </w:rPr>
        <w:t>（财会（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3"/>
        </w:rPr>
        <w:t> </w:t>
      </w:r>
      <w:r>
        <w:rPr>
          <w:spacing w:val="-1"/>
        </w:rPr>
        <w:t>号）和《关于修订印发合并财务报表格式（</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4"/>
        </w:rPr>
        <w:t> </w:t>
      </w:r>
      <w:r>
        <w:rPr>
          <w:spacing w:val="-6"/>
        </w:rPr>
        <w:t>版）的通知》（财会（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16</w:t>
      </w:r>
      <w:r>
        <w:rPr>
          <w:rFonts w:ascii="Times New Roman" w:hAnsi="Times New Roman" w:cs="Times New Roman" w:eastAsia="Times New Roman" w:hint="default"/>
          <w:spacing w:val="13"/>
        </w:rPr>
        <w:t> </w:t>
      </w:r>
      <w:r>
        <w:rPr>
          <w:spacing w:val="-9"/>
        </w:rPr>
        <w:t>号），对一般企业财务报</w:t>
      </w:r>
      <w:r>
        <w:rPr>
          <w:spacing w:val="-86"/>
        </w:rPr>
        <w:t> </w:t>
      </w:r>
      <w:r>
        <w:rPr>
          <w:spacing w:val="-86"/>
        </w:rPr>
      </w:r>
      <w:r>
        <w:rPr/>
        <w:t>表格式进行了修订。</w:t>
      </w:r>
    </w:p>
    <w:p>
      <w:pPr>
        <w:pStyle w:val="BodyText"/>
        <w:spacing w:line="240" w:lineRule="auto" w:before="72"/>
        <w:ind w:left="515" w:right="1133"/>
        <w:jc w:val="left"/>
      </w:pPr>
      <w:r>
        <w:rPr/>
        <w:t>本公司执行上述规定的主要影响如下：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0"/>
        <w:gridCol w:w="869"/>
        <w:gridCol w:w="3000"/>
        <w:gridCol w:w="3001"/>
      </w:tblGrid>
      <w:tr>
        <w:trPr>
          <w:trHeight w:val="341" w:hRule="exact"/>
        </w:trPr>
        <w:tc>
          <w:tcPr>
            <w:tcW w:w="2960" w:type="dxa"/>
            <w:vMerge w:val="restart"/>
            <w:tcBorders>
              <w:top w:val="single" w:sz="4" w:space="0" w:color="000000"/>
              <w:left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7"/>
              <w:ind w:left="6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2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3" w:hRule="exact"/>
        </w:trPr>
        <w:tc>
          <w:tcPr>
            <w:tcW w:w="296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77" w:hRule="exact"/>
        </w:trPr>
        <w:tc>
          <w:tcPr>
            <w:tcW w:w="2960" w:type="dxa"/>
            <w:vMerge w:val="restart"/>
            <w:tcBorders>
              <w:top w:val="single" w:sz="4" w:space="0" w:color="000000"/>
              <w:left w:val="single" w:sz="4" w:space="0" w:color="000000"/>
              <w:right w:val="single" w:sz="4" w:space="0" w:color="000000"/>
            </w:tcBorders>
          </w:tcPr>
          <w:p>
            <w:pPr>
              <w:pStyle w:val="TableParagraph"/>
              <w:spacing w:line="300" w:lineRule="auto" w:before="17"/>
              <w:ind w:left="7" w:right="-17"/>
              <w:jc w:val="both"/>
              <w:rPr>
                <w:rFonts w:ascii="宋体" w:hAnsi="宋体" w:cs="宋体" w:eastAsia="宋体" w:hint="default"/>
                <w:sz w:val="18"/>
                <w:szCs w:val="18"/>
              </w:rPr>
            </w:pPr>
            <w:r>
              <w:rPr>
                <w:rFonts w:ascii="宋体" w:hAnsi="宋体" w:cs="宋体" w:eastAsia="宋体" w:hint="default"/>
                <w:spacing w:val="4"/>
                <w:sz w:val="18"/>
                <w:szCs w:val="18"/>
              </w:rPr>
              <w:t>资产负债表中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应收票据及应收账款</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拆分为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 调整。</w:t>
            </w:r>
          </w:p>
        </w:tc>
        <w:tc>
          <w:tcPr>
            <w:tcW w:w="869"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17"/>
              <w:jc w:val="left"/>
              <w:rPr>
                <w:rFonts w:ascii="宋体" w:hAnsi="宋体" w:cs="宋体" w:eastAsia="宋体" w:hint="default"/>
                <w:sz w:val="18"/>
                <w:szCs w:val="18"/>
              </w:rPr>
            </w:pPr>
            <w:r>
              <w:rPr>
                <w:rFonts w:ascii="宋体" w:hAnsi="宋体" w:cs="宋体" w:eastAsia="宋体" w:hint="default"/>
                <w:spacing w:val="28"/>
                <w:sz w:val="18"/>
                <w:szCs w:val="18"/>
              </w:rPr>
              <w:t>按财政</w:t>
            </w:r>
            <w:r>
              <w:rPr>
                <w:rFonts w:ascii="宋体" w:hAnsi="宋体" w:cs="宋体" w:eastAsia="宋体" w:hint="default"/>
                <w:spacing w:val="-46"/>
                <w:sz w:val="18"/>
                <w:szCs w:val="18"/>
              </w:rPr>
              <w:t> </w:t>
            </w:r>
            <w:r>
              <w:rPr>
                <w:rFonts w:ascii="宋体" w:hAnsi="宋体" w:cs="宋体" w:eastAsia="宋体" w:hint="default"/>
                <w:sz w:val="18"/>
                <w:szCs w:val="18"/>
              </w:rPr>
              <w:t>部</w:t>
            </w:r>
            <w:r>
              <w:rPr>
                <w:rFonts w:ascii="宋体" w:hAnsi="宋体" w:cs="宋体" w:eastAsia="宋体" w:hint="default"/>
                <w:spacing w:val="-71"/>
                <w:sz w:val="18"/>
                <w:szCs w:val="18"/>
              </w:rPr>
              <w:t> </w:t>
            </w:r>
            <w:r>
              <w:rPr>
                <w:rFonts w:ascii="宋体" w:hAnsi="宋体" w:cs="宋体" w:eastAsia="宋体" w:hint="default"/>
                <w:sz w:val="18"/>
                <w:szCs w:val="18"/>
              </w:rPr>
              <w:t>规定执行</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r>
              <w:rPr>
                <w:rFonts w:ascii="宋体" w:hAnsi="宋体" w:cs="宋体" w:eastAsia="宋体" w:hint="default"/>
                <w:spacing w:val="-55"/>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3"/>
                <w:sz w:val="18"/>
                <w:szCs w:val="18"/>
              </w:rPr>
              <w:t> </w:t>
            </w:r>
            <w:r>
              <w:rPr>
                <w:rFonts w:ascii="宋体" w:hAnsi="宋体" w:cs="宋体" w:eastAsia="宋体" w:hint="default"/>
                <w:sz w:val="18"/>
                <w:szCs w:val="18"/>
              </w:rPr>
              <w:t>末余额</w:t>
            </w:r>
            <w:r>
              <w:rPr>
                <w:rFonts w:ascii="Times New Roman" w:hAnsi="Times New Roman" w:cs="Times New Roman" w:eastAsia="Times New Roman" w:hint="default"/>
                <w:sz w:val="18"/>
                <w:szCs w:val="18"/>
              </w:rPr>
              <w:t>2,930,000.00</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 年年末余额</w:t>
            </w:r>
            <w:r>
              <w:rPr>
                <w:rFonts w:ascii="Times New Roman" w:hAnsi="Times New Roman" w:cs="Times New Roman" w:eastAsia="Times New Roman" w:hint="default"/>
                <w:sz w:val="18"/>
                <w:szCs w:val="18"/>
              </w:rPr>
              <w:t>186,452,491.18</w:t>
            </w:r>
            <w:r>
              <w:rPr>
                <w:rFonts w:ascii="宋体" w:hAnsi="宋体" w:cs="宋体" w:eastAsia="宋体" w:hint="default"/>
                <w:sz w:val="18"/>
                <w:szCs w:val="18"/>
              </w:rPr>
              <w:t>元；</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 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4"/>
                <w:sz w:val="18"/>
                <w:szCs w:val="18"/>
              </w:rPr>
              <w:t> </w:t>
            </w:r>
            <w:r>
              <w:rPr>
                <w:rFonts w:ascii="宋体" w:hAnsi="宋体" w:cs="宋体" w:eastAsia="宋体" w:hint="default"/>
                <w:sz w:val="18"/>
                <w:szCs w:val="18"/>
              </w:rPr>
              <w:t>末余额</w:t>
            </w:r>
            <w:r>
              <w:rPr>
                <w:rFonts w:ascii="Times New Roman" w:hAnsi="Times New Roman" w:cs="Times New Roman" w:eastAsia="Times New Roman" w:hint="default"/>
                <w:sz w:val="18"/>
                <w:szCs w:val="18"/>
              </w:rPr>
              <w:t>2,670,000.00</w:t>
            </w:r>
            <w:r>
              <w:rPr>
                <w:rFonts w:ascii="宋体" w:hAnsi="宋体" w:cs="宋体" w:eastAsia="宋体" w:hint="default"/>
                <w:sz w:val="18"/>
                <w:szCs w:val="18"/>
              </w:rPr>
              <w:t>元，</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 年年末余额</w:t>
            </w:r>
            <w:r>
              <w:rPr>
                <w:rFonts w:ascii="Times New Roman" w:hAnsi="Times New Roman" w:cs="Times New Roman" w:eastAsia="Times New Roman" w:hint="default"/>
                <w:sz w:val="18"/>
                <w:szCs w:val="18"/>
              </w:rPr>
              <w:t>166,539,502.08</w:t>
            </w:r>
            <w:r>
              <w:rPr>
                <w:rFonts w:ascii="宋体" w:hAnsi="宋体" w:cs="宋体" w:eastAsia="宋体" w:hint="default"/>
                <w:sz w:val="18"/>
                <w:szCs w:val="18"/>
              </w:rPr>
              <w:t>元；</w:t>
            </w:r>
          </w:p>
        </w:tc>
      </w:tr>
      <w:tr>
        <w:trPr>
          <w:trHeight w:val="1279" w:hRule="exact"/>
        </w:trPr>
        <w:tc>
          <w:tcPr>
            <w:tcW w:w="296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w:t>
            </w:r>
            <w:r>
              <w:rPr>
                <w:rFonts w:ascii="宋体" w:hAnsi="宋体" w:cs="宋体" w:eastAsia="宋体" w:hint="default"/>
                <w:spacing w:val="-55"/>
                <w:sz w:val="18"/>
                <w:szCs w:val="18"/>
              </w:rPr>
              <w:t> </w:t>
            </w:r>
            <w:r>
              <w:rPr>
                <w:rFonts w:ascii="宋体" w:hAnsi="宋体" w:cs="宋体" w:eastAsia="宋体" w:hint="default"/>
                <w:spacing w:val="2"/>
                <w:sz w:val="18"/>
                <w:szCs w:val="18"/>
              </w:rPr>
              <w:t>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3"/>
                <w:sz w:val="18"/>
                <w:szCs w:val="18"/>
              </w:rPr>
              <w:t> </w:t>
            </w:r>
            <w:r>
              <w:rPr>
                <w:rFonts w:ascii="宋体" w:hAnsi="宋体" w:cs="宋体" w:eastAsia="宋体" w:hint="default"/>
                <w:sz w:val="18"/>
                <w:szCs w:val="18"/>
              </w:rPr>
              <w:t>末余额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68,000,724.48</w:t>
            </w:r>
            <w:r>
              <w:rPr>
                <w:rFonts w:ascii="宋体" w:hAnsi="宋体" w:cs="宋体" w:eastAsia="宋体" w:hint="default"/>
                <w:sz w:val="18"/>
                <w:szCs w:val="18"/>
              </w:rPr>
              <w:t>元。</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拆分为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 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上年年</w:t>
            </w:r>
            <w:r>
              <w:rPr>
                <w:rFonts w:ascii="宋体" w:hAnsi="宋体" w:cs="宋体" w:eastAsia="宋体" w:hint="default"/>
                <w:spacing w:val="-74"/>
                <w:sz w:val="18"/>
                <w:szCs w:val="18"/>
              </w:rPr>
              <w:t> </w:t>
            </w:r>
            <w:r>
              <w:rPr>
                <w:rFonts w:ascii="宋体" w:hAnsi="宋体" w:cs="宋体" w:eastAsia="宋体" w:hint="default"/>
                <w:sz w:val="18"/>
                <w:szCs w:val="18"/>
              </w:rPr>
              <w:t>末余额</w:t>
            </w:r>
            <w:r>
              <w:rPr>
                <w:rFonts w:ascii="Times New Roman" w:hAnsi="Times New Roman" w:cs="Times New Roman" w:eastAsia="Times New Roman" w:hint="default"/>
                <w:sz w:val="18"/>
                <w:szCs w:val="18"/>
              </w:rPr>
              <w:t>0</w:t>
            </w:r>
            <w:r>
              <w:rPr>
                <w:rFonts w:ascii="宋体" w:hAnsi="宋体" w:cs="宋体" w:eastAsia="宋体" w:hint="default"/>
                <w:sz w:val="18"/>
                <w:szCs w:val="18"/>
              </w:rPr>
              <w:t>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 </w:t>
            </w:r>
            <w:r>
              <w:rPr>
                <w:rFonts w:ascii="Times New Roman" w:hAnsi="Times New Roman" w:cs="Times New Roman" w:eastAsia="Times New Roman" w:hint="default"/>
                <w:sz w:val="18"/>
                <w:szCs w:val="18"/>
              </w:rPr>
              <w:t>89,108,851.34</w:t>
            </w:r>
            <w:r>
              <w:rPr>
                <w:rFonts w:ascii="宋体" w:hAnsi="宋体" w:cs="宋体" w:eastAsia="宋体" w:hint="default"/>
                <w:sz w:val="18"/>
                <w:szCs w:val="18"/>
              </w:rPr>
              <w:t>元。</w:t>
            </w:r>
          </w:p>
        </w:tc>
      </w:tr>
    </w:tbl>
    <w:p>
      <w:pPr>
        <w:spacing w:line="240" w:lineRule="auto" w:before="2"/>
        <w:rPr>
          <w:rFonts w:ascii="宋体" w:hAnsi="宋体" w:cs="宋体" w:eastAsia="宋体" w:hint="default"/>
          <w:sz w:val="21"/>
          <w:szCs w:val="21"/>
        </w:rPr>
      </w:pPr>
    </w:p>
    <w:p>
      <w:pPr>
        <w:pStyle w:val="BodyText"/>
        <w:spacing w:line="240" w:lineRule="auto"/>
        <w:ind w:left="229" w:right="0"/>
        <w:jc w:val="both"/>
      </w:pPr>
      <w:r>
        <w:rPr/>
        <w:t>（</w:t>
      </w:r>
      <w:r>
        <w:rPr>
          <w:rFonts w:ascii="Times New Roman" w:hAnsi="Times New Roman" w:cs="Times New Roman" w:eastAsia="Times New Roman" w:hint="default"/>
          <w:spacing w:val="1"/>
        </w:rPr>
        <w:t>2</w:t>
      </w:r>
      <w:r>
        <w:rPr>
          <w:spacing w:val="-17"/>
        </w:rPr>
        <w:t>）</w:t>
      </w:r>
      <w:r>
        <w:rPr/>
        <w:t>执</w:t>
      </w:r>
      <w:r>
        <w:rPr>
          <w:spacing w:val="-17"/>
        </w:rPr>
        <w:t>行</w:t>
      </w:r>
      <w:r>
        <w:rPr/>
        <w:t>《企业会计准则</w:t>
      </w:r>
      <w:r>
        <w:rPr>
          <w:spacing w:val="-1"/>
        </w:rPr>
        <w:t>第</w:t>
      </w:r>
      <w:r>
        <w:rPr>
          <w:rFonts w:ascii="Times New Roman" w:hAnsi="Times New Roman" w:cs="Times New Roman" w:eastAsia="Times New Roman" w:hint="default"/>
          <w:spacing w:val="-2"/>
        </w:rPr>
        <w:t>22</w:t>
      </w:r>
      <w:r>
        <w:rPr/>
        <w:t>号</w:t>
      </w:r>
      <w:r>
        <w:rPr>
          <w:rFonts w:ascii="Times New Roman" w:hAnsi="Times New Roman" w:cs="Times New Roman" w:eastAsia="Times New Roman" w:hint="default"/>
        </w:rPr>
        <w:t>——</w:t>
      </w:r>
      <w:r>
        <w:rPr/>
        <w:t>金融工具确认和计量</w:t>
      </w:r>
      <w:r>
        <w:rPr>
          <w:spacing w:val="-92"/>
        </w:rPr>
        <w:t>》</w:t>
      </w:r>
      <w:r>
        <w:rPr>
          <w:spacing w:val="-106"/>
        </w:rPr>
        <w:t>、</w:t>
      </w:r>
      <w:r>
        <w:rPr/>
        <w:t>《企业会计准则第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spacing w:val="-3"/>
        </w:rPr>
        <w:t>金</w:t>
      </w:r>
      <w:r>
        <w:rPr/>
        <w:t>融资产转移</w:t>
      </w:r>
      <w:r>
        <w:rPr>
          <w:spacing w:val="-92"/>
        </w:rPr>
        <w:t>》</w:t>
      </w:r>
      <w:r>
        <w:rPr>
          <w:spacing w:val="-108"/>
        </w:rPr>
        <w:t>、</w:t>
      </w:r>
      <w:r>
        <w:rPr/>
        <w:t>《企业会计准</w:t>
      </w:r>
      <w:r>
        <w:rPr>
          <w:spacing w:val="2"/>
        </w:rPr>
        <w:t>则</w:t>
      </w:r>
      <w:r>
        <w:rPr/>
        <w:t>第</w:t>
      </w:r>
    </w:p>
    <w:p>
      <w:pPr>
        <w:pStyle w:val="BodyText"/>
        <w:spacing w:line="300" w:lineRule="auto" w:before="63"/>
        <w:ind w:left="575" w:right="1034" w:hanging="347"/>
        <w:jc w:val="left"/>
      </w:pPr>
      <w:r>
        <w:rPr>
          <w:rFonts w:ascii="Times New Roman" w:hAnsi="Times New Roman" w:cs="Times New Roman" w:eastAsia="Times New Roman" w:hint="default"/>
          <w:spacing w:val="1"/>
        </w:rPr>
        <w:t>24</w:t>
      </w:r>
      <w:r>
        <w:rPr/>
        <w:t>号</w:t>
      </w:r>
      <w:r>
        <w:rPr>
          <w:rFonts w:ascii="Times New Roman" w:hAnsi="Times New Roman" w:cs="Times New Roman" w:eastAsia="Times New Roman" w:hint="default"/>
        </w:rPr>
        <w:t>——</w:t>
      </w:r>
      <w:r>
        <w:rPr/>
        <w:t>套期会计》和《企</w:t>
      </w:r>
      <w:r>
        <w:rPr>
          <w:spacing w:val="-3"/>
        </w:rPr>
        <w:t>业</w:t>
      </w:r>
      <w:r>
        <w:rPr/>
        <w:t>会计准则第</w:t>
      </w:r>
      <w:r>
        <w:rPr>
          <w:rFonts w:ascii="Times New Roman" w:hAnsi="Times New Roman" w:cs="Times New Roman" w:eastAsia="Times New Roman" w:hint="default"/>
          <w:spacing w:val="1"/>
        </w:rPr>
        <w:t>37</w:t>
      </w:r>
      <w:r>
        <w:rPr/>
        <w:t>号</w:t>
      </w:r>
      <w:r>
        <w:rPr>
          <w:rFonts w:ascii="Times New Roman" w:hAnsi="Times New Roman" w:cs="Times New Roman" w:eastAsia="Times New Roman" w:hint="default"/>
        </w:rPr>
        <w:t>——</w:t>
      </w:r>
      <w:r>
        <w:rPr/>
        <w:t>金融工</w:t>
      </w:r>
      <w:r>
        <w:rPr>
          <w:spacing w:val="-3"/>
        </w:rPr>
        <w:t>具</w:t>
      </w:r>
      <w:r>
        <w:rPr/>
        <w:t>列报</w:t>
      </w:r>
      <w:r>
        <w:rPr>
          <w:spacing w:val="-92"/>
        </w:rPr>
        <w:t>》</w:t>
      </w:r>
      <w:r>
        <w:rPr/>
        <w:t>（</w:t>
      </w:r>
      <w:r>
        <w:rPr>
          <w:rFonts w:ascii="Times New Roman" w:hAnsi="Times New Roman" w:cs="Times New Roman" w:eastAsia="Times New Roman" w:hint="default"/>
          <w:spacing w:val="1"/>
        </w:rPr>
        <w:t>2017</w:t>
      </w:r>
      <w:r>
        <w:rPr/>
        <w:t>年修订） 财政部</w:t>
      </w:r>
      <w:r>
        <w:rPr>
          <w:spacing w:val="-1"/>
        </w:rPr>
        <w:t>于</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年度修订</w:t>
      </w:r>
      <w:r>
        <w:rPr>
          <w:spacing w:val="-72"/>
        </w:rPr>
        <w:t>了</w:t>
      </w:r>
      <w:r>
        <w:rPr>
          <w:spacing w:val="-3"/>
        </w:rPr>
        <w:t>《</w:t>
      </w:r>
      <w:r>
        <w:rPr/>
        <w:t>企业会计准则第</w:t>
      </w:r>
      <w:r>
        <w:rPr>
          <w:rFonts w:ascii="Times New Roman" w:hAnsi="Times New Roman" w:cs="Times New Roman" w:eastAsia="Times New Roman" w:hint="default"/>
          <w:spacing w:val="1"/>
        </w:rPr>
        <w:t>22</w:t>
      </w:r>
      <w:r>
        <w:rPr/>
        <w:t>号</w:t>
      </w:r>
      <w:r>
        <w:rPr>
          <w:rFonts w:ascii="Times New Roman" w:hAnsi="Times New Roman" w:cs="Times New Roman" w:eastAsia="Times New Roman" w:hint="default"/>
        </w:rPr>
        <w:t>——</w:t>
      </w:r>
      <w:r>
        <w:rPr/>
        <w:t>金</w:t>
      </w:r>
      <w:r>
        <w:rPr>
          <w:spacing w:val="-3"/>
        </w:rPr>
        <w:t>融</w:t>
      </w:r>
      <w:r>
        <w:rPr/>
        <w:t>工具确认和计量</w:t>
      </w:r>
      <w:r>
        <w:rPr>
          <w:spacing w:val="-92"/>
        </w:rPr>
        <w:t>》</w:t>
      </w:r>
      <w:r>
        <w:rPr>
          <w:spacing w:val="-164"/>
        </w:rPr>
        <w:t>、</w:t>
      </w:r>
      <w:r>
        <w:rPr/>
        <w:t>《企业会计</w:t>
      </w:r>
      <w:r>
        <w:rPr>
          <w:spacing w:val="2"/>
        </w:rPr>
        <w:t>准</w:t>
      </w:r>
      <w:r>
        <w:rPr/>
        <w:t>则第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t>金融资产转移</w:t>
      </w:r>
      <w:r>
        <w:rPr>
          <w:spacing w:val="-92"/>
        </w:rPr>
        <w:t>》</w:t>
      </w:r>
      <w:r>
        <w:rPr/>
        <w:t>、</w:t>
      </w:r>
    </w:p>
    <w:p>
      <w:pPr>
        <w:pStyle w:val="BodyText"/>
        <w:spacing w:line="309" w:lineRule="auto" w:before="13"/>
        <w:ind w:left="212" w:right="1043"/>
        <w:jc w:val="both"/>
      </w:pPr>
      <w:r>
        <w:rPr>
          <w:spacing w:val="-3"/>
        </w:rPr>
        <w:t>《企业会计准则第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套期会计》和《企业会计准则第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金融工具列报》。修订后的准则规定，对于首次执行日</w:t>
      </w:r>
      <w:r>
        <w:rPr>
          <w:spacing w:val="-68"/>
        </w:rPr>
        <w:t> </w:t>
      </w:r>
      <w:r>
        <w:rPr>
          <w:spacing w:val="-68"/>
        </w:rPr>
      </w:r>
      <w:r>
        <w:rPr/>
        <w:t>尚未终止确认的金融工具，之前的确认和计量与修订后的准则要求不一致的，应当追溯调整。涉及前期比较财务报表数据</w:t>
      </w:r>
      <w:r>
        <w:rPr>
          <w:spacing w:val="-59"/>
        </w:rPr>
        <w:t> </w:t>
      </w:r>
      <w:r>
        <w:rPr>
          <w:spacing w:val="-59"/>
        </w:rPr>
      </w:r>
      <w:r>
        <w:rPr>
          <w:spacing w:val="-1"/>
        </w:rPr>
        <w:t>与修订后的准则要求不一致的，无需调整。本公司将因追溯调整产生的累积影响数调整当年年初留存收益和其他综合收益。</w:t>
      </w:r>
    </w:p>
    <w:p>
      <w:pPr>
        <w:pStyle w:val="BodyText"/>
        <w:spacing w:line="300" w:lineRule="auto" w:before="24"/>
        <w:ind w:left="530" w:right="1133"/>
        <w:jc w:val="left"/>
      </w:pPr>
      <w:r>
        <w:rPr>
          <w:spacing w:val="-1"/>
        </w:rPr>
        <w:t>以按照财会〔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号和财会〔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16</w:t>
      </w:r>
      <w:r>
        <w:rPr>
          <w:spacing w:val="-1"/>
        </w:rPr>
        <w:t>号的规定调整后的上年年末余额为基础，执行上述新金融工具准则的主要影</w:t>
      </w:r>
      <w:r>
        <w:rPr>
          <w:spacing w:val="-49"/>
        </w:rPr>
        <w:t> </w:t>
      </w:r>
      <w:r>
        <w:rPr>
          <w:spacing w:val="-49"/>
        </w:rPr>
      </w:r>
      <w:r>
        <w:rPr/>
        <w:t>响如下：</w:t>
      </w:r>
    </w:p>
    <w:tbl>
      <w:tblPr>
        <w:tblW w:w="0" w:type="auto"/>
        <w:jc w:val="left"/>
        <w:tblInd w:w="149" w:type="dxa"/>
        <w:tblLayout w:type="fixed"/>
        <w:tblCellMar>
          <w:top w:w="0" w:type="dxa"/>
          <w:left w:w="0" w:type="dxa"/>
          <w:bottom w:w="0" w:type="dxa"/>
          <w:right w:w="0" w:type="dxa"/>
        </w:tblCellMar>
        <w:tblLook w:val="01E0"/>
      </w:tblPr>
      <w:tblGrid>
        <w:gridCol w:w="2834"/>
        <w:gridCol w:w="1135"/>
        <w:gridCol w:w="3262"/>
        <w:gridCol w:w="3169"/>
      </w:tblGrid>
      <w:tr>
        <w:trPr>
          <w:trHeight w:val="422" w:hRule="exact"/>
        </w:trPr>
        <w:tc>
          <w:tcPr>
            <w:tcW w:w="28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4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04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23" w:hRule="exact"/>
        </w:trPr>
        <w:tc>
          <w:tcPr>
            <w:tcW w:w="2834" w:type="dxa"/>
            <w:vMerge/>
            <w:tcBorders>
              <w:left w:val="single" w:sz="4" w:space="0" w:color="000000"/>
              <w:bottom w:val="single" w:sz="4" w:space="0" w:color="000000"/>
              <w:right w:val="single" w:sz="4" w:space="0" w:color="000000"/>
            </w:tcBorders>
            <w:shd w:val="clear" w:color="auto" w:fill="D9D9D9"/>
          </w:tcPr>
          <w:p>
            <w:pPr/>
          </w:p>
        </w:tc>
        <w:tc>
          <w:tcPr>
            <w:tcW w:w="1135" w:type="dxa"/>
            <w:vMerge/>
            <w:tcBorders>
              <w:left w:val="single" w:sz="4" w:space="0" w:color="000000"/>
              <w:bottom w:val="single" w:sz="4" w:space="0" w:color="000000"/>
              <w:right w:val="single" w:sz="4" w:space="0" w:color="000000"/>
            </w:tcBorders>
            <w:shd w:val="clear" w:color="auto" w:fill="D9D9D9"/>
          </w:tcPr>
          <w:p>
            <w:pP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3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1135"/>
        <w:gridCol w:w="3262"/>
        <w:gridCol w:w="3169"/>
      </w:tblGrid>
      <w:tr>
        <w:trPr>
          <w:trHeight w:val="423" w:hRule="exact"/>
        </w:trPr>
        <w:tc>
          <w:tcPr>
            <w:tcW w:w="2835" w:type="dxa"/>
            <w:vMerge w:val="restart"/>
            <w:tcBorders>
              <w:top w:val="single" w:sz="4" w:space="0" w:color="000000"/>
              <w:left w:val="single" w:sz="4" w:space="0" w:color="000000"/>
              <w:right w:val="single" w:sz="4" w:space="0" w:color="000000"/>
            </w:tcBorders>
          </w:tcPr>
          <w:p>
            <w:pPr>
              <w:pStyle w:val="TableParagraph"/>
              <w:spacing w:line="300" w:lineRule="auto" w:before="59"/>
              <w:ind w:left="7"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）非交易性的可供出售权益工具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投资指定为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w:t>
            </w:r>
            <w:r>
              <w:rPr>
                <w:rFonts w:ascii="宋体" w:hAnsi="宋体" w:cs="宋体" w:eastAsia="宋体" w:hint="default"/>
                <w:spacing w:val="-60"/>
                <w:sz w:val="18"/>
                <w:szCs w:val="18"/>
              </w:rPr>
              <w:t> </w:t>
            </w:r>
            <w:r>
              <w:rPr>
                <w:rFonts w:ascii="宋体" w:hAnsi="宋体" w:cs="宋体" w:eastAsia="宋体" w:hint="default"/>
                <w:sz w:val="18"/>
                <w:szCs w:val="18"/>
              </w:rPr>
              <w:t>动计入其他综合收益的金融资产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vMerge w:val="restart"/>
            <w:tcBorders>
              <w:top w:val="single" w:sz="4" w:space="0" w:color="000000"/>
              <w:left w:val="single" w:sz="4" w:space="0" w:color="000000"/>
              <w:right w:val="single" w:sz="4" w:space="0" w:color="000000"/>
            </w:tcBorders>
          </w:tcPr>
          <w:p>
            <w:pPr>
              <w:pStyle w:val="TableParagraph"/>
              <w:spacing w:line="316" w:lineRule="auto" w:before="59"/>
              <w:ind w:left="7" w:right="-5"/>
              <w:jc w:val="left"/>
              <w:rPr>
                <w:rFonts w:ascii="宋体" w:hAnsi="宋体" w:cs="宋体" w:eastAsia="宋体" w:hint="default"/>
                <w:sz w:val="18"/>
                <w:szCs w:val="18"/>
              </w:rPr>
            </w:pPr>
            <w:r>
              <w:rPr>
                <w:rFonts w:ascii="宋体" w:hAnsi="宋体" w:cs="宋体" w:eastAsia="宋体" w:hint="default"/>
                <w:spacing w:val="7"/>
                <w:sz w:val="18"/>
                <w:szCs w:val="18"/>
              </w:rPr>
              <w:t>按财政部规定 </w:t>
            </w:r>
            <w:r>
              <w:rPr>
                <w:rFonts w:ascii="宋体" w:hAnsi="宋体" w:cs="宋体" w:eastAsia="宋体" w:hint="default"/>
                <w:sz w:val="18"/>
                <w:szCs w:val="18"/>
              </w:rPr>
              <w:t>执行</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1,500,000.00</w:t>
            </w:r>
            <w:r>
              <w:rPr>
                <w:rFonts w:ascii="宋体" w:hAnsi="宋体" w:cs="宋体" w:eastAsia="宋体" w:hint="default"/>
                <w:sz w:val="18"/>
                <w:szCs w:val="18"/>
              </w:rPr>
              <w:t>元</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1,500,000.00</w:t>
            </w:r>
            <w:r>
              <w:rPr>
                <w:rFonts w:ascii="宋体" w:hAnsi="宋体" w:cs="宋体" w:eastAsia="宋体" w:hint="default"/>
                <w:sz w:val="18"/>
                <w:szCs w:val="18"/>
              </w:rPr>
              <w:t>元</w:t>
            </w:r>
          </w:p>
        </w:tc>
      </w:tr>
      <w:tr>
        <w:trPr>
          <w:trHeight w:val="624" w:hRule="exact"/>
        </w:trPr>
        <w:tc>
          <w:tcPr>
            <w:tcW w:w="283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r>
              <w:rPr>
                <w:rFonts w:ascii="Times New Roman" w:hAnsi="Times New Roman" w:cs="Times New Roman" w:eastAsia="Times New Roman" w:hint="default"/>
                <w:sz w:val="18"/>
                <w:szCs w:val="18"/>
              </w:rPr>
              <w:t>1,500,000.00</w:t>
            </w:r>
            <w:r>
              <w:rPr>
                <w:rFonts w:ascii="宋体" w:hAnsi="宋体" w:cs="宋体" w:eastAsia="宋体" w:hint="default"/>
                <w:sz w:val="18"/>
                <w:szCs w:val="18"/>
              </w:rPr>
              <w:t>元</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其他权益工具投资：增加</w:t>
            </w:r>
            <w:r>
              <w:rPr>
                <w:rFonts w:ascii="Times New Roman" w:hAnsi="Times New Roman" w:cs="Times New Roman" w:eastAsia="Times New Roman" w:hint="default"/>
                <w:sz w:val="18"/>
                <w:szCs w:val="18"/>
              </w:rPr>
              <w:t>1,500,000.00</w:t>
            </w:r>
            <w:r>
              <w:rPr>
                <w:rFonts w:ascii="宋体" w:hAnsi="宋体" w:cs="宋体" w:eastAsia="宋体" w:hint="default"/>
                <w:sz w:val="18"/>
                <w:szCs w:val="18"/>
              </w:rPr>
              <w:t>元</w:t>
            </w:r>
          </w:p>
        </w:tc>
      </w:tr>
      <w:tr>
        <w:trPr>
          <w:trHeight w:val="422" w:hRule="exact"/>
        </w:trPr>
        <w:tc>
          <w:tcPr>
            <w:tcW w:w="2835" w:type="dxa"/>
            <w:vMerge w:val="restart"/>
            <w:tcBorders>
              <w:top w:val="single" w:sz="4" w:space="0" w:color="000000"/>
              <w:left w:val="single" w:sz="4" w:space="0" w:color="000000"/>
              <w:right w:val="single" w:sz="4" w:space="0" w:color="000000"/>
            </w:tcBorders>
          </w:tcPr>
          <w:p>
            <w:pPr>
              <w:pStyle w:val="TableParagraph"/>
              <w:spacing w:line="309" w:lineRule="auto" w:before="58"/>
              <w:ind w:left="7" w:right="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）其他流动资产重分类为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以公允</w:t>
            </w:r>
            <w:r>
              <w:rPr>
                <w:rFonts w:ascii="宋体" w:hAnsi="宋体" w:cs="宋体" w:eastAsia="宋体" w:hint="default"/>
                <w:spacing w:val="-79"/>
                <w:sz w:val="18"/>
                <w:szCs w:val="18"/>
              </w:rPr>
              <w:t> </w:t>
            </w:r>
            <w:r>
              <w:rPr>
                <w:rFonts w:ascii="宋体" w:hAnsi="宋体" w:cs="宋体" w:eastAsia="宋体" w:hint="default"/>
                <w:spacing w:val="7"/>
                <w:sz w:val="18"/>
                <w:szCs w:val="18"/>
              </w:rPr>
              <w:t>价值计量且其变动计入当期损益的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vMerge w:val="restart"/>
            <w:tcBorders>
              <w:top w:val="single" w:sz="4" w:space="0" w:color="000000"/>
              <w:left w:val="single" w:sz="4" w:space="0" w:color="000000"/>
              <w:right w:val="single" w:sz="4" w:space="0" w:color="000000"/>
            </w:tcBorders>
          </w:tcPr>
          <w:p>
            <w:pPr>
              <w:pStyle w:val="TableParagraph"/>
              <w:spacing w:line="316" w:lineRule="auto" w:before="58"/>
              <w:ind w:left="7" w:right="-5"/>
              <w:jc w:val="left"/>
              <w:rPr>
                <w:rFonts w:ascii="宋体" w:hAnsi="宋体" w:cs="宋体" w:eastAsia="宋体" w:hint="default"/>
                <w:sz w:val="18"/>
                <w:szCs w:val="18"/>
              </w:rPr>
            </w:pPr>
            <w:r>
              <w:rPr>
                <w:rFonts w:ascii="宋体" w:hAnsi="宋体" w:cs="宋体" w:eastAsia="宋体" w:hint="default"/>
                <w:spacing w:val="7"/>
                <w:sz w:val="18"/>
                <w:szCs w:val="18"/>
              </w:rPr>
              <w:t>按财政部规定 </w:t>
            </w:r>
            <w:r>
              <w:rPr>
                <w:rFonts w:ascii="宋体" w:hAnsi="宋体" w:cs="宋体" w:eastAsia="宋体" w:hint="default"/>
                <w:sz w:val="18"/>
                <w:szCs w:val="18"/>
              </w:rPr>
              <w:t>执行</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280,000,000.00</w:t>
            </w:r>
            <w:r>
              <w:rPr>
                <w:rFonts w:ascii="宋体" w:hAnsi="宋体" w:cs="宋体" w:eastAsia="宋体" w:hint="default"/>
                <w:sz w:val="18"/>
                <w:szCs w:val="18"/>
              </w:rPr>
              <w:t>元</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Times New Roman" w:hAnsi="Times New Roman" w:cs="Times New Roman" w:eastAsia="Times New Roman" w:hint="default"/>
                <w:sz w:val="18"/>
                <w:szCs w:val="18"/>
              </w:rPr>
              <w:t>280,000,000.00</w:t>
            </w:r>
            <w:r>
              <w:rPr>
                <w:rFonts w:ascii="宋体" w:hAnsi="宋体" w:cs="宋体" w:eastAsia="宋体" w:hint="default"/>
                <w:sz w:val="18"/>
                <w:szCs w:val="18"/>
              </w:rPr>
              <w:t>元</w:t>
            </w:r>
          </w:p>
        </w:tc>
      </w:tr>
      <w:tr>
        <w:trPr>
          <w:trHeight w:val="624" w:hRule="exact"/>
        </w:trPr>
        <w:tc>
          <w:tcPr>
            <w:tcW w:w="283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280,000,000.00</w:t>
            </w:r>
            <w:r>
              <w:rPr>
                <w:rFonts w:ascii="宋体" w:hAnsi="宋体" w:cs="宋体" w:eastAsia="宋体" w:hint="default"/>
                <w:sz w:val="18"/>
                <w:szCs w:val="18"/>
              </w:rPr>
              <w:t>元</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交易性金融资产：增加</w:t>
            </w:r>
            <w:r>
              <w:rPr>
                <w:rFonts w:ascii="Times New Roman" w:hAnsi="Times New Roman" w:cs="Times New Roman" w:eastAsia="Times New Roman" w:hint="default"/>
                <w:sz w:val="18"/>
                <w:szCs w:val="18"/>
              </w:rPr>
              <w:t>280,000,000.00</w:t>
            </w:r>
            <w:r>
              <w:rPr>
                <w:rFonts w:ascii="宋体" w:hAnsi="宋体" w:cs="宋体" w:eastAsia="宋体" w:hint="default"/>
                <w:sz w:val="18"/>
                <w:szCs w:val="18"/>
              </w:rPr>
              <w:t>元</w:t>
            </w:r>
          </w:p>
        </w:tc>
      </w:tr>
      <w:tr>
        <w:trPr>
          <w:trHeight w:val="61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7"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）计入应收利息的银行定期存款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利息重分类计入银行存款。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7" w:right="36"/>
              <w:jc w:val="left"/>
              <w:rPr>
                <w:rFonts w:ascii="宋体" w:hAnsi="宋体" w:cs="宋体" w:eastAsia="宋体" w:hint="default"/>
                <w:sz w:val="18"/>
                <w:szCs w:val="18"/>
              </w:rPr>
            </w:pPr>
            <w:r>
              <w:rPr>
                <w:rFonts w:ascii="宋体" w:hAnsi="宋体" w:cs="宋体" w:eastAsia="宋体" w:hint="default"/>
                <w:sz w:val="18"/>
                <w:szCs w:val="18"/>
              </w:rPr>
              <w:t>按财政部规定 执行</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1,439,911.92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24"/>
              <w:ind w:left="4" w:right="0"/>
              <w:jc w:val="left"/>
              <w:rPr>
                <w:rFonts w:ascii="宋体" w:hAnsi="宋体" w:cs="宋体" w:eastAsia="宋体" w:hint="default"/>
                <w:sz w:val="18"/>
                <w:szCs w:val="18"/>
              </w:rPr>
            </w:pPr>
            <w:r>
              <w:rPr>
                <w:rFonts w:ascii="宋体" w:hAnsi="宋体" w:cs="宋体" w:eastAsia="宋体" w:hint="default"/>
                <w:sz w:val="18"/>
                <w:szCs w:val="18"/>
              </w:rPr>
              <w:t>货币资金：增加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1,439,911.92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1,357,027.50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24"/>
              <w:ind w:left="4" w:right="0"/>
              <w:jc w:val="left"/>
              <w:rPr>
                <w:rFonts w:ascii="宋体" w:hAnsi="宋体" w:cs="宋体" w:eastAsia="宋体" w:hint="default"/>
                <w:sz w:val="18"/>
                <w:szCs w:val="18"/>
              </w:rPr>
            </w:pPr>
            <w:r>
              <w:rPr>
                <w:rFonts w:ascii="宋体" w:hAnsi="宋体" w:cs="宋体" w:eastAsia="宋体" w:hint="default"/>
                <w:sz w:val="18"/>
                <w:szCs w:val="18"/>
              </w:rPr>
              <w:t>货币资金：增加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1,357,027.50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26"/>
        <w:ind w:right="1133"/>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4"/>
        <w:spacing w:line="240" w:lineRule="auto"/>
        <w:ind w:right="113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036" w:firstLine="259"/>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日，公司第四届董事会第十六次会议审议通过了《关于注销控股子公司北京奥尼思特咨询有限公司的议案》，</w:t>
      </w:r>
      <w:r>
        <w:rPr/>
        <w:t> 北京奥尼思特咨询有限公司注销后，公司合并范围相应变更。</w:t>
      </w:r>
    </w:p>
    <w:p>
      <w:pPr>
        <w:spacing w:line="240" w:lineRule="auto" w:before="11"/>
        <w:rPr>
          <w:rFonts w:ascii="宋体" w:hAnsi="宋体" w:cs="宋体" w:eastAsia="宋体" w:hint="default"/>
          <w:sz w:val="21"/>
          <w:szCs w:val="21"/>
        </w:rPr>
      </w:pPr>
    </w:p>
    <w:p>
      <w:pPr>
        <w:pStyle w:val="Heading4"/>
        <w:spacing w:line="240" w:lineRule="auto"/>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杨志平 </w:t>
            </w:r>
            <w:r>
              <w:rPr>
                <w:rFonts w:ascii="宋体" w:hAnsi="宋体" w:cs="宋体" w:eastAsia="宋体" w:hint="default"/>
                <w:spacing w:val="2"/>
                <w:sz w:val="18"/>
                <w:szCs w:val="18"/>
              </w:rPr>
              <w:t> </w:t>
            </w:r>
            <w:r>
              <w:rPr>
                <w:rFonts w:ascii="宋体" w:hAnsi="宋体" w:cs="宋体" w:eastAsia="宋体" w:hint="default"/>
                <w:sz w:val="18"/>
                <w:szCs w:val="18"/>
              </w:rPr>
              <w:t>周芳芳</w:t>
            </w:r>
          </w:p>
        </w:tc>
      </w:tr>
      <w:tr>
        <w:trPr>
          <w:trHeight w:val="715"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杨志平审计服务连续年限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年，周芳芳审计服务连续年限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4"/>
        <w:spacing w:line="240" w:lineRule="auto"/>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公司报告期未发生破产重整相关事项。</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4"/>
        <w:spacing w:line="240" w:lineRule="auto"/>
        <w:ind w:right="113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9"/>
          <w:szCs w:val="19"/>
        </w:rPr>
      </w:pPr>
    </w:p>
    <w:p>
      <w:pPr>
        <w:pStyle w:val="Heading4"/>
        <w:spacing w:line="240" w:lineRule="auto"/>
        <w:ind w:right="113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86" w:firstLine="504"/>
        <w:jc w:val="left"/>
      </w:pPr>
      <w:r>
        <w:rPr>
          <w:spacing w:val="-1"/>
        </w:rPr>
        <w:t>经中国证券监督管理委员会（以下简称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1504</w:t>
      </w:r>
      <w:r>
        <w:rPr>
          <w:spacing w:val="-1"/>
        </w:rPr>
        <w:t>号文核准，四川久远银海软件股份有限</w:t>
      </w:r>
      <w:r>
        <w:rPr/>
        <w:t> </w:t>
      </w:r>
      <w:r>
        <w:rPr>
          <w:spacing w:val="-1"/>
        </w:rPr>
        <w:t>公司非公开发行</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12,540,592</w:t>
      </w:r>
      <w:r>
        <w:rPr>
          <w:spacing w:val="-1"/>
        </w:rPr>
        <w:t>股，其中久远银海</w:t>
      </w:r>
      <w:r>
        <w:rPr>
          <w:rFonts w:ascii="Times New Roman" w:hAnsi="Times New Roman" w:cs="Times New Roman" w:eastAsia="Times New Roman" w:hint="default"/>
          <w:spacing w:val="-1"/>
        </w:rPr>
        <w:t>1</w:t>
      </w:r>
      <w:r>
        <w:rPr>
          <w:spacing w:val="-1"/>
        </w:rPr>
        <w:t>号定向资管计划的委托人为公司</w:t>
      </w:r>
      <w:r>
        <w:rPr>
          <w:rFonts w:ascii="Times New Roman" w:hAnsi="Times New Roman" w:cs="Times New Roman" w:eastAsia="Times New Roman" w:hint="default"/>
          <w:spacing w:val="-1"/>
        </w:rPr>
        <w:t>2016</w:t>
      </w:r>
      <w:r>
        <w:rPr>
          <w:spacing w:val="-1"/>
        </w:rPr>
        <w:t>年度员工持股计划，员工出资金</w:t>
      </w:r>
      <w:r>
        <w:rPr>
          <w:spacing w:val="-69"/>
        </w:rPr>
        <w:t> </w:t>
      </w:r>
      <w:r>
        <w:rPr>
          <w:spacing w:val="-69"/>
        </w:rPr>
      </w:r>
      <w:r>
        <w:rPr/>
        <w:t>额</w:t>
      </w:r>
      <w:r>
        <w:rPr>
          <w:rFonts w:ascii="Times New Roman" w:hAnsi="Times New Roman" w:cs="Times New Roman" w:eastAsia="Times New Roman" w:hint="default"/>
        </w:rPr>
        <w:t>4,795</w:t>
      </w:r>
      <w:r>
        <w:rPr/>
        <w:t>万元，认购</w:t>
      </w:r>
      <w:r>
        <w:rPr>
          <w:rFonts w:ascii="Times New Roman" w:hAnsi="Times New Roman" w:cs="Times New Roman" w:eastAsia="Times New Roman" w:hint="default"/>
        </w:rPr>
        <w:t>1,342,385</w:t>
      </w:r>
      <w:r>
        <w:rPr/>
        <w:t>股。本次发行的新股于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日在深圳证券交易所上市，本次员工持股计划已完成。 公司需遵守《深圳证券交易所行业信息披露指引第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销售商 </w:t>
            </w:r>
            <w:r>
              <w:rPr>
                <w:rFonts w:ascii="宋体" w:hAnsi="宋体" w:cs="宋体" w:eastAsia="宋体" w:hint="default"/>
                <w:spacing w:val="-18"/>
                <w:sz w:val="18"/>
                <w:szCs w:val="18"/>
              </w:rPr>
              <w:t>品、提供</w:t>
            </w:r>
            <w:r>
              <w:rPr>
                <w:rFonts w:ascii="宋体" w:hAnsi="宋体" w:cs="宋体" w:eastAsia="宋体" w:hint="default"/>
                <w:sz w:val="18"/>
                <w:szCs w:val="18"/>
              </w:rPr>
              <w:t> 劳务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5,724.0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38.37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88"/>
        <w:gridCol w:w="677"/>
        <w:gridCol w:w="679"/>
        <w:gridCol w:w="704"/>
        <w:gridCol w:w="682"/>
        <w:gridCol w:w="672"/>
        <w:gridCol w:w="674"/>
        <w:gridCol w:w="675"/>
        <w:gridCol w:w="674"/>
        <w:gridCol w:w="674"/>
        <w:gridCol w:w="674"/>
        <w:gridCol w:w="673"/>
        <w:gridCol w:w="672"/>
        <w:gridCol w:w="641"/>
      </w:tblGrid>
      <w:tr>
        <w:trPr>
          <w:trHeight w:val="1337"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10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17.20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17.2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w:t>
            </w:r>
          </w:p>
        </w:tc>
      </w:tr>
      <w:tr>
        <w:trPr>
          <w:trHeight w:val="163" w:hRule="exact"/>
        </w:trPr>
        <w:tc>
          <w:tcPr>
            <w:tcW w:w="284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4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4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1" w:hRule="exact"/>
        </w:trPr>
        <w:tc>
          <w:tcPr>
            <w:tcW w:w="284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312"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由于本公司实际控制人为中物院，中物院及其下属单位（不含本公司控股股东久远集 团及其下属单位、第二大股东锐锋集团及其下属单位，下同）相关情况、本公司与中 物院及其下属单位签订的合同属于军工保密事项。根据《军工企业对外融资特殊财务 </w:t>
            </w:r>
            <w:r>
              <w:rPr>
                <w:rFonts w:ascii="宋体" w:hAnsi="宋体" w:cs="宋体" w:eastAsia="宋体" w:hint="default"/>
                <w:spacing w:val="-4"/>
                <w:sz w:val="18"/>
                <w:szCs w:val="18"/>
              </w:rPr>
              <w:t>信息披露管理暂行办法》（科工财审</w:t>
            </w:r>
            <w:r>
              <w:rPr>
                <w:rFonts w:ascii="Times New Roman" w:hAnsi="Times New Roman" w:cs="Times New Roman" w:eastAsia="Times New Roman" w:hint="default"/>
                <w:spacing w:val="-4"/>
                <w:sz w:val="18"/>
                <w:szCs w:val="18"/>
              </w:rPr>
              <w:t>[2008]702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号）的相关规定，并经国家国防科技工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业局（科工财审</w:t>
            </w:r>
            <w:r>
              <w:rPr>
                <w:rFonts w:ascii="Times New Roman" w:hAnsi="Times New Roman" w:cs="Times New Roman" w:eastAsia="Times New Roman" w:hint="default"/>
                <w:spacing w:val="-2"/>
                <w:sz w:val="18"/>
                <w:szCs w:val="18"/>
              </w:rPr>
              <w:t>[2012]1662</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号）、（科工财审</w:t>
            </w:r>
            <w:r>
              <w:rPr>
                <w:rFonts w:ascii="Times New Roman" w:hAnsi="Times New Roman" w:cs="Times New Roman" w:eastAsia="Times New Roman" w:hint="default"/>
                <w:spacing w:val="-12"/>
                <w:sz w:val="18"/>
                <w:szCs w:val="18"/>
              </w:rPr>
              <w:t>[2014]407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号）文批准，对中物院及其下属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单位相关情况、本公司与中物院及其下属单位发生的关联交易事项豁免披露，上述信</w:t>
            </w:r>
            <w:r>
              <w:rPr>
                <w:rFonts w:ascii="宋体" w:hAnsi="宋体" w:cs="宋体" w:eastAsia="宋体" w:hint="default"/>
                <w:sz w:val="18"/>
                <w:szCs w:val="18"/>
              </w:rPr>
              <w:t> 息豁免披露可能影响投资者全面、完整地了解公司情况。</w:t>
            </w:r>
          </w:p>
        </w:tc>
      </w:tr>
      <w:tr>
        <w:trPr>
          <w:trHeight w:val="1016" w:hRule="exact"/>
        </w:trPr>
        <w:tc>
          <w:tcPr>
            <w:tcW w:w="284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629" w:hRule="exact"/>
        </w:trPr>
        <w:tc>
          <w:tcPr>
            <w:tcW w:w="284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0"/>
        <w:gridCol w:w="920"/>
        <w:gridCol w:w="931"/>
        <w:gridCol w:w="1302"/>
        <w:gridCol w:w="1052"/>
        <w:gridCol w:w="1040"/>
        <w:gridCol w:w="1055"/>
        <w:gridCol w:w="787"/>
        <w:gridCol w:w="779"/>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四川发展融资担保股 份有限公司</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7,500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7,500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1"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5"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5"/>
        <w:gridCol w:w="1317"/>
        <w:gridCol w:w="1029"/>
        <w:gridCol w:w="1059"/>
        <w:gridCol w:w="1064"/>
        <w:gridCol w:w="774"/>
        <w:gridCol w:w="788"/>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9" w:type="dxa"/>
            <w:vMerge/>
            <w:tcBorders>
              <w:left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9"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left="578" w:right="1133" w:hanging="426"/>
        <w:jc w:val="left"/>
      </w:pPr>
      <w:r>
        <w:rPr/>
        <w:t>采用复合方式担保的具体情况说明 截止本报告公告之日，公司在中国农发重点建设基金有限公司的借款本金及利息本年度已全部结清，四川发展融资担</w:t>
      </w:r>
    </w:p>
    <w:p>
      <w:pPr>
        <w:pStyle w:val="BodyText"/>
        <w:spacing w:line="224" w:lineRule="exact" w:before="0"/>
        <w:ind w:right="1133"/>
        <w:jc w:val="left"/>
      </w:pPr>
      <w:r>
        <w:rPr/>
        <w:t>保股份有限公司对上述借款的连带责任担保已解除，公司对四川发展融资担保股份有限公司的反担保已解除。相关公告：</w:t>
      </w:r>
    </w:p>
    <w:p>
      <w:pPr>
        <w:pStyle w:val="BodyText"/>
        <w:spacing w:line="240" w:lineRule="auto" w:before="76"/>
        <w:ind w:right="1133"/>
        <w:jc w:val="left"/>
        <w:rPr>
          <w:rFonts w:ascii="宋体" w:hAnsi="宋体" w:cs="宋体" w:eastAsia="宋体" w:hint="default"/>
        </w:rPr>
      </w:pPr>
      <w:r>
        <w:rPr>
          <w:rFonts w:ascii="宋体"/>
        </w:rPr>
        <w:t>2019-060.</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委托理财出现预期无法收回本金或存在其他可能导致减值的情形</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3" w:firstLine="360"/>
        <w:jc w:val="left"/>
      </w:pPr>
      <w:r>
        <w:rPr>
          <w:spacing w:val="-2"/>
        </w:rPr>
        <w:t>报告期内，公司高度重视企业的社会责任工作，在努力做好企业经营发展的同时，秉承</w:t>
      </w:r>
      <w:r>
        <w:rPr>
          <w:rFonts w:ascii="Times New Roman" w:hAnsi="Times New Roman" w:cs="Times New Roman" w:eastAsia="Times New Roman" w:hint="default"/>
          <w:spacing w:val="-2"/>
        </w:rPr>
        <w:t>“</w:t>
      </w:r>
      <w:r>
        <w:rPr>
          <w:spacing w:val="-2"/>
        </w:rPr>
        <w:t>服务民生国防，引领行业创新</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的企业经营和发展理念，积极承担社会责任。</w:t>
      </w:r>
    </w:p>
    <w:p>
      <w:pPr>
        <w:pStyle w:val="BodyText"/>
        <w:spacing w:line="357" w:lineRule="auto" w:before="72"/>
        <w:ind w:left="578" w:right="986"/>
        <w:jc w:val="left"/>
      </w:pPr>
      <w:r>
        <w:rPr>
          <w:rFonts w:ascii="宋体" w:hAnsi="宋体" w:cs="宋体" w:eastAsia="宋体" w:hint="default"/>
        </w:rPr>
        <w:t>1</w:t>
      </w:r>
      <w:r>
        <w:rPr/>
        <w:t>、依法经营、诚实守信，提高持续盈利能力。 积极做好生产经营活动，努力完成董事会下达的年度经营目标，力争以良好的经营业绩回报投资者。带头树立依法经</w:t>
      </w:r>
    </w:p>
    <w:p>
      <w:pPr>
        <w:pStyle w:val="BodyText"/>
        <w:spacing w:line="224" w:lineRule="exact" w:before="0"/>
        <w:ind w:right="986"/>
        <w:jc w:val="left"/>
      </w:pPr>
      <w:r>
        <w:rPr>
          <w:spacing w:val="-2"/>
        </w:rPr>
        <w:t>营、诚实守信的意识，严格遵守国家法律法规和有关方针政策，多年连续获得国家工商总局认定的</w:t>
      </w:r>
      <w:r>
        <w:rPr>
          <w:spacing w:val="26"/>
        </w:rPr>
        <w:t> </w:t>
      </w:r>
      <w:r>
        <w:rPr>
          <w:spacing w:val="-2"/>
        </w:rPr>
        <w:t>“守合同重信用”企业。</w:t>
      </w:r>
    </w:p>
    <w:p>
      <w:pPr>
        <w:pStyle w:val="BodyText"/>
        <w:spacing w:line="360" w:lineRule="auto" w:before="117"/>
        <w:ind w:left="578" w:right="1133"/>
        <w:jc w:val="left"/>
      </w:pPr>
      <w:r>
        <w:rPr>
          <w:rFonts w:ascii="宋体" w:hAnsi="宋体" w:cs="宋体" w:eastAsia="宋体" w:hint="default"/>
        </w:rPr>
        <w:t>2</w:t>
      </w:r>
      <w:r>
        <w:rPr/>
        <w:t>、切实提高产品质量和服务水平。 通过持续的技术创新、诚实守信，认真负责做好客户的服务工作，尽力满足不同行业客户在信息化建设和服务上的各</w:t>
      </w:r>
    </w:p>
    <w:p>
      <w:pPr>
        <w:pStyle w:val="BodyText"/>
        <w:spacing w:line="222" w:lineRule="exact" w:before="0"/>
        <w:ind w:right="986"/>
        <w:jc w:val="left"/>
      </w:pPr>
      <w:r>
        <w:rPr/>
        <w:t>类需求，助力客户管理、服务能力和效率的提升；同时，公司重视与上下游合作伙伴的良好关系维护，致力于构建公开、公</w:t>
      </w:r>
    </w:p>
    <w:p>
      <w:pPr>
        <w:pStyle w:val="BodyText"/>
        <w:spacing w:line="357" w:lineRule="auto" w:before="76"/>
        <w:ind w:left="578" w:right="5354" w:hanging="426"/>
        <w:jc w:val="left"/>
      </w:pPr>
      <w:r>
        <w:rPr/>
        <w:t>平、诚实、信用的合作平台，切实履行公司对各合作方的社会责任。 </w:t>
      </w:r>
      <w:r>
        <w:rPr>
          <w:rFonts w:ascii="宋体" w:hAnsi="宋体" w:cs="宋体" w:eastAsia="宋体" w:hint="default"/>
        </w:rPr>
        <w:t>3</w:t>
      </w:r>
      <w:r>
        <w:rPr/>
        <w:t>、推进自主创新和技术进步。</w:t>
      </w:r>
    </w:p>
    <w:p>
      <w:pPr>
        <w:pStyle w:val="BodyText"/>
        <w:spacing w:line="319" w:lineRule="auto" w:before="29"/>
        <w:ind w:right="986" w:firstLine="425"/>
        <w:jc w:val="left"/>
      </w:pPr>
      <w:r>
        <w:rPr>
          <w:spacing w:val="-2"/>
        </w:rPr>
        <w:t>“劳有所得、病有所医、老有所养、住有所居、弱有所扶”是人民对美好生活的向往，也是国家事业发展的奋斗目标。</w:t>
      </w:r>
      <w:r>
        <w:rPr/>
        <w:t> </w:t>
      </w:r>
      <w:r>
        <w:rPr>
          <w:spacing w:val="-2"/>
        </w:rPr>
        <w:t>公司高度重视在民生领域的行业创新和技术研发投入，以全面覆盖就业、社会保险、劳动关系、人事、人才、收入分配六大</w:t>
      </w:r>
      <w:r>
        <w:rPr>
          <w:spacing w:val="-67"/>
        </w:rPr>
        <w:t> </w:t>
      </w:r>
      <w:r>
        <w:rPr>
          <w:spacing w:val="-67"/>
        </w:rPr>
      </w:r>
      <w:r>
        <w:rPr>
          <w:spacing w:val="-2"/>
        </w:rPr>
        <w:t>板块的人社信息化解决方案，助力“劳有所得”；以医保、医疗、医药三医联动解决方案、人工智能健康医疗解决方案和承</w:t>
      </w:r>
      <w:r>
        <w:rPr>
          <w:spacing w:val="-67"/>
        </w:rPr>
        <w:t> </w:t>
      </w:r>
      <w:r>
        <w:rPr>
          <w:spacing w:val="-67"/>
        </w:rPr>
      </w:r>
      <w:r>
        <w:rPr>
          <w:spacing w:val="-2"/>
        </w:rPr>
        <w:t>建国家异地就医结算平台，助力“病有所医”；以智慧健康养老解决方案，助力“老有所养”；以智慧住房金融解决方案和</w:t>
      </w:r>
      <w:r>
        <w:rPr>
          <w:spacing w:val="-65"/>
        </w:rPr>
        <w:t> </w:t>
      </w:r>
      <w:r>
        <w:rPr>
          <w:spacing w:val="-65"/>
        </w:rPr>
      </w:r>
      <w:r>
        <w:rPr/>
        <w:t>智慧城市解决方案，助力“住有所居”；以智慧民政解决方案，助力“弱有所扶”。</w:t>
      </w:r>
    </w:p>
    <w:p>
      <w:pPr>
        <w:pStyle w:val="BodyText"/>
        <w:spacing w:line="357" w:lineRule="auto" w:before="58"/>
        <w:ind w:left="578" w:right="1133"/>
        <w:jc w:val="left"/>
      </w:pPr>
      <w:r>
        <w:rPr>
          <w:rFonts w:ascii="宋体" w:hAnsi="宋体" w:cs="宋体" w:eastAsia="宋体" w:hint="default"/>
        </w:rPr>
        <w:t>4</w:t>
      </w:r>
      <w:r>
        <w:rPr/>
        <w:t>、维护职工合法权益。 公司关怀、重视员工的权益和发展，严格遵守《劳动法》、《劳动合同法》、《妇女权益保护法》等相关法律法规，</w:t>
      </w:r>
    </w:p>
    <w:p>
      <w:pPr>
        <w:pStyle w:val="BodyText"/>
        <w:spacing w:line="224" w:lineRule="exact" w:before="0"/>
        <w:ind w:right="986"/>
        <w:jc w:val="left"/>
      </w:pPr>
      <w:r>
        <w:rPr/>
        <w:t>切实保护职工合法权益，公司制定了员工手册、考勤制度、员工绩效考核体系等一系列的规章制度保障公司员工的权益，并</w:t>
      </w:r>
    </w:p>
    <w:p>
      <w:pPr>
        <w:pStyle w:val="BodyText"/>
        <w:spacing w:line="316" w:lineRule="auto" w:before="76"/>
        <w:ind w:right="1034"/>
        <w:jc w:val="left"/>
      </w:pPr>
      <w:r>
        <w:rPr/>
        <w:t>接受广大员工的监督。根据公司《员工手册》和《考勤管理制度》，员工享受法定节假日、年休假、工伤假、婚假、丧假、 </w:t>
      </w:r>
      <w:r>
        <w:rPr>
          <w:spacing w:val="-2"/>
        </w:rPr>
        <w:t>女工产假、护理假、哺乳假、换休假、病假等国家、省、市规定的节假日，相应假期的时间及薪酬待遇按照国家、省、市的</w:t>
      </w:r>
      <w:r>
        <w:rPr>
          <w:spacing w:val="-68"/>
        </w:rPr>
        <w:t> </w:t>
      </w:r>
      <w:r>
        <w:rPr>
          <w:spacing w:val="-68"/>
        </w:rPr>
      </w:r>
      <w:r>
        <w:rPr/>
        <w:t>法律规定执行。公司重视员工的身心健康，定期组织员工年度体检。</w:t>
      </w:r>
    </w:p>
    <w:p>
      <w:pPr>
        <w:pStyle w:val="BodyText"/>
        <w:spacing w:line="319" w:lineRule="auto" w:before="59"/>
        <w:ind w:right="986" w:firstLine="425"/>
        <w:jc w:val="left"/>
      </w:pPr>
      <w:r>
        <w:rPr>
          <w:spacing w:val="-2"/>
        </w:rPr>
        <w:t>为弘扬企业文化精神，提升凝聚力，公司经常组织开展各类文化文娱活动，</w:t>
      </w:r>
      <w:r>
        <w:rPr>
          <w:rFonts w:ascii="宋体" w:hAnsi="宋体" w:cs="宋体" w:eastAsia="宋体" w:hint="default"/>
          <w:spacing w:val="-2"/>
        </w:rPr>
        <w:t>2019</w:t>
      </w:r>
      <w:r>
        <w:rPr>
          <w:spacing w:val="-2"/>
        </w:rPr>
        <w:t>年组织开展了员工羽毛球、足球比赛，</w:t>
      </w:r>
      <w:r>
        <w:rPr/>
        <w:t> </w:t>
      </w:r>
      <w:r>
        <w:rPr>
          <w:spacing w:val="-4"/>
        </w:rPr>
        <w:t>参加集团组织的“激情燃烧卡路里挑战赛”，各个部门也积极组织开展丰富多彩的员工工会活动，通过活动，展示员工才艺，</w:t>
      </w:r>
      <w:r>
        <w:rPr>
          <w:spacing w:val="-46"/>
        </w:rPr>
        <w:t> </w:t>
      </w:r>
      <w:r>
        <w:rPr>
          <w:spacing w:val="-46"/>
        </w:rPr>
      </w:r>
      <w:r>
        <w:rPr>
          <w:spacing w:val="-4"/>
        </w:rPr>
        <w:t>培养员工团队精神，增强企业凝聚力。同时，公司大力开展员工培训，设立专门专职的培训部门和讲师，对员工实施面对面、</w:t>
      </w:r>
      <w:r>
        <w:rPr>
          <w:spacing w:val="-43"/>
        </w:rPr>
        <w:t> </w:t>
      </w:r>
      <w:r>
        <w:rPr>
          <w:spacing w:val="-43"/>
        </w:rPr>
      </w:r>
      <w:r>
        <w:rPr>
          <w:spacing w:val="-2"/>
        </w:rPr>
        <w:t>网络、定期、不定期的培训，提升员工的专业素养和技术能力，为员工提供良好的培训和晋升渠道，实现员工与企业的共同</w:t>
      </w:r>
      <w:r>
        <w:rPr>
          <w:spacing w:val="-65"/>
        </w:rPr>
        <w:t> </w:t>
      </w:r>
      <w:r>
        <w:rPr>
          <w:spacing w:val="-65"/>
        </w:rPr>
      </w:r>
      <w:r>
        <w:rPr/>
        <w:t>成长。</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ind w:left="515" w:right="1114" w:firstLine="62"/>
        <w:jc w:val="left"/>
      </w:pPr>
      <w:r>
        <w:rPr>
          <w:rFonts w:ascii="宋体" w:hAnsi="宋体" w:cs="宋体" w:eastAsia="宋体" w:hint="default"/>
        </w:rPr>
        <w:t>5</w:t>
      </w:r>
      <w:r>
        <w:rPr/>
        <w:t>、参与社会公益事业。 </w:t>
      </w:r>
      <w:r>
        <w:rPr>
          <w:spacing w:val="-3"/>
        </w:rPr>
        <w:t>公益活动是中华民族的传统美德，也是对每一个公民，包括企业公民的道德要求。在</w:t>
      </w:r>
      <w:r>
        <w:rPr>
          <w:rFonts w:ascii="宋体" w:hAnsi="宋体" w:cs="宋体" w:eastAsia="宋体" w:hint="default"/>
          <w:spacing w:val="-3"/>
        </w:rPr>
        <w:t>2019</w:t>
      </w:r>
      <w:r>
        <w:rPr>
          <w:spacing w:val="-3"/>
        </w:rPr>
        <w:t>年底“新型冠状病毒疫情”</w:t>
      </w:r>
      <w:r>
        <w:rPr>
          <w:spacing w:val="-14"/>
        </w:rPr>
        <w:t> </w:t>
      </w:r>
      <w:r>
        <w:rPr/>
        <w:t>爆</w:t>
      </w:r>
    </w:p>
    <w:p>
      <w:pPr>
        <w:pStyle w:val="BodyText"/>
        <w:spacing w:line="222" w:lineRule="exact" w:before="0"/>
        <w:ind w:right="0"/>
        <w:jc w:val="both"/>
      </w:pPr>
      <w:r>
        <w:rPr/>
        <w:t>发后，公司及时组织捐款捐物。</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31</w:t>
      </w:r>
      <w:r>
        <w:rPr/>
        <w:t>日，公司高管会商一致通过，向湖北慈善总会捐款</w:t>
      </w:r>
      <w:r>
        <w:rPr>
          <w:rFonts w:ascii="宋体" w:hAnsi="宋体" w:cs="宋体" w:eastAsia="宋体" w:hint="default"/>
        </w:rPr>
        <w:t>200</w:t>
      </w:r>
      <w:r>
        <w:rPr/>
        <w:t>万元，用于疫情防控和民</w:t>
      </w:r>
    </w:p>
    <w:p>
      <w:pPr>
        <w:pStyle w:val="BodyText"/>
        <w:spacing w:line="316" w:lineRule="auto" w:before="76"/>
        <w:ind w:right="986"/>
        <w:jc w:val="left"/>
      </w:pPr>
      <w:r>
        <w:rPr>
          <w:spacing w:val="-4"/>
        </w:rPr>
        <w:t>生保障；同时公司党总支也组织全体党员干部组织自发捐款，全力支援抗击疫情工作，在重大疫情来临时，公司以大局为重，</w:t>
      </w:r>
      <w:r>
        <w:rPr>
          <w:spacing w:val="-45"/>
        </w:rPr>
        <w:t> </w:t>
      </w:r>
      <w:r>
        <w:rPr>
          <w:spacing w:val="-45"/>
        </w:rPr>
      </w:r>
      <w:r>
        <w:rPr/>
        <w:t>积极提供财力、物力和人力等方面的支持和援助，妥善应对危机，帮助共度难关，促进社会和谐。</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公司报告年度内暂未开展精准扶贫工作，也暂无后续精准扶贫计划。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0"/>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否</w:t>
      </w:r>
    </w:p>
    <w:p>
      <w:pPr>
        <w:pStyle w:val="BodyText"/>
        <w:spacing w:line="240" w:lineRule="auto" w:before="29"/>
        <w:ind w:right="0"/>
        <w:jc w:val="both"/>
      </w:pPr>
      <w:r>
        <w:rPr/>
        <w:t>公司及其子公司不属于环境保护部门公布的重点排污单位。</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78" w:right="986"/>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日收到公司第一大股东四川久远投资控股集团有限公司的《告知函》，久远集团目前持有公司</w:t>
      </w:r>
    </w:p>
    <w:p>
      <w:pPr>
        <w:pStyle w:val="BodyText"/>
        <w:spacing w:line="300" w:lineRule="auto" w:before="63"/>
        <w:ind w:right="1114"/>
        <w:jc w:val="both"/>
      </w:pPr>
      <w:r>
        <w:rPr>
          <w:rFonts w:ascii="Times New Roman" w:hAnsi="Times New Roman" w:cs="Times New Roman" w:eastAsia="Times New Roman" w:hint="default"/>
        </w:rPr>
        <w:t>28.35%</w:t>
      </w:r>
      <w:r>
        <w:rPr/>
        <w:t>股权，是公司第一大股东，久远集团的股东方中国工程物理研究院正在筹划久远集团股权变动的相关事宜，该事项</w:t>
      </w:r>
      <w:r>
        <w:rPr>
          <w:spacing w:val="-21"/>
        </w:rPr>
        <w:t> </w:t>
      </w:r>
      <w:r>
        <w:rPr>
          <w:spacing w:val="-21"/>
        </w:rPr>
      </w:r>
      <w:r>
        <w:rPr>
          <w:spacing w:val="-5"/>
        </w:rPr>
        <w:t>可能会导致公司实际控制人的变更，但该事项还涉及国资审批等相关流程，存在一定的不确定性。其相关内容详见公司于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日刊登在《中国证券报》、《证券时报》》、《上海证券报》、《证券日报》及巨潮资讯网（</w:t>
      </w:r>
      <w:hyperlink r:id="rId13">
        <w:r>
          <w:rPr>
            <w:rFonts w:ascii="Times New Roman" w:hAnsi="Times New Roman" w:cs="Times New Roman" w:eastAsia="Times New Roman" w:hint="default"/>
          </w:rPr>
          <w:t>www.cninfo.com.cn</w:t>
        </w:r>
      </w:hyperlink>
      <w:r>
        <w:rPr/>
        <w:t>） 上的相关公告， 公告编号：</w:t>
      </w:r>
      <w:r>
        <w:rPr>
          <w:spacing w:val="-35"/>
        </w:rPr>
        <w:t> </w:t>
      </w:r>
      <w:r>
        <w:rPr>
          <w:rFonts w:ascii="Times New Roman" w:hAnsi="Times New Roman" w:cs="Times New Roman" w:eastAsia="Times New Roman" w:hint="default"/>
        </w:rPr>
        <w:t>2017-011</w:t>
      </w:r>
      <w:r>
        <w:rPr/>
        <w:t>。</w:t>
      </w:r>
    </w:p>
    <w:p>
      <w:pPr>
        <w:pStyle w:val="BodyText"/>
        <w:spacing w:line="300" w:lineRule="auto" w:before="53"/>
        <w:ind w:right="1035" w:firstLine="42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日召开了</w:t>
      </w:r>
      <w:r>
        <w:rPr>
          <w:rFonts w:ascii="Times New Roman" w:hAnsi="Times New Roman" w:cs="Times New Roman" w:eastAsia="Times New Roman" w:hint="default"/>
        </w:rPr>
        <w:t>2016</w:t>
      </w:r>
      <w:r>
        <w:rPr/>
        <w:t>年第三届董事会第六次临时会议，审议并通过了《关于向四川发展融资担保股份有 限公司提供反担保的议案》，公司向中国农发重点建设基金有限公司申请了</w:t>
      </w:r>
      <w:r>
        <w:rPr>
          <w:rFonts w:ascii="Times New Roman" w:hAnsi="Times New Roman" w:cs="Times New Roman" w:eastAsia="Times New Roman" w:hint="default"/>
        </w:rPr>
        <w:t>7,500</w:t>
      </w:r>
      <w:r>
        <w:rPr/>
        <w:t>万元的借款，借款期限为 </w:t>
      </w:r>
      <w:r>
        <w:rPr>
          <w:rFonts w:ascii="Times New Roman" w:hAnsi="Times New Roman" w:cs="Times New Roman" w:eastAsia="Times New Roman" w:hint="default"/>
        </w:rPr>
        <w:t>15  </w:t>
      </w:r>
      <w:r>
        <w:rPr/>
        <w:t>年，年利率</w:t>
      </w:r>
      <w:r>
        <w:rPr>
          <w:spacing w:val="-44"/>
        </w:rPr>
        <w:t> </w:t>
      </w:r>
      <w:r>
        <w:rPr>
          <w:spacing w:val="-44"/>
        </w:rPr>
      </w:r>
      <w:r>
        <w:rPr/>
        <w:t>为</w:t>
      </w:r>
      <w:r>
        <w:rPr>
          <w:spacing w:val="-29"/>
        </w:rPr>
        <w:t> </w:t>
      </w:r>
      <w:r>
        <w:rPr>
          <w:rFonts w:ascii="Times New Roman" w:hAnsi="Times New Roman" w:cs="Times New Roman" w:eastAsia="Times New Roman" w:hint="default"/>
        </w:rPr>
        <w:t>1.2</w:t>
      </w:r>
      <w:r>
        <w:rPr/>
        <w:t>％，由四川发展融资担保股份有限公司为其提供保证担保。在四川发展融资担保股份有限公司为融资提供担保后，公 司拟以位于锦江区三色路</w:t>
      </w:r>
      <w:r>
        <w:rPr>
          <w:rFonts w:ascii="Times New Roman" w:hAnsi="Times New Roman" w:cs="Times New Roman" w:eastAsia="Times New Roman" w:hint="default"/>
        </w:rPr>
        <w:t>“</w:t>
      </w:r>
      <w:r>
        <w:rPr/>
        <w:t>银海芯座</w:t>
      </w:r>
      <w:r>
        <w:rPr>
          <w:rFonts w:ascii="Times New Roman" w:hAnsi="Times New Roman" w:cs="Times New Roman" w:eastAsia="Times New Roman" w:hint="default"/>
        </w:rPr>
        <w:t>”A</w:t>
      </w:r>
      <w:r>
        <w:rPr/>
        <w:t>幢</w:t>
      </w:r>
      <w:r>
        <w:rPr>
          <w:rFonts w:ascii="Times New Roman" w:hAnsi="Times New Roman" w:cs="Times New Roman" w:eastAsia="Times New Roman" w:hint="default"/>
        </w:rPr>
        <w:t>10,139.11</w:t>
      </w:r>
      <w:r>
        <w:rPr/>
        <w:t>平方米办公楼及</w:t>
      </w:r>
      <w:r>
        <w:rPr>
          <w:rFonts w:ascii="Times New Roman" w:hAnsi="Times New Roman" w:cs="Times New Roman" w:eastAsia="Times New Roman" w:hint="default"/>
        </w:rPr>
        <w:t>65</w:t>
      </w:r>
      <w:r>
        <w:rPr/>
        <w:t>个车位进行反担保。本事项尚在履行中。具体内容详见 </w:t>
      </w:r>
      <w:r>
        <w:rPr>
          <w:spacing w:val="-13"/>
          <w:w w:val="99"/>
        </w:rPr>
        <w:t>公司于</w:t>
      </w:r>
      <w:r>
        <w:rPr>
          <w:rFonts w:ascii="Times New Roman" w:hAnsi="Times New Roman" w:cs="Times New Roman" w:eastAsia="Times New Roman" w:hint="default"/>
          <w:spacing w:val="-13"/>
          <w:w w:val="99"/>
        </w:rPr>
        <w:t>2016</w:t>
      </w:r>
      <w:r>
        <w:rPr>
          <w:spacing w:val="-13"/>
          <w:w w:val="99"/>
        </w:rPr>
        <w:t>年</w:t>
      </w:r>
      <w:r>
        <w:rPr>
          <w:rFonts w:ascii="Times New Roman" w:hAnsi="Times New Roman" w:cs="Times New Roman" w:eastAsia="Times New Roman" w:hint="default"/>
          <w:spacing w:val="-13"/>
          <w:w w:val="99"/>
        </w:rPr>
        <w:t>10</w:t>
      </w:r>
      <w:r>
        <w:rPr>
          <w:spacing w:val="-13"/>
          <w:w w:val="99"/>
        </w:rPr>
        <w:t>月</w:t>
      </w:r>
      <w:r>
        <w:rPr>
          <w:rFonts w:ascii="Times New Roman" w:hAnsi="Times New Roman" w:cs="Times New Roman" w:eastAsia="Times New Roman" w:hint="default"/>
          <w:spacing w:val="-13"/>
          <w:w w:val="99"/>
        </w:rPr>
        <w:t>10</w:t>
      </w:r>
      <w:r>
        <w:rPr>
          <w:spacing w:val="-13"/>
          <w:w w:val="99"/>
        </w:rPr>
        <w:t>日刊登在《中国证券报》、《证券时报》》、《上海证券报》、《证券日报》及巨潮资讯网（</w:t>
      </w:r>
      <w:hyperlink r:id="rId13">
        <w:r>
          <w:rPr>
            <w:rFonts w:ascii="Times New Roman" w:hAnsi="Times New Roman" w:cs="Times New Roman" w:eastAsia="Times New Roman" w:hint="default"/>
            <w:spacing w:val="-13"/>
            <w:w w:val="99"/>
          </w:rPr>
          <w:t>www.cninfo.com.cn</w:t>
        </w:r>
      </w:hyperlink>
      <w:r>
        <w:rPr>
          <w:spacing w:val="-13"/>
          <w:w w:val="99"/>
        </w:rPr>
        <w:t>）</w:t>
      </w:r>
      <w:r>
        <w:rPr>
          <w:spacing w:val="-86"/>
          <w:w w:val="99"/>
        </w:rPr>
        <w:t> </w:t>
      </w:r>
      <w:r>
        <w:rPr/>
        <w:t>上的相关公告， 公告编号：</w:t>
      </w:r>
      <w:r>
        <w:rPr>
          <w:spacing w:val="-40"/>
        </w:rPr>
        <w:t> </w:t>
      </w:r>
      <w:r>
        <w:rPr>
          <w:rFonts w:ascii="Times New Roman" w:hAnsi="Times New Roman" w:cs="Times New Roman" w:eastAsia="Times New Roman" w:hint="default"/>
        </w:rPr>
        <w:t>2016-071</w:t>
      </w:r>
      <w:r>
        <w:rPr/>
        <w:t>、</w:t>
      </w:r>
      <w:r>
        <w:rPr>
          <w:rFonts w:ascii="Times New Roman" w:hAnsi="Times New Roman" w:cs="Times New Roman" w:eastAsia="Times New Roman" w:hint="default"/>
        </w:rPr>
        <w:t>2016-072</w:t>
      </w:r>
      <w:r>
        <w:rPr/>
        <w:t>。</w:t>
      </w:r>
    </w:p>
    <w:p>
      <w:pPr>
        <w:pStyle w:val="BodyText"/>
        <w:spacing w:line="319" w:lineRule="auto" w:before="53"/>
        <w:ind w:right="1051" w:firstLine="425"/>
        <w:jc w:val="left"/>
        <w:rPr>
          <w:rFonts w:ascii="宋体" w:hAnsi="宋体" w:cs="宋体" w:eastAsia="宋体" w:hint="default"/>
        </w:rPr>
      </w:pPr>
      <w:r>
        <w:rPr/>
        <w:t>鉴于公司流动资金充裕，公司在中国农发重点建设基金有限公司的借款本金及利息本年度已全部结清，四川发展融资 担保股份有限公司对上述借款的连带责任担保已解除，公司对四川发展融资担保股份有限公司的反担保已解除。相关公告： </w:t>
      </w:r>
      <w:r>
        <w:rPr>
          <w:rFonts w:ascii="宋体" w:hAnsi="宋体" w:cs="宋体" w:eastAsia="宋体" w:hint="default"/>
        </w:rPr>
        <w:t>2019-060.</w:t>
      </w:r>
    </w:p>
    <w:p>
      <w:pPr>
        <w:spacing w:line="240" w:lineRule="auto" w:before="7"/>
        <w:rPr>
          <w:rFonts w:ascii="宋体" w:hAnsi="宋体" w:cs="宋体" w:eastAsia="宋体" w:hint="default"/>
          <w:sz w:val="20"/>
          <w:szCs w:val="20"/>
        </w:rPr>
      </w:pPr>
    </w:p>
    <w:p>
      <w:pPr>
        <w:pStyle w:val="Heading4"/>
        <w:spacing w:line="240" w:lineRule="auto"/>
        <w:ind w:right="0"/>
        <w:jc w:val="both"/>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132" w:firstLine="425"/>
        <w:jc w:val="both"/>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24</w:t>
      </w:r>
      <w:r>
        <w:rPr/>
        <w:t>日，经公司第四届董事会第十六次会议审议通过了《关于注销控股子公司北京银海奥尼思特咨询有限 </w:t>
      </w:r>
      <w:r>
        <w:rPr>
          <w:spacing w:val="-2"/>
        </w:rPr>
        <w:t>公司的议案》，同年</w:t>
      </w:r>
      <w:r>
        <w:rPr>
          <w:rFonts w:ascii="宋体" w:hAnsi="宋体" w:cs="宋体" w:eastAsia="宋体" w:hint="default"/>
          <w:spacing w:val="-2"/>
        </w:rPr>
        <w:t>11</w:t>
      </w:r>
      <w:r>
        <w:rPr>
          <w:spacing w:val="-2"/>
        </w:rPr>
        <w:t>月，北京银海奥尼思特咨询有限公司注销完成。本次注销完毕后，公司合并财务报表的范围将相应发</w:t>
      </w:r>
      <w:r>
        <w:rPr>
          <w:spacing w:val="-63"/>
        </w:rPr>
        <w:t> </w:t>
      </w:r>
      <w:r>
        <w:rPr>
          <w:spacing w:val="-63"/>
        </w:rPr>
      </w:r>
      <w:r>
        <w:rPr/>
        <w:t>生变化。相关公告：</w:t>
      </w:r>
      <w:r>
        <w:rPr>
          <w:rFonts w:ascii="宋体" w:hAnsi="宋体" w:cs="宋体" w:eastAsia="宋体" w:hint="default"/>
        </w:rPr>
        <w:t>2019-035</w:t>
      </w:r>
      <w:r>
        <w:rPr/>
        <w:t>，</w:t>
      </w:r>
      <w:r>
        <w:rPr>
          <w:rFonts w:ascii="宋体" w:hAnsi="宋体" w:cs="宋体" w:eastAsia="宋体" w:hint="default"/>
        </w:rPr>
        <w:t>2019-056</w:t>
      </w:r>
      <w:r>
        <w:rPr/>
        <w:t>。</w:t>
      </w:r>
    </w:p>
    <w:p>
      <w:pPr>
        <w:pStyle w:val="BodyText"/>
        <w:spacing w:line="319" w:lineRule="auto" w:before="19"/>
        <w:ind w:right="1132" w:firstLine="425"/>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7</w:t>
      </w:r>
      <w:r>
        <w:rPr/>
        <w:t>日，经公司第四届董事会第十九次审议通过了《关于向全资子公司四川久远银海畅辉软件有限公司增 </w:t>
      </w:r>
      <w:r>
        <w:rPr>
          <w:spacing w:val="-2"/>
        </w:rPr>
        <w:t>资的议案》，同年</w:t>
      </w:r>
      <w:r>
        <w:rPr>
          <w:rFonts w:ascii="宋体" w:hAnsi="宋体" w:cs="宋体" w:eastAsia="宋体" w:hint="default"/>
          <w:spacing w:val="-2"/>
        </w:rPr>
        <w:t>12</w:t>
      </w:r>
      <w:r>
        <w:rPr>
          <w:spacing w:val="-2"/>
        </w:rPr>
        <w:t>月，四川久远银海畅辉软件有限公司完成了本次增资，并取得了新的营业执照。本次增资完成后，注册</w:t>
      </w:r>
      <w:r>
        <w:rPr>
          <w:spacing w:val="-66"/>
        </w:rPr>
        <w:t> </w:t>
      </w:r>
      <w:r>
        <w:rPr>
          <w:spacing w:val="-66"/>
        </w:rPr>
      </w:r>
      <w:r>
        <w:rPr/>
        <w:t>资本由</w:t>
      </w:r>
      <w:r>
        <w:rPr>
          <w:rFonts w:ascii="宋体" w:hAnsi="宋体" w:cs="宋体" w:eastAsia="宋体" w:hint="default"/>
        </w:rPr>
        <w:t>1000</w:t>
      </w:r>
      <w:r>
        <w:rPr/>
        <w:t>万元变更到</w:t>
      </w:r>
      <w:r>
        <w:rPr>
          <w:rFonts w:ascii="宋体" w:hAnsi="宋体" w:cs="宋体" w:eastAsia="宋体" w:hint="default"/>
        </w:rPr>
        <w:t>5000</w:t>
      </w:r>
      <w:r>
        <w:rPr/>
        <w:t>万元。相关公告：</w:t>
      </w:r>
      <w:r>
        <w:rPr>
          <w:rFonts w:ascii="宋体" w:hAnsi="宋体" w:cs="宋体" w:eastAsia="宋体" w:hint="default"/>
        </w:rPr>
        <w:t>2019-054</w:t>
      </w:r>
      <w:r>
        <w:rPr/>
        <w:t>，</w:t>
      </w:r>
      <w:r>
        <w:rPr>
          <w:rFonts w:ascii="宋体" w:hAnsi="宋体" w:cs="宋体" w:eastAsia="宋体" w:hint="default"/>
        </w:rPr>
        <w:t>2019-061</w:t>
      </w:r>
      <w:r>
        <w:rPr/>
        <w:t>。</w:t>
      </w:r>
    </w:p>
    <w:p>
      <w:pPr>
        <w:spacing w:after="0" w:line="319"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4" w:id="5"/>
      <w:bookmarkEnd w:id="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5"/>
        <w:gridCol w:w="1046"/>
        <w:gridCol w:w="823"/>
        <w:gridCol w:w="521"/>
        <w:gridCol w:w="566"/>
        <w:gridCol w:w="924"/>
        <w:gridCol w:w="708"/>
        <w:gridCol w:w="994"/>
        <w:gridCol w:w="991"/>
        <w:gridCol w:w="710"/>
      </w:tblGrid>
      <w:tr>
        <w:trPr>
          <w:trHeight w:val="402"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69" w:right="9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24"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26,400,592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7,920,177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7,923,862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34,324,454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15.30%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26,400,592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7,920,177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7,923,862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34,324,454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15.30%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12,540,592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3,762,177</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3,762,177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16,302,769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7.27%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13,860,000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8.03%</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4,161,685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18,021,685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8.03%</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146,140,000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84.70%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43,838,315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189,978,315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84.70%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146,140,000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84.70%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43,842,000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43,838,315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189,978,315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84.70%</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172,540,592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51,762,177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51,762,177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224,302,769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133"/>
        <w:jc w:val="left"/>
      </w:pPr>
      <w:r>
        <w:rPr/>
        <w:t>股份变动的原因</w:t>
      </w:r>
    </w:p>
    <w:p>
      <w:pPr>
        <w:pStyle w:val="BodyText"/>
        <w:spacing w:line="340" w:lineRule="auto" w:before="115"/>
        <w:ind w:left="436" w:right="1133" w:hanging="2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1"/>
        </w:rPr>
        <w:t>1</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4</w:t>
      </w:r>
      <w:r>
        <w:rPr>
          <w:spacing w:val="-1"/>
        </w:rPr>
        <w:t>日，公司实施完成了</w:t>
      </w:r>
      <w:r>
        <w:rPr>
          <w:rFonts w:ascii="宋体" w:hAnsi="宋体" w:cs="宋体" w:eastAsia="宋体" w:hint="default"/>
          <w:spacing w:val="-1"/>
        </w:rPr>
        <w:t>2018</w:t>
      </w:r>
      <w:r>
        <w:rPr>
          <w:spacing w:val="-1"/>
        </w:rPr>
        <w:t>年度权益分派，以公司总股本</w:t>
      </w:r>
      <w:r>
        <w:rPr>
          <w:rFonts w:ascii="宋体" w:hAnsi="宋体" w:cs="宋体" w:eastAsia="宋体" w:hint="default"/>
          <w:spacing w:val="-1"/>
        </w:rPr>
        <w:t>172,540,592</w:t>
      </w:r>
      <w:r>
        <w:rPr>
          <w:spacing w:val="-1"/>
        </w:rPr>
        <w:t>股为基数，以资本公积金向全体股东</w:t>
      </w:r>
    </w:p>
    <w:p>
      <w:pPr>
        <w:pStyle w:val="BodyText"/>
        <w:spacing w:line="316" w:lineRule="auto" w:before="1"/>
        <w:ind w:left="436" w:right="3180" w:hanging="284"/>
        <w:jc w:val="left"/>
      </w:pPr>
      <w:r>
        <w:rPr/>
        <w:t>每</w:t>
      </w:r>
      <w:r>
        <w:rPr>
          <w:rFonts w:ascii="宋体" w:hAnsi="宋体" w:cs="宋体" w:eastAsia="宋体" w:hint="default"/>
        </w:rPr>
        <w:t>10</w:t>
      </w:r>
      <w:r>
        <w:rPr/>
        <w:t>股转增</w:t>
      </w:r>
      <w:r>
        <w:rPr>
          <w:rFonts w:ascii="宋体" w:hAnsi="宋体" w:cs="宋体" w:eastAsia="宋体" w:hint="default"/>
        </w:rPr>
        <w:t>3</w:t>
      </w:r>
      <w:r>
        <w:rPr/>
        <w:t>股。 </w:t>
      </w:r>
      <w:r>
        <w:rPr>
          <w:rFonts w:ascii="宋体" w:hAnsi="宋体" w:cs="宋体" w:eastAsia="宋体" w:hint="default"/>
        </w:rPr>
        <w:t>2</w:t>
      </w:r>
      <w:r>
        <w:rPr/>
        <w:t>、</w:t>
      </w:r>
      <w:r>
        <w:rPr>
          <w:rFonts w:ascii="宋体" w:hAnsi="宋体" w:cs="宋体" w:eastAsia="宋体" w:hint="default"/>
        </w:rPr>
        <w:t>2019</w:t>
      </w:r>
      <w:r>
        <w:rPr/>
        <w:t>年高管限售股份可减持股中有</w:t>
      </w:r>
      <w:r>
        <w:rPr>
          <w:rFonts w:ascii="宋体" w:hAnsi="宋体" w:cs="宋体" w:eastAsia="宋体" w:hint="default"/>
        </w:rPr>
        <w:t>3685</w:t>
      </w:r>
      <w:r>
        <w:rPr/>
        <w:t>股未减持，导致有限售条件的股份增加了</w:t>
      </w:r>
      <w:r>
        <w:rPr>
          <w:rFonts w:ascii="宋体" w:hAnsi="宋体" w:cs="宋体" w:eastAsia="宋体" w:hint="default"/>
        </w:rPr>
        <w:t>3685</w:t>
      </w:r>
      <w:r>
        <w:rPr/>
        <w:t>股。</w:t>
      </w:r>
    </w:p>
    <w:p>
      <w:pPr>
        <w:pStyle w:val="BodyText"/>
        <w:spacing w:line="240" w:lineRule="auto" w:before="19"/>
        <w:ind w:right="1133"/>
        <w:jc w:val="left"/>
      </w:pPr>
      <w:r>
        <w:rPr/>
        <w:t>股份变动的批准情况</w:t>
      </w:r>
    </w:p>
    <w:p>
      <w:pPr>
        <w:pStyle w:val="BodyText"/>
        <w:spacing w:line="348" w:lineRule="auto" w:before="117"/>
        <w:ind w:right="58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本次权益分派经公司</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17</w:t>
      </w:r>
      <w:r>
        <w:rPr/>
        <w:t>日召开的股东大会审议通过。 股份变动的过户情况</w:t>
      </w:r>
    </w:p>
    <w:p>
      <w:pPr>
        <w:pStyle w:val="BodyText"/>
        <w:spacing w:line="240" w:lineRule="auto" w:before="3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1149" w:firstLine="425"/>
        <w:jc w:val="left"/>
      </w:pP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日下午深圳证券交易所收市后，以在中国证券登记结算有限责任公司深圳分公司登记在册的本公司全体股 东为基数，实施了本次权益分派。</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4</w:t>
      </w:r>
      <w:r>
        <w:rPr/>
        <w:t>日，分派股份在中国证券登记结算有限责任公司深圳分公司登记完毕。 股份回购的实施进展情况</w:t>
      </w:r>
    </w:p>
    <w:p>
      <w:pPr>
        <w:pStyle w:val="BodyText"/>
        <w:spacing w:line="338" w:lineRule="auto" w:before="5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239" w:firstLine="425"/>
        <w:jc w:val="left"/>
      </w:pPr>
      <w:r>
        <w:rPr/>
        <w:t>本次资本公积转增股本后，按新股本</w:t>
      </w:r>
      <w:r>
        <w:rPr>
          <w:rFonts w:ascii="Times New Roman" w:hAnsi="Times New Roman" w:cs="Times New Roman" w:eastAsia="Times New Roman" w:hint="default"/>
        </w:rPr>
        <w:t>224,302,769</w:t>
      </w:r>
      <w:r>
        <w:rPr/>
        <w:t>股摊薄计算，</w:t>
      </w:r>
      <w:r>
        <w:rPr>
          <w:rFonts w:ascii="Times New Roman" w:hAnsi="Times New Roman" w:cs="Times New Roman" w:eastAsia="Times New Roman" w:hint="default"/>
        </w:rPr>
        <w:t>2019</w:t>
      </w:r>
      <w:r>
        <w:rPr/>
        <w:t>年每股净收益为</w:t>
      </w:r>
      <w:r>
        <w:rPr>
          <w:rFonts w:ascii="Times New Roman" w:hAnsi="Times New Roman" w:cs="Times New Roman" w:eastAsia="Times New Roman" w:hint="default"/>
        </w:rPr>
        <w:t>0.72</w:t>
      </w:r>
      <w:r>
        <w:rPr/>
        <w:t>元，每股净资产</w:t>
      </w:r>
      <w:r>
        <w:rPr>
          <w:rFonts w:ascii="Times New Roman" w:hAnsi="Times New Roman" w:cs="Times New Roman" w:eastAsia="Times New Roman" w:hint="default"/>
        </w:rPr>
        <w:t>5.07</w:t>
      </w:r>
      <w:r>
        <w:rPr/>
        <w:t>元；</w:t>
      </w:r>
      <w:r>
        <w:rPr>
          <w:rFonts w:ascii="Times New Roman" w:hAnsi="Times New Roman" w:cs="Times New Roman" w:eastAsia="Times New Roman" w:hint="default"/>
        </w:rPr>
        <w:t>2018 </w:t>
      </w:r>
      <w:r>
        <w:rPr/>
        <w:t>年每股净收益为</w:t>
      </w:r>
      <w:r>
        <w:rPr>
          <w:rFonts w:ascii="Times New Roman" w:hAnsi="Times New Roman" w:cs="Times New Roman" w:eastAsia="Times New Roman" w:hint="default"/>
        </w:rPr>
        <w:t>0.53</w:t>
      </w:r>
      <w:r>
        <w:rPr/>
        <w:t>元，每股净资产</w:t>
      </w:r>
      <w:r>
        <w:rPr>
          <w:rFonts w:ascii="Times New Roman" w:hAnsi="Times New Roman" w:cs="Times New Roman" w:eastAsia="Times New Roman" w:hint="default"/>
        </w:rPr>
        <w:t>4.55</w:t>
      </w:r>
      <w:r>
        <w:rPr/>
        <w:t>元。</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277"/>
        <w:gridCol w:w="1135"/>
        <w:gridCol w:w="1042"/>
        <w:gridCol w:w="1082"/>
        <w:gridCol w:w="1136"/>
        <w:gridCol w:w="1558"/>
      </w:tblGrid>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7" w:right="63" w:hanging="181"/>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6" w:right="84"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-3,658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3,513,685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年未减 持完成。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0"/>
              <w:jc w:val="right"/>
              <w:rPr>
                <w:rFonts w:ascii="宋体" w:hAnsi="宋体" w:cs="宋体" w:eastAsia="宋体" w:hint="default"/>
                <w:sz w:val="18"/>
                <w:szCs w:val="18"/>
              </w:rPr>
            </w:pPr>
            <w:r>
              <w:rPr>
                <w:rFonts w:ascii="宋体" w:hAnsi="宋体" w:cs="宋体" w:eastAsia="宋体" w:hint="default"/>
                <w:sz w:val="18"/>
                <w:szCs w:val="18"/>
              </w:rPr>
              <w:t>高管限售股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按深交所政策减持</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中国平安人寿保险股份有限公 司－分红－个险分红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6,511,024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1,953,307</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8,464,331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广发证券资管－工商银行－广 发恒定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号久远银海定向增发 集合资产管理计划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2,447,542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734,263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3,181,805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9"/>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四川久远银海软件股份有限公 司－第一期员工持股计划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1,342,385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402,715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平安养老保险股份有限公司－ 传统－普通保险产品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1,119,821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335,946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1,455,767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平安养老保险股份有限公司－ 分红－团险分红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251,960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1,091,825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平安养老保险股份有限公司－ 万能－团险万能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83,986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定增锁定股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2021-2-12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26,400,592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7,920,177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34,324,454</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shape style="position:absolute;margin-left:449.106995pt;margin-top:70.691719pt;width:85.85pt;height:31.2pt;mso-position-horizontal-relative:page;mso-position-vertical-relative:paragraph;z-index:-1103032" type="#_x0000_t202" filled="false" stroked="false">
            <v:textbox inset="0,0,0,0">
              <w:txbxContent>
                <w:p>
                  <w:pPr>
                    <w:pStyle w:val="BodyText"/>
                    <w:spacing w:line="205" w:lineRule="exact" w:before="0"/>
                    <w:ind w:left="0" w:right="0"/>
                    <w:jc w:val="left"/>
                  </w:pPr>
                  <w:r>
                    <w:rPr/>
                    <w:t>（如有）</w:t>
                  </w:r>
                </w:p>
              </w:txbxContent>
            </v:textbox>
            <w10:wrap type="none"/>
          </v:shape>
        </w:pict>
      </w:r>
      <w:r>
        <w:rPr/>
        <w:pict>
          <v:group style="position:absolute;margin-left:482.26001pt;margin-top:70.691719pt;width:52.7pt;height:31.2pt;mso-position-horizontal-relative:page;mso-position-vertical-relative:paragraph;z-index:-1103008" coordorigin="9645,1414" coordsize="1054,624">
            <v:shape style="position:absolute;left:9645;top:1414;width:1054;height:624" coordorigin="9645,1414" coordsize="1054,624" path="m9645,2038l10699,2038,10699,1414,9645,1414,9645,2038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648"/>
        <w:gridCol w:w="559"/>
        <w:gridCol w:w="478"/>
        <w:gridCol w:w="697"/>
        <w:gridCol w:w="92"/>
        <w:gridCol w:w="866"/>
        <w:gridCol w:w="259"/>
        <w:gridCol w:w="735"/>
        <w:gridCol w:w="438"/>
        <w:gridCol w:w="412"/>
        <w:gridCol w:w="809"/>
        <w:gridCol w:w="182"/>
        <w:gridCol w:w="1130"/>
        <w:gridCol w:w="509"/>
        <w:gridCol w:w="560"/>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9,499</w:t>
            </w:r>
          </w:p>
        </w:tc>
        <w:tc>
          <w:tcPr>
            <w:tcW w:w="11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10,098</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7"/>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09" w:type="dxa"/>
            <w:vMerge w:val="restart"/>
            <w:tcBorders>
              <w:top w:val="single" w:sz="4" w:space="0" w:color="000000"/>
              <w:left w:val="single" w:sz="12" w:space="0" w:color="D2D2D2"/>
              <w:right w:val="nil" w:sz="6" w:space="0" w:color="auto"/>
            </w:tcBorders>
          </w:tcPr>
          <w:p>
            <w:pPr/>
          </w:p>
        </w:tc>
        <w:tc>
          <w:tcPr>
            <w:tcW w:w="560"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9" w:type="dxa"/>
            <w:vMerge/>
            <w:tcBorders>
              <w:left w:val="single" w:sz="12" w:space="0" w:color="D2D2D2"/>
              <w:right w:val="nil" w:sz="6" w:space="0" w:color="auto"/>
            </w:tcBorders>
          </w:tcPr>
          <w:p>
            <w:pPr/>
          </w:p>
        </w:tc>
        <w:tc>
          <w:tcPr>
            <w:tcW w:w="560" w:type="dxa"/>
            <w:tcBorders>
              <w:top w:val="nil" w:sz="6" w:space="0" w:color="auto"/>
              <w:left w:val="nil" w:sz="6" w:space="0" w:color="auto"/>
              <w:bottom w:val="nil" w:sz="6" w:space="0" w:color="auto"/>
              <w:right w:val="single" w:sz="4" w:space="0" w:color="000000"/>
            </w:tcBorders>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313" w:type="dxa"/>
            <w:gridSpan w:val="2"/>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12" w:space="0" w:color="D2D2D2"/>
              <w:bottom w:val="single" w:sz="4" w:space="0" w:color="000000"/>
              <w:right w:val="nil" w:sz="6" w:space="0" w:color="auto"/>
            </w:tcBorders>
          </w:tcPr>
          <w:p>
            <w:pPr/>
          </w:p>
        </w:tc>
        <w:tc>
          <w:tcPr>
            <w:tcW w:w="56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844" w:type="dxa"/>
            <w:gridSpan w:val="2"/>
            <w:vMerge w:val="restart"/>
            <w:tcBorders>
              <w:top w:val="single" w:sz="4" w:space="0" w:color="000000"/>
              <w:left w:val="single" w:sz="4" w:space="0" w:color="000000"/>
              <w:right w:val="single" w:sz="4" w:space="0" w:color="000000"/>
            </w:tcBorders>
            <w:shd w:val="clear" w:color="auto" w:fill="D2D2D2"/>
          </w:tcPr>
          <w:p>
            <w:pPr/>
          </w:p>
        </w:tc>
        <w:tc>
          <w:tcPr>
            <w:tcW w:w="1037"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037"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right w:val="single" w:sz="4" w:space="0" w:color="000000"/>
            </w:tcBorders>
            <w:shd w:val="clear" w:color="auto" w:fill="D2D2D2"/>
          </w:tcPr>
          <w:p>
            <w:pPr/>
          </w:p>
        </w:tc>
      </w:tr>
      <w:tr>
        <w:trPr>
          <w:trHeight w:val="140"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6"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037"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
        </w:tc>
        <w:tc>
          <w:tcPr>
            <w:tcW w:w="1037"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1069" w:type="dxa"/>
            <w:gridSpan w:val="2"/>
            <w:vMerge/>
            <w:tcBorders>
              <w:left w:val="single" w:sz="4" w:space="0" w:color="000000"/>
              <w:right w:val="single" w:sz="4" w:space="0" w:color="000000"/>
            </w:tcBorders>
            <w:shd w:val="clear" w:color="auto" w:fill="D2D2D2"/>
          </w:tcPr>
          <w:p>
            <w:pPr/>
          </w:p>
        </w:tc>
      </w:tr>
      <w:tr>
        <w:trPr>
          <w:trHeight w:val="161" w:hRule="exact"/>
        </w:trPr>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037"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1069"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四川久远投资控股集 团有限公司</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26.29%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58,961,760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13,606,560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58,961,760</w:t>
            </w:r>
          </w:p>
        </w:tc>
        <w:tc>
          <w:tcPr>
            <w:tcW w:w="1130" w:type="dxa"/>
            <w:tcBorders>
              <w:top w:val="single" w:sz="48" w:space="0" w:color="D2D2D2"/>
              <w:left w:val="single" w:sz="4" w:space="0" w:color="000000"/>
              <w:bottom w:val="single" w:sz="4" w:space="0" w:color="000000"/>
              <w:right w:val="single" w:sz="4" w:space="0" w:color="000000"/>
            </w:tcBorders>
          </w:tcPr>
          <w:p>
            <w:pPr/>
          </w:p>
        </w:tc>
        <w:tc>
          <w:tcPr>
            <w:tcW w:w="1069" w:type="dxa"/>
            <w:gridSpan w:val="2"/>
            <w:tcBorders>
              <w:top w:val="single" w:sz="48" w:space="0" w:color="D2D2D2"/>
              <w:left w:val="single" w:sz="4" w:space="0" w:color="000000"/>
              <w:bottom w:val="single" w:sz="4" w:space="0" w:color="000000"/>
              <w:right w:val="single" w:sz="4" w:space="0" w:color="000000"/>
            </w:tcBorders>
          </w:tcPr>
          <w:p>
            <w:pPr/>
          </w:p>
        </w:tc>
      </w:tr>
      <w:tr>
        <w:trPr>
          <w:trHeight w:val="713"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四川科学城锐锋集团 有限责任公司</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12.02%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26,968,240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6,223,440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26,968,240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中国平安人寿保险股 份有限公司－分红－ 个险分红</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12,624,331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2,913,307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8,464,331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4,160,000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2.33%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5,232,068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-517,932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5,232,068</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中国民生银行股份有 限公司－华商领先企 业混合型证券投资基 金</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2.32%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5,211,590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2,130,460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5,211,590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3,513,685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-86,315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3,513,685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037"/>
        <w:gridCol w:w="790"/>
        <w:gridCol w:w="866"/>
        <w:gridCol w:w="994"/>
        <w:gridCol w:w="425"/>
        <w:gridCol w:w="425"/>
        <w:gridCol w:w="991"/>
        <w:gridCol w:w="428"/>
        <w:gridCol w:w="708"/>
        <w:gridCol w:w="1063"/>
      </w:tblGrid>
      <w:tr>
        <w:trPr>
          <w:trHeight w:val="13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广发证券资管－工商 银行－广发恒定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久远银海定向增发集 合资产管理计划</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734,263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3,181,805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-72,500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2,827,500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中国工商银行股份有 限公司－汇添富民营 活力混合型证券投资 基金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2,711,620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2,711,620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2,711,620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2,362,090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362,090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2,362,090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9"/>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9" w:right="-7"/>
              <w:jc w:val="left"/>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上述股东中，久远集团、锐锋集团系中物院全资控股的公司，为公司的实际控制人。 除上述关联关系外，公司股东之间不存在其他关联关系。</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7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6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75"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615"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075" w:type="dxa"/>
            <w:gridSpan w:val="4"/>
            <w:vMerge/>
            <w:tcBorders>
              <w:left w:val="single" w:sz="4" w:space="0" w:color="000000"/>
              <w:bottom w:val="nil" w:sz="6" w:space="0" w:color="auto"/>
              <w:right w:val="single" w:sz="4" w:space="0" w:color="000000"/>
            </w:tcBorders>
            <w:shd w:val="clear" w:color="auto" w:fill="D2D2D2"/>
          </w:tcPr>
          <w:p>
            <w:pPr/>
          </w:p>
        </w:tc>
        <w:tc>
          <w:tcPr>
            <w:tcW w:w="18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7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gridSpan w:val="3"/>
            <w:vMerge/>
            <w:tcBorders>
              <w:left w:val="single" w:sz="4" w:space="0" w:color="000000"/>
              <w:bottom w:val="single" w:sz="4" w:space="0" w:color="000000"/>
              <w:right w:val="single" w:sz="4" w:space="0" w:color="000000"/>
            </w:tcBorders>
            <w:shd w:val="clear" w:color="auto" w:fill="D2D2D2"/>
          </w:tcPr>
          <w:p>
            <w:pPr/>
          </w:p>
        </w:tc>
        <w:tc>
          <w:tcPr>
            <w:tcW w:w="1771"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58,961,760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8" w:right="0"/>
              <w:jc w:val="left"/>
              <w:rPr>
                <w:rFonts w:ascii="Times New Roman" w:hAnsi="Times New Roman" w:cs="Times New Roman" w:eastAsia="Times New Roman" w:hint="default"/>
                <w:sz w:val="18"/>
                <w:szCs w:val="18"/>
              </w:rPr>
            </w:pPr>
            <w:r>
              <w:rPr>
                <w:rFonts w:ascii="Times New Roman"/>
                <w:sz w:val="18"/>
              </w:rPr>
              <w:t>58,961,760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26,968,240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8" w:right="0"/>
              <w:jc w:val="left"/>
              <w:rPr>
                <w:rFonts w:ascii="Times New Roman" w:hAnsi="Times New Roman" w:cs="Times New Roman" w:eastAsia="Times New Roman" w:hint="default"/>
                <w:sz w:val="18"/>
                <w:szCs w:val="18"/>
              </w:rPr>
            </w:pPr>
            <w:r>
              <w:rPr>
                <w:rFonts w:ascii="Times New Roman"/>
                <w:sz w:val="18"/>
              </w:rPr>
              <w:t>26,968,240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5,232,068</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9" w:right="0"/>
              <w:jc w:val="left"/>
              <w:rPr>
                <w:rFonts w:ascii="Times New Roman" w:hAnsi="Times New Roman" w:cs="Times New Roman" w:eastAsia="Times New Roman" w:hint="default"/>
                <w:sz w:val="18"/>
                <w:szCs w:val="18"/>
              </w:rPr>
            </w:pPr>
            <w:r>
              <w:rPr>
                <w:rFonts w:ascii="Times New Roman"/>
                <w:sz w:val="18"/>
              </w:rPr>
              <w:t>5,232,068</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 领先企业混合型证券投资基金</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5,211,590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5,211,590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 分红－个险分红</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4,160,000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9" w:right="0"/>
              <w:jc w:val="left"/>
              <w:rPr>
                <w:rFonts w:ascii="Times New Roman" w:hAnsi="Times New Roman" w:cs="Times New Roman" w:eastAsia="Times New Roman" w:hint="default"/>
                <w:sz w:val="18"/>
                <w:szCs w:val="18"/>
              </w:rPr>
            </w:pPr>
            <w:r>
              <w:rPr>
                <w:rFonts w:ascii="Times New Roman"/>
                <w:sz w:val="18"/>
              </w:rPr>
              <w:t>4,160,000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富民营活力混合型证券投资基金</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2,711,620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2,711,620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2,362,090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9" w:right="0"/>
              <w:jc w:val="left"/>
              <w:rPr>
                <w:rFonts w:ascii="Times New Roman" w:hAnsi="Times New Roman" w:cs="Times New Roman" w:eastAsia="Times New Roman" w:hint="default"/>
                <w:sz w:val="18"/>
                <w:szCs w:val="18"/>
              </w:rPr>
            </w:pPr>
            <w:r>
              <w:rPr>
                <w:rFonts w:ascii="Times New Roman"/>
                <w:sz w:val="18"/>
              </w:rPr>
              <w:t>2,362,090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 未来主题混合型证券投资基金</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2,299,613</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9" w:right="0"/>
              <w:jc w:val="left"/>
              <w:rPr>
                <w:rFonts w:ascii="Times New Roman" w:hAnsi="Times New Roman" w:cs="Times New Roman" w:eastAsia="Times New Roman" w:hint="default"/>
                <w:sz w:val="18"/>
                <w:szCs w:val="18"/>
              </w:rPr>
            </w:pPr>
            <w:r>
              <w:rPr>
                <w:rFonts w:ascii="Times New Roman"/>
                <w:sz w:val="18"/>
              </w:rPr>
              <w:t>2,299,613</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 价值精选混合型证券投资基金</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1,950,039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9" w:right="0"/>
              <w:jc w:val="left"/>
              <w:rPr>
                <w:rFonts w:ascii="Times New Roman" w:hAnsi="Times New Roman" w:cs="Times New Roman" w:eastAsia="Times New Roman" w:hint="default"/>
                <w:sz w:val="18"/>
                <w:szCs w:val="18"/>
              </w:rPr>
            </w:pPr>
            <w:r>
              <w:rPr>
                <w:rFonts w:ascii="Times New Roman"/>
                <w:sz w:val="18"/>
              </w:rPr>
              <w:t>1,950,039</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童晓峰</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1,676,370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9" w:right="0"/>
              <w:jc w:val="left"/>
              <w:rPr>
                <w:rFonts w:ascii="Times New Roman" w:hAnsi="Times New Roman" w:cs="Times New Roman" w:eastAsia="Times New Roman" w:hint="default"/>
                <w:sz w:val="18"/>
                <w:szCs w:val="18"/>
              </w:rPr>
            </w:pPr>
            <w:r>
              <w:rPr>
                <w:rFonts w:ascii="Times New Roman"/>
                <w:sz w:val="18"/>
              </w:rPr>
              <w:t>1,676,370</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7"/>
              <w:jc w:val="left"/>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上述股东中，久远集团、锐锋集团系中物院全资控股的公司，为公司的实际控制人。 除上述关联关系外，公司股东之间不存在其他关联关系。</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414"/>
        <w:jc w:val="left"/>
      </w:pPr>
      <w:r>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0" w:right="1138"/>
        <w:jc w:val="right"/>
      </w:pPr>
      <w:r>
        <w:rPr/>
        <w:pict>
          <v:shape style="position:absolute;margin-left:56.400002pt;margin-top:-67.598305pt;width:479.3pt;height:17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四川久远投资控股集团 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70895982-3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经营公司法人资本和所 投资企业的法人资本； </w:t>
                        </w:r>
                        <w:r>
                          <w:rPr>
                            <w:rFonts w:ascii="宋体" w:hAnsi="宋体" w:cs="宋体" w:eastAsia="宋体" w:hint="default"/>
                            <w:spacing w:val="-4"/>
                            <w:sz w:val="18"/>
                            <w:szCs w:val="18"/>
                          </w:rPr>
                          <w:t>股权投资；房地产投资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经济担保、咨询和经批 准的其他业务</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久远集团持有利尔化学股份有限公司 </w:t>
                        </w:r>
                        <w:r>
                          <w:rPr>
                            <w:rFonts w:ascii="Times New Roman" w:hAnsi="Times New Roman" w:cs="Times New Roman" w:eastAsia="Times New Roman" w:hint="default"/>
                            <w:sz w:val="18"/>
                            <w:szCs w:val="18"/>
                          </w:rPr>
                          <w:t>143,484,136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股股份，占利尔化学股份有限公司总股本的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874"/>
        <w:jc w:val="left"/>
      </w:pPr>
      <w:r>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39"/>
        <w:jc w:val="right"/>
      </w:pPr>
      <w:r>
        <w:rPr/>
        <w:pict>
          <v:shape style="position:absolute;margin-left:56.400002pt;margin-top:-52.02829pt;width:479.3pt;height:279.2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829"/>
                    <w:gridCol w:w="1892"/>
                    <w:gridCol w:w="1937"/>
                    <w:gridCol w:w="1913"/>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62"/>
                          <w:jc w:val="righ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中国工程物理研究院</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刘仓理</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00001831-5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以发展国防尖端科学技 </w:t>
                        </w:r>
                        <w:r>
                          <w:rPr>
                            <w:rFonts w:ascii="宋体" w:hAnsi="宋体" w:cs="宋体" w:eastAsia="宋体" w:hint="default"/>
                            <w:spacing w:val="-4"/>
                            <w:sz w:val="18"/>
                            <w:szCs w:val="18"/>
                          </w:rPr>
                          <w:t>术为主的集理论、实验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设计、生产为一体的综 合性研究院科研生产基 地，主要从事冲击波与 爆轰物理、核物理、等 离子体与激光技术、工 程与材料科学、电子学 与光电子学、化学与化 工、计算机与计算数学 等学科领域的研究及应 用。</w:t>
                        </w:r>
                      </w:p>
                    </w:tc>
                  </w:tr>
                  <w:tr>
                    <w:trPr>
                      <w:trHeight w:val="10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中物院合计持有利尔化学股份有限公司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191,597,004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股股份，占利尔化学股份有限公司总股本的</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36.54%</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right="1133"/>
        <w:jc w:val="left"/>
      </w:pPr>
      <w:r>
        <w:rPr/>
        <w:t>实际控制人报告期内变更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8"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4"/>
          <w:szCs w:val="24"/>
        </w:rPr>
      </w:pPr>
    </w:p>
    <w:p>
      <w:pPr>
        <w:spacing w:line="5355" w:lineRule="exact"/>
        <w:ind w:left="1355"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591875" cy="34004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1875" cy="3400425"/>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7"/>
        <w:rPr>
          <w:rFonts w:ascii="宋体" w:hAnsi="宋体" w:cs="宋体" w:eastAsia="宋体" w:hint="default"/>
          <w:sz w:val="22"/>
          <w:szCs w:val="22"/>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5" w:id="6"/>
      <w:bookmarkEnd w:id="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6" w:id="7"/>
      <w:bookmarkEnd w:id="7"/>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7" w:id="8"/>
      <w:bookmarkEnd w:id="8"/>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938"/>
        <w:gridCol w:w="799"/>
        <w:gridCol w:w="797"/>
        <w:gridCol w:w="672"/>
        <w:gridCol w:w="991"/>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1,166,315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3,513,685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938"/>
        <w:gridCol w:w="799"/>
        <w:gridCol w:w="797"/>
        <w:gridCol w:w="672"/>
        <w:gridCol w:w="991"/>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1,852,500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裁、财务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617,500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1,852,500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2,827,500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1,267,500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6,002,315</w:t>
            </w:r>
          </w:p>
        </w:tc>
        <w:tc>
          <w:tcPr>
            <w:tcW w:w="67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18,021,685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年第一次临时股东大会通过，当选为公司第四届 独立董事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公司业务管理调整需要</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公司业务管理调整需要</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公司业务管理调整需要</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公司业务管理调整需要</w:t>
            </w: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公司现任董事、监事、高级管理人员专业背景、主要工作经历以及目前在公司的主要职责</w:t>
      </w:r>
    </w:p>
    <w:p>
      <w:pPr>
        <w:pStyle w:val="BodyText"/>
        <w:spacing w:line="300" w:lineRule="auto" w:before="117"/>
        <w:ind w:left="573" w:right="1133" w:hanging="349"/>
        <w:jc w:val="left"/>
      </w:pPr>
      <w:r>
        <w:rPr>
          <w:rFonts w:ascii="Times New Roman" w:hAnsi="Times New Roman" w:cs="Times New Roman" w:eastAsia="Times New Roman" w:hint="default"/>
        </w:rPr>
        <w:t>(</w:t>
      </w:r>
      <w:r>
        <w:rPr/>
        <w:t>一）董事会成员简介</w:t>
      </w:r>
      <w:r>
        <w:rPr>
          <w:w w:val="99"/>
        </w:rPr>
        <w:t> </w:t>
      </w:r>
      <w:r>
        <w:rPr/>
        <w:t>连春华，男，出生于</w:t>
      </w:r>
      <w:r>
        <w:rPr>
          <w:rFonts w:ascii="宋体" w:hAnsi="宋体" w:cs="宋体" w:eastAsia="宋体" w:hint="default"/>
        </w:rPr>
        <w:t>1974</w:t>
      </w:r>
      <w:r>
        <w:rPr/>
        <w:t>年，中国国籍，无永久境外居留权，研究生学历，硕士学位。</w:t>
      </w:r>
      <w:r>
        <w:rPr>
          <w:rFonts w:ascii="宋体" w:hAnsi="宋体" w:cs="宋体" w:eastAsia="宋体" w:hint="default"/>
        </w:rPr>
        <w:t>1994</w:t>
      </w:r>
      <w:r>
        <w:rPr/>
        <w:t>年和</w:t>
      </w:r>
      <w:r>
        <w:rPr>
          <w:rFonts w:ascii="宋体" w:hAnsi="宋体" w:cs="宋体" w:eastAsia="宋体" w:hint="default"/>
        </w:rPr>
        <w:t>1997</w:t>
      </w:r>
      <w:r>
        <w:rPr/>
        <w:t>年毕业于兰州大</w:t>
      </w:r>
    </w:p>
    <w:p>
      <w:pPr>
        <w:pStyle w:val="BodyText"/>
        <w:spacing w:line="319" w:lineRule="auto" w:before="31"/>
        <w:ind w:right="1034"/>
        <w:jc w:val="left"/>
      </w:pPr>
      <w:r>
        <w:rPr/>
        <w:t>学计算数学专业，分别获得学士和硕士学位。</w:t>
      </w:r>
      <w:r>
        <w:rPr>
          <w:rFonts w:ascii="宋体" w:hAnsi="宋体" w:cs="宋体" w:eastAsia="宋体" w:hint="default"/>
        </w:rPr>
        <w:t>1997</w:t>
      </w:r>
      <w:r>
        <w:rPr/>
        <w:t>年</w:t>
      </w:r>
      <w:r>
        <w:rPr>
          <w:rFonts w:ascii="宋体" w:hAnsi="宋体" w:cs="宋体" w:eastAsia="宋体" w:hint="default"/>
        </w:rPr>
        <w:t>6</w:t>
      </w:r>
      <w:r>
        <w:rPr/>
        <w:t>月至</w:t>
      </w:r>
      <w:r>
        <w:rPr>
          <w:rFonts w:ascii="宋体" w:hAnsi="宋体" w:cs="宋体" w:eastAsia="宋体" w:hint="default"/>
        </w:rPr>
        <w:t>1999</w:t>
      </w:r>
      <w:r>
        <w:rPr/>
        <w:t>年</w:t>
      </w:r>
      <w:r>
        <w:rPr>
          <w:rFonts w:ascii="宋体" w:hAnsi="宋体" w:cs="宋体" w:eastAsia="宋体" w:hint="default"/>
        </w:rPr>
        <w:t>4</w:t>
      </w:r>
      <w:r>
        <w:rPr/>
        <w:t>月在深圳市百利鑫电脑有限公司工作，历任软件工程师、 </w:t>
      </w:r>
      <w:r>
        <w:rPr>
          <w:spacing w:val="-2"/>
        </w:rPr>
        <w:t>项目经理、部门经理等职务。</w:t>
      </w:r>
      <w:r>
        <w:rPr>
          <w:rFonts w:ascii="宋体" w:hAnsi="宋体" w:cs="宋体" w:eastAsia="宋体" w:hint="default"/>
          <w:spacing w:val="-2"/>
        </w:rPr>
        <w:t>1999</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月，在四川托普软件股份有限公司工作，历任社保软件开发室副经理、经</w:t>
      </w:r>
      <w:r>
        <w:rPr>
          <w:spacing w:val="-59"/>
        </w:rPr>
        <w:t> </w:t>
      </w:r>
      <w:r>
        <w:rPr>
          <w:spacing w:val="-59"/>
        </w:rPr>
      </w:r>
      <w:r>
        <w:rPr/>
        <w:t>理，电力软件开发室高级经理，金融软件开发中心主任，应用研究院院长，社保行业部总经理，公司副总裁等职务。</w:t>
      </w:r>
      <w:r>
        <w:rPr>
          <w:rFonts w:ascii="宋体" w:hAnsi="宋体" w:cs="宋体" w:eastAsia="宋体" w:hint="default"/>
        </w:rPr>
        <w:t>2004</w:t>
      </w:r>
      <w:r>
        <w:rPr>
          <w:rFonts w:ascii="宋体" w:hAnsi="宋体" w:cs="宋体" w:eastAsia="宋体" w:hint="default"/>
          <w:spacing w:val="-3"/>
        </w:rPr>
        <w:t> </w:t>
      </w:r>
      <w:r>
        <w:rPr>
          <w:rFonts w:ascii="宋体" w:hAnsi="宋体" w:cs="宋体" w:eastAsia="宋体" w:hint="default"/>
          <w:spacing w:val="-3"/>
        </w:rPr>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月，在四川银海软件有限责任公司工作，任事业部总经理。</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月起在本公司工作，任事业部总经理；</w:t>
      </w:r>
      <w:r>
        <w:rPr>
          <w:spacing w:val="-56"/>
        </w:rPr>
        <w:t> </w:t>
      </w:r>
      <w:r>
        <w:rPr>
          <w:spacing w:val="-56"/>
        </w:rPr>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月任公司副总经理，主管公司市场与销售工作；</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月任公司总经理；</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月至今，任公司董事长兼总裁。</w:t>
      </w:r>
    </w:p>
    <w:p>
      <w:pPr>
        <w:pStyle w:val="BodyText"/>
        <w:spacing w:line="300" w:lineRule="auto" w:before="17"/>
        <w:ind w:right="1034" w:firstLine="360"/>
        <w:jc w:val="left"/>
      </w:pPr>
      <w:r>
        <w:rPr>
          <w:spacing w:val="-2"/>
        </w:rPr>
        <w:t>李凌，男，出生于</w:t>
      </w:r>
      <w:r>
        <w:rPr>
          <w:rFonts w:ascii="Times New Roman" w:hAnsi="Times New Roman" w:cs="Times New Roman" w:eastAsia="Times New Roman" w:hint="default"/>
          <w:spacing w:val="-2"/>
        </w:rPr>
        <w:t>1963</w:t>
      </w:r>
      <w:r>
        <w:rPr>
          <w:spacing w:val="-2"/>
        </w:rPr>
        <w:t>年，中国国籍，无永久境外居留权，本科学历，高级工程师。</w:t>
      </w:r>
      <w:r>
        <w:rPr>
          <w:rFonts w:ascii="Times New Roman" w:hAnsi="Times New Roman" w:cs="Times New Roman" w:eastAsia="Times New Roman" w:hint="default"/>
          <w:spacing w:val="-2"/>
        </w:rPr>
        <w:t>1985</w:t>
      </w:r>
      <w:r>
        <w:rPr>
          <w:spacing w:val="-2"/>
        </w:rPr>
        <w:t>年至今在中物院计算机应用研</w:t>
      </w:r>
      <w:r>
        <w:rPr/>
        <w:t> 究所工作，先后担任该所副主任、主任、副所长、副巡视员；</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年任四川科学城锐锋集团有限责任公司总经理，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月至今担任四川科学城锐锋集团有限责任公司总经理。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月至今任公司副董事长。</w:t>
      </w:r>
    </w:p>
    <w:p>
      <w:pPr>
        <w:pStyle w:val="BodyText"/>
        <w:spacing w:line="300" w:lineRule="auto" w:before="13"/>
        <w:ind w:right="1128" w:firstLine="360"/>
        <w:jc w:val="both"/>
      </w:pPr>
      <w:r>
        <w:rPr>
          <w:spacing w:val="-2"/>
        </w:rPr>
        <w:t>靳建立，男，出生于</w:t>
      </w:r>
      <w:r>
        <w:rPr>
          <w:rFonts w:ascii="Times New Roman" w:hAnsi="Times New Roman" w:cs="Times New Roman" w:eastAsia="Times New Roman" w:hint="default"/>
          <w:spacing w:val="-2"/>
        </w:rPr>
        <w:t>1976</w:t>
      </w:r>
      <w:r>
        <w:rPr>
          <w:spacing w:val="-2"/>
        </w:rPr>
        <w:t>年，中国国籍，无永久境外居留权，硕士学历，高级经济师。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年在四川海天集团</w:t>
      </w:r>
      <w:r>
        <w:rPr/>
        <w:t> 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年在久远集团任项目经理；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月先后任中物院军转民部干事、处长；</w:t>
      </w:r>
      <w:r>
        <w:rPr>
          <w:rFonts w:ascii="Times New Roman" w:hAnsi="Times New Roman" w:cs="Times New Roman" w:eastAsia="Times New Roman" w:hint="default"/>
        </w:rPr>
        <w:t>2014</w:t>
      </w:r>
      <w:r>
        <w:rPr/>
        <w:t>年至今先 后担任久远集团董事会秘书、总经理助理、战略部部长、副总经理。</w:t>
      </w:r>
    </w:p>
    <w:p>
      <w:pPr>
        <w:pStyle w:val="BodyText"/>
        <w:spacing w:line="300" w:lineRule="auto" w:before="31"/>
        <w:ind w:right="986" w:firstLine="360"/>
        <w:jc w:val="left"/>
      </w:pPr>
      <w:r>
        <w:rPr/>
        <w:t>张海，男，出生于</w:t>
      </w:r>
      <w:r>
        <w:rPr>
          <w:rFonts w:ascii="Times New Roman" w:hAnsi="Times New Roman" w:cs="Times New Roman" w:eastAsia="Times New Roman" w:hint="default"/>
        </w:rPr>
        <w:t>1962</w:t>
      </w:r>
      <w:r>
        <w:rPr/>
        <w:t>年，中国国籍，无永久境外居留权，本科学历，政工师。曾就职于中物院七所，</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 </w:t>
      </w:r>
      <w:r>
        <w:rPr>
          <w:spacing w:val="-2"/>
        </w:rPr>
        <w:t>年任职于四川鼎天艺精电子有限责任公司总经理；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年任鼎天微电子公司总裁助理，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2010</w:t>
      </w:r>
      <w:r>
        <w:rPr>
          <w:spacing w:val="-2"/>
        </w:rPr>
        <w:t>年先后担任四</w:t>
      </w:r>
      <w:r>
        <w:rPr>
          <w:spacing w:val="-54"/>
        </w:rPr>
        <w:t> </w:t>
      </w:r>
      <w:r>
        <w:rPr>
          <w:spacing w:val="-54"/>
        </w:rPr>
      </w:r>
      <w:r>
        <w:rPr>
          <w:spacing w:val="-2"/>
        </w:rPr>
        <w:t>川艺精技术开发公司常务副总经理、总经理、副董事长；</w:t>
      </w:r>
      <w:r>
        <w:rPr>
          <w:rFonts w:ascii="Times New Roman" w:hAnsi="Times New Roman" w:cs="Times New Roman" w:eastAsia="Times New Roman" w:hint="default"/>
          <w:spacing w:val="-2"/>
        </w:rPr>
        <w:t>2010</w:t>
      </w:r>
      <w:r>
        <w:rPr>
          <w:spacing w:val="-2"/>
        </w:rPr>
        <w:t>年至今担任四川久远投资控股集团有限公司党委委员、副总经</w:t>
      </w:r>
      <w:r>
        <w:rPr>
          <w:spacing w:val="-59"/>
        </w:rPr>
        <w:t> </w:t>
      </w:r>
      <w:r>
        <w:rPr>
          <w:spacing w:val="-59"/>
        </w:rPr>
      </w:r>
      <w:r>
        <w:rPr/>
        <w:t>理（应用技术研究发展中心党委委员、副主任），期间曾担任中物院军转民发展部副部长（挂职</w:t>
      </w:r>
      <w:r>
        <w:rPr>
          <w:rFonts w:ascii="Times New Roman" w:hAnsi="Times New Roman" w:cs="Times New Roman" w:eastAsia="Times New Roman" w:hint="default"/>
        </w:rPr>
        <w:t>1</w:t>
      </w:r>
      <w:r>
        <w:rPr/>
        <w:t>年）。</w:t>
      </w:r>
    </w:p>
    <w:p>
      <w:pPr>
        <w:pStyle w:val="BodyText"/>
        <w:spacing w:line="240" w:lineRule="auto" w:before="13"/>
        <w:ind w:left="513" w:right="986"/>
        <w:jc w:val="left"/>
      </w:pPr>
      <w:r>
        <w:rPr/>
        <w:t>徐楷，男，出生于</w:t>
      </w:r>
      <w:r>
        <w:rPr>
          <w:rFonts w:ascii="Times New Roman" w:hAnsi="Times New Roman" w:cs="Times New Roman" w:eastAsia="Times New Roman" w:hint="default"/>
        </w:rPr>
        <w:t>1963</w:t>
      </w:r>
      <w:r>
        <w:rPr/>
        <w:t>年，中国国籍，无永久境外居留权，专科学历，工程师。</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9</w:t>
      </w:r>
      <w:r>
        <w:rPr/>
        <w:t>月至今在中物院计算机应用研</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ind w:right="986"/>
        <w:jc w:val="left"/>
      </w:pPr>
      <w:r>
        <w:rPr>
          <w:spacing w:val="-2"/>
        </w:rPr>
        <w:t>究所工作，先后担任该所党支部书记、副主任、科研生产处副处长、军转民处处长、规划发展处副处长；</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2014</w:t>
      </w:r>
      <w:r>
        <w:rPr>
          <w:spacing w:val="-2"/>
        </w:rPr>
        <w:t>年担</w:t>
      </w:r>
      <w:r>
        <w:rPr>
          <w:spacing w:val="-60"/>
        </w:rPr>
        <w:t> </w:t>
      </w:r>
      <w:r>
        <w:rPr/>
        <w:t>任四川科学城锐锋集团有限责任公司副总经理。</w:t>
      </w:r>
    </w:p>
    <w:p>
      <w:pPr>
        <w:pStyle w:val="BodyText"/>
        <w:spacing w:line="300" w:lineRule="auto" w:before="31"/>
        <w:ind w:right="986" w:firstLine="300"/>
        <w:jc w:val="left"/>
      </w:pPr>
      <w:r>
        <w:rPr/>
        <w:t>冯建，男，出生于</w:t>
      </w:r>
      <w:r>
        <w:rPr>
          <w:rFonts w:ascii="Times New Roman" w:hAnsi="Times New Roman" w:cs="Times New Roman" w:eastAsia="Times New Roman" w:hint="default"/>
        </w:rPr>
        <w:t>1963</w:t>
      </w:r>
      <w:r>
        <w:rPr/>
        <w:t>年，博士，西南财经大学会计学院教授、博士生导师，西南财经大学出版社董事长、社长，中国 注册会计师。曾先后兼任云南马龙、成都卫士通、成渝高速、迪康药业、成都博瑞、明星电缆、洛阳银行、中科信息等</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spacing w:val="-4"/>
        </w:rPr>
        <w:t>余公司独立董事。现兼任四川九州独立董事、中国财务学年会秘书长、教育部和省市相关组织科研项目立项、结项评审专家。</w:t>
      </w:r>
    </w:p>
    <w:p>
      <w:pPr>
        <w:pStyle w:val="BodyText"/>
        <w:spacing w:line="314" w:lineRule="auto" w:before="31"/>
        <w:ind w:right="1131" w:firstLine="300"/>
        <w:jc w:val="both"/>
      </w:pPr>
      <w:r>
        <w:rPr>
          <w:spacing w:val="-1"/>
        </w:rPr>
        <w:t>秦志光，男，出生于</w:t>
      </w:r>
      <w:r>
        <w:rPr>
          <w:rFonts w:ascii="Times New Roman" w:hAnsi="Times New Roman" w:cs="Times New Roman" w:eastAsia="Times New Roman" w:hint="default"/>
          <w:spacing w:val="-1"/>
        </w:rPr>
        <w:t>1956</w:t>
      </w:r>
      <w:r>
        <w:rPr>
          <w:spacing w:val="-1"/>
        </w:rPr>
        <w:t>年，博士、二级教授、博士生导师。曾任电子科技大学计算机科学与工程学院、信息与软件工</w:t>
      </w:r>
      <w:r>
        <w:rPr/>
        <w:t> </w:t>
      </w:r>
      <w:r>
        <w:rPr>
          <w:spacing w:val="-2"/>
        </w:rPr>
        <w:t>程学院院长，国家特殊津贴获得者。国务院学科评议组计算机科学技术组（第六、七届）成员；国务院学位委员会网络空间</w:t>
      </w:r>
      <w:r>
        <w:rPr>
          <w:spacing w:val="-70"/>
        </w:rPr>
        <w:t> </w:t>
      </w:r>
      <w:r>
        <w:rPr>
          <w:spacing w:val="-70"/>
        </w:rPr>
      </w:r>
      <w:r>
        <w:rPr>
          <w:spacing w:val="-2"/>
        </w:rPr>
        <w:t>安全一级学科论证专家组成员。中国计算机学会、中国密码学会理事，中国软件行业协会常务理事。四川省委省政府第二届</w:t>
      </w:r>
      <w:r>
        <w:rPr>
          <w:spacing w:val="-64"/>
        </w:rPr>
        <w:t> </w:t>
      </w:r>
      <w:r>
        <w:rPr>
          <w:spacing w:val="-64"/>
        </w:rPr>
      </w:r>
      <w:r>
        <w:rPr>
          <w:spacing w:val="-2"/>
        </w:rPr>
        <w:t>决策咨询委员会委员。四川省软件行业协会、四川省信息与软件服务业行业协会、四川省计算机用户协会理事长，四川省计</w:t>
      </w:r>
      <w:r>
        <w:rPr>
          <w:spacing w:val="-65"/>
        </w:rPr>
        <w:t> </w:t>
      </w:r>
      <w:r>
        <w:rPr>
          <w:spacing w:val="-65"/>
        </w:rPr>
      </w:r>
      <w:r>
        <w:rPr/>
        <w:t>算机学会副理事长。成都市软件行业协会、成都市两化融合企业联盟理事长。</w:t>
      </w:r>
    </w:p>
    <w:p>
      <w:pPr>
        <w:pStyle w:val="BodyText"/>
        <w:spacing w:line="319" w:lineRule="auto" w:before="20"/>
        <w:ind w:right="1130" w:firstLine="300"/>
        <w:jc w:val="both"/>
      </w:pPr>
      <w:r>
        <w:rPr>
          <w:spacing w:val="-1"/>
        </w:rPr>
        <w:t>李光金，男，出生于</w:t>
      </w:r>
      <w:r>
        <w:rPr>
          <w:rFonts w:ascii="宋体" w:hAnsi="宋体" w:cs="宋体" w:eastAsia="宋体" w:hint="default"/>
          <w:spacing w:val="-1"/>
        </w:rPr>
        <w:t>1965</w:t>
      </w:r>
      <w:r>
        <w:rPr>
          <w:spacing w:val="-1"/>
        </w:rPr>
        <w:t>年，中国国籍，无永久境外居留权，博士研究生学历。就职于四川大学商学院，</w:t>
      </w:r>
      <w:r>
        <w:rPr>
          <w:rFonts w:ascii="宋体" w:hAnsi="宋体" w:cs="宋体" w:eastAsia="宋体" w:hint="default"/>
          <w:spacing w:val="-1"/>
        </w:rPr>
        <w:t>1997</w:t>
      </w:r>
      <w:r>
        <w:rPr>
          <w:spacing w:val="-1"/>
        </w:rPr>
        <w:t>年到</w:t>
      </w:r>
      <w:r>
        <w:rPr>
          <w:rFonts w:ascii="宋体" w:hAnsi="宋体" w:cs="宋体" w:eastAsia="宋体" w:hint="default"/>
          <w:spacing w:val="-1"/>
        </w:rPr>
        <w:t>2001</w:t>
      </w:r>
      <w:r>
        <w:rPr>
          <w:rFonts w:ascii="宋体" w:hAnsi="宋体" w:cs="宋体" w:eastAsia="宋体" w:hint="default"/>
        </w:rPr>
        <w:t> </w:t>
      </w:r>
      <w:r>
        <w:rPr>
          <w:spacing w:val="-2"/>
        </w:rPr>
        <w:t>年在四川联合大学管理工程系工作，先后担任系科研秘书、副系主任，</w:t>
      </w:r>
      <w:r>
        <w:rPr>
          <w:rFonts w:ascii="宋体" w:hAnsi="宋体" w:cs="宋体" w:eastAsia="宋体" w:hint="default"/>
          <w:spacing w:val="-2"/>
        </w:rPr>
        <w:t>2001</w:t>
      </w:r>
      <w:r>
        <w:rPr>
          <w:spacing w:val="-2"/>
        </w:rPr>
        <w:t>年到</w:t>
      </w:r>
      <w:r>
        <w:rPr>
          <w:rFonts w:ascii="宋体" w:hAnsi="宋体" w:cs="宋体" w:eastAsia="宋体" w:hint="default"/>
          <w:spacing w:val="-2"/>
        </w:rPr>
        <w:t>2010</w:t>
      </w:r>
      <w:r>
        <w:rPr>
          <w:spacing w:val="-2"/>
        </w:rPr>
        <w:t>年，在四川大学工商管理学院工作，担</w:t>
      </w:r>
      <w:r>
        <w:rPr>
          <w:spacing w:val="-62"/>
        </w:rPr>
        <w:t> </w:t>
      </w:r>
      <w:r>
        <w:rPr>
          <w:spacing w:val="-62"/>
        </w:rPr>
      </w:r>
      <w:r>
        <w:rPr>
          <w:spacing w:val="-2"/>
        </w:rPr>
        <w:t>任副院长，</w:t>
      </w:r>
      <w:r>
        <w:rPr>
          <w:rFonts w:ascii="宋体" w:hAnsi="宋体" w:cs="宋体" w:eastAsia="宋体" w:hint="default"/>
          <w:spacing w:val="-2"/>
        </w:rPr>
        <w:t>2010</w:t>
      </w:r>
      <w:r>
        <w:rPr>
          <w:spacing w:val="-2"/>
        </w:rPr>
        <w:t>年到</w:t>
      </w:r>
      <w:r>
        <w:rPr>
          <w:rFonts w:ascii="宋体" w:hAnsi="宋体" w:cs="宋体" w:eastAsia="宋体" w:hint="default"/>
          <w:spacing w:val="-2"/>
        </w:rPr>
        <w:t>2012</w:t>
      </w:r>
      <w:r>
        <w:rPr>
          <w:spacing w:val="-2"/>
        </w:rPr>
        <w:t>年在四川大学财务处工作，担任财务处长，</w:t>
      </w:r>
      <w:r>
        <w:rPr>
          <w:rFonts w:ascii="宋体" w:hAnsi="宋体" w:cs="宋体" w:eastAsia="宋体" w:hint="default"/>
          <w:spacing w:val="-2"/>
        </w:rPr>
        <w:t>2012</w:t>
      </w:r>
      <w:r>
        <w:rPr>
          <w:spacing w:val="-2"/>
        </w:rPr>
        <w:t>年到</w:t>
      </w:r>
      <w:r>
        <w:rPr>
          <w:rFonts w:ascii="宋体" w:hAnsi="宋体" w:cs="宋体" w:eastAsia="宋体" w:hint="default"/>
          <w:spacing w:val="-2"/>
        </w:rPr>
        <w:t>2017</w:t>
      </w:r>
      <w:r>
        <w:rPr>
          <w:spacing w:val="-2"/>
        </w:rPr>
        <w:t>年，在四川省工商联工作，担任省工商联</w:t>
      </w:r>
      <w:r>
        <w:rPr>
          <w:spacing w:val="-58"/>
        </w:rPr>
        <w:t> </w:t>
      </w:r>
      <w:r>
        <w:rPr>
          <w:spacing w:val="-58"/>
        </w:rPr>
      </w:r>
      <w:r>
        <w:rPr/>
        <w:t>副主席、省商会副会长，</w:t>
      </w:r>
      <w:r>
        <w:rPr>
          <w:rFonts w:ascii="宋体" w:hAnsi="宋体" w:cs="宋体" w:eastAsia="宋体" w:hint="default"/>
        </w:rPr>
        <w:t>2017</w:t>
      </w:r>
      <w:r>
        <w:rPr/>
        <w:t>年至今，在四川大学商学院从事科研与教学工作。</w:t>
      </w:r>
    </w:p>
    <w:p>
      <w:pPr>
        <w:spacing w:line="240" w:lineRule="auto" w:before="2"/>
        <w:rPr>
          <w:rFonts w:ascii="宋体" w:hAnsi="宋体" w:cs="宋体" w:eastAsia="宋体" w:hint="default"/>
          <w:sz w:val="25"/>
          <w:szCs w:val="25"/>
        </w:rPr>
      </w:pPr>
    </w:p>
    <w:p>
      <w:pPr>
        <w:pStyle w:val="BodyText"/>
        <w:spacing w:line="316" w:lineRule="auto" w:before="0"/>
        <w:ind w:left="573" w:right="1038"/>
        <w:jc w:val="left"/>
      </w:pPr>
      <w:r>
        <w:rPr/>
        <w:t>（二）监事会成员简介 </w:t>
      </w:r>
      <w:r>
        <w:rPr>
          <w:spacing w:val="-2"/>
        </w:rPr>
        <w:t>侯春梅，女</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1973</w:t>
      </w:r>
      <w:r>
        <w:rPr>
          <w:spacing w:val="-2"/>
        </w:rPr>
        <w:t>年生，无永久境外居留权，本科学历，高级会计师。曾就职于四川久远科技股份有限公司、</w:t>
      </w:r>
    </w:p>
    <w:p>
      <w:pPr>
        <w:pStyle w:val="BodyText"/>
        <w:spacing w:line="309" w:lineRule="auto" w:before="0"/>
        <w:ind w:right="986"/>
        <w:jc w:val="left"/>
      </w:pPr>
      <w:r>
        <w:rPr>
          <w:spacing w:val="-2"/>
        </w:rPr>
        <w:t>四川中物技术有限责任公司、成都太科光电技术有限责任公司、四川恒泰环境技术有限责任公司、四川中物科技集团有限公</w:t>
      </w:r>
      <w:r>
        <w:rPr>
          <w:spacing w:val="-63"/>
        </w:rPr>
        <w:t> </w:t>
      </w:r>
      <w:r>
        <w:rPr>
          <w:spacing w:val="-63"/>
        </w:rPr>
      </w:r>
      <w:r>
        <w:rPr>
          <w:spacing w:val="-4"/>
        </w:rPr>
        <w:t>司、四川久信科技集团有限公司；</w:t>
      </w:r>
      <w:r>
        <w:rPr>
          <w:rFonts w:ascii="Times New Roman" w:hAnsi="Times New Roman" w:cs="Times New Roman" w:eastAsia="Times New Roman" w:hint="default"/>
          <w:spacing w:val="-4"/>
        </w:rPr>
        <w:t>2012</w:t>
      </w:r>
      <w:r>
        <w:rPr>
          <w:spacing w:val="-4"/>
        </w:rPr>
        <w:t>年进入四川久远投资控股集团有限公司先后担任财务审计部部长、财务管理部副部长、</w:t>
      </w:r>
      <w:r>
        <w:rPr>
          <w:spacing w:val="-37"/>
        </w:rPr>
        <w:t> </w:t>
      </w:r>
      <w:r>
        <w:rPr>
          <w:spacing w:val="-37"/>
        </w:rPr>
      </w:r>
      <w:r>
        <w:rPr/>
        <w:t>财务管理部部长。</w:t>
      </w:r>
    </w:p>
    <w:p>
      <w:pPr>
        <w:pStyle w:val="BodyText"/>
        <w:spacing w:line="307" w:lineRule="auto" w:before="24"/>
        <w:ind w:right="1126" w:firstLine="420"/>
        <w:jc w:val="both"/>
      </w:pPr>
      <w:r>
        <w:rPr/>
        <w:t>周凯，男，</w:t>
      </w:r>
      <w:r>
        <w:rPr>
          <w:spacing w:val="-49"/>
        </w:rPr>
        <w:t> </w:t>
      </w:r>
      <w:r>
        <w:rPr/>
        <w:t>汉族，出生于</w:t>
      </w:r>
      <w:r>
        <w:rPr>
          <w:rFonts w:ascii="Times New Roman" w:hAnsi="Times New Roman" w:cs="Times New Roman" w:eastAsia="Times New Roman" w:hint="default"/>
        </w:rPr>
        <w:t>1977</w:t>
      </w:r>
      <w:r>
        <w:rPr/>
        <w:t>年。工信部认证高级项目经理。</w:t>
      </w:r>
      <w:r>
        <w:rPr>
          <w:rFonts w:ascii="Times New Roman" w:hAnsi="Times New Roman" w:cs="Times New Roman" w:eastAsia="Times New Roman" w:hint="default"/>
        </w:rPr>
        <w:t>1999</w:t>
      </w:r>
      <w:r>
        <w:rPr/>
        <w:t>年毕业于四川大学计算机软件专业（本科）。</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11</w:t>
      </w:r>
      <w:r>
        <w:rPr>
          <w:spacing w:val="-2"/>
        </w:rPr>
        <w:t>月进入四川银海软件有限责任公司，从事软件开发和项目建设工作，先后担任项目经理、事业部技术总监等职务。</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10"/>
        </w:rPr>
        <w:t> </w:t>
      </w:r>
      <w:r>
        <w:rPr>
          <w:spacing w:val="-2"/>
        </w:rPr>
        <w:t>年进入四川久远银海软件股份有限公司，从事软件开发、项目建设工作及部门管理工作，先后担任工程中心总经理、事业部</w:t>
      </w:r>
      <w:r>
        <w:rPr>
          <w:spacing w:val="-64"/>
        </w:rPr>
        <w:t> </w:t>
      </w:r>
      <w:r>
        <w:rPr>
          <w:spacing w:val="-64"/>
        </w:rPr>
      </w:r>
      <w:r>
        <w:rPr/>
        <w:t>总经理等职务。</w:t>
      </w:r>
    </w:p>
    <w:p>
      <w:pPr>
        <w:pStyle w:val="BodyText"/>
        <w:spacing w:line="300" w:lineRule="auto" w:before="26"/>
        <w:ind w:right="1131" w:firstLine="372"/>
        <w:jc w:val="both"/>
      </w:pPr>
      <w:r>
        <w:rPr>
          <w:spacing w:val="-1"/>
        </w:rPr>
        <w:t>程树忠，男，出生于</w:t>
      </w:r>
      <w:r>
        <w:rPr>
          <w:rFonts w:ascii="Times New Roman" w:hAnsi="Times New Roman" w:cs="Times New Roman" w:eastAsia="Times New Roman" w:hint="default"/>
          <w:spacing w:val="-1"/>
        </w:rPr>
        <w:t>1965</w:t>
      </w:r>
      <w:r>
        <w:rPr>
          <w:spacing w:val="-1"/>
        </w:rPr>
        <w:t>年，中国国籍，无永久境外居留权，</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11</w:t>
      </w:r>
      <w:r>
        <w:rPr>
          <w:spacing w:val="-1"/>
        </w:rPr>
        <w:t>月入伍参军；</w:t>
      </w:r>
      <w:r>
        <w:rPr>
          <w:rFonts w:ascii="Times New Roman" w:hAnsi="Times New Roman" w:cs="Times New Roman" w:eastAsia="Times New Roman" w:hint="default"/>
          <w:spacing w:val="-1"/>
        </w:rPr>
        <w:t>1989</w:t>
      </w:r>
      <w:r>
        <w:rPr>
          <w:spacing w:val="-1"/>
        </w:rPr>
        <w:t>年</w:t>
      </w:r>
      <w:r>
        <w:rPr>
          <w:rFonts w:ascii="Times New Roman" w:hAnsi="Times New Roman" w:cs="Times New Roman" w:eastAsia="Times New Roman" w:hint="default"/>
          <w:spacing w:val="-1"/>
        </w:rPr>
        <w:t>4</w:t>
      </w:r>
      <w:r>
        <w:rPr>
          <w:spacing w:val="-1"/>
        </w:rPr>
        <w:t>月退伍后在江津糖果厂工</w:t>
      </w:r>
      <w:r>
        <w:rPr/>
        <w:t> 作；</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月进入四川银海工作；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月至今任公司运营管理中心行政管理部经理。</w:t>
      </w:r>
    </w:p>
    <w:p>
      <w:pPr>
        <w:pStyle w:val="BodyText"/>
        <w:spacing w:line="300" w:lineRule="auto" w:before="13"/>
        <w:ind w:right="1128" w:firstLine="360"/>
        <w:jc w:val="both"/>
      </w:pPr>
      <w:r>
        <w:rPr>
          <w:spacing w:val="-2"/>
        </w:rPr>
        <w:t>游新，女，出生于</w:t>
      </w:r>
      <w:r>
        <w:rPr>
          <w:rFonts w:ascii="Times New Roman" w:hAnsi="Times New Roman" w:cs="Times New Roman" w:eastAsia="Times New Roman" w:hint="default"/>
          <w:spacing w:val="-2"/>
        </w:rPr>
        <w:t>1969</w:t>
      </w:r>
      <w:r>
        <w:rPr>
          <w:spacing w:val="-2"/>
        </w:rPr>
        <w:t>年，中国国籍，无永久境外居留权，中专学历，会计师；</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月在成都市电焊机</w:t>
      </w:r>
      <w:r>
        <w:rPr/>
        <w:t> 厂从事会计工作；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月在日本京瓷公司成都分公司从事会计工作；</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月进入四川银海，</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 进入本公司工作。</w:t>
      </w:r>
    </w:p>
    <w:p>
      <w:pPr>
        <w:spacing w:line="240" w:lineRule="auto" w:before="3"/>
        <w:rPr>
          <w:rFonts w:ascii="宋体" w:hAnsi="宋体" w:cs="宋体" w:eastAsia="宋体" w:hint="default"/>
          <w:sz w:val="26"/>
          <w:szCs w:val="26"/>
        </w:rPr>
      </w:pPr>
    </w:p>
    <w:p>
      <w:pPr>
        <w:pStyle w:val="BodyText"/>
        <w:spacing w:line="316" w:lineRule="auto" w:before="0"/>
        <w:ind w:left="597" w:right="1129" w:hanging="24"/>
        <w:jc w:val="left"/>
      </w:pPr>
      <w:r>
        <w:rPr/>
        <w:t>（三）高级管理人员简介 连春华，男，出生于</w:t>
      </w:r>
      <w:r>
        <w:rPr>
          <w:rFonts w:ascii="Times New Roman" w:hAnsi="Times New Roman" w:cs="Times New Roman" w:eastAsia="Times New Roman" w:hint="default"/>
        </w:rPr>
        <w:t>1974</w:t>
      </w:r>
      <w:r>
        <w:rPr/>
        <w:t>年，中国国籍，无永久境外居留权，研究生学历，硕士学位。</w:t>
      </w:r>
      <w:r>
        <w:rPr>
          <w:rFonts w:ascii="Times New Roman" w:hAnsi="Times New Roman" w:cs="Times New Roman" w:eastAsia="Times New Roman" w:hint="default"/>
        </w:rPr>
        <w:t>1994</w:t>
      </w:r>
      <w:r>
        <w:rPr/>
        <w:t>年和</w:t>
      </w:r>
      <w:r>
        <w:rPr>
          <w:rFonts w:ascii="Times New Roman" w:hAnsi="Times New Roman" w:cs="Times New Roman" w:eastAsia="Times New Roman" w:hint="default"/>
        </w:rPr>
        <w:t>1997</w:t>
      </w:r>
      <w:r>
        <w:rPr/>
        <w:t>年毕业于兰州大</w:t>
      </w:r>
    </w:p>
    <w:p>
      <w:pPr>
        <w:pStyle w:val="BodyText"/>
        <w:spacing w:line="300" w:lineRule="auto" w:before="0"/>
        <w:ind w:right="1034"/>
        <w:jc w:val="left"/>
      </w:pPr>
      <w:r>
        <w:rPr/>
        <w:t>学计算数学专业，分别获得学士和硕士学位。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月在深圳市百利鑫电脑有限公司工作，历任软件工程师、 </w:t>
      </w:r>
      <w:r>
        <w:rPr>
          <w:spacing w:val="-2"/>
        </w:rPr>
        <w:t>项目经理、部门经理等职务。</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月，在四川托普软件股份有限公司工作，历任社保软件开发室副经理、经</w:t>
      </w:r>
      <w:r>
        <w:rPr>
          <w:spacing w:val="-59"/>
        </w:rPr>
        <w:t> </w:t>
      </w:r>
      <w:r>
        <w:rPr>
          <w:spacing w:val="-59"/>
        </w:rPr>
      </w:r>
      <w:r>
        <w:rPr/>
        <w:t>理，电力软件开发室高级经理，金融软件开发中心主任，应用研究院院长，社保行业部总经理，公司副总裁等职务。</w:t>
      </w:r>
      <w:r>
        <w:rPr>
          <w:rFonts w:ascii="Times New Roman" w:hAnsi="Times New Roman" w:cs="Times New Roman" w:eastAsia="Times New Roman" w:hint="default"/>
        </w:rPr>
        <w:t>2004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月，在四川银海软件有限责任公司工作，任事业部总经理。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月起在本公司工作，任事业部总经理；</w:t>
      </w:r>
      <w:r>
        <w:rPr>
          <w:spacing w:val="-56"/>
        </w:rPr>
        <w:t> </w:t>
      </w:r>
      <w:r>
        <w:rPr>
          <w:spacing w:val="-56"/>
        </w:rPr>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月任公司副总经理，主管公司市场与销售工作；</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月任公司总经理；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月至今，任公司董事长兼总裁。</w:t>
      </w:r>
    </w:p>
    <w:p>
      <w:pPr>
        <w:pStyle w:val="BodyText"/>
        <w:spacing w:line="316" w:lineRule="auto" w:before="13"/>
        <w:ind w:right="986" w:firstLine="300"/>
        <w:jc w:val="left"/>
      </w:pPr>
      <w:r>
        <w:rPr/>
        <w:t>詹开明，男，出生于</w:t>
      </w:r>
      <w:r>
        <w:rPr>
          <w:rFonts w:ascii="宋体" w:hAnsi="宋体" w:cs="宋体" w:eastAsia="宋体" w:hint="default"/>
        </w:rPr>
        <w:t>1972</w:t>
      </w:r>
      <w:r>
        <w:rPr/>
        <w:t>年，中国国籍，无永久境外居留权，学士学位，高级工程师。</w:t>
      </w:r>
      <w:r>
        <w:rPr>
          <w:rFonts w:ascii="宋体" w:hAnsi="宋体" w:cs="宋体" w:eastAsia="宋体" w:hint="default"/>
        </w:rPr>
        <w:t>1994</w:t>
      </w:r>
      <w:r>
        <w:rPr/>
        <w:t>年毕业于四川大学计算机软 件专业。</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1999</w:t>
      </w:r>
      <w:r>
        <w:rPr/>
        <w:t>年</w:t>
      </w:r>
      <w:r>
        <w:rPr>
          <w:rFonts w:ascii="宋体" w:hAnsi="宋体" w:cs="宋体" w:eastAsia="宋体" w:hint="default"/>
        </w:rPr>
        <w:t>7</w:t>
      </w:r>
      <w:r>
        <w:rPr/>
        <w:t>月在中国工程物理研究院计算机应用研究所工作，任助理工程师、工程师等职务。</w:t>
      </w:r>
      <w:r>
        <w:rPr>
          <w:rFonts w:ascii="宋体" w:hAnsi="宋体" w:cs="宋体" w:eastAsia="宋体" w:hint="default"/>
        </w:rPr>
        <w:t>1999</w:t>
      </w:r>
      <w:r>
        <w:rPr/>
        <w:t>年</w:t>
      </w:r>
      <w:r>
        <w:rPr>
          <w:rFonts w:ascii="宋体" w:hAnsi="宋体" w:cs="宋体" w:eastAsia="宋体" w:hint="default"/>
        </w:rPr>
        <w:t>7</w:t>
      </w:r>
      <w:r>
        <w:rPr/>
        <w:t>月 至</w:t>
      </w:r>
      <w:r>
        <w:rPr>
          <w:rFonts w:ascii="宋体" w:hAnsi="宋体" w:cs="宋体" w:eastAsia="宋体" w:hint="default"/>
        </w:rPr>
        <w:t>2008</w:t>
      </w:r>
      <w:r>
        <w:rPr/>
        <w:t>年</w:t>
      </w:r>
      <w:r>
        <w:rPr>
          <w:rFonts w:ascii="宋体" w:hAnsi="宋体" w:cs="宋体" w:eastAsia="宋体" w:hint="default"/>
        </w:rPr>
        <w:t>11</w:t>
      </w:r>
      <w:r>
        <w:rPr/>
        <w:t>月，在四川银海软件有限责任公司工作，历任社保软件部经理、研发中心总经理、公司副总经理等职务。</w:t>
      </w:r>
      <w:r>
        <w:rPr>
          <w:rFonts w:ascii="宋体" w:hAnsi="宋体" w:cs="宋体" w:eastAsia="宋体" w:hint="default"/>
        </w:rPr>
        <w:t>2008 </w:t>
      </w:r>
      <w:r>
        <w:rPr>
          <w:spacing w:val="-2"/>
        </w:rPr>
        <w:t>年</w:t>
      </w:r>
      <w:r>
        <w:rPr>
          <w:rFonts w:ascii="宋体" w:hAnsi="宋体" w:cs="宋体" w:eastAsia="宋体" w:hint="default"/>
          <w:spacing w:val="-2"/>
        </w:rPr>
        <w:t>11</w:t>
      </w:r>
      <w:r>
        <w:rPr>
          <w:spacing w:val="-2"/>
        </w:rPr>
        <w:t>月起在本公司工作，历任公司副总经理、公司高级副总裁等职务。詹开明先生长期从事软件产品研发和技术工作，在研</w:t>
      </w:r>
      <w:r>
        <w:rPr>
          <w:spacing w:val="-63"/>
        </w:rPr>
        <w:t> </w:t>
      </w:r>
      <w:r>
        <w:rPr>
          <w:spacing w:val="-63"/>
        </w:rPr>
      </w:r>
      <w:r>
        <w:rPr>
          <w:spacing w:val="-4"/>
        </w:rPr>
        <w:t>发管理、软件工程、</w:t>
      </w:r>
      <w:r>
        <w:rPr>
          <w:rFonts w:ascii="宋体" w:hAnsi="宋体" w:cs="宋体" w:eastAsia="宋体" w:hint="default"/>
          <w:spacing w:val="-4"/>
        </w:rPr>
        <w:t>J2EE</w:t>
      </w:r>
      <w:r>
        <w:rPr>
          <w:spacing w:val="-4"/>
        </w:rPr>
        <w:t>架构应用、数据库应用等领域有丰富的经验，负责公司多项软件产品研发工作和多个项目实施工作，</w:t>
      </w:r>
      <w:r>
        <w:rPr>
          <w:spacing w:val="-39"/>
        </w:rPr>
        <w:t> </w:t>
      </w:r>
      <w:r>
        <w:rPr>
          <w:spacing w:val="-39"/>
        </w:rPr>
      </w:r>
      <w:r>
        <w:rPr>
          <w:spacing w:val="-2"/>
        </w:rPr>
        <w:t>并承担十余项科技部、工信部、四川省、成都市、中物院等各类基金课题研究工作，获部省级科技进步奖二等奖一项，三等</w:t>
      </w:r>
      <w:r>
        <w:rPr>
          <w:spacing w:val="-70"/>
        </w:rPr>
        <w:t> </w:t>
      </w:r>
      <w:r>
        <w:rPr>
          <w:spacing w:val="-70"/>
        </w:rPr>
      </w:r>
      <w:r>
        <w:rPr/>
        <w:t>奖三项。</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ind w:right="1130" w:firstLine="300"/>
        <w:jc w:val="both"/>
      </w:pPr>
      <w:r>
        <w:rPr>
          <w:spacing w:val="-1"/>
        </w:rPr>
        <w:t>杨成文，男，出生于</w:t>
      </w:r>
      <w:r>
        <w:rPr>
          <w:rFonts w:ascii="Times New Roman" w:hAnsi="Times New Roman" w:cs="Times New Roman" w:eastAsia="Times New Roman" w:hint="default"/>
          <w:spacing w:val="-1"/>
        </w:rPr>
        <w:t>1969</w:t>
      </w:r>
      <w:r>
        <w:rPr>
          <w:spacing w:val="-1"/>
        </w:rPr>
        <w:t>年，中国国籍，无永久境外居留权，本科学历，注册会计师。曾就职于四川省五交化股份有限</w:t>
      </w:r>
      <w:r>
        <w:rPr/>
        <w:t> </w:t>
      </w:r>
      <w:r>
        <w:rPr>
          <w:spacing w:val="-5"/>
        </w:rPr>
        <w:t>公司、蜀报社；</w:t>
      </w:r>
      <w:r>
        <w:rPr>
          <w:rFonts w:ascii="Times New Roman" w:hAnsi="Times New Roman" w:cs="Times New Roman" w:eastAsia="Times New Roman" w:hint="default"/>
          <w:spacing w:val="-5"/>
        </w:rPr>
        <w:t>2001</w:t>
      </w:r>
      <w:r>
        <w:rPr>
          <w:spacing w:val="-5"/>
        </w:rPr>
        <w:t>年进入四川银海任财务总监；</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11</w:t>
      </w:r>
      <w:r>
        <w:rPr>
          <w:spacing w:val="-5"/>
        </w:rPr>
        <w:t>月至今任公司董事会秘书；</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11</w:t>
      </w:r>
      <w:r>
        <w:rPr>
          <w:spacing w:val="-5"/>
        </w:rPr>
        <w:t>月至今兼任公司副总裁，</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日至今兼任公司财务总监。</w:t>
      </w:r>
    </w:p>
    <w:p>
      <w:pPr>
        <w:pStyle w:val="BodyText"/>
        <w:spacing w:line="300" w:lineRule="auto" w:before="53"/>
        <w:ind w:right="1040" w:firstLine="300"/>
        <w:jc w:val="both"/>
      </w:pPr>
      <w:r>
        <w:rPr>
          <w:spacing w:val="-2"/>
        </w:rPr>
        <w:t>张巍，男，出生于</w:t>
      </w:r>
      <w:r>
        <w:rPr>
          <w:rFonts w:ascii="Times New Roman" w:hAnsi="Times New Roman" w:cs="Times New Roman" w:eastAsia="Times New Roman" w:hint="default"/>
          <w:spacing w:val="-2"/>
        </w:rPr>
        <w:t>1972</w:t>
      </w:r>
      <w:r>
        <w:rPr>
          <w:spacing w:val="-2"/>
        </w:rPr>
        <w:t>年，中国国籍，无永久境外居留权，大专学历。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2</w:t>
      </w:r>
      <w:r>
        <w:rPr>
          <w:spacing w:val="-2"/>
        </w:rPr>
        <w:t>月就职于陕西省宝鸡市农业银</w:t>
      </w:r>
      <w:r>
        <w:rPr/>
        <w:t> 行；</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月任成都旭光安全技术有限责任公司副总经理；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月任陕西同辉网络通信有限公司 事业部总经理；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月任陕西环宇易信软件股份有限公司总经理；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月任</w:t>
      </w:r>
      <w:r>
        <w:rPr>
          <w:rFonts w:ascii="Times New Roman" w:hAnsi="Times New Roman" w:cs="Times New Roman" w:eastAsia="Times New Roman" w:hint="default"/>
        </w:rPr>
        <w:t>ORACLE</w:t>
      </w:r>
      <w:r>
        <w:rPr/>
        <w:t>中国成都 </w:t>
      </w:r>
      <w:r>
        <w:rPr>
          <w:spacing w:val="-2"/>
        </w:rPr>
        <w:t>分公司销售总监等职；</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月至今就职于公司，任总经理助理兼公积金事业部总经理。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日至今任公司副总裁。</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before="0"/>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财务部部长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四川中物技术有限责任公司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四川久远环保安全咨询有限公司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利尔化学股份有限公司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四川省水处理及资源化工程技术研究中 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四川省银河化学股份有限公司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四川中物海通特种电源有限责任公司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四川久远智能监控有限责任公司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四川久远创新园区运营管理有限公司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四川高达科技有限公司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四川九洲电器股份有限公司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电子科技大学信息与软件工程学院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成都博宇高科信息技术有限公司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成都博宇食安互联科技有限公司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四川广安爱众股份有限公司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四川川润股份有限公司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四川大学商学院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513" w:right="986" w:hanging="361"/>
        <w:jc w:val="left"/>
      </w:pPr>
      <w:r>
        <w:rPr/>
        <w:t>董事、监事、高级管理人员报酬的决策程序、确定依据、实际支付情况 </w:t>
      </w:r>
      <w:r>
        <w:rPr>
          <w:spacing w:val="-2"/>
        </w:rPr>
        <w:t>决策程序：股东大会确定董事、监事的报酬和支付方法；高级管理人员的薪酬和支付方式由董事会薪酬与考核委员会提</w:t>
      </w:r>
    </w:p>
    <w:p>
      <w:pPr>
        <w:pStyle w:val="BodyText"/>
        <w:spacing w:line="222" w:lineRule="exact" w:before="0"/>
        <w:ind w:right="1133"/>
        <w:jc w:val="left"/>
      </w:pPr>
      <w:r>
        <w:rPr/>
        <w:t>议，由董事会确定。</w:t>
      </w:r>
    </w:p>
    <w:p>
      <w:pPr>
        <w:pStyle w:val="BodyText"/>
        <w:spacing w:line="338" w:lineRule="auto" w:before="76"/>
        <w:ind w:right="986" w:firstLine="360"/>
        <w:jc w:val="left"/>
      </w:pPr>
      <w:r>
        <w:rPr>
          <w:spacing w:val="-2"/>
        </w:rPr>
        <w:t>确定依据：年末根据公司年度经营目标完成情况以及高级管理人员的工作业绩，由董事会薪酬与考核委员会对高级管理</w:t>
      </w:r>
      <w:r>
        <w:rPr/>
        <w:t> 人员进行年度绩效考核，并监督薪酬制度执行情况。公司根据绩效考核结果兑现其绩效年薪，并进行奖惩。 实际支付情况：报告期内，公司董事、监事、高管的薪酬根据薪酬计划按月发放。</w:t>
      </w:r>
    </w:p>
    <w:p>
      <w:pPr>
        <w:pStyle w:val="BodyText"/>
        <w:spacing w:line="240" w:lineRule="auto" w:before="41"/>
        <w:ind w:right="1133"/>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w w:val="95"/>
                <w:sz w:val="18"/>
              </w:rPr>
              <w:t>1,050.77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中专及高职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3,253</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9" w:firstLine="300"/>
        <w:jc w:val="both"/>
      </w:pPr>
      <w:r>
        <w:rPr>
          <w:spacing w:val="-1"/>
        </w:rPr>
        <w:t>公司严格按照《劳动法》及《劳动合同法》等法律规定，实行全员劳动合同制。并根据公司制订的《薪酬管理办法》真</w:t>
      </w:r>
      <w:r>
        <w:rPr/>
        <w:t> </w:t>
      </w:r>
      <w:r>
        <w:rPr>
          <w:spacing w:val="-2"/>
        </w:rPr>
        <w:t>实的反映薪酬情况，同时配套的薪酬激励政策同步推进，建立建全任职资格体系，明确岗位晋升要求，根据岗位分析、岗位</w:t>
      </w:r>
      <w:r>
        <w:rPr>
          <w:spacing w:val="-67"/>
        </w:rPr>
        <w:t> </w:t>
      </w:r>
      <w:r>
        <w:rPr>
          <w:spacing w:val="-67"/>
        </w:rPr>
      </w:r>
      <w:r>
        <w:rPr/>
        <w:t>价值评估等政策的实施，及时、准确支付员工劳动报酬。</w:t>
      </w:r>
    </w:p>
    <w:p>
      <w:pPr>
        <w:pStyle w:val="BodyText"/>
        <w:spacing w:line="314" w:lineRule="auto" w:before="59"/>
        <w:ind w:right="1054" w:firstLine="300"/>
        <w:jc w:val="left"/>
      </w:pPr>
      <w:r>
        <w:rPr/>
        <w:t>为吸引、激励和保留优秀人才以帮助公司达成战略目标，持续梳理与调整公司各级业务线条，开通有效的晋升通道，建 立</w:t>
      </w:r>
      <w:r>
        <w:rPr>
          <w:rFonts w:ascii="Times New Roman" w:hAnsi="Times New Roman" w:cs="Times New Roman" w:eastAsia="Times New Roman" w:hint="default"/>
        </w:rPr>
        <w:t>“</w:t>
      </w:r>
      <w:r>
        <w:rPr/>
        <w:t>平等竞争、能者上、庸者下</w:t>
      </w:r>
      <w:r>
        <w:rPr>
          <w:rFonts w:ascii="Times New Roman" w:hAnsi="Times New Roman" w:cs="Times New Roman" w:eastAsia="Times New Roman" w:hint="default"/>
        </w:rPr>
        <w:t>”</w:t>
      </w:r>
      <w:r>
        <w:rPr/>
        <w:t>的用人制度，推动员工定级体系的进行。实行控编增效，持续评估部门岗位设置合理性等， </w:t>
      </w:r>
      <w:r>
        <w:rPr>
          <w:spacing w:val="-2"/>
        </w:rPr>
        <w:t>努力实现公司薪酬政策公平、公正。同时，为提高员工总体素质，优化员工结构，启动重点高校优秀人才引进工作，成立优</w:t>
      </w:r>
      <w:r>
        <w:rPr>
          <w:spacing w:val="-67"/>
        </w:rPr>
        <w:t> </w:t>
      </w:r>
      <w:r>
        <w:rPr>
          <w:spacing w:val="-67"/>
        </w:rPr>
      </w:r>
      <w:r>
        <w:rPr>
          <w:spacing w:val="-2"/>
        </w:rPr>
        <w:t>秀人才引进专项小组，负责开展优秀人才的引进与培养，并通过分层分级的考核机制，有效提升员工执行力和责任意识，有</w:t>
      </w:r>
      <w:r>
        <w:rPr>
          <w:spacing w:val="-64"/>
        </w:rPr>
        <w:t> </w:t>
      </w:r>
      <w:r>
        <w:rPr>
          <w:spacing w:val="-64"/>
        </w:rPr>
      </w:r>
      <w:r>
        <w:rPr/>
        <w:t>利于留住和吸引优秀人才，为公司发展提供人力资源保障。</w:t>
      </w:r>
    </w:p>
    <w:p>
      <w:pPr>
        <w:pStyle w:val="BodyText"/>
        <w:spacing w:line="316" w:lineRule="auto" w:before="61"/>
        <w:ind w:right="1123" w:firstLine="144"/>
        <w:jc w:val="left"/>
      </w:pPr>
      <w:r>
        <w:rPr>
          <w:spacing w:val="-1"/>
        </w:rPr>
        <w:t>公司依据当地社会平均工资和企业经济效益决定工资分配水平，不断改革完善分配制度，建立重实绩、重贡献的分配激励</w:t>
      </w:r>
      <w:r>
        <w:rPr/>
        <w:t> 机制，并兼顾分配的公平性和合理性。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40" w:lineRule="auto" w:before="0"/>
        <w:ind w:left="578" w:right="1133" w:hanging="42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报告期内，公司职工薪酬总额（计入营业总成本部分）为</w:t>
      </w:r>
      <w:r>
        <w:rPr>
          <w:rFonts w:ascii="Times New Roman" w:hAnsi="Times New Roman" w:cs="Times New Roman" w:eastAsia="Times New Roman" w:hint="default"/>
        </w:rPr>
        <w:t>21,618.30</w:t>
      </w:r>
      <w:r>
        <w:rPr/>
        <w:t>万元，占公司营业总成本的</w:t>
      </w:r>
      <w:r>
        <w:rPr>
          <w:rFonts w:ascii="Times New Roman" w:hAnsi="Times New Roman" w:cs="Times New Roman" w:eastAsia="Times New Roman" w:hint="default"/>
        </w:rPr>
        <w:t>42.11%</w:t>
      </w:r>
      <w:r>
        <w:rPr/>
        <w:t>。职工薪酬是成</w:t>
      </w:r>
    </w:p>
    <w:p>
      <w:pPr>
        <w:pStyle w:val="BodyText"/>
        <w:spacing w:line="215" w:lineRule="exact" w:before="0"/>
        <w:ind w:right="1133"/>
        <w:jc w:val="left"/>
      </w:pPr>
      <w:r>
        <w:rPr/>
        <w:t>本主要项目，公司利润对职工薪酬变化较为敏感。</w:t>
      </w:r>
    </w:p>
    <w:p>
      <w:pPr>
        <w:pStyle w:val="BodyText"/>
        <w:spacing w:line="297" w:lineRule="auto" w:before="117"/>
        <w:ind w:right="986" w:firstLine="360"/>
        <w:jc w:val="left"/>
      </w:pPr>
      <w:r>
        <w:rPr>
          <w:spacing w:val="-1"/>
        </w:rPr>
        <w:t>报告期内，公司核心技术人员</w:t>
      </w:r>
      <w:r>
        <w:rPr>
          <w:rFonts w:ascii="Times New Roman" w:hAnsi="Times New Roman" w:cs="Times New Roman" w:eastAsia="Times New Roman" w:hint="default"/>
          <w:spacing w:val="-1"/>
        </w:rPr>
        <w:t>308</w:t>
      </w:r>
      <w:r>
        <w:rPr>
          <w:spacing w:val="-1"/>
        </w:rPr>
        <w:t>人，占公司员工人数的</w:t>
      </w:r>
      <w:r>
        <w:rPr>
          <w:rFonts w:ascii="Times New Roman" w:hAnsi="Times New Roman" w:cs="Times New Roman" w:eastAsia="Times New Roman" w:hint="default"/>
          <w:spacing w:val="-1"/>
        </w:rPr>
        <w:t>9.47%</w:t>
      </w:r>
      <w:r>
        <w:rPr>
          <w:spacing w:val="-1"/>
        </w:rPr>
        <w:t>，较去年同期增加</w:t>
      </w:r>
      <w:r>
        <w:rPr>
          <w:rFonts w:ascii="Times New Roman" w:hAnsi="Times New Roman" w:cs="Times New Roman" w:eastAsia="Times New Roman" w:hint="default"/>
          <w:spacing w:val="-1"/>
        </w:rPr>
        <w:t>9.6%</w:t>
      </w:r>
      <w:r>
        <w:rPr>
          <w:spacing w:val="-1"/>
        </w:rPr>
        <w:t>，人员薪酬占比为</w:t>
      </w:r>
      <w:r>
        <w:rPr>
          <w:rFonts w:ascii="Times New Roman" w:hAnsi="Times New Roman" w:cs="Times New Roman" w:eastAsia="Times New Roman" w:hint="default"/>
          <w:spacing w:val="-1"/>
        </w:rPr>
        <w:t>17.7%</w:t>
      </w:r>
      <w:r>
        <w:rPr>
          <w:spacing w:val="-1"/>
        </w:rPr>
        <w:t>，较去年</w:t>
      </w:r>
      <w:r>
        <w:rPr/>
        <w:t> 同期增加</w:t>
      </w:r>
      <w:r>
        <w:rPr>
          <w:rFonts w:ascii="Times New Roman" w:hAnsi="Times New Roman" w:cs="Times New Roman" w:eastAsia="Times New Roman" w:hint="default"/>
        </w:rPr>
        <w:t>1.67%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right="986" w:firstLine="425"/>
        <w:jc w:val="left"/>
      </w:pPr>
      <w:r>
        <w:rPr/>
        <w:t>公司依据企业战略及定位，根据员工情况进行培训需求分析，制定员工培训规划、健全培训管理制度、完善培训评估 </w:t>
      </w:r>
      <w:r>
        <w:rPr>
          <w:spacing w:val="-2"/>
        </w:rPr>
        <w:t>机制、建立培养培训讲师机制、开展云平台培训等。培训内容主要涉及到技术开发、技术提升、专项业务、综合管理、员工</w:t>
      </w:r>
      <w:r>
        <w:rPr>
          <w:spacing w:val="-73"/>
        </w:rPr>
        <w:t> </w:t>
      </w:r>
      <w:r>
        <w:rPr>
          <w:spacing w:val="-73"/>
        </w:rPr>
      </w:r>
      <w:r>
        <w:rPr>
          <w:spacing w:val="-4"/>
        </w:rPr>
        <w:t>职业素质等各类型。培训的开展切实加强和提高各类人员的专业水平，打造适应企业发展需要的员工队伍，培养复合型人才、</w:t>
      </w:r>
      <w:r>
        <w:rPr>
          <w:spacing w:val="-44"/>
        </w:rPr>
        <w:t> </w:t>
      </w:r>
      <w:r>
        <w:rPr>
          <w:spacing w:val="-44"/>
        </w:rPr>
      </w:r>
      <w:r>
        <w:rPr/>
        <w:t>专业技能人才以及后备骨干队伍，为企业发展提供坚强保证。公司持之以恒贯彻落实</w:t>
      </w:r>
      <w:r>
        <w:rPr>
          <w:rFonts w:ascii="Times New Roman" w:hAnsi="Times New Roman" w:cs="Times New Roman" w:eastAsia="Times New Roman" w:hint="default"/>
        </w:rPr>
        <w:t>“</w:t>
      </w:r>
      <w:r>
        <w:rPr/>
        <w:t>建设学习型公司、培育学习型员工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的精神，使公司培训具有系统性、实操性、价值性。</w:t>
      </w:r>
    </w:p>
    <w:p>
      <w:pPr>
        <w:pStyle w:val="BodyText"/>
        <w:spacing w:line="316" w:lineRule="auto" w:before="61"/>
        <w:ind w:right="986" w:firstLine="216"/>
        <w:jc w:val="left"/>
      </w:pPr>
      <w:r>
        <w:rPr/>
        <w:t>公司非常重视人才培养，通过为员工提供职业生涯规划，鼓励在职员工加强内部职业素质提升，制定员工发展与深造计 </w:t>
      </w:r>
      <w:r>
        <w:rPr>
          <w:spacing w:val="-4"/>
        </w:rPr>
        <w:t>划，提升员工素质，并根据员工定级体系，有针对的组织专业技能、个人业务发展等实地培训，实现员工与企业的共同成长，</w:t>
      </w:r>
      <w:r>
        <w:rPr>
          <w:spacing w:val="-43"/>
        </w:rPr>
        <w:t> </w:t>
      </w:r>
      <w:r>
        <w:rPr>
          <w:spacing w:val="-43"/>
        </w:rPr>
      </w:r>
      <w:r>
        <w:rPr/>
        <w:t>实现员工自身职业能力提升和公司可持续发展的共赢。</w:t>
      </w:r>
    </w:p>
    <w:p>
      <w:pPr>
        <w:spacing w:line="240" w:lineRule="auto" w:before="10"/>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1"/>
        <w:jc w:val="center"/>
        <w:rPr>
          <w:b w:val="0"/>
          <w:bCs w:val="0"/>
        </w:rPr>
      </w:pPr>
      <w:bookmarkStart w:name="_bookmark8" w:id="9"/>
      <w:bookmarkEnd w:id="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firstLine="300"/>
        <w:jc w:val="left"/>
      </w:pPr>
      <w:r>
        <w:rPr/>
        <w:t>本报告期，公司严格按照《公司法》、《证券法》、《深圳证券交易所股票上市规则》、《深圳证券交易所中小企业板 上市公司规范运作指引》和中国证监会及深圳交易所颁布的其他相关法律法规的要求，逐渐完善管理制度，依法规范运作， 管理效率不断提高，保障了公司经营管理的有序进行。</w:t>
      </w:r>
    </w:p>
    <w:p>
      <w:pPr>
        <w:pStyle w:val="BodyText"/>
        <w:spacing w:line="240" w:lineRule="auto" w:before="19"/>
        <w:ind w:left="525" w:right="1133"/>
        <w:jc w:val="left"/>
      </w:pPr>
      <w:r>
        <w:rPr/>
        <w:t>报告期内，公司共召开</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2</w:t>
      </w:r>
      <w:r>
        <w:rPr/>
        <w:t>次临时股东大会，</w:t>
      </w:r>
      <w:r>
        <w:rPr>
          <w:rFonts w:ascii="Times New Roman" w:hAnsi="Times New Roman" w:cs="Times New Roman" w:eastAsia="Times New Roman" w:hint="default"/>
        </w:rPr>
        <w:t>8</w:t>
      </w:r>
      <w:r>
        <w:rPr/>
        <w:t>次董事会，</w:t>
      </w:r>
      <w:r>
        <w:rPr>
          <w:rFonts w:ascii="Times New Roman" w:hAnsi="Times New Roman" w:cs="Times New Roman" w:eastAsia="Times New Roman" w:hint="default"/>
        </w:rPr>
        <w:t>7</w:t>
      </w:r>
      <w:r>
        <w:rPr/>
        <w:t>次监事会，会议召开均符合《公司法》、</w:t>
      </w:r>
    </w:p>
    <w:p>
      <w:pPr>
        <w:pStyle w:val="BodyText"/>
        <w:spacing w:line="319" w:lineRule="auto" w:before="63"/>
        <w:ind w:right="986"/>
        <w:jc w:val="left"/>
      </w:pPr>
      <w:r>
        <w:rPr>
          <w:spacing w:val="-4"/>
        </w:rPr>
        <w:t>《证券法》、《公司章程》等相关法律法规制度的规定。公司董事、监事和高级管理人员均能认真、诚信、尽职地履行职责，</w:t>
      </w:r>
      <w:r>
        <w:rPr>
          <w:spacing w:val="-46"/>
        </w:rPr>
        <w:t> </w:t>
      </w:r>
      <w:r>
        <w:rPr>
          <w:spacing w:val="-46"/>
        </w:rPr>
      </w:r>
      <w:r>
        <w:rPr>
          <w:spacing w:val="-2"/>
        </w:rPr>
        <w:t>对董事会、监事会和股东大会负责。公司根据《信息披露事务管理制度》和《投资者关系管理制度》，认真履行信息披露义</w:t>
      </w:r>
      <w:r>
        <w:rPr>
          <w:spacing w:val="-73"/>
        </w:rPr>
        <w:t> </w:t>
      </w:r>
      <w:r>
        <w:rPr>
          <w:spacing w:val="-73"/>
        </w:rPr>
      </w:r>
      <w:r>
        <w:rPr/>
        <w:t>务，保证公司信息披露的真实、准确、完整、及时，并确保所有股东有平等的机会获得信息。</w:t>
      </w:r>
    </w:p>
    <w:p>
      <w:pPr>
        <w:pStyle w:val="BodyText"/>
        <w:spacing w:line="338" w:lineRule="auto" w:before="58"/>
        <w:ind w:right="1133" w:firstLine="288"/>
        <w:jc w:val="left"/>
      </w:pPr>
      <w:r>
        <w:rPr>
          <w:spacing w:val="-1"/>
        </w:rPr>
        <w:t>公司的治理实际情况符合中国证监会关于上市公司治理的相关规范性文件要求。报告期内，公司不存在向大股东、实际</w:t>
      </w:r>
      <w:r>
        <w:rPr/>
        <w:t> 控制人提供非公开信息等公司治理非规范情况。 公司治理的实际状况与中国证监会发布的有关上市公司治理的规范性文件是否存在重大差异</w:t>
      </w:r>
    </w:p>
    <w:p>
      <w:pPr>
        <w:pStyle w:val="BodyText"/>
        <w:spacing w:line="340" w:lineRule="auto" w:before="43"/>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4"/>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441" w:right="1105" w:firstLine="72"/>
        <w:jc w:val="left"/>
      </w:pPr>
      <w:r>
        <w:rPr/>
        <w:t>公司与控股股东在业务、人员、资产、机构、财务等方面完全分开，具有独立完整的业务及自主经营能力。 </w:t>
      </w:r>
      <w:r>
        <w:rPr>
          <w:rFonts w:ascii="Times New Roman" w:hAnsi="Times New Roman" w:cs="Times New Roman" w:eastAsia="Times New Roman" w:hint="default"/>
        </w:rPr>
        <w:t>1</w:t>
      </w:r>
      <w:r>
        <w:rPr/>
        <w:t>、业务独立 公司拥有包括采购、生产、销售、研发、质量控制在内的完整的主营业务体系，维持了主营业务的完整、独立与连续，</w:t>
      </w:r>
    </w:p>
    <w:p>
      <w:pPr>
        <w:pStyle w:val="BodyText"/>
        <w:spacing w:line="316" w:lineRule="auto" w:before="24"/>
        <w:ind w:right="986"/>
        <w:jc w:val="left"/>
      </w:pPr>
      <w:r>
        <w:rPr>
          <w:spacing w:val="-2"/>
        </w:rPr>
        <w:t>与控股股东、实际控制人及其控制的其他企业之间不存在竞争关系或业务上的依赖情况，也确保了公司的独立规范运营，避</w:t>
      </w:r>
      <w:r>
        <w:rPr>
          <w:spacing w:val="-62"/>
        </w:rPr>
        <w:t> </w:t>
      </w:r>
      <w:r>
        <w:rPr>
          <w:spacing w:val="-62"/>
        </w:rPr>
      </w:r>
      <w:r>
        <w:rPr/>
        <w:t>免了同业竞争和关联交易。</w:t>
      </w:r>
    </w:p>
    <w:p>
      <w:pPr>
        <w:pStyle w:val="BodyText"/>
        <w:spacing w:line="300" w:lineRule="auto" w:before="19"/>
        <w:ind w:left="513" w:right="986"/>
        <w:jc w:val="left"/>
      </w:pPr>
      <w:r>
        <w:rPr>
          <w:rFonts w:ascii="Times New Roman" w:hAnsi="Times New Roman" w:cs="Times New Roman" w:eastAsia="Times New Roman" w:hint="default"/>
        </w:rPr>
        <w:t>2</w:t>
      </w:r>
      <w:r>
        <w:rPr/>
        <w:t>、资产完整 </w:t>
      </w:r>
      <w:r>
        <w:rPr>
          <w:spacing w:val="-4"/>
        </w:rPr>
        <w:t>公司具有与生产经营有关的独立、完整的生产系统、辅助生产系统和配套设施，合法拥有与生产经营有关的土地使用权、</w:t>
      </w:r>
    </w:p>
    <w:p>
      <w:pPr>
        <w:pStyle w:val="BodyText"/>
        <w:spacing w:line="316" w:lineRule="auto" w:before="31"/>
        <w:ind w:left="513" w:right="1034" w:hanging="361"/>
        <w:jc w:val="left"/>
      </w:pPr>
      <w:r>
        <w:rPr/>
        <w:t>厂房、机器设备、商标及专利等资产的所有权或使用权，公司资产与股东资产严格分开，产权界定清晰，并完全独立运营。 </w:t>
      </w:r>
      <w:r>
        <w:rPr>
          <w:spacing w:val="-2"/>
        </w:rPr>
        <w:t>公司目前业务和生产经营必需资产的权属完全由公司独立享有，不存在与股东单位共用的情况，具备资产的独立性和完</w:t>
      </w:r>
    </w:p>
    <w:p>
      <w:pPr>
        <w:pStyle w:val="BodyText"/>
        <w:spacing w:line="240" w:lineRule="auto" w:before="19"/>
        <w:ind w:right="1133"/>
        <w:jc w:val="left"/>
      </w:pPr>
      <w:r>
        <w:rPr/>
        <w:t>整性。</w:t>
      </w:r>
    </w:p>
    <w:p>
      <w:pPr>
        <w:pStyle w:val="BodyText"/>
        <w:spacing w:line="316" w:lineRule="auto" w:before="77"/>
        <w:ind w:right="1133" w:firstLine="360"/>
        <w:jc w:val="left"/>
      </w:pPr>
      <w:r>
        <w:rPr>
          <w:spacing w:val="-2"/>
        </w:rPr>
        <w:t>报告期内，公司不存在以自身资产、权益或信誉为股东提供担保的情形，不存在资产、资金被控股股东、实际控制人占</w:t>
      </w:r>
      <w:r>
        <w:rPr/>
        <w:t> 用而损害公司利益的情况，公司对所有资产具有完全的控制权和支配权。</w:t>
      </w:r>
    </w:p>
    <w:p>
      <w:pPr>
        <w:pStyle w:val="BodyText"/>
        <w:spacing w:line="300" w:lineRule="auto" w:before="19"/>
        <w:ind w:left="513" w:right="1140"/>
        <w:jc w:val="left"/>
      </w:pPr>
      <w:r>
        <w:rPr>
          <w:rFonts w:ascii="Times New Roman" w:hAnsi="Times New Roman" w:cs="Times New Roman" w:eastAsia="Times New Roman" w:hint="default"/>
        </w:rPr>
        <w:t>3</w:t>
      </w:r>
      <w:r>
        <w:rPr/>
        <w:t>、人员独立 公司拥有完整、独立的劳动、人事及工资管理体系。公司的董事、监事及高级管理人员严格按照《公司法》、</w:t>
      </w:r>
      <w:r>
        <w:rPr>
          <w:spacing w:val="-17"/>
        </w:rPr>
        <w:t> </w:t>
      </w:r>
      <w:r>
        <w:rPr/>
        <w:t>《公司</w:t>
      </w:r>
    </w:p>
    <w:p>
      <w:pPr>
        <w:pStyle w:val="BodyText"/>
        <w:spacing w:line="316" w:lineRule="auto" w:before="31"/>
        <w:ind w:right="1129"/>
        <w:jc w:val="both"/>
      </w:pPr>
      <w:r>
        <w:rPr>
          <w:spacing w:val="-2"/>
        </w:rPr>
        <w:t>章程》的相关规定选举或聘任，不存在超越公司董事会和股东大会作出人事任免决定的情况。公司的总裁、高级副总裁、副</w:t>
      </w:r>
      <w:r>
        <w:rPr>
          <w:spacing w:val="-66"/>
        </w:rPr>
        <w:t> </w:t>
      </w:r>
      <w:r>
        <w:rPr>
          <w:spacing w:val="-66"/>
        </w:rPr>
      </w:r>
      <w:r>
        <w:rPr>
          <w:spacing w:val="-2"/>
        </w:rPr>
        <w:t>总裁、财务负责人和董事会秘书等高级管理人员未在控股股东、实际控制人及其控制的其他企业中担任除董事、监事以外的</w:t>
      </w:r>
      <w:r>
        <w:rPr>
          <w:spacing w:val="-62"/>
        </w:rPr>
        <w:t> </w:t>
      </w:r>
      <w:r>
        <w:rPr>
          <w:spacing w:val="-62"/>
        </w:rPr>
      </w:r>
      <w:r>
        <w:rPr>
          <w:spacing w:val="-2"/>
        </w:rPr>
        <w:t>其他职务，未在控股股东、实际控制人及其控制的其他企业领薪；公司的财务人员未在控股股东、实际控制人及其控制的其</w:t>
      </w:r>
      <w:r>
        <w:rPr>
          <w:spacing w:val="-63"/>
        </w:rPr>
        <w:t> </w:t>
      </w:r>
      <w:r>
        <w:rPr>
          <w:spacing w:val="-63"/>
        </w:rPr>
      </w:r>
      <w:r>
        <w:rPr/>
        <w:t>他企业中兼职。</w:t>
      </w:r>
    </w:p>
    <w:p>
      <w:pPr>
        <w:pStyle w:val="BodyText"/>
        <w:spacing w:line="316" w:lineRule="auto" w:before="19"/>
        <w:ind w:right="986" w:firstLine="360"/>
        <w:jc w:val="left"/>
      </w:pPr>
      <w:r>
        <w:rPr>
          <w:spacing w:val="-2"/>
        </w:rPr>
        <w:t>公司的劳动、人事及工资管理与股东单位完全分离，公司所有员工均在股份公司领薪；公司制订了严格的员工聘用、考</w:t>
      </w:r>
      <w:r>
        <w:rPr/>
        <w:t> 评、晋升等完整的劳动用工制度，并与员工依法签订了《劳动合同》，公司的人员与控股股东、实际控制人完全独立。</w:t>
      </w:r>
    </w:p>
    <w:p>
      <w:pPr>
        <w:pStyle w:val="BodyText"/>
        <w:spacing w:line="300" w:lineRule="auto" w:before="19"/>
        <w:ind w:left="513" w:right="1133"/>
        <w:jc w:val="left"/>
      </w:pPr>
      <w:r>
        <w:rPr>
          <w:rFonts w:ascii="Times New Roman" w:hAnsi="Times New Roman" w:cs="Times New Roman" w:eastAsia="Times New Roman" w:hint="default"/>
        </w:rPr>
        <w:t>4</w:t>
      </w:r>
      <w:r>
        <w:rPr/>
        <w:t>、机构独立 </w:t>
      </w:r>
      <w:r>
        <w:rPr>
          <w:spacing w:val="-2"/>
        </w:rPr>
        <w:t>公司根据经营发展的需要，建立了符合公司实际情况的独立、完整的组织结构，各职能部门根据《公司章程》和相关规</w:t>
      </w:r>
    </w:p>
    <w:p>
      <w:pPr>
        <w:pStyle w:val="BodyText"/>
        <w:spacing w:line="240" w:lineRule="auto" w:before="31"/>
        <w:ind w:right="986"/>
        <w:jc w:val="left"/>
      </w:pPr>
      <w:r>
        <w:rPr/>
        <w:t>章制度独立行使职权，运作正常有序。公司根据《公司法》、《公司章程》的要求建立了完善的法人治理结构和内部经营管</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986"/>
        <w:jc w:val="left"/>
      </w:pPr>
      <w:r>
        <w:rPr>
          <w:spacing w:val="-2"/>
        </w:rPr>
        <w:t>理机构，独立行使经营管理职权；股东大会、董事会、监事会严格按照《公司章程》规范运作，并建立了《独立董事工作制</w:t>
      </w:r>
      <w:r>
        <w:rPr>
          <w:spacing w:val="-65"/>
        </w:rPr>
        <w:t> </w:t>
      </w:r>
      <w:r>
        <w:rPr>
          <w:spacing w:val="-65"/>
        </w:rPr>
      </w:r>
      <w:r>
        <w:rPr/>
        <w:t>度》。</w:t>
      </w:r>
    </w:p>
    <w:p>
      <w:pPr>
        <w:pStyle w:val="BodyText"/>
        <w:spacing w:line="316" w:lineRule="auto" w:before="19"/>
        <w:ind w:right="986" w:firstLine="360"/>
        <w:jc w:val="left"/>
      </w:pPr>
      <w:r>
        <w:rPr>
          <w:spacing w:val="-2"/>
        </w:rPr>
        <w:t>公司在生产经营、办公场所和管理制度等各方面均完全独立，不存在与控股股东、实际控制人及其控制的其他企业机构</w:t>
      </w:r>
      <w:r>
        <w:rPr/>
        <w:t> 混同、混合经营或合署办公的情况。</w:t>
      </w:r>
    </w:p>
    <w:p>
      <w:pPr>
        <w:pStyle w:val="BodyText"/>
        <w:spacing w:line="340" w:lineRule="auto" w:before="19"/>
        <w:ind w:left="441" w:right="1133" w:firstLine="72"/>
        <w:jc w:val="left"/>
      </w:pPr>
      <w:r>
        <w:rPr>
          <w:rFonts w:ascii="Times New Roman" w:hAnsi="Times New Roman" w:cs="Times New Roman" w:eastAsia="Times New Roman" w:hint="default"/>
        </w:rPr>
        <w:t>5</w:t>
      </w:r>
      <w:r>
        <w:rPr/>
        <w:t>、财务独立 </w:t>
      </w:r>
      <w:r>
        <w:rPr>
          <w:spacing w:val="-1"/>
        </w:rPr>
        <w:t>公司严格按照《企业会计准则》建立了独立的财务会计核算体系，制定了相关的财务管理制度和审计等制度，设立了独</w:t>
      </w:r>
    </w:p>
    <w:p>
      <w:pPr>
        <w:pStyle w:val="BodyText"/>
        <w:spacing w:line="316" w:lineRule="auto" w:before="1"/>
        <w:ind w:right="1129"/>
        <w:jc w:val="both"/>
      </w:pPr>
      <w:r>
        <w:rPr>
          <w:spacing w:val="-2"/>
        </w:rPr>
        <w:t>立的财务部门和审计部门，配备了专门的财务人员和专职审计人员。公司拥有独立的银行账户，不存在与股东单位及其他关</w:t>
      </w:r>
      <w:r>
        <w:rPr>
          <w:spacing w:val="-63"/>
        </w:rPr>
        <w:t> </w:t>
      </w:r>
      <w:r>
        <w:rPr>
          <w:spacing w:val="-63"/>
        </w:rPr>
      </w:r>
      <w:r>
        <w:rPr>
          <w:spacing w:val="-2"/>
        </w:rPr>
        <w:t>联方共用银行账户的现象；公司独立进行纳税申报并履行纳税义务；公司能够依据《公司章程》和相关财务制度独立做出财</w:t>
      </w:r>
      <w:r>
        <w:rPr>
          <w:spacing w:val="-62"/>
        </w:rPr>
        <w:t> </w:t>
      </w:r>
      <w:r>
        <w:rPr>
          <w:spacing w:val="-62"/>
        </w:rPr>
      </w:r>
      <w:r>
        <w:rPr>
          <w:spacing w:val="-2"/>
        </w:rPr>
        <w:t>务决策，不存在股东或其他关联方干预公司资金使用的情况。公司已建立了独立的薪资管理制度，并在有关社会保障、工薪</w:t>
      </w:r>
      <w:r>
        <w:rPr>
          <w:spacing w:val="-64"/>
        </w:rPr>
        <w:t> </w:t>
      </w:r>
      <w:r>
        <w:rPr>
          <w:spacing w:val="-64"/>
        </w:rPr>
      </w:r>
      <w:r>
        <w:rPr/>
        <w:t>报酬等方面独立管理。公司独立对外签订合同，不受股东及其他关联方的影响。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2"/>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2019-014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2019-028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2019-036</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4"/>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李光金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986" w:firstLine="425"/>
        <w:jc w:val="left"/>
      </w:pPr>
      <w:r>
        <w:rPr/>
        <w:t>报告期内，公司独立董事根据《公司法》、《关于在上市公司建立独立董事的指导意见》、《关于加强社会公股股东 </w:t>
      </w:r>
      <w:r>
        <w:rPr>
          <w:spacing w:val="-4"/>
        </w:rPr>
        <w:t>权益保护的若干规定》、深圳证券交易所《中小企业板上市公司规范运作指引》、《公司章程》和公司《独立董事工作制度》</w:t>
      </w:r>
      <w:r>
        <w:rPr>
          <w:spacing w:val="-46"/>
        </w:rPr>
        <w:t> </w:t>
      </w:r>
      <w:r>
        <w:rPr>
          <w:spacing w:val="-46"/>
        </w:rPr>
      </w:r>
      <w:r>
        <w:rPr>
          <w:spacing w:val="-2"/>
        </w:rPr>
        <w:t>等有关法律、法规及规范性文件的规定和要求，诚信、勤勉、尽责、忠实地履行职责，积极参与公司治理和决策活动，对公</w:t>
      </w:r>
      <w:r>
        <w:rPr>
          <w:spacing w:val="-73"/>
        </w:rPr>
        <w:t> </w:t>
      </w:r>
      <w:r>
        <w:rPr>
          <w:spacing w:val="-73"/>
        </w:rPr>
      </w:r>
      <w:r>
        <w:rPr>
          <w:spacing w:val="-2"/>
        </w:rPr>
        <w:t>司的制度完善和经营发展决策等方面提出了许多宝贵的专业性意见，并对董事、高管履职情况、关联交易等提出了富有针对</w:t>
      </w:r>
      <w:r>
        <w:rPr>
          <w:spacing w:val="-66"/>
        </w:rPr>
        <w:t> </w:t>
      </w:r>
      <w:r>
        <w:rPr>
          <w:spacing w:val="-66"/>
        </w:rPr>
      </w:r>
      <w:r>
        <w:rPr>
          <w:spacing w:val="-2"/>
        </w:rPr>
        <w:t>性的建议和意见。独立董事还通过邮件、电话、会议等途径与公司其他董事、管理层及相关工作人员交流与沟通，重点关注</w:t>
      </w:r>
      <w:r>
        <w:rPr>
          <w:spacing w:val="-67"/>
        </w:rPr>
        <w:t> </w:t>
      </w:r>
      <w:r>
        <w:rPr>
          <w:spacing w:val="-67"/>
        </w:rPr>
      </w:r>
      <w:r>
        <w:rPr>
          <w:spacing w:val="-2"/>
        </w:rPr>
        <w:t>了公司运行状态、财务管理和内部控制、子公司运营、销售与回款、采购管理等重大事项，积极有效地履行了独立董事的职</w:t>
      </w:r>
      <w:r>
        <w:rPr>
          <w:spacing w:val="-67"/>
        </w:rPr>
        <w:t> </w:t>
      </w:r>
      <w:r>
        <w:rPr>
          <w:spacing w:val="-67"/>
        </w:rPr>
      </w:r>
      <w:r>
        <w:rPr/>
        <w:t>责，对促进董事会科学决策、公司稳健经营起到了积极的作用，也为公司未来发展、规范化运作和风险防范作出了贡献。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4"/>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297" w:right="986"/>
        <w:jc w:val="left"/>
      </w:pPr>
      <w:r>
        <w:rPr/>
        <w:t>公司董事会下设的战略委员会、薪酬与考核委员会、提名委员会与审计委员会四个专门委员会职责明确，</w:t>
      </w:r>
      <w:r>
        <w:rPr>
          <w:rFonts w:ascii="Times New Roman" w:hAnsi="Times New Roman" w:cs="Times New Roman" w:eastAsia="Times New Roman" w:hint="default"/>
        </w:rPr>
        <w:t>2019</w:t>
      </w:r>
      <w:r>
        <w:rPr/>
        <w:t>年严格按照</w:t>
      </w:r>
    </w:p>
    <w:p>
      <w:pPr>
        <w:pStyle w:val="BodyText"/>
        <w:spacing w:line="316" w:lineRule="auto" w:before="63"/>
        <w:ind w:right="1128"/>
        <w:jc w:val="both"/>
      </w:pPr>
      <w:r>
        <w:rPr/>
        <w:t>《董事会战略委员会工作细则》、《董事会审计委员会工作细则》、</w:t>
      </w:r>
      <w:r>
        <w:rPr>
          <w:spacing w:val="-40"/>
        </w:rPr>
        <w:t> </w:t>
      </w:r>
      <w:r>
        <w:rPr/>
        <w:t>《董事会提名委员会工作细则》、</w:t>
      </w:r>
      <w:r>
        <w:rPr>
          <w:spacing w:val="-39"/>
        </w:rPr>
        <w:t> </w:t>
      </w:r>
      <w:r>
        <w:rPr/>
        <w:t>《董事会薪酬与考</w:t>
      </w:r>
      <w:r>
        <w:rPr/>
        <w:t> </w:t>
      </w:r>
      <w:r>
        <w:rPr>
          <w:spacing w:val="-2"/>
        </w:rPr>
        <w:t>核委员会工作细则》的规定规范运作，委员认真履行职责，充分行使各自权利，对各委员会专业性事项进行认真研究，为增</w:t>
      </w:r>
      <w:r>
        <w:rPr>
          <w:spacing w:val="-67"/>
        </w:rPr>
        <w:t> </w:t>
      </w:r>
      <w:r>
        <w:rPr>
          <w:spacing w:val="-67"/>
        </w:rPr>
      </w:r>
      <w:r>
        <w:rPr>
          <w:spacing w:val="-2"/>
        </w:rPr>
        <w:t>强公司核心竞争力提出意见及建议，为董事会科学决策提供参考，同时也为公司经营业务的长远发展和治理结构的完善奠定</w:t>
      </w:r>
      <w:r>
        <w:rPr>
          <w:spacing w:val="-64"/>
        </w:rPr>
        <w:t> </w:t>
      </w:r>
      <w:r>
        <w:rPr>
          <w:spacing w:val="-64"/>
        </w:rPr>
      </w:r>
      <w:r>
        <w:rPr/>
        <w:t>了坚实的基础。</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986" w:firstLine="216"/>
        <w:jc w:val="left"/>
      </w:pPr>
      <w:r>
        <w:rPr>
          <w:spacing w:val="-1"/>
        </w:rPr>
        <w:t>公司建立了公正、合理、有效的高级管理人员绩效考核评价体系。董事会薪酬与考核委员会严格按照公司《董事、监事、</w:t>
      </w:r>
      <w:r>
        <w:rPr/>
        <w:t> </w:t>
      </w:r>
      <w:r>
        <w:rPr>
          <w:spacing w:val="-2"/>
        </w:rPr>
        <w:t>高级管理人员薪酬管理办法》执行，通过每年组织对高级管理人员的工作能力、履职情况、责任目标完成情况等进行年终考</w:t>
      </w:r>
      <w:r>
        <w:rPr>
          <w:spacing w:val="-65"/>
        </w:rPr>
        <w:t> </w:t>
      </w:r>
      <w:r>
        <w:rPr>
          <w:spacing w:val="-65"/>
        </w:rPr>
      </w:r>
      <w:r>
        <w:rPr>
          <w:spacing w:val="-4"/>
        </w:rPr>
        <w:t>评，并制定薪酬方案报董事会审批，充分调动了高级管理人员的工作积极性。报告期内，公司不断优化薪酬激励及约束机制，</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986"/>
        <w:jc w:val="left"/>
      </w:pPr>
      <w:r>
        <w:rPr>
          <w:spacing w:val="-2"/>
        </w:rPr>
        <w:t>完善对公司高级管理人员的考评标准和办法，有效提高了高级管理人员的履行意识和企业经营管理水平，为公司经营业绩的</w:t>
      </w:r>
      <w:r>
        <w:rPr>
          <w:spacing w:val="-64"/>
        </w:rPr>
        <w:t> </w:t>
      </w:r>
      <w:r>
        <w:rPr>
          <w:spacing w:val="-64"/>
        </w:rPr>
      </w:r>
      <w:r>
        <w:rPr/>
        <w:t>稳定提升打下了坚实的基础。</w:t>
      </w:r>
    </w:p>
    <w:p>
      <w:pPr>
        <w:spacing w:line="240" w:lineRule="auto" w:before="11"/>
        <w:rPr>
          <w:rFonts w:ascii="宋体" w:hAnsi="宋体" w:cs="宋体" w:eastAsia="宋体" w:hint="default"/>
          <w:sz w:val="20"/>
          <w:szCs w:val="20"/>
        </w:rPr>
      </w:pPr>
    </w:p>
    <w:p>
      <w:pPr>
        <w:pStyle w:val="Heading4"/>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329"/>
        <w:gridCol w:w="3051"/>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ind w:left="0" w:right="1136"/>
        <w:jc w:val="right"/>
      </w:pPr>
      <w:r>
        <w:rPr/>
        <w:pict>
          <v:shape style="position:absolute;margin-left:56.459999pt;margin-top:-297.178284pt;width:479.2pt;height:473.1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945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2" w:lineRule="auto"/>
                          <w:ind w:left="24" w:right="21"/>
                          <w:jc w:val="both"/>
                          <w:rPr>
                            <w:rFonts w:ascii="宋体" w:hAnsi="宋体" w:cs="宋体" w:eastAsia="宋体" w:hint="default"/>
                            <w:sz w:val="18"/>
                            <w:szCs w:val="18"/>
                          </w:rPr>
                        </w:pPr>
                        <w:r>
                          <w:rPr>
                            <w:rFonts w:ascii="宋体" w:hAnsi="宋体" w:cs="宋体" w:eastAsia="宋体" w:hint="default"/>
                            <w:sz w:val="18"/>
                            <w:szCs w:val="18"/>
                          </w:rPr>
                          <w:t>公司根据缺陷可能导致的财务报告错报的 重要程度，将缺陷划分确定为重大缺陷、 </w:t>
                        </w:r>
                        <w:r>
                          <w:rPr>
                            <w:rFonts w:ascii="宋体" w:hAnsi="宋体" w:cs="宋体" w:eastAsia="宋体" w:hint="default"/>
                            <w:spacing w:val="-4"/>
                            <w:sz w:val="18"/>
                            <w:szCs w:val="18"/>
                          </w:rPr>
                          <w:t>重要缺陷和一般缺陷：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一个或多个控制缺陷的组合，可能导致企 </w:t>
                        </w:r>
                        <w:r>
                          <w:rPr>
                            <w:rFonts w:ascii="宋体" w:hAnsi="宋体" w:cs="宋体" w:eastAsia="宋体" w:hint="default"/>
                            <w:spacing w:val="-4"/>
                            <w:sz w:val="18"/>
                            <w:szCs w:val="18"/>
                          </w:rPr>
                          <w:t>业严重偏离控制目标。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、重要缺陷：指一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个或多个控制缺陷的组合，其严重程度和 经济后果低于重大缺陷，但是仍有可能导 </w:t>
                        </w:r>
                        <w:r>
                          <w:rPr>
                            <w:rFonts w:ascii="宋体" w:hAnsi="宋体" w:cs="宋体" w:eastAsia="宋体" w:hint="default"/>
                            <w:spacing w:val="-4"/>
                            <w:sz w:val="18"/>
                            <w:szCs w:val="18"/>
                          </w:rPr>
                          <w:t>致企业偏离控制目标。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大缺陷、重要缺陷之外的其他控制缺陷。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以本年度的合并报表数据为基准，根据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该内部缺陷可能导致财务报表错报（包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括漏报）的重要程度，将缺陷划分确定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重大缺陷、重要缺陷和一般缺陷。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董事、监事和高级 管理人员舞弊；</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对已经公告的 财务报告出现的重大差错进行错报更 正；</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当期财务报告存在重大错 报，而</w:t>
                        </w:r>
                        <w:r>
                          <w:rPr>
                            <w:rFonts w:ascii="宋体" w:hAnsi="宋体" w:cs="宋体" w:eastAsia="宋体" w:hint="default"/>
                            <w:spacing w:val="1"/>
                            <w:sz w:val="18"/>
                            <w:szCs w:val="18"/>
                          </w:rPr>
                          <w:t> </w:t>
                        </w:r>
                        <w:r>
                          <w:rPr>
                            <w:rFonts w:ascii="宋体" w:hAnsi="宋体" w:cs="宋体" w:eastAsia="宋体" w:hint="default"/>
                            <w:sz w:val="18"/>
                            <w:szCs w:val="18"/>
                          </w:rPr>
                          <w:t>内部控制在运行过程中未能发</w:t>
                        </w:r>
                        <w:r>
                          <w:rPr>
                            <w:rFonts w:ascii="宋体" w:hAnsi="宋体" w:cs="宋体" w:eastAsia="宋体" w:hint="default"/>
                            <w:sz w:val="18"/>
                            <w:szCs w:val="18"/>
                          </w:rPr>
                          <w:t> 现该错报；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审计委员会以及内 部审计部对财务报告内部控制监督无 </w:t>
                        </w:r>
                        <w:r>
                          <w:rPr>
                            <w:rFonts w:ascii="宋体" w:hAnsi="宋体" w:cs="宋体" w:eastAsia="宋体" w:hint="default"/>
                            <w:spacing w:val="-6"/>
                            <w:sz w:val="18"/>
                            <w:szCs w:val="18"/>
                          </w:rPr>
                          <w:t>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公司主要会计政策、会计估</w:t>
                        </w:r>
                        <w:r>
                          <w:rPr>
                            <w:rFonts w:ascii="宋体" w:hAnsi="宋体" w:cs="宋体" w:eastAsia="宋体" w:hint="default"/>
                            <w:spacing w:val="-73"/>
                            <w:sz w:val="18"/>
                            <w:szCs w:val="18"/>
                          </w:rPr>
                          <w:t> </w:t>
                        </w:r>
                        <w:r>
                          <w:rPr>
                            <w:rFonts w:ascii="宋体" w:hAnsi="宋体" w:cs="宋体" w:eastAsia="宋体" w:hint="default"/>
                            <w:sz w:val="18"/>
                            <w:szCs w:val="18"/>
                          </w:rPr>
                          <w:t>计变</w:t>
                        </w:r>
                        <w:r>
                          <w:rPr>
                            <w:rFonts w:ascii="宋体" w:hAnsi="宋体" w:cs="宋体" w:eastAsia="宋体" w:hint="default"/>
                            <w:spacing w:val="1"/>
                            <w:sz w:val="18"/>
                            <w:szCs w:val="18"/>
                          </w:rPr>
                          <w:t> </w:t>
                        </w:r>
                        <w:r>
                          <w:rPr>
                            <w:rFonts w:ascii="宋体" w:hAnsi="宋体" w:cs="宋体" w:eastAsia="宋体" w:hint="default"/>
                            <w:sz w:val="18"/>
                            <w:szCs w:val="18"/>
                          </w:rPr>
                          <w:t>更或会计差错更正事项未按规定</w:t>
                        </w:r>
                        <w:r>
                          <w:rPr>
                            <w:rFonts w:ascii="宋体" w:hAnsi="宋体" w:cs="宋体" w:eastAsia="宋体" w:hint="default"/>
                            <w:sz w:val="18"/>
                            <w:szCs w:val="18"/>
                          </w:rPr>
                          <w:t> 披露的；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主要税种及税率、税 收优惠及其依据未按规定披露的；</w:t>
                        </w:r>
                      </w:p>
                      <w:p>
                        <w:pPr>
                          <w:pStyle w:val="TableParagraph"/>
                          <w:spacing w:line="304" w:lineRule="auto" w:before="24"/>
                          <w:ind w:left="26" w:right="1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公司合并财务报表范围信息披露</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 注释不充分完整的；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母公司财 务报表主要项目注释遗漏的；</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关联方及关联交易未按规定披露的；</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重要缺陷：（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未依照公认会计准则</w:t>
                        </w:r>
                        <w:r>
                          <w:rPr>
                            <w:rFonts w:ascii="宋体" w:hAnsi="宋体" w:cs="宋体" w:eastAsia="宋体" w:hint="default"/>
                            <w:spacing w:val="-73"/>
                            <w:sz w:val="18"/>
                            <w:szCs w:val="18"/>
                          </w:rPr>
                          <w:t> </w:t>
                        </w:r>
                        <w:r>
                          <w:rPr>
                            <w:rFonts w:ascii="宋体" w:hAnsi="宋体" w:cs="宋体" w:eastAsia="宋体" w:hint="default"/>
                            <w:sz w:val="18"/>
                            <w:szCs w:val="18"/>
                          </w:rPr>
                          <w:t>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未建立 反舞弊程序和控制措施；</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对于 非常规或特殊交易的账务处有实施且 </w:t>
                        </w:r>
                        <w:r>
                          <w:rPr>
                            <w:rFonts w:ascii="宋体" w:hAnsi="宋体" w:cs="宋体" w:eastAsia="宋体" w:hint="default"/>
                            <w:spacing w:val="-5"/>
                            <w:sz w:val="18"/>
                            <w:szCs w:val="18"/>
                          </w:rPr>
                          <w:t>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对于期</w:t>
                        </w:r>
                        <w:r>
                          <w:rPr>
                            <w:rFonts w:ascii="宋体" w:hAnsi="宋体" w:cs="宋体" w:eastAsia="宋体" w:hint="default"/>
                            <w:sz w:val="18"/>
                            <w:szCs w:val="18"/>
                          </w:rPr>
                          <w:t> 末财务报告过程的控制存在一项或多 项缺陷且不能合理保证编制的财务报 表达到真实、准确的目标。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w:t>
                        </w:r>
                        <w:r>
                          <w:rPr>
                            <w:rFonts w:ascii="宋体" w:hAnsi="宋体" w:cs="宋体" w:eastAsia="宋体" w:hint="default"/>
                            <w:spacing w:val="-4"/>
                            <w:sz w:val="18"/>
                            <w:szCs w:val="18"/>
                          </w:rPr>
                          <w:t>陷：除上述重大缺陷、重要缺陷之外的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其他控制缺陷</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6.869995pt;margin-top:411.919983pt;width:158.1pt;height:241.85pt;mso-position-horizontal-relative:page;mso-position-vertical-relative:page;z-index:-1102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w:t>
                  </w:r>
                </w:p>
              </w:txbxContent>
            </v:textbox>
            <w10:wrap type="none"/>
          </v:shape>
        </w:pict>
      </w:r>
      <w:r>
        <w:rPr/>
        <w:pict>
          <v:group style="position:absolute;margin-left:382.869995pt;margin-top:411.919983pt;width:152.1pt;height:241.85pt;mso-position-horizontal-relative:page;mso-position-vertical-relative:page;z-index:-1102888" coordorigin="7657,8238" coordsize="3042,4837">
            <v:shape style="position:absolute;left:7657;top:8238;width:3042;height:4837" coordorigin="7657,8238" coordsize="3042,4837" path="m7657,13075l10699,13075,10699,8238,7657,8238,7657,13075xe" filled="true" fillcolor="#ffffff" stroked="false">
              <v:path arrowok="t"/>
              <v:fill type="solid"/>
            </v:shape>
            <w10:wrap type="none"/>
          </v:group>
        </w:pict>
      </w:r>
      <w:r>
        <w:rPr/>
        <w:pict>
          <v:group style="position:absolute;margin-left:384.070007pt;margin-top:363.169983pt;width:154.25pt;height:31.2pt;mso-position-horizontal-relative:page;mso-position-vertical-relative:page;z-index:-1102840" coordorigin="7681,7263" coordsize="3085,624">
            <v:group style="position:absolute;left:7681;top:7263;width:2994;height:312" coordorigin="7681,7263" coordsize="2994,312">
              <v:shape style="position:absolute;left:7681;top:7263;width:2994;height:312" coordorigin="7681,7263" coordsize="2994,312" path="m7681,7575l10675,7575,10675,7263,7681,7263,7681,7575xe" filled="true" fillcolor="#ffffff" stroked="false">
                <v:path arrowok="t"/>
                <v:fill type="solid"/>
              </v:shape>
            </v:group>
            <v:group style="position:absolute;left:7681;top:7575;width:2994;height:312" coordorigin="7681,7575" coordsize="2994,312">
              <v:shape style="position:absolute;left:7681;top:7575;width:2994;height:312" coordorigin="7681,7575" coordsize="2994,312" path="m7681,7887l10675,7887,10675,7575,7681,7575,7681,7887xe" filled="true" fillcolor="#ffffff" stroked="false">
                <v:path arrowok="t"/>
                <v:fill type="solid"/>
              </v:shape>
              <v:shape style="position:absolute;left:10586;top:73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16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02"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、重大缺陷：（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资产、负债错报＞资</w:t>
            </w:r>
            <w:r>
              <w:rPr>
                <w:rFonts w:ascii="宋体" w:hAnsi="宋体" w:cs="宋体" w:eastAsia="宋体" w:hint="default"/>
                <w:sz w:val="18"/>
                <w:szCs w:val="18"/>
              </w:rPr>
              <w:t> 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营业收入错报＞营业收入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以上，且绝对金额超过</w:t>
            </w:r>
            <w:r>
              <w:rPr>
                <w:rFonts w:ascii="宋体" w:hAnsi="宋体" w:cs="宋体" w:eastAsia="宋体" w:hint="default"/>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20"/>
                <w:sz w:val="18"/>
                <w:szCs w:val="18"/>
              </w:rPr>
              <w:t>万元；（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以上，且绝对</w:t>
            </w:r>
            <w:r>
              <w:rPr>
                <w:rFonts w:ascii="宋体" w:hAnsi="宋体" w:cs="宋体" w:eastAsia="宋体" w:hint="default"/>
                <w:spacing w:val="53"/>
                <w:sz w:val="18"/>
                <w:szCs w:val="18"/>
              </w:rPr>
              <w:t> </w:t>
            </w:r>
            <w:r>
              <w:rPr>
                <w:rFonts w:ascii="宋体" w:hAnsi="宋体" w:cs="宋体" w:eastAsia="宋体" w:hint="default"/>
                <w:sz w:val="18"/>
                <w:szCs w:val="18"/>
              </w:rPr>
              <w:t>超过</w:t>
            </w:r>
            <w:r>
              <w:rPr>
                <w:rFonts w:ascii="宋体" w:hAnsi="宋体" w:cs="宋体" w:eastAsia="宋体" w:hint="default"/>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所有者权益错报＞所 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会计差错金额直接影响盈 </w:t>
            </w:r>
            <w:r>
              <w:rPr>
                <w:rFonts w:ascii="宋体" w:hAnsi="宋体" w:cs="宋体" w:eastAsia="宋体" w:hint="default"/>
                <w:spacing w:val="-5"/>
                <w:sz w:val="18"/>
                <w:szCs w:val="18"/>
              </w:rPr>
              <w:t>亏性质，即由于会计差错使得</w:t>
            </w:r>
            <w:r>
              <w:rPr>
                <w:rFonts w:ascii="宋体" w:hAnsi="宋体" w:cs="宋体" w:eastAsia="宋体" w:hint="default"/>
                <w:sz w:val="18"/>
                <w:szCs w:val="18"/>
              </w:rPr>
              <w:t> 原来为亏损</w:t>
            </w:r>
            <w:r>
              <w:rPr>
                <w:rFonts w:ascii="宋体" w:hAnsi="宋体" w:cs="宋体" w:eastAsia="宋体" w:hint="default"/>
                <w:sz w:val="18"/>
                <w:szCs w:val="18"/>
              </w:rPr>
              <w:t> 的转变为盈利，或者由盈利转变为亏损；</w:t>
            </w:r>
          </w:p>
          <w:p>
            <w:pPr>
              <w:pStyle w:val="TableParagraph"/>
              <w:spacing w:line="302" w:lineRule="auto" w:before="29"/>
              <w:ind w:left="24" w:right="-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经注册会计师审计对以前年度财务 报告进行更正的，</w:t>
            </w:r>
            <w:r>
              <w:rPr>
                <w:rFonts w:ascii="宋体" w:hAnsi="宋体" w:cs="宋体" w:eastAsia="宋体" w:hint="default"/>
                <w:spacing w:val="-64"/>
                <w:sz w:val="18"/>
                <w:szCs w:val="18"/>
              </w:rPr>
              <w:t> </w:t>
            </w:r>
            <w:r>
              <w:rPr>
                <w:rFonts w:ascii="宋体" w:hAnsi="宋体" w:cs="宋体" w:eastAsia="宋体" w:hint="default"/>
                <w:sz w:val="18"/>
                <w:szCs w:val="18"/>
              </w:rPr>
              <w:t>会计差错金额占最近一</w:t>
            </w:r>
            <w:r>
              <w:rPr>
                <w:rFonts w:ascii="宋体" w:hAnsi="宋体" w:cs="宋体" w:eastAsia="宋体" w:hint="default"/>
                <w:sz w:val="18"/>
                <w:szCs w:val="18"/>
              </w:rPr>
              <w:t> 个会计年度净利润</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以上，且绝对金额超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资产总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，且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spacing w:val="-3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利润错报</w:t>
            </w:r>
            <w:r>
              <w:rPr>
                <w:rFonts w:ascii="Times New Roman" w:hAnsi="Times New Roman" w:cs="Times New Roman" w:eastAsia="Times New Roman" w:hint="default"/>
                <w:sz w:val="18"/>
                <w:szCs w:val="18"/>
              </w:rPr>
              <w:t>≤</w:t>
            </w:r>
            <w:r>
              <w:rPr>
                <w:rFonts w:ascii="宋体" w:hAnsi="宋体" w:cs="宋体" w:eastAsia="宋体" w:hint="default"/>
                <w:sz w:val="18"/>
                <w:szCs w:val="18"/>
              </w:rPr>
              <w:t>净利 润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，且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pStyle w:val="TableParagraph"/>
              <w:spacing w:line="300" w:lineRule="auto" w:before="11"/>
              <w:ind w:left="24" w:right="7"/>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所有者权益总额的</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2" w:lineRule="auto" w:before="13"/>
              <w:ind w:left="24"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绝对金额</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800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经注册会计 师审计对以前年度财务报告进行更正的， 不直接影响盈亏性质，净利润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会计差 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 </w:t>
            </w:r>
            <w:r>
              <w:rPr>
                <w:rFonts w:ascii="宋体" w:hAnsi="宋体" w:cs="宋体" w:eastAsia="宋体" w:hint="default"/>
                <w:w w:val="100"/>
                <w:sz w:val="18"/>
                <w:szCs w:val="18"/>
              </w:rPr>
              <w:t>额</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300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资产</w:t>
            </w:r>
            <w:r>
              <w:rPr>
                <w:rFonts w:ascii="宋体" w:hAnsi="宋体" w:cs="宋体" w:eastAsia="宋体" w:hint="default"/>
                <w:spacing w:val="-83"/>
                <w:sz w:val="18"/>
                <w:szCs w:val="18"/>
              </w:rPr>
              <w:t> </w:t>
            </w:r>
            <w:r>
              <w:rPr>
                <w:rFonts w:ascii="宋体" w:hAnsi="宋体" w:cs="宋体" w:eastAsia="宋体" w:hint="default"/>
                <w:sz w:val="18"/>
                <w:szCs w:val="18"/>
              </w:rPr>
              <w:t>负债错报＜资产总额</w:t>
            </w:r>
            <w:r>
              <w:rPr>
                <w:rFonts w:ascii="宋体" w:hAnsi="宋体" w:cs="宋体" w:eastAsia="宋体" w:hint="default"/>
                <w:spacing w:val="-39"/>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以下，且绝对金额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营业收入错报＜营</w:t>
            </w:r>
            <w:r>
              <w:rPr>
                <w:rFonts w:ascii="宋体" w:hAnsi="宋体" w:cs="宋体" w:eastAsia="宋体" w:hint="default"/>
                <w:sz w:val="18"/>
                <w:szCs w:val="18"/>
              </w:rPr>
              <w:t> 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，且绝对金额超过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0"/>
                <w:sz w:val="18"/>
                <w:szCs w:val="18"/>
              </w:rPr>
              <w:t>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，且绝对</w:t>
            </w:r>
            <w:r>
              <w:rPr>
                <w:rFonts w:ascii="宋体" w:hAnsi="宋体" w:cs="宋体" w:eastAsia="宋体" w:hint="default"/>
                <w:sz w:val="18"/>
                <w:szCs w:val="18"/>
              </w:rPr>
              <w:t> 金额超过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所有者权益错</w:t>
            </w:r>
            <w:r>
              <w:rPr>
                <w:rFonts w:ascii="宋体" w:hAnsi="宋体" w:cs="宋体" w:eastAsia="宋体" w:hint="default"/>
                <w:sz w:val="18"/>
                <w:szCs w:val="18"/>
              </w:rPr>
              <w:t> 报＜所有者权益总额的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，且绝对金额超</w:t>
            </w:r>
            <w:r>
              <w:rPr>
                <w:rFonts w:ascii="宋体" w:hAnsi="宋体" w:cs="宋体" w:eastAsia="宋体" w:hint="default"/>
                <w:sz w:val="18"/>
                <w:szCs w:val="18"/>
              </w:rPr>
              <w:t> 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经注册会计师审计对</w:t>
            </w:r>
            <w:r>
              <w:rPr>
                <w:rFonts w:ascii="宋体" w:hAnsi="宋体" w:cs="宋体" w:eastAsia="宋体" w:hint="default"/>
                <w:sz w:val="18"/>
                <w:szCs w:val="18"/>
              </w:rPr>
              <w:t> 以前年度财务报告进行更正的，不直接影 响盈亏性质，会计差错金额＜净利润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且绝对金额超过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0" w:lineRule="atLeast"/>
              <w:ind w:left="19"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、重大缺陷：损失＞净利润的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、重要缺陷：净利 润的</w:t>
            </w:r>
            <w:r>
              <w:rPr>
                <w:rFonts w:ascii="宋体" w:hAnsi="宋体" w:cs="宋体" w:eastAsia="宋体" w:hint="default"/>
                <w:spacing w:val="-68"/>
                <w:sz w:val="18"/>
                <w:szCs w:val="18"/>
              </w:rPr>
              <w:t> </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损失</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净利润的</w:t>
            </w:r>
            <w:r>
              <w:rPr>
                <w:rFonts w:ascii="宋体" w:hAnsi="宋体" w:cs="宋体" w:eastAsia="宋体" w:hint="default"/>
                <w:spacing w:val="-67"/>
                <w:w w:val="100"/>
                <w:sz w:val="18"/>
                <w:szCs w:val="18"/>
              </w:rPr>
              <w:t> </w:t>
            </w: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，且</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w:t>
            </w:r>
          </w:p>
          <w:p>
            <w:pPr>
              <w:pStyle w:val="TableParagraph"/>
              <w:spacing w:line="103"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9" w:right="0"/>
              <w:jc w:val="both"/>
              <w:rPr>
                <w:rFonts w:ascii="宋体" w:hAnsi="宋体" w:cs="宋体" w:eastAsia="宋体" w:hint="default"/>
                <w:sz w:val="18"/>
                <w:szCs w:val="18"/>
              </w:rPr>
            </w:pPr>
            <w:r>
              <w:rPr>
                <w:rFonts w:ascii="宋体" w:hAnsi="宋体" w:cs="宋体" w:eastAsia="宋体" w:hint="default"/>
                <w:sz w:val="18"/>
                <w:szCs w:val="18"/>
              </w:rPr>
              <w:t>损失＜净利润的</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，且绝对金额超过</w:t>
            </w:r>
          </w:p>
          <w:p>
            <w:pPr>
              <w:pStyle w:val="TableParagraph"/>
              <w:spacing w:line="240" w:lineRule="auto" w:before="63"/>
              <w:ind w:left="1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4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9" w:id="10"/>
      <w:bookmarkEnd w:id="10"/>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ZA11345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杨志平</w:t>
            </w:r>
            <w:r>
              <w:rPr>
                <w:rFonts w:ascii="宋体" w:hAnsi="宋体" w:cs="宋体" w:eastAsia="宋体" w:hint="default"/>
                <w:spacing w:val="1"/>
                <w:sz w:val="18"/>
                <w:szCs w:val="18"/>
              </w:rPr>
              <w:t> </w:t>
            </w:r>
            <w:r>
              <w:rPr>
                <w:rFonts w:ascii="宋体" w:hAnsi="宋体" w:cs="宋体" w:eastAsia="宋体" w:hint="default"/>
                <w:sz w:val="18"/>
                <w:szCs w:val="18"/>
              </w:rPr>
              <w:t>周芳芳</w:t>
            </w:r>
          </w:p>
        </w:tc>
      </w:tr>
    </w:tbl>
    <w:p>
      <w:pPr>
        <w:pStyle w:val="BodyText"/>
        <w:spacing w:line="240" w:lineRule="auto" w:before="49"/>
        <w:ind w:left="133" w:right="1111"/>
        <w:jc w:val="center"/>
      </w:pPr>
      <w:r>
        <w:rPr/>
        <w:t>审计报告正文</w:t>
      </w:r>
    </w:p>
    <w:p>
      <w:pPr>
        <w:spacing w:line="240" w:lineRule="auto" w:before="9"/>
        <w:rPr>
          <w:rFonts w:ascii="宋体" w:hAnsi="宋体" w:cs="宋体" w:eastAsia="宋体" w:hint="default"/>
          <w:sz w:val="14"/>
          <w:szCs w:val="14"/>
        </w:rPr>
      </w:pPr>
    </w:p>
    <w:p>
      <w:pPr>
        <w:pStyle w:val="Heading2"/>
        <w:spacing w:line="240" w:lineRule="auto"/>
        <w:ind w:right="1133"/>
        <w:jc w:val="left"/>
        <w:rPr>
          <w:b w:val="0"/>
          <w:bCs w:val="0"/>
        </w:rPr>
      </w:pPr>
      <w:r>
        <w:rPr/>
        <w:t>四川久远银海软件股份有限公司全体股东：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right="1133"/>
        <w:jc w:val="left"/>
        <w:rPr>
          <w:b w:val="0"/>
          <w:bCs w:val="0"/>
        </w:rPr>
      </w:pPr>
      <w:r>
        <w:rPr/>
        <w:t>一、审计意见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ind w:right="1133"/>
        <w:jc w:val="both"/>
      </w:pPr>
      <w:r>
        <w:rPr>
          <w:spacing w:val="2"/>
        </w:rPr>
        <w:t>我们审计了四川久远银海软件股份有限公司（以下简称久远银海）财务报</w:t>
      </w:r>
      <w:r>
        <w:rPr>
          <w:spacing w:val="2"/>
          <w:w w:val="100"/>
        </w:rPr>
        <w:t> </w:t>
      </w:r>
      <w:r>
        <w:rPr/>
        <w:t>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年度的合并及母公</w:t>
      </w:r>
      <w:r>
        <w:rPr>
          <w:spacing w:val="-41"/>
        </w:rPr>
        <w:t> </w:t>
      </w:r>
      <w:r>
        <w:rPr>
          <w:spacing w:val="-41"/>
        </w:rPr>
      </w:r>
      <w:r>
        <w:rPr>
          <w:spacing w:val="2"/>
        </w:rPr>
        <w:t>司利润表、合并及母公司现金流量表、合并及母公司所有者权益变动表以及相</w:t>
      </w:r>
      <w:r>
        <w:rPr>
          <w:spacing w:val="-106"/>
        </w:rPr>
        <w:t> </w:t>
      </w:r>
      <w:r>
        <w:rPr>
          <w:spacing w:val="-106"/>
        </w:rPr>
      </w:r>
      <w:r>
        <w:rPr/>
        <w:t>关财务报表附注。</w:t>
      </w:r>
    </w:p>
    <w:p>
      <w:pPr>
        <w:pStyle w:val="Heading3"/>
        <w:spacing w:line="398" w:lineRule="auto" w:before="70"/>
        <w:ind w:right="986"/>
        <w:jc w:val="left"/>
      </w:pPr>
      <w:r>
        <w:rPr>
          <w:spacing w:val="-2"/>
        </w:rPr>
        <w:t>我们认为，后附的财务报表在所有重大方面按照企业会计准则的规定编制，</w:t>
      </w:r>
      <w:r>
        <w:rPr>
          <w:w w:val="100"/>
        </w:rPr>
        <w:t> </w:t>
      </w:r>
      <w:r>
        <w:rPr/>
        <w:t>公允反映了久远银海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w:t>
      </w:r>
      <w:r>
        <w:rPr>
          <w:spacing w:val="-33"/>
        </w:rPr>
        <w:t> </w:t>
      </w:r>
      <w:r>
        <w:rPr>
          <w:spacing w:val="-33"/>
        </w:rPr>
      </w:r>
      <w:r>
        <w:rPr/>
        <w:t>合并及母公司经营成果和现金流量。</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5"/>
          <w:szCs w:val="25"/>
        </w:rPr>
      </w:pPr>
    </w:p>
    <w:p>
      <w:pPr>
        <w:pStyle w:val="Heading2"/>
        <w:spacing w:line="240" w:lineRule="auto"/>
        <w:ind w:left="239" w:right="1133"/>
        <w:jc w:val="left"/>
        <w:rPr>
          <w:b w:val="0"/>
          <w:bCs w:val="0"/>
        </w:rPr>
      </w:pPr>
      <w:r>
        <w:rPr/>
        <w:t>二、形成审计意见的基础</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240" w:lineRule="auto"/>
        <w:ind w:left="719" w:right="986" w:firstLine="0"/>
        <w:jc w:val="left"/>
      </w:pPr>
      <w:r>
        <w:rPr/>
        <w:t>我们按照中国注册会计师审计准则的规定执行了审计工作。审计报告的</w:t>
      </w:r>
      <w:r>
        <w:rPr>
          <w:rFonts w:ascii="Times New Roman" w:hAnsi="Times New Roman" w:cs="Times New Roman" w:eastAsia="Times New Roman" w:hint="default"/>
        </w:rPr>
        <w:t>“</w:t>
      </w:r>
      <w:r>
        <w:rPr/>
        <w:t>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0" w:lineRule="auto" w:before="14"/>
        <w:ind w:right="1128" w:firstLine="0"/>
        <w:jc w:val="both"/>
      </w:pPr>
      <w:r>
        <w:rPr>
          <w:spacing w:val="-1"/>
        </w:rPr>
        <w:t>册会计师对财务报表审计的责任</w:t>
      </w:r>
      <w:r>
        <w:rPr>
          <w:rFonts w:ascii="Times New Roman" w:hAnsi="Times New Roman" w:cs="Times New Roman" w:eastAsia="Times New Roman" w:hint="default"/>
          <w:spacing w:val="-1"/>
        </w:rPr>
        <w:t>”</w:t>
      </w:r>
      <w:r>
        <w:rPr>
          <w:spacing w:val="-1"/>
        </w:rPr>
        <w:t>部分进一步阐述了我们在这些准则下的责任。</w:t>
      </w:r>
      <w:r>
        <w:rPr>
          <w:spacing w:val="-113"/>
        </w:rPr>
        <w:t> </w:t>
      </w:r>
      <w:r>
        <w:rPr>
          <w:spacing w:val="-113"/>
        </w:rPr>
      </w:r>
      <w:r>
        <w:rPr>
          <w:spacing w:val="2"/>
        </w:rPr>
        <w:t>按照中国注册会计师职业道德守则，我们独立于久远银海，并履行了职业道德</w:t>
      </w:r>
      <w:r>
        <w:rPr>
          <w:spacing w:val="-106"/>
        </w:rPr>
        <w:t> </w:t>
      </w:r>
      <w:r>
        <w:rPr>
          <w:spacing w:val="-106"/>
        </w:rPr>
      </w:r>
      <w:r>
        <w:rPr>
          <w:spacing w:val="2"/>
        </w:rPr>
        <w:t>方面的其他责任。我们相信，我们获取的审计证据是充分、适当的，为发表审</w:t>
      </w:r>
      <w:r>
        <w:rPr>
          <w:spacing w:val="-106"/>
        </w:rPr>
        <w:t> </w:t>
      </w:r>
      <w:r>
        <w:rPr>
          <w:spacing w:val="-106"/>
        </w:rPr>
      </w:r>
      <w:r>
        <w:rPr/>
        <w:t>计意见提供了基础。</w:t>
      </w: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三、关键审计事项</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33"/>
        <w:jc w:val="both"/>
      </w:pPr>
      <w:r>
        <w:rPr>
          <w:spacing w:val="2"/>
        </w:rPr>
        <w:t>关键审计事项是我们根据职业判断，认为对本期财务报表审计最为重要的</w:t>
      </w:r>
      <w:r>
        <w:rPr>
          <w:spacing w:val="2"/>
          <w:w w:val="100"/>
        </w:rPr>
        <w:t> </w:t>
      </w:r>
      <w:r>
        <w:rPr>
          <w:spacing w:val="2"/>
        </w:rPr>
        <w:t>事项。这些事项的应对以对财务报表整体进行审计并形成审计意见为背景，我</w:t>
      </w:r>
      <w:r>
        <w:rPr>
          <w:spacing w:val="-108"/>
        </w:rPr>
        <w:t> </w:t>
      </w:r>
      <w:r>
        <w:rPr>
          <w:spacing w:val="-108"/>
        </w:rPr>
      </w:r>
      <w:r>
        <w:rPr>
          <w:spacing w:val="2"/>
        </w:rPr>
        <w:t>们不对这些事项单独发表意见。我们确定下列事项是需要在审计报告中沟通的</w:t>
      </w:r>
      <w:r>
        <w:rPr>
          <w:spacing w:val="-106"/>
        </w:rPr>
        <w:t> </w:t>
      </w:r>
      <w:r>
        <w:rPr>
          <w:spacing w:val="-106"/>
        </w:rPr>
      </w:r>
      <w:r>
        <w:rPr/>
        <w:t>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6"/>
        <w:spacing w:line="240" w:lineRule="auto" w:before="36"/>
        <w:ind w:left="0" w:right="795"/>
        <w:jc w:val="right"/>
      </w:pPr>
      <w:r>
        <w:rPr/>
        <w:pict>
          <v:shape style="position:absolute;margin-left:56.279999pt;margin-top:-208.68634pt;width:497.4pt;height:338.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9"/>
                    <w:gridCol w:w="6267"/>
                  </w:tblGrid>
                  <w:tr>
                    <w:trPr>
                      <w:trHeight w:val="348"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关键审计事项</w:t>
                        </w:r>
                      </w:p>
                    </w:tc>
                    <w:tc>
                      <w:tcPr>
                        <w:tcW w:w="62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该事项在审计中是如何应对的</w:t>
                        </w:r>
                      </w:p>
                    </w:tc>
                  </w:tr>
                  <w:tr>
                    <w:trPr>
                      <w:trHeight w:val="346" w:hRule="exact"/>
                    </w:trPr>
                    <w:tc>
                      <w:tcPr>
                        <w:tcW w:w="9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（一）应收账款的可回收性</w:t>
                        </w:r>
                      </w:p>
                    </w:tc>
                  </w:tr>
                  <w:tr>
                    <w:trPr>
                      <w:trHeight w:val="2845"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 w:firstLine="566"/>
                          <w:jc w:val="both"/>
                          <w:rPr>
                            <w:rFonts w:ascii="宋体" w:hAnsi="宋体" w:cs="宋体" w:eastAsia="宋体" w:hint="default"/>
                            <w:sz w:val="21"/>
                            <w:szCs w:val="21"/>
                          </w:rPr>
                        </w:pPr>
                        <w:r>
                          <w:rPr>
                            <w:rFonts w:ascii="宋体" w:hAnsi="宋体" w:cs="宋体" w:eastAsia="宋体" w:hint="default"/>
                            <w:sz w:val="21"/>
                            <w:szCs w:val="21"/>
                          </w:rPr>
                          <w:t>久</w:t>
                        </w:r>
                        <w:r>
                          <w:rPr>
                            <w:rFonts w:ascii="宋体" w:hAnsi="宋体" w:cs="宋体" w:eastAsia="宋体" w:hint="default"/>
                            <w:spacing w:val="-54"/>
                            <w:sz w:val="21"/>
                            <w:szCs w:val="21"/>
                          </w:rPr>
                          <w:t> </w:t>
                        </w:r>
                        <w:r>
                          <w:rPr>
                            <w:rFonts w:ascii="宋体" w:hAnsi="宋体" w:cs="宋体" w:eastAsia="宋体" w:hint="default"/>
                            <w:sz w:val="21"/>
                            <w:szCs w:val="21"/>
                          </w:rPr>
                          <w:t>远</w:t>
                        </w:r>
                        <w:r>
                          <w:rPr>
                            <w:rFonts w:ascii="宋体" w:hAnsi="宋体" w:cs="宋体" w:eastAsia="宋体" w:hint="default"/>
                            <w:spacing w:val="-57"/>
                            <w:sz w:val="21"/>
                            <w:szCs w:val="21"/>
                          </w:rPr>
                          <w:t> </w:t>
                        </w:r>
                        <w:r>
                          <w:rPr>
                            <w:rFonts w:ascii="宋体" w:hAnsi="宋体" w:cs="宋体" w:eastAsia="宋体" w:hint="default"/>
                            <w:sz w:val="21"/>
                            <w:szCs w:val="21"/>
                          </w:rPr>
                          <w:t>银</w:t>
                        </w:r>
                        <w:r>
                          <w:rPr>
                            <w:rFonts w:ascii="宋体" w:hAnsi="宋体" w:cs="宋体" w:eastAsia="宋体" w:hint="default"/>
                            <w:spacing w:val="-54"/>
                            <w:sz w:val="21"/>
                            <w:szCs w:val="21"/>
                          </w:rPr>
                          <w:t> </w:t>
                        </w:r>
                        <w:r>
                          <w:rPr>
                            <w:rFonts w:ascii="宋体" w:hAnsi="宋体" w:cs="宋体" w:eastAsia="宋体" w:hint="default"/>
                            <w:sz w:val="21"/>
                            <w:szCs w:val="21"/>
                          </w:rPr>
                          <w:t>海</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7"/>
                            <w:sz w:val="21"/>
                            <w:szCs w:val="21"/>
                          </w:rPr>
                          <w:t> </w:t>
                        </w:r>
                        <w:r>
                          <w:rPr>
                            <w:rFonts w:ascii="宋体" w:hAnsi="宋体" w:cs="宋体" w:eastAsia="宋体" w:hint="default"/>
                            <w:sz w:val="21"/>
                            <w:szCs w:val="21"/>
                          </w:rPr>
                          <w:t>末</w:t>
                        </w:r>
                        <w:r>
                          <w:rPr>
                            <w:rFonts w:ascii="宋体" w:hAnsi="宋体" w:cs="宋体" w:eastAsia="宋体" w:hint="default"/>
                            <w:spacing w:val="-54"/>
                            <w:sz w:val="21"/>
                            <w:szCs w:val="21"/>
                          </w:rPr>
                          <w:t> </w:t>
                        </w: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7"/>
                            <w:sz w:val="21"/>
                            <w:szCs w:val="21"/>
                          </w:rPr>
                          <w:t> </w:t>
                        </w:r>
                        <w:r>
                          <w:rPr>
                            <w:rFonts w:ascii="宋体" w:hAnsi="宋体" w:cs="宋体" w:eastAsia="宋体" w:hint="default"/>
                            <w:sz w:val="21"/>
                            <w:szCs w:val="21"/>
                          </w:rPr>
                          <w:t>账</w:t>
                        </w:r>
                        <w:r>
                          <w:rPr>
                            <w:rFonts w:ascii="宋体" w:hAnsi="宋体" w:cs="宋体" w:eastAsia="宋体" w:hint="default"/>
                            <w:spacing w:val="-57"/>
                            <w:sz w:val="21"/>
                            <w:szCs w:val="21"/>
                          </w:rPr>
                          <w:t> </w:t>
                        </w:r>
                        <w:r>
                          <w:rPr>
                            <w:rFonts w:ascii="宋体" w:hAnsi="宋体" w:cs="宋体" w:eastAsia="宋体" w:hint="default"/>
                            <w:sz w:val="21"/>
                            <w:szCs w:val="21"/>
                          </w:rPr>
                          <w:t>款</w:t>
                        </w:r>
                        <w:r>
                          <w:rPr>
                            <w:rFonts w:ascii="宋体" w:hAnsi="宋体" w:cs="宋体" w:eastAsia="宋体" w:hint="default"/>
                            <w:spacing w:val="-54"/>
                            <w:sz w:val="21"/>
                            <w:szCs w:val="21"/>
                          </w:rPr>
                          <w:t> </w:t>
                        </w: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273,083,819.83</w:t>
                        </w:r>
                        <w:r>
                          <w:rPr>
                            <w:rFonts w:ascii="宋体" w:hAnsi="宋体" w:cs="宋体" w:eastAsia="宋体" w:hint="default"/>
                            <w:sz w:val="21"/>
                            <w:szCs w:val="21"/>
                          </w:rPr>
                          <w:t>元，占期末总资产比重较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大。公司管理层在确定应收账款预计可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收回金额时需要评估相关客户的信用情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况。包括合同信用期、历史信用损失以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及实际还款情况等因素。由于评估应收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账款的可收回性时，很大程度上依赖管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理层的判断。因此，我们将应收账款减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值作为关键审计事项。</w:t>
                        </w:r>
                      </w:p>
                    </w:tc>
                    <w:tc>
                      <w:tcPr>
                        <w:tcW w:w="626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）我们获取久远银海的坏账准备计提政策，检查本报告期坏</w:t>
                        </w:r>
                        <w:r>
                          <w:rPr>
                            <w:rFonts w:ascii="宋体" w:hAnsi="宋体" w:cs="宋体" w:eastAsia="宋体" w:hint="default"/>
                            <w:w w:val="100"/>
                            <w:sz w:val="21"/>
                            <w:szCs w:val="21"/>
                          </w:rPr>
                          <w:t> </w:t>
                        </w:r>
                        <w:r>
                          <w:rPr>
                            <w:rFonts w:ascii="宋体" w:hAnsi="宋体" w:cs="宋体" w:eastAsia="宋体" w:hint="default"/>
                            <w:sz w:val="21"/>
                            <w:szCs w:val="21"/>
                          </w:rPr>
                          <w:t>账准备计提政策是否保持一致；</w:t>
                        </w:r>
                      </w:p>
                      <w:p>
                        <w:pPr>
                          <w:pStyle w:val="TableParagraph"/>
                          <w:spacing w:line="264" w:lineRule="auto" w:before="22"/>
                          <w:ind w:left="4" w:right="-5"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）我们获取应收账款账龄，关注账龄划分的正确性，根据管</w:t>
                        </w:r>
                        <w:r>
                          <w:rPr>
                            <w:rFonts w:ascii="宋体" w:hAnsi="宋体" w:cs="宋体" w:eastAsia="宋体" w:hint="default"/>
                            <w:w w:val="100"/>
                            <w:sz w:val="21"/>
                            <w:szCs w:val="21"/>
                          </w:rPr>
                          <w:t> </w:t>
                        </w:r>
                        <w:r>
                          <w:rPr>
                            <w:rFonts w:ascii="宋体" w:hAnsi="宋体" w:cs="宋体" w:eastAsia="宋体" w:hint="default"/>
                            <w:spacing w:val="-4"/>
                            <w:sz w:val="21"/>
                            <w:szCs w:val="21"/>
                          </w:rPr>
                          <w:t>理层的坏账计提准备政策，以及客户信誉、历史支付情况，结合函证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及回款查验，复核测试公司应收款项的坏账准备计提是否充分；</w:t>
                        </w:r>
                      </w:p>
                      <w:p>
                        <w:pPr>
                          <w:pStyle w:val="TableParagraph"/>
                          <w:spacing w:line="256" w:lineRule="auto" w:before="16"/>
                          <w:ind w:left="4" w:right="-3" w:firstLine="566"/>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）我们获取了同行业可比上市公司的坏账计提政策与应收账</w:t>
                        </w:r>
                        <w:r>
                          <w:rPr>
                            <w:rFonts w:ascii="宋体" w:hAnsi="宋体" w:cs="宋体" w:eastAsia="宋体" w:hint="default"/>
                            <w:w w:val="100"/>
                            <w:sz w:val="21"/>
                            <w:szCs w:val="21"/>
                          </w:rPr>
                          <w:t> </w:t>
                        </w:r>
                        <w:r>
                          <w:rPr>
                            <w:rFonts w:ascii="宋体" w:hAnsi="宋体" w:cs="宋体" w:eastAsia="宋体" w:hint="default"/>
                            <w:sz w:val="21"/>
                            <w:szCs w:val="21"/>
                          </w:rPr>
                          <w:t>款周转率，并与久远银海进行对比。</w:t>
                        </w:r>
                      </w:p>
                    </w:tc>
                  </w:tr>
                  <w:tr>
                    <w:trPr>
                      <w:trHeight w:val="346" w:hRule="exact"/>
                    </w:trPr>
                    <w:tc>
                      <w:tcPr>
                        <w:tcW w:w="9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（二）存货存在性</w:t>
                        </w:r>
                      </w:p>
                    </w:tc>
                  </w:tr>
                  <w:tr>
                    <w:trPr>
                      <w:trHeight w:val="2532"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2" w:firstLine="566"/>
                          <w:jc w:val="both"/>
                          <w:rPr>
                            <w:rFonts w:ascii="宋体" w:hAnsi="宋体" w:cs="宋体" w:eastAsia="宋体" w:hint="default"/>
                            <w:sz w:val="21"/>
                            <w:szCs w:val="21"/>
                          </w:rPr>
                        </w:pPr>
                        <w:r>
                          <w:rPr>
                            <w:rFonts w:ascii="宋体" w:hAnsi="宋体" w:cs="宋体" w:eastAsia="宋体" w:hint="default"/>
                            <w:sz w:val="21"/>
                            <w:szCs w:val="21"/>
                          </w:rPr>
                          <w:t>久 远 银 海 期 末 存 货 金</w:t>
                        </w:r>
                        <w:r>
                          <w:rPr>
                            <w:rFonts w:ascii="宋体" w:hAnsi="宋体" w:cs="宋体" w:eastAsia="宋体" w:hint="default"/>
                            <w:spacing w:val="19"/>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287,385,739.68</w:t>
                        </w:r>
                        <w:r>
                          <w:rPr>
                            <w:rFonts w:ascii="宋体" w:hAnsi="宋体" w:cs="宋体" w:eastAsia="宋体" w:hint="default"/>
                            <w:sz w:val="21"/>
                            <w:szCs w:val="21"/>
                          </w:rPr>
                          <w:t>元，占期末总资产比重较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大，因此，我们将存货的存在性作为关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键审计事项。</w:t>
                        </w:r>
                      </w:p>
                    </w:tc>
                    <w:tc>
                      <w:tcPr>
                        <w:tcW w:w="626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3" w:firstLine="56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）我们获取久远银海《存货管理办法》，检查久远银海内控</w:t>
                        </w:r>
                        <w:r>
                          <w:rPr>
                            <w:rFonts w:ascii="宋体" w:hAnsi="宋体" w:cs="宋体" w:eastAsia="宋体" w:hint="default"/>
                            <w:w w:val="100"/>
                            <w:sz w:val="21"/>
                            <w:szCs w:val="21"/>
                          </w:rPr>
                          <w:t> </w:t>
                        </w:r>
                        <w:r>
                          <w:rPr>
                            <w:rFonts w:ascii="宋体" w:hAnsi="宋体" w:cs="宋体" w:eastAsia="宋体" w:hint="default"/>
                            <w:sz w:val="21"/>
                            <w:szCs w:val="21"/>
                          </w:rPr>
                          <w:t>管理制度的建立健全与流程、判断久远银海存货盘点制度是否完善</w:t>
                        </w:r>
                      </w:p>
                      <w:p>
                        <w:pPr>
                          <w:pStyle w:val="TableParagraph"/>
                          <w:spacing w:line="256" w:lineRule="auto" w:before="22"/>
                          <w:ind w:left="4" w:right="0" w:firstLine="56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）我们获取久远银海期末存货余额，编制存货构成表，分析</w:t>
                        </w:r>
                        <w:r>
                          <w:rPr>
                            <w:rFonts w:ascii="宋体" w:hAnsi="宋体" w:cs="宋体" w:eastAsia="宋体" w:hint="default"/>
                            <w:w w:val="100"/>
                            <w:sz w:val="21"/>
                            <w:szCs w:val="21"/>
                          </w:rPr>
                          <w:t> </w:t>
                        </w:r>
                        <w:r>
                          <w:rPr>
                            <w:rFonts w:ascii="宋体" w:hAnsi="宋体" w:cs="宋体" w:eastAsia="宋体" w:hint="default"/>
                            <w:sz w:val="21"/>
                            <w:szCs w:val="21"/>
                          </w:rPr>
                          <w:t>报告期存货构成变动的合理性。</w:t>
                        </w:r>
                      </w:p>
                      <w:p>
                        <w:pPr>
                          <w:pStyle w:val="TableParagraph"/>
                          <w:spacing w:line="256" w:lineRule="auto" w:before="22"/>
                          <w:ind w:left="4" w:right="0" w:firstLine="56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）我们获取久远银海报告期大额的采购合同、请购单、收货</w:t>
                        </w:r>
                        <w:r>
                          <w:rPr>
                            <w:rFonts w:ascii="宋体" w:hAnsi="宋体" w:cs="宋体" w:eastAsia="宋体" w:hint="default"/>
                            <w:w w:val="100"/>
                            <w:sz w:val="21"/>
                            <w:szCs w:val="21"/>
                          </w:rPr>
                          <w:t> </w:t>
                        </w:r>
                        <w:r>
                          <w:rPr>
                            <w:rFonts w:ascii="宋体" w:hAnsi="宋体" w:cs="宋体" w:eastAsia="宋体" w:hint="default"/>
                            <w:sz w:val="21"/>
                            <w:szCs w:val="21"/>
                          </w:rPr>
                          <w:t>记录、采购发票、会计凭证、付款单据，核查采购的真实性。</w:t>
                        </w:r>
                      </w:p>
                      <w:p>
                        <w:pPr>
                          <w:pStyle w:val="TableParagraph"/>
                          <w:spacing w:line="256" w:lineRule="auto" w:before="22"/>
                          <w:ind w:left="4" w:right="0" w:firstLine="566"/>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）我们获取公司期末原材料清单，实施存货的现场监盘，异</w:t>
                        </w:r>
                        <w:r>
                          <w:rPr>
                            <w:rFonts w:ascii="宋体" w:hAnsi="宋体" w:cs="宋体" w:eastAsia="宋体" w:hint="default"/>
                            <w:w w:val="100"/>
                            <w:sz w:val="21"/>
                            <w:szCs w:val="21"/>
                          </w:rPr>
                          <w:t> </w:t>
                        </w:r>
                        <w:r>
                          <w:rPr>
                            <w:rFonts w:ascii="宋体" w:hAnsi="宋体" w:cs="宋体" w:eastAsia="宋体" w:hint="default"/>
                            <w:spacing w:val="-7"/>
                            <w:sz w:val="21"/>
                            <w:szCs w:val="21"/>
                          </w:rPr>
                          <w:t>地的在产品通过函证、复核等程序，确定存货余额的真实性、合理性</w:t>
                        </w:r>
                      </w:p>
                    </w:tc>
                  </w:tr>
                  <w:tr>
                    <w:trPr>
                      <w:trHeight w:val="348" w:hRule="exact"/>
                    </w:trPr>
                    <w:tc>
                      <w:tcPr>
                        <w:tcW w:w="99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（三）收入确认</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6"/>
        <w:spacing w:line="240" w:lineRule="auto" w:before="36"/>
        <w:ind w:left="0" w:right="747"/>
        <w:jc w:val="right"/>
      </w:pPr>
      <w:r>
        <w:rPr>
          <w:w w:val="100"/>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59"/>
        <w:gridCol w:w="6267"/>
      </w:tblGrid>
      <w:tr>
        <w:trPr>
          <w:trHeight w:val="3781" w:hRule="exact"/>
        </w:trPr>
        <w:tc>
          <w:tcPr>
            <w:tcW w:w="365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0" w:firstLine="566"/>
              <w:jc w:val="both"/>
              <w:rPr>
                <w:rFonts w:ascii="宋体" w:hAnsi="宋体" w:cs="宋体" w:eastAsia="宋体" w:hint="default"/>
                <w:sz w:val="21"/>
                <w:szCs w:val="21"/>
              </w:rPr>
            </w:pPr>
            <w:r>
              <w:rPr>
                <w:rFonts w:ascii="宋体" w:hAnsi="宋体" w:cs="宋体" w:eastAsia="宋体" w:hint="default"/>
                <w:spacing w:val="6"/>
                <w:sz w:val="21"/>
                <w:szCs w:val="21"/>
              </w:rPr>
              <w:t>本报告期久远银海营业收入金额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1,016,378,796.96</w:t>
            </w:r>
            <w:r>
              <w:rPr>
                <w:rFonts w:ascii="宋体" w:hAnsi="宋体" w:cs="宋体" w:eastAsia="宋体" w:hint="default"/>
                <w:sz w:val="21"/>
                <w:szCs w:val="21"/>
              </w:rPr>
              <w:t>元，增长幅度较大。久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远银海提供的产品类型主要包括软件、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运维服务、系统集成，不同类型的产品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9"/>
                <w:w w:val="100"/>
                <w:sz w:val="21"/>
                <w:szCs w:val="21"/>
              </w:rPr>
              <w:t>收入确认方法不同。收入确认的准确性、</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是否在恰当的财务报表期间确认对财务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报表具有重大影响，因此我们将收入的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确认作为关键审计事项。</w:t>
            </w:r>
          </w:p>
        </w:tc>
        <w:tc>
          <w:tcPr>
            <w:tcW w:w="626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3"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）我们获取久远银海销售与收款相关内部控制制度，检查制</w:t>
            </w:r>
            <w:r>
              <w:rPr>
                <w:rFonts w:ascii="宋体" w:hAnsi="宋体" w:cs="宋体" w:eastAsia="宋体" w:hint="default"/>
                <w:w w:val="100"/>
                <w:sz w:val="21"/>
                <w:szCs w:val="21"/>
              </w:rPr>
              <w:t> </w:t>
            </w:r>
            <w:r>
              <w:rPr>
                <w:rFonts w:ascii="宋体" w:hAnsi="宋体" w:cs="宋体" w:eastAsia="宋体" w:hint="default"/>
                <w:spacing w:val="-4"/>
                <w:sz w:val="21"/>
                <w:szCs w:val="21"/>
              </w:rPr>
              <w:t>度相关条款设计是否合理，并通过穿行测试评价相关内部控制制度是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否有效执行；</w:t>
            </w:r>
          </w:p>
          <w:p>
            <w:pPr>
              <w:pStyle w:val="TableParagraph"/>
              <w:spacing w:line="256" w:lineRule="auto" w:before="16"/>
              <w:ind w:left="4" w:right="-3"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）我们获取久远银海本报告期主营业务收入结构变动表，分</w:t>
            </w:r>
            <w:r>
              <w:rPr>
                <w:rFonts w:ascii="宋体" w:hAnsi="宋体" w:cs="宋体" w:eastAsia="宋体" w:hint="default"/>
                <w:w w:val="100"/>
                <w:sz w:val="21"/>
                <w:szCs w:val="21"/>
              </w:rPr>
              <w:t> </w:t>
            </w:r>
            <w:r>
              <w:rPr>
                <w:rFonts w:ascii="宋体" w:hAnsi="宋体" w:cs="宋体" w:eastAsia="宋体" w:hint="default"/>
                <w:sz w:val="21"/>
                <w:szCs w:val="21"/>
              </w:rPr>
              <w:t>析主营业收入波动是否合理；</w:t>
            </w:r>
          </w:p>
          <w:p>
            <w:pPr>
              <w:pStyle w:val="TableParagraph"/>
              <w:spacing w:line="256" w:lineRule="auto" w:before="22"/>
              <w:ind w:left="4" w:right="-3"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）我们获取久远银海本报告期主营业务毛利率，并结合同行</w:t>
            </w:r>
            <w:r>
              <w:rPr>
                <w:rFonts w:ascii="宋体" w:hAnsi="宋体" w:cs="宋体" w:eastAsia="宋体" w:hint="default"/>
                <w:w w:val="100"/>
                <w:sz w:val="21"/>
                <w:szCs w:val="21"/>
              </w:rPr>
              <w:t> </w:t>
            </w:r>
            <w:r>
              <w:rPr>
                <w:rFonts w:ascii="宋体" w:hAnsi="宋体" w:cs="宋体" w:eastAsia="宋体" w:hint="default"/>
                <w:sz w:val="21"/>
                <w:szCs w:val="21"/>
              </w:rPr>
              <w:t>业上市公司毛利率情况进行比较分析；</w:t>
            </w:r>
          </w:p>
          <w:p>
            <w:pPr>
              <w:pStyle w:val="TableParagraph"/>
              <w:spacing w:line="264" w:lineRule="auto" w:before="22"/>
              <w:ind w:left="4" w:right="-5"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）我们获取久远银海本报告期销售合同及验收文件，关注与</w:t>
            </w:r>
            <w:r>
              <w:rPr>
                <w:rFonts w:ascii="宋体" w:hAnsi="宋体" w:cs="宋体" w:eastAsia="宋体" w:hint="default"/>
                <w:w w:val="100"/>
                <w:sz w:val="21"/>
                <w:szCs w:val="21"/>
              </w:rPr>
              <w:t> </w:t>
            </w:r>
            <w:r>
              <w:rPr>
                <w:rFonts w:ascii="宋体" w:hAnsi="宋体" w:cs="宋体" w:eastAsia="宋体" w:hint="default"/>
                <w:spacing w:val="-4"/>
                <w:sz w:val="21"/>
                <w:szCs w:val="21"/>
              </w:rPr>
              <w:t>商品所有权相关的主要风险和报酬是否已经发生转移、收入所属期是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否准确；</w:t>
            </w:r>
          </w:p>
          <w:p>
            <w:pPr>
              <w:pStyle w:val="TableParagraph"/>
              <w:spacing w:line="259" w:lineRule="auto" w:before="16"/>
              <w:ind w:left="4" w:right="-3" w:firstLine="566"/>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）我们通过久远银海主要客户进行函证，判断久远银海收入</w:t>
            </w:r>
            <w:r>
              <w:rPr>
                <w:rFonts w:ascii="宋体" w:hAnsi="宋体" w:cs="宋体" w:eastAsia="宋体" w:hint="default"/>
                <w:w w:val="100"/>
                <w:sz w:val="21"/>
                <w:szCs w:val="21"/>
              </w:rPr>
              <w:t> </w:t>
            </w:r>
            <w:r>
              <w:rPr>
                <w:rFonts w:ascii="宋体" w:hAnsi="宋体" w:cs="宋体" w:eastAsia="宋体" w:hint="default"/>
                <w:sz w:val="21"/>
                <w:szCs w:val="21"/>
              </w:rPr>
              <w:t>确认的真实性。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6"/>
        <w:ind w:left="239" w:right="1133"/>
        <w:jc w:val="left"/>
        <w:rPr>
          <w:b w:val="0"/>
          <w:bCs w:val="0"/>
        </w:rPr>
      </w:pPr>
      <w:r>
        <w:rPr/>
        <w:t>四、其他信息</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35"/>
        <w:jc w:val="both"/>
      </w:pPr>
      <w:r>
        <w:rPr>
          <w:spacing w:val="2"/>
        </w:rPr>
        <w:t>久远银海管理层（以下简称管理层）对其他信息负责。其他信息包括久远</w:t>
      </w:r>
      <w:r>
        <w:rPr>
          <w:spacing w:val="2"/>
          <w:w w:val="100"/>
        </w:rPr>
        <w:t> </w:t>
      </w:r>
      <w:r>
        <w:rPr/>
        <w:t>银海</w:t>
      </w:r>
      <w:r>
        <w:rPr>
          <w:rFonts w:ascii="Times New Roman" w:hAnsi="Times New Roman" w:cs="Times New Roman" w:eastAsia="Times New Roman" w:hint="default"/>
        </w:rPr>
        <w:t>2019</w:t>
      </w:r>
      <w:r>
        <w:rPr/>
        <w:t>年年度报告中涵盖的信息，但不包括财务报表和我们的审计报告。</w:t>
      </w:r>
    </w:p>
    <w:p>
      <w:pPr>
        <w:pStyle w:val="Heading3"/>
        <w:spacing w:line="408" w:lineRule="auto" w:before="19"/>
        <w:ind w:right="1135"/>
        <w:jc w:val="both"/>
      </w:pPr>
      <w:r>
        <w:rPr>
          <w:spacing w:val="2"/>
        </w:rPr>
        <w:t>我们对财务报表发表的审计意见不涵盖其他信息，我们也不对其他信息发</w:t>
      </w:r>
      <w:r>
        <w:rPr>
          <w:spacing w:val="2"/>
          <w:w w:val="100"/>
        </w:rPr>
        <w:t> </w:t>
      </w:r>
      <w:r>
        <w:rPr/>
        <w:t>表任何形式的鉴证结论。</w:t>
      </w:r>
    </w:p>
    <w:p>
      <w:pPr>
        <w:pStyle w:val="Heading3"/>
        <w:spacing w:line="408" w:lineRule="auto" w:before="61"/>
        <w:ind w:right="1135"/>
        <w:jc w:val="both"/>
      </w:pPr>
      <w:r>
        <w:rPr>
          <w:spacing w:val="2"/>
        </w:rPr>
        <w:t>结合我们对财务报表的审计，我们的责任是阅读其他信息，在此过程中，</w:t>
      </w:r>
      <w:r>
        <w:rPr>
          <w:spacing w:val="2"/>
          <w:w w:val="100"/>
        </w:rPr>
        <w:t> </w:t>
      </w:r>
      <w:r>
        <w:rPr>
          <w:spacing w:val="2"/>
        </w:rPr>
        <w:t>考虑其他信息是否与财务报表或我们在审计过程中了解到的情况存在重大不一</w:t>
      </w:r>
      <w:r>
        <w:rPr>
          <w:spacing w:val="-108"/>
        </w:rPr>
        <w:t> </w:t>
      </w:r>
      <w:r>
        <w:rPr>
          <w:spacing w:val="-108"/>
        </w:rPr>
      </w:r>
      <w:r>
        <w:rPr/>
        <w:t>致或者似乎存在重大错报。</w:t>
      </w:r>
    </w:p>
    <w:p>
      <w:pPr>
        <w:pStyle w:val="Heading3"/>
        <w:spacing w:line="408" w:lineRule="auto" w:before="62"/>
        <w:ind w:right="1135"/>
        <w:jc w:val="both"/>
      </w:pPr>
      <w:r>
        <w:rPr>
          <w:spacing w:val="2"/>
        </w:rPr>
        <w:t>基于我们已执行的工作，如果我们确定其他信息存在重大错报，我们应当</w:t>
      </w:r>
      <w:r>
        <w:rPr>
          <w:spacing w:val="2"/>
          <w:w w:val="100"/>
        </w:rPr>
        <w:t> </w:t>
      </w:r>
      <w:r>
        <w:rPr/>
        <w:t>报告该事实。在这方面，我们无任何事项需要报告。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239" w:right="1133"/>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240" w:lineRule="auto"/>
        <w:ind w:left="719" w:right="1133" w:firstLine="0"/>
        <w:jc w:val="left"/>
      </w:pPr>
      <w:r>
        <w:rPr>
          <w:spacing w:val="2"/>
        </w:rPr>
        <w:t>管理层负责按照企业会计准则的规定编制财务报表，使其实现公允反映，</w:t>
      </w:r>
      <w:r>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right="1133" w:firstLine="0"/>
        <w:jc w:val="left"/>
      </w:pPr>
      <w:r>
        <w:rPr>
          <w:spacing w:val="2"/>
        </w:rPr>
        <w:t>并设计、执行和维护必要的内部控制，以使财务报表不存在由于舞弊或错误导</w:t>
      </w:r>
      <w:r>
        <w:rPr>
          <w:spacing w:val="-106"/>
        </w:rPr>
        <w:t> </w:t>
      </w:r>
      <w:r>
        <w:rPr>
          <w:spacing w:val="-106"/>
        </w:rPr>
      </w:r>
      <w:r>
        <w:rPr/>
        <w:t>致的重大错报。</w:t>
      </w:r>
    </w:p>
    <w:p>
      <w:pPr>
        <w:pStyle w:val="Heading3"/>
        <w:spacing w:line="408" w:lineRule="auto" w:before="61"/>
        <w:ind w:right="1131"/>
        <w:jc w:val="both"/>
      </w:pPr>
      <w:r>
        <w:rPr>
          <w:spacing w:val="2"/>
        </w:rPr>
        <w:t>在编制财务报表时，管理层负责评估久远银海的持续经营能力，披露与持</w:t>
      </w:r>
      <w:r>
        <w:rPr>
          <w:spacing w:val="2"/>
          <w:w w:val="100"/>
        </w:rPr>
        <w:t> </w:t>
      </w:r>
      <w:r>
        <w:rPr>
          <w:spacing w:val="2"/>
        </w:rPr>
        <w:t>续经营相关的事项（如适用），并运用持续经营假设，除非计划进行清算、终</w:t>
      </w:r>
      <w:r>
        <w:rPr>
          <w:spacing w:val="-103"/>
        </w:rPr>
        <w:t> </w:t>
      </w:r>
      <w:r>
        <w:rPr>
          <w:spacing w:val="-103"/>
        </w:rPr>
      </w:r>
      <w:r>
        <w:rPr/>
        <w:t>止运营或别无其他现实的选择。</w:t>
      </w:r>
    </w:p>
    <w:p>
      <w:pPr>
        <w:pStyle w:val="Heading3"/>
        <w:spacing w:line="240" w:lineRule="auto" w:before="62"/>
        <w:ind w:left="719" w:right="1133" w:firstLine="0"/>
        <w:jc w:val="left"/>
      </w:pPr>
      <w:r>
        <w:rPr/>
        <w:t>治理层负责监督久远银海的财务报告过程。</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pStyle w:val="Heading2"/>
        <w:spacing w:line="240" w:lineRule="auto"/>
        <w:ind w:left="272" w:right="1133"/>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33"/>
        <w:jc w:val="both"/>
      </w:pPr>
      <w:r>
        <w:rPr>
          <w:spacing w:val="2"/>
        </w:rPr>
        <w:t>我们的目标是对财务报表整体是否不存在由于舞弊或错误导致的重大错报</w:t>
      </w:r>
      <w:r>
        <w:rPr>
          <w:spacing w:val="2"/>
          <w:w w:val="100"/>
        </w:rPr>
        <w:t> </w:t>
      </w: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pStyle w:val="Heading3"/>
        <w:spacing w:line="408" w:lineRule="auto" w:before="61"/>
        <w:ind w:right="1135"/>
        <w:jc w:val="both"/>
      </w:pPr>
      <w:r>
        <w:rPr>
          <w:spacing w:val="2"/>
        </w:rPr>
        <w:t>在按照审计准则执行审计工作的过程中，我们运用职业判断，并保持职业</w:t>
      </w:r>
      <w:r>
        <w:rPr>
          <w:spacing w:val="2"/>
          <w:w w:val="100"/>
        </w:rPr>
        <w:t> </w:t>
      </w:r>
      <w:r>
        <w:rPr/>
        <w:t>怀疑。同时，我们也执行以下工作：</w:t>
      </w:r>
    </w:p>
    <w:p>
      <w:pPr>
        <w:pStyle w:val="Heading3"/>
        <w:spacing w:line="403" w:lineRule="auto" w:before="62"/>
        <w:ind w:right="1133"/>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w:t>
      </w:r>
      <w:r>
        <w:rPr>
          <w:w w:val="100"/>
        </w:rPr>
        <w:t> </w:t>
      </w:r>
      <w:r>
        <w:rPr>
          <w:spacing w:val="2"/>
        </w:rPr>
        <w:t>施审计程序以应对这些风险，并获取充分、适当的审计证据，作为发表审计意</w:t>
      </w:r>
      <w:r>
        <w:rPr>
          <w:spacing w:val="-106"/>
        </w:rPr>
        <w:t> </w:t>
      </w:r>
      <w:r>
        <w:rPr>
          <w:spacing w:val="-106"/>
        </w:rPr>
      </w:r>
      <w:r>
        <w:rPr>
          <w:spacing w:val="2"/>
        </w:rPr>
        <w:t>见的基础。由于舞弊可能涉及串通、伪造、故意遗漏、虚假陈述或凌驾于内部</w:t>
      </w:r>
      <w:r>
        <w:rPr>
          <w:spacing w:val="-106"/>
        </w:rPr>
        <w:t> </w:t>
      </w:r>
      <w:r>
        <w:rPr>
          <w:spacing w:val="-106"/>
        </w:rPr>
      </w:r>
      <w:r>
        <w:rPr>
          <w:spacing w:val="2"/>
        </w:rPr>
        <w:t>控制之上，未能发现由于舞弊导致的重大错报的风险高于未能发现由于错误导</w:t>
      </w:r>
      <w:r>
        <w:rPr>
          <w:spacing w:val="-106"/>
        </w:rPr>
        <w:t> </w:t>
      </w:r>
      <w:r>
        <w:rPr>
          <w:spacing w:val="-106"/>
        </w:rPr>
      </w:r>
      <w:r>
        <w:rPr/>
        <w:t>致的重大错报的风险。</w:t>
      </w:r>
    </w:p>
    <w:p>
      <w:pPr>
        <w:pStyle w:val="Heading3"/>
        <w:spacing w:line="240" w:lineRule="auto" w:before="67"/>
        <w:ind w:left="719" w:right="986" w:firstLine="0"/>
        <w:jc w:val="left"/>
      </w:pPr>
      <w:r>
        <w:rPr/>
        <w:t>（</w:t>
      </w:r>
      <w:r>
        <w:rPr>
          <w:rFonts w:ascii="Times New Roman" w:hAnsi="Times New Roman" w:cs="Times New Roman" w:eastAsia="Times New Roman" w:hint="default"/>
        </w:rPr>
        <w:t>2</w:t>
      </w:r>
      <w:r>
        <w:rPr/>
        <w:t>）了解与审计相关的内部控制，以设计恰当的审计程序，但目的并非对</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14"/>
        <w:ind w:right="1133" w:firstLine="0"/>
        <w:jc w:val="left"/>
      </w:pPr>
      <w:r>
        <w:rPr/>
        <w:t>内部控制的有效性发表意见。</w:t>
      </w:r>
    </w:p>
    <w:p>
      <w:pPr>
        <w:spacing w:line="240" w:lineRule="auto" w:before="9"/>
        <w:rPr>
          <w:rFonts w:ascii="宋体" w:hAnsi="宋体" w:cs="宋体" w:eastAsia="宋体" w:hint="default"/>
          <w:sz w:val="19"/>
          <w:szCs w:val="19"/>
        </w:rPr>
      </w:pPr>
    </w:p>
    <w:p>
      <w:pPr>
        <w:pStyle w:val="Heading3"/>
        <w:spacing w:line="240" w:lineRule="auto"/>
        <w:ind w:left="719" w:right="986"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240" w:lineRule="auto" w:before="236"/>
        <w:ind w:right="1133" w:firstLine="0"/>
        <w:jc w:val="left"/>
      </w:pPr>
      <w:r>
        <w:rPr/>
        <w:t>性。</w:t>
      </w:r>
    </w:p>
    <w:p>
      <w:pPr>
        <w:spacing w:line="240" w:lineRule="auto" w:before="9"/>
        <w:rPr>
          <w:rFonts w:ascii="宋体" w:hAnsi="宋体" w:cs="宋体" w:eastAsia="宋体" w:hint="default"/>
          <w:sz w:val="19"/>
          <w:szCs w:val="19"/>
        </w:rPr>
      </w:pPr>
    </w:p>
    <w:p>
      <w:pPr>
        <w:pStyle w:val="Heading3"/>
        <w:spacing w:line="403" w:lineRule="auto"/>
        <w:ind w:right="1133"/>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w:t>
      </w:r>
      <w:r>
        <w:rPr>
          <w:w w:val="100"/>
        </w:rPr>
        <w:t> </w:t>
      </w:r>
      <w:r>
        <w:rPr>
          <w:spacing w:val="2"/>
        </w:rPr>
        <w:t>计证据，就可能导致对久远银海持续经营能力产生重大疑虑的事项或情况是否</w:t>
      </w:r>
      <w:r>
        <w:rPr>
          <w:spacing w:val="-106"/>
        </w:rPr>
        <w:t> </w:t>
      </w:r>
      <w:r>
        <w:rPr>
          <w:spacing w:val="-106"/>
        </w:rPr>
      </w:r>
      <w:r>
        <w:rPr>
          <w:spacing w:val="2"/>
        </w:rPr>
        <w:t>存在重大不确定性得出结论。如果我们得出结论认为存在重大不确定性，审计</w:t>
      </w:r>
      <w:r>
        <w:rPr>
          <w:spacing w:val="-106"/>
        </w:rPr>
        <w:t> </w:t>
      </w:r>
      <w:r>
        <w:rPr>
          <w:spacing w:val="-106"/>
        </w:rPr>
      </w:r>
      <w:r>
        <w:rPr>
          <w:spacing w:val="2"/>
        </w:rPr>
        <w:t>准则要求我们在审计报告中提请报表使用者注意财务报表中的相关披露；如果</w:t>
      </w:r>
      <w:r>
        <w:rPr>
          <w:spacing w:val="-106"/>
        </w:rPr>
        <w:t> </w:t>
      </w:r>
      <w:r>
        <w:rPr>
          <w:spacing w:val="-106"/>
        </w:rPr>
      </w:r>
      <w:r>
        <w:rPr>
          <w:spacing w:val="2"/>
        </w:rPr>
        <w:t>披露不充分，我们应当发表非无保留意见。我们的结论基于截至审计报告日可</w:t>
      </w:r>
      <w:r>
        <w:rPr>
          <w:spacing w:val="-106"/>
        </w:rPr>
        <w:t> </w:t>
      </w:r>
      <w:r>
        <w:rPr>
          <w:spacing w:val="-106"/>
        </w:rPr>
      </w:r>
      <w:r>
        <w:rPr/>
        <w:t>获得的信息。然而，未来的事项或情况可能导致久远银海不能持续经营。</w:t>
      </w:r>
    </w:p>
    <w:p>
      <w:pPr>
        <w:pStyle w:val="Heading3"/>
        <w:spacing w:line="386" w:lineRule="auto" w:before="67"/>
        <w:ind w:right="1134"/>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）评价财务报表的总体列报、结构和内容，并评价财务报表是否公允反</w:t>
      </w:r>
      <w:r>
        <w:rPr>
          <w:w w:val="100"/>
        </w:rPr>
        <w:t> </w:t>
      </w:r>
      <w:r>
        <w:rPr/>
        <w:t>映相关交易和事项。</w:t>
      </w:r>
    </w:p>
    <w:p>
      <w:pPr>
        <w:pStyle w:val="Heading3"/>
        <w:spacing w:line="398" w:lineRule="auto" w:before="87"/>
        <w:ind w:right="986"/>
        <w:jc w:val="left"/>
      </w:pPr>
      <w:r>
        <w:rPr>
          <w:spacing w:val="-6"/>
        </w:rPr>
        <w:t>（</w:t>
      </w:r>
      <w:r>
        <w:rPr>
          <w:rFonts w:ascii="Times New Roman" w:hAnsi="Times New Roman" w:cs="Times New Roman" w:eastAsia="Times New Roman" w:hint="default"/>
          <w:spacing w:val="-6"/>
        </w:rPr>
        <w:t>6</w:t>
      </w:r>
      <w:r>
        <w:rPr>
          <w:spacing w:val="-6"/>
        </w:rPr>
        <w:t>）就久远银海中实体或业务活动的财务信息获取充分、适当的审计证据，</w:t>
      </w:r>
      <w:r>
        <w:rPr>
          <w:w w:val="100"/>
        </w:rPr>
        <w:t> </w:t>
      </w:r>
      <w:r>
        <w:rPr>
          <w:spacing w:val="2"/>
        </w:rPr>
        <w:t>以对财务报表发表审计意见。我们负责指导、监督和执行集团审计，并对审计</w:t>
      </w:r>
      <w:r>
        <w:rPr>
          <w:spacing w:val="-106"/>
        </w:rPr>
        <w:t> </w:t>
      </w:r>
      <w:r>
        <w:rPr>
          <w:spacing w:val="-106"/>
        </w:rPr>
      </w:r>
      <w:r>
        <w:rPr/>
        <w:t>意见承担全部责任。</w:t>
      </w:r>
    </w:p>
    <w:p>
      <w:pPr>
        <w:pStyle w:val="Heading3"/>
        <w:spacing w:line="408" w:lineRule="auto" w:before="72"/>
        <w:ind w:right="1135"/>
        <w:jc w:val="both"/>
      </w:pPr>
      <w:r>
        <w:rPr>
          <w:spacing w:val="2"/>
        </w:rPr>
        <w:t>我们与治理层就计划的审计范围、时间安排和重大审计发现等事项进行沟</w:t>
      </w:r>
      <w:r>
        <w:rPr>
          <w:spacing w:val="2"/>
          <w:w w:val="100"/>
        </w:rPr>
        <w:t> </w:t>
      </w:r>
      <w:r>
        <w:rPr/>
        <w:t>通，包括沟通我们在审计中识别出的值得关注的内部控制缺陷。</w:t>
      </w:r>
    </w:p>
    <w:p>
      <w:pPr>
        <w:pStyle w:val="Heading3"/>
        <w:spacing w:line="408" w:lineRule="auto" w:before="62"/>
        <w:ind w:right="1133"/>
        <w:jc w:val="both"/>
      </w:pPr>
      <w:r>
        <w:rPr>
          <w:spacing w:val="2"/>
        </w:rPr>
        <w:t>我们还就已遵守与独立性相关的职业道德要求向治理层提供声明，并与治</w:t>
      </w:r>
      <w:r>
        <w:rPr>
          <w:spacing w:val="2"/>
          <w:w w:val="100"/>
        </w:rPr>
        <w:t> </w:t>
      </w:r>
      <w:r>
        <w:rPr>
          <w:spacing w:val="2"/>
        </w:rPr>
        <w:t>理层沟通可能被合理认为影响我们独立性的所有关系和其他事项，以及相关的</w:t>
      </w:r>
      <w:r>
        <w:rPr>
          <w:spacing w:val="-106"/>
        </w:rPr>
        <w:t> </w:t>
      </w:r>
      <w:r>
        <w:rPr>
          <w:spacing w:val="-106"/>
        </w:rPr>
      </w:r>
      <w:r>
        <w:rPr/>
        <w:t>防范措施（如适用）。</w:t>
      </w:r>
    </w:p>
    <w:p>
      <w:pPr>
        <w:pStyle w:val="Heading3"/>
        <w:spacing w:line="408" w:lineRule="auto" w:before="61"/>
        <w:ind w:right="1133"/>
        <w:jc w:val="both"/>
      </w:pPr>
      <w:r>
        <w:rPr>
          <w:spacing w:val="2"/>
        </w:rPr>
        <w:t>从与治理层沟通过的事项中，我们确定哪些事项对本期财务报表审计最为</w:t>
      </w:r>
      <w:r>
        <w:rPr>
          <w:spacing w:val="2"/>
          <w:w w:val="100"/>
        </w:rPr>
        <w:t> </w:t>
      </w:r>
      <w:r>
        <w:rPr>
          <w:spacing w:val="2"/>
        </w:rPr>
        <w:t>重要，因而构成关键审计事项。我们在审计报告中描述这些事项，除非法律法</w:t>
      </w:r>
      <w:r>
        <w:rPr>
          <w:spacing w:val="-106"/>
        </w:rPr>
        <w:t> </w:t>
      </w:r>
      <w:r>
        <w:rPr>
          <w:spacing w:val="-106"/>
        </w:rPr>
      </w:r>
      <w:r>
        <w:rPr>
          <w:spacing w:val="2"/>
        </w:rPr>
        <w:t>规禁止公开披露这些事项，或在极少数情形下，如果合理预期在审计报告中沟</w:t>
      </w:r>
      <w:r>
        <w:rPr/>
      </w:r>
    </w:p>
    <w:p>
      <w:pPr>
        <w:spacing w:after="0" w:line="40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right="1133" w:firstLine="0"/>
        <w:jc w:val="left"/>
      </w:pP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35"/>
          <w:szCs w:val="35"/>
        </w:rPr>
      </w:pPr>
    </w:p>
    <w:p>
      <w:pPr>
        <w:pStyle w:val="Heading2"/>
        <w:tabs>
          <w:tab w:pos="4944" w:val="left" w:leader="none"/>
        </w:tabs>
        <w:spacing w:line="240" w:lineRule="auto"/>
        <w:ind w:left="244" w:right="0"/>
        <w:jc w:val="left"/>
        <w:rPr>
          <w:b w:val="0"/>
          <w:bCs w:val="0"/>
        </w:rPr>
      </w:pPr>
      <w:r>
        <w:rPr>
          <w:w w:val="95"/>
        </w:rPr>
        <w:t>立信会计师事务所</w:t>
        <w:tab/>
      </w:r>
      <w:r>
        <w:rPr>
          <w:spacing w:val="-4"/>
        </w:rPr>
        <w:t>中国注册会计师：杨志平（项目合伙人）</w:t>
      </w:r>
      <w:r>
        <w:rPr>
          <w:b w:val="0"/>
          <w:bCs w:val="0"/>
          <w:spacing w:val="-4"/>
        </w:rPr>
      </w:r>
    </w:p>
    <w:p>
      <w:pPr>
        <w:spacing w:line="240" w:lineRule="auto" w:before="9"/>
        <w:rPr>
          <w:rFonts w:ascii="宋体" w:hAnsi="宋体" w:cs="宋体" w:eastAsia="宋体" w:hint="default"/>
          <w:b/>
          <w:bCs/>
          <w:sz w:val="19"/>
          <w:szCs w:val="19"/>
        </w:rPr>
      </w:pPr>
    </w:p>
    <w:p>
      <w:pPr>
        <w:pStyle w:val="Heading2"/>
        <w:spacing w:line="240" w:lineRule="auto"/>
        <w:ind w:left="429" w:right="1133"/>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6499" w:right="1133"/>
        <w:jc w:val="left"/>
        <w:rPr>
          <w:b w:val="0"/>
          <w:bCs w:val="0"/>
        </w:rPr>
      </w:pPr>
      <w:r>
        <w:rPr/>
        <w:t>中国注册会计师：周芳芳</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6379" w:val="left" w:leader="none"/>
        </w:tabs>
        <w:spacing w:line="240" w:lineRule="auto"/>
        <w:ind w:left="429" w:right="1133"/>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w:t>
      </w:r>
      <w:r>
        <w:rPr>
          <w:b w:val="0"/>
          <w:bCs w:val="0"/>
          <w:spacing w:val="-1"/>
        </w:rPr>
      </w: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25"/>
          <w:szCs w:val="25"/>
        </w:rPr>
      </w:pPr>
    </w:p>
    <w:p>
      <w:pPr>
        <w:pStyle w:val="Heading4"/>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编制单位：四川久远银海软件股份有限公司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802,569,291.67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760,756,346.11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253,131,460.58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273,083,819.83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186,452,491.18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7,937,003.21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12,311,763.55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50,563,535.25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51,107,192.71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287,385,739.68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315,624,957.41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2,697,451.79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281,249,497.71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1,678,991,092.01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1,610,432,248.67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46,339,447.74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48,040,462.34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93,430,308.99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94,575,293.38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120,348,392.95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120,785,066.12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41,746,676.65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28,305,791.51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34,758,418.83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34,758,418.83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3,146,285.02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4,720,347.60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17,961,063.30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13,603,374.59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7,161,981.87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366,392,575.35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346,288,754.37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2,045,383,667.36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1,956,721,003.04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95,932,972.69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68,000,724.48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503,984,090.93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511,926,022.62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93,252,141.41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82,831,663.64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31,091,845.56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26,253,993.46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22,328,775.56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26,849,258.95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746,589,826.15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715,861,663.15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45,146,783.81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46,792,174.65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4,606,052.42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4,650,333.33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49,752,836.23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126,442,507.98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796,342,662.38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842,304,171.13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224,302,769.00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172,540,592.00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493,613,054.04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545,375,231.04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67,284,908.25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54,368,511.63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352,603,456.64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247,161,662.00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1,137,804,187.93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1,019,445,996.67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111,236,817.05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94,970,835.24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1,249,041,004.98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1,114,416,831.91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2,045,383,667.36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1,956,721,003.04</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ind w:left="0" w:right="1224"/>
        <w:jc w:val="right"/>
      </w:pPr>
      <w:r>
        <w:rPr/>
        <w:t>法定代表人：连春华</w:t>
        <w:tab/>
      </w:r>
      <w:r>
        <w:rPr>
          <w:spacing w:val="-1"/>
        </w:rPr>
        <w:t>主管会计工作负责人：杨成文</w:t>
        <w:tab/>
      </w:r>
      <w:r>
        <w:rPr/>
        <w:t>会计机构负责人：张昕</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516,795,722.99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503,714,708.43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253,131,460.58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210,633,748.26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166,539,502.08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6,161,051.55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9,360,757.23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64,411,303.32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67,564,462.24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196,430,074.91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256,065,364.36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801,363.28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1,249,987,514.89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1,285,914,794.34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260,832,520.20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6,293,579.08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6,578,557.48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60,213,495.88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60,864,882.39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82,213,982.51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88,786,846.22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37,108,766.97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23,676,274.68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2,928,529.43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15,020,818.50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11,337,263.88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3,671,427.00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475,829,598.63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456,504,874.28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1,725,817,113.52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1,742,419,668.62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91,132,268.79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89,108,851.34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373,819,736.11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413,655,757.07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71,977,220.85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59,559,083.36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19,441,389.74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13,132,481.73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75,531,734.23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82,901,877.81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631,902,349.72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658,358,051.31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28,845,783.81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30,491,174.65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469,719.09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29,315,502.90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105,491,174.65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661,217,852.62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763,849,225.96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224,302,769.00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172,540,592.00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501,355,229.37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553,117,406.37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66,821,155.85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53,904,759.23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272,120,106.68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199,007,685.06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1,064,599,260.90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978,570,442.66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1,725,817,113.52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1,742,419,668.62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1,016,378,796.96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864,138,782.82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1,016,378,796.96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864,138,782.82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556.575989pt;width:158.9pt;height:20.7pt;mso-position-horizontal-relative:page;mso-position-vertical-relative:page;z-index:-1102792" coordorigin="4220,11132" coordsize="3178,414">
            <v:group style="position:absolute;left:4231;top:11142;width:2;height:392" coordorigin="4231,11142" coordsize="2,392">
              <v:shape style="position:absolute;left:4231;top:11142;width:2;height:392" coordorigin="4231,11142" coordsize="0,392" path="m4231,11142l4231,11534e" filled="false" stroked="true" strokeweight="1.08pt" strokecolor="#ffffff">
                <v:path arrowok="t"/>
              </v:shape>
            </v:group>
            <v:group style="position:absolute;left:4242;top:11142;width:3157;height:392" coordorigin="4242,11142" coordsize="3157,392">
              <v:shape style="position:absolute;left:4242;top:11142;width:3157;height:392" coordorigin="4242,11142" coordsize="3157,392" path="m4242,11534l7398,11534,7398,11142,4242,11142,4242,115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810,621,872.52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717,401,020.54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513,398,028.84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495,190,154.32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8,822,603.41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7,289,243.60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98,304,546.55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80,587,168.42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112,072,597.58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95,868,159.27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85,385,784.15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44,837,071.04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-7,361,688.01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-6,370,776.11</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707,500.00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1,862,500.00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9,156,799.47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9,124,952.09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10,813,966.01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18,500,387.96</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6,592,027.40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3,131,460.58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-13,364,084.07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-14,768,861.44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-16,649,964.18</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45,953.29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31,371.94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32.319977pt;width:158.9pt;height:20.65pt;mso-position-horizontal-relative:page;mso-position-vertical-relative:page;z-index:-1102768" coordorigin="4220,2646" coordsize="3178,413">
            <v:group style="position:absolute;left:4231;top:2657;width:2;height:392" coordorigin="4231,2657" coordsize="2,392">
              <v:shape style="position:absolute;left:4231;top:2657;width:2;height:392" coordorigin="4231,2657" coordsize="0,392" path="m4231,2657l4231,3048e" filled="false" stroked="true" strokeweight="1.08pt" strokecolor="#ffffff">
                <v:path arrowok="t"/>
              </v:shape>
            </v:group>
            <v:group style="position:absolute;left:4242;top:2657;width:3157;height:392" coordorigin="4242,2657" coordsize="3157,392">
              <v:shape style="position:absolute;left:4242;top:2657;width:3157;height:392" coordorigin="4242,2657" coordsize="3157,392" path="m4242,3048l7398,3048,7398,2657,4242,2657,4242,30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198,207,386.21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148,619,558.00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152,706.74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5,381,796.41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549,191.56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423,838.15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197,810,901.39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153,577,516.26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16,477,651.20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21,109,732.59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181,333,250.19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132,467,783.67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181,333,250.19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132,467,783.67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161,493,339.26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118,696,797.76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19,839,910.93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13,770,985.91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181,333,250.19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132,467,783.67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161,493,339.26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118,696,797.76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19,839,910.93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13,770,985.91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bl>
    <w:p>
      <w:pPr>
        <w:pStyle w:val="BodyText"/>
        <w:tabs>
          <w:tab w:pos="3667" w:val="left" w:leader="none"/>
          <w:tab w:pos="7899" w:val="left" w:leader="none"/>
        </w:tabs>
        <w:spacing w:line="621" w:lineRule="auto" w:before="49"/>
        <w:ind w:right="1224"/>
        <w:jc w:val="left"/>
      </w:pPr>
      <w:r>
        <w:rPr/>
        <w:t>本期发生同一控制下企业合并的，被合并方在合并前实现的净利润为：元，上期被合并方实现的净利润为：元。 法定代表人：连春华</w:t>
        <w:tab/>
      </w:r>
      <w:r>
        <w:rPr>
          <w:spacing w:val="-1"/>
        </w:rPr>
        <w:t>主管会计工作负责人：杨成文</w:t>
        <w:tab/>
      </w:r>
      <w:r>
        <w:rPr/>
        <w:t>会计机构负责人：张昕</w:t>
      </w:r>
    </w:p>
    <w:p>
      <w:pPr>
        <w:pStyle w:val="Heading5"/>
        <w:spacing w:line="240" w:lineRule="auto" w:before="69"/>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771,363,309.91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701,579,698.86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413,473,333.89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453,503,966.54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5,794,921.03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4,392,557.70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69,250,020.28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59,580,154.78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75,170,937.04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64,541,111.80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66,959,853.29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34,687,720.23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-6,453,028.61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-6,480,687.80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8,152,642.22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8,234,100.39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5,722,599.82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15,099,260.07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8,503,332.46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3,131,460.58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-11,612,262.95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-14,403,493.37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-13,154,305.62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90,706.83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138,599,616.36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98,995,692.63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91,660.86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266,265.10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541,403.24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416,686.70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138,149,873.98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98,845,271.03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8,985,907.74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8,690,916.47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129,163,966.24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90,154,354.56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129,163,966.24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90,154,354.56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129,163,966.24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90,154,354.56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973,812,320.98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922,902,672.08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1,535,203.44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1,614,798.27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15,326,413.26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56,197,212.70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990,673,937.68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980,714,683.05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252,658,765.26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323,185,136.23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392,650,466.36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273,696,225.27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68,112,049.03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61,379,658.17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106,563,984.39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101,717,919.31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819,985,265.04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759,978,938.98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170,688,672.64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220,735,744.07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6,592,027.40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147,470.98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62,937.23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416,739,498.38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62,937.23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44,899,359.54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84,508,987.93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44,844,284.17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20,434,000.49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434,199,359.54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429,787,272.59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-17,459,861.16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-429,724,335.36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440,843,350.47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440,843,350.47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47,436,577.12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50,347,648.00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3,573,929.12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1,397,970.29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122,436,577.12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51,745,618.29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-122,436,577.12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389,097,732.18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30,792,234.36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180,109,140.89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757,278,936.99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577,169,796.10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788,071,171.35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757,278,936.99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722,538,362.92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716,057,367.82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8,123,467.33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40,656,870.81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730,661,830.25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756,714,238.63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206,779,333.22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339,571,128.43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268,838,473.92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173,882,387.42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42,653,830.53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42,822,859.01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83,348,013.21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78,304,609.35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601,619,650.88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634,580,984.21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129,042,179.37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122,133,254.42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9,292,027.40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145,701.07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1,986.21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411,305.06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420,799,033.53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6,651,986.21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27,890,841.12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65,965,519.81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427,190,841.12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445,465,519.81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-6,391,807.59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-438,813,533.60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435,863,350.47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435,863,350.47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43,862,648.00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44,047,648.00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1,397,970.29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118,862,648.00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45,445,618.29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-118,862,648.00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390,417,732.18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3,787,723.78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73,737,453.00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500,237,299.31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426,499,846.31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504,025,023.09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500,237,299.31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single" w:sz="4" w:space="0" w:color="FFFFFF"/>
              <w:right w:val="single" w:sz="4" w:space="0" w:color="000000"/>
            </w:tcBorders>
            <w:shd w:val="clear" w:color="auto" w:fill="D2D2D2"/>
          </w:tcPr>
          <w:p>
            <w:pPr/>
          </w:p>
        </w:tc>
        <w:tc>
          <w:tcPr>
            <w:tcW w:w="7160"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40,59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545,37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,511.6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60" w:right="0"/>
              <w:jc w:val="left"/>
              <w:rPr>
                <w:rFonts w:ascii="Times New Roman" w:hAnsi="Times New Roman" w:cs="Times New Roman" w:eastAsia="Times New Roman" w:hint="default"/>
                <w:sz w:val="18"/>
                <w:szCs w:val="18"/>
              </w:rPr>
            </w:pPr>
            <w:r>
              <w:rPr>
                <w:rFonts w:ascii="Times New Roman"/>
                <w:sz w:val="18"/>
              </w:rPr>
              <w:t>247,16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1,019,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445,99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1,114,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416,83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1.91</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40,59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545,37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,511.6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247,16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1,662.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1,019,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445,99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1,114,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416,83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1.91</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105,44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1,794.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118,35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8,191.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134,62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4,173.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07</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161,49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161,49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3,339.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3,250.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19</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29.12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29.12</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-273,9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29.12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-273,9</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29.12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-56,05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-3,300,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-46,43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6,396.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-3,300,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-46,43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-51,76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224,3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02,76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493,61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3,054.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352,60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3,456.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1,137,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804,18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1,249,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041,00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4.98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6"/>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122,05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57</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180,61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508,02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0,996.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780.00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,776.44</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122,05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57</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180,61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5,447.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70</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508,02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0,996.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780.00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,776.44</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12,54</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423,32</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2,758.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9,015,</w:t>
            </w:r>
          </w:p>
          <w:p>
            <w:pPr>
              <w:pStyle w:val="TableParagraph"/>
              <w:spacing w:line="240" w:lineRule="auto" w:before="103"/>
              <w:ind w:left="50" w:right="0"/>
              <w:jc w:val="left"/>
              <w:rPr>
                <w:rFonts w:ascii="Times New Roman" w:hAnsi="Times New Roman" w:cs="Times New Roman" w:eastAsia="Times New Roman" w:hint="default"/>
                <w:sz w:val="18"/>
                <w:szCs w:val="18"/>
              </w:rPr>
            </w:pPr>
            <w:r>
              <w:rPr>
                <w:rFonts w:ascii="Times New Roman"/>
                <w:sz w:val="18"/>
              </w:rPr>
              <w:t>435.46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66,546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511,42</w:t>
            </w:r>
          </w:p>
          <w:p>
            <w:pPr>
              <w:pStyle w:val="TableParagraph"/>
              <w:spacing w:line="240" w:lineRule="auto" w:before="103"/>
              <w:ind w:left="8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25,114,</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055.24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536,539</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,055.47</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118,69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6,797.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118,69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6,797.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13,770,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985.91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132,467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,783.67</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12,54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423,32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2,758.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435,86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3,350.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15,356,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146.24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451,219</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,496.71</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12,54</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423,32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435,86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3,350.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3,080,0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438,943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,350.47</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12,276,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146.24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12,276,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146.24</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9,015,</w:t>
            </w:r>
          </w:p>
          <w:p>
            <w:pPr>
              <w:pStyle w:val="TableParagraph"/>
              <w:spacing w:line="240" w:lineRule="auto" w:before="103"/>
              <w:ind w:left="50" w:right="0"/>
              <w:jc w:val="left"/>
              <w:rPr>
                <w:rFonts w:ascii="Times New Roman" w:hAnsi="Times New Roman" w:cs="Times New Roman" w:eastAsia="Times New Roman" w:hint="default"/>
                <w:sz w:val="18"/>
                <w:szCs w:val="18"/>
              </w:rPr>
            </w:pPr>
            <w:r>
              <w:rPr>
                <w:rFonts w:ascii="Times New Roman"/>
                <w:sz w:val="18"/>
              </w:rPr>
              <w:t>435.46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-52,15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0,583.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-4,013,</w:t>
            </w:r>
          </w:p>
          <w:p>
            <w:pPr>
              <w:pStyle w:val="TableParagraph"/>
              <w:spacing w:line="240" w:lineRule="auto" w:before="103"/>
              <w:ind w:left="117" w:right="0"/>
              <w:jc w:val="left"/>
              <w:rPr>
                <w:rFonts w:ascii="Times New Roman" w:hAnsi="Times New Roman" w:cs="Times New Roman" w:eastAsia="Times New Roman" w:hint="default"/>
                <w:sz w:val="18"/>
                <w:szCs w:val="18"/>
              </w:rPr>
            </w:pPr>
            <w:r>
              <w:rPr>
                <w:rFonts w:ascii="Times New Roman"/>
                <w:sz w:val="18"/>
              </w:rPr>
              <w:t>076.91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-47,148</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,224.91</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9,015,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435.46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-9,015,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435.46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-49,435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,148.00</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2,286,9</w:t>
            </w:r>
          </w:p>
          <w:p>
            <w:pPr>
              <w:pStyle w:val="TableParagraph"/>
              <w:spacing w:line="240" w:lineRule="auto" w:before="103"/>
              <w:ind w:left="188" w:right="0"/>
              <w:jc w:val="center"/>
              <w:rPr>
                <w:rFonts w:ascii="Times New Roman" w:hAnsi="Times New Roman" w:cs="Times New Roman" w:eastAsia="Times New Roman" w:hint="default"/>
                <w:sz w:val="18"/>
                <w:szCs w:val="18"/>
              </w:rPr>
            </w:pPr>
            <w:r>
              <w:rPr>
                <w:rFonts w:ascii="Times New Roman"/>
                <w:sz w:val="18"/>
              </w:rPr>
              <w:t>23.09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2,286,9</w:t>
            </w:r>
          </w:p>
          <w:p>
            <w:pPr>
              <w:pStyle w:val="TableParagraph"/>
              <w:spacing w:line="240" w:lineRule="auto" w:before="103"/>
              <w:ind w:left="195" w:right="0"/>
              <w:jc w:val="center"/>
              <w:rPr>
                <w:rFonts w:ascii="Times New Roman" w:hAnsi="Times New Roman" w:cs="Times New Roman" w:eastAsia="Times New Roman" w:hint="default"/>
                <w:sz w:val="18"/>
                <w:szCs w:val="18"/>
              </w:rPr>
            </w:pPr>
            <w:r>
              <w:rPr>
                <w:rFonts w:ascii="Times New Roman"/>
                <w:sz w:val="18"/>
              </w:rPr>
              <w:t>23.09</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40,59</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545,37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54,368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,511.6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247,16</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1,662.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1,019,</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445,99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6.67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94,970,</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835.24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1,114,4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16,831.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7"/>
        <w:gridCol w:w="725"/>
        <w:gridCol w:w="727"/>
        <w:gridCol w:w="727"/>
        <w:gridCol w:w="615"/>
        <w:gridCol w:w="710"/>
        <w:gridCol w:w="862"/>
      </w:tblGrid>
      <w:tr>
        <w:trPr>
          <w:trHeight w:val="40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172,54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0,592.0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553,117,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406.37</w:t>
            </w:r>
          </w:p>
        </w:tc>
        <w:tc>
          <w:tcPr>
            <w:tcW w:w="727"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53,904,7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59.23</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978,570,4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42.66</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0,592.0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553,117,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406.37</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53,904,7</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59.23</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978,570,4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42.66</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177.00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177.00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12,916,3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96.62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73,112,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421.62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86,028,81</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8.24</w:t>
            </w: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3,966.2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129,163,9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66.24</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12,916,3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96.62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-56,051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,544.62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-43,135,14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12,916,3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96.62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-12,916</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,396.62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-43,135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,148.00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-43,135,14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177.00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177.00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177.00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2,769.0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501,355,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229.37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66,821,1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55.85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0,106.6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1,064,599,</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260.90</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0"/>
        <w:gridCol w:w="8327"/>
      </w:tblGrid>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207"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209" w:type="dxa"/>
            <w:vMerge/>
            <w:tcBorders>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0" w:hRule="exact"/>
        </w:trPr>
        <w:tc>
          <w:tcPr>
            <w:tcW w:w="1209" w:type="dxa"/>
            <w:vMerge/>
            <w:tcBorders>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129,794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,647.90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44,889,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323.77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161,003,9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495,687,88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5.63</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129,794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,647.90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44,889,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323.77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161,003,9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495,687,88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5.63</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,758.47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38,003,77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482,882,55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7.03</w:t>
            </w: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90,154,35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90,154,354.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,758.47</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435,863,35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0.47</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,758.47</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435,863,35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0.47</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-52,150,5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83.46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-43,135,148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-9,015,43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-43,135,1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-43,135,148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172,54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553,117,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406.37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53,904,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759.23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199,007,6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978,570,44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2.66</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left="133" w:right="8825"/>
        <w:jc w:val="center"/>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08" w:right="8825"/>
        <w:jc w:val="center"/>
        <w:rPr>
          <w:b w:val="0"/>
          <w:bCs w:val="0"/>
        </w:rPr>
      </w:pPr>
      <w:r>
        <w:rPr>
          <w:rFonts w:ascii="宋体" w:hAnsi="宋体" w:cs="宋体" w:eastAsia="宋体" w:hint="default"/>
        </w:rPr>
        <w:t>1.</w:t>
      </w:r>
      <w:r>
        <w:rPr>
          <w:rFonts w:ascii="宋体" w:hAnsi="宋体" w:cs="宋体" w:eastAsia="宋体" w:hint="default"/>
          <w:spacing w:val="43"/>
        </w:rPr>
        <w:t> </w:t>
      </w:r>
      <w:r>
        <w:rPr/>
        <w:t>公司概况</w:t>
      </w:r>
      <w:r>
        <w:rPr>
          <w:b w:val="0"/>
          <w:bCs w:val="0"/>
        </w:rPr>
      </w:r>
    </w:p>
    <w:p>
      <w:pPr>
        <w:pStyle w:val="Heading6"/>
        <w:spacing w:line="259" w:lineRule="auto" w:before="37"/>
        <w:ind w:left="866" w:right="1133"/>
        <w:jc w:val="left"/>
      </w:pPr>
      <w:r>
        <w:rPr>
          <w:spacing w:val="-2"/>
        </w:rPr>
        <w:t>四川久远银海软件股份有限公司（以下简称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久远银海</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spacing w:val="3"/>
        </w:rPr>
        <w:t> </w:t>
      </w:r>
      <w:r>
        <w:rPr>
          <w:spacing w:val="-4"/>
        </w:rPr>
        <w:t>日，系由四川久远投资控股集团有限公司（以下简称</w:t>
      </w:r>
      <w:r>
        <w:rPr>
          <w:rFonts w:ascii="Times New Roman" w:hAnsi="Times New Roman" w:cs="Times New Roman" w:eastAsia="Times New Roman" w:hint="default"/>
          <w:spacing w:val="-4"/>
        </w:rPr>
        <w:t>“</w:t>
      </w:r>
      <w:r>
        <w:rPr>
          <w:spacing w:val="-4"/>
        </w:rPr>
        <w:t>久远集团</w:t>
      </w:r>
      <w:r>
        <w:rPr>
          <w:rFonts w:ascii="Times New Roman" w:hAnsi="Times New Roman" w:cs="Times New Roman" w:eastAsia="Times New Roman" w:hint="default"/>
          <w:spacing w:val="-4"/>
        </w:rPr>
        <w:t>”</w:t>
      </w:r>
      <w:r>
        <w:rPr>
          <w:spacing w:val="-4"/>
        </w:rPr>
        <w:t>）、四川科学城锐锋集团有限责任</w:t>
      </w:r>
      <w:r>
        <w:rPr>
          <w:spacing w:val="-23"/>
        </w:rPr>
        <w:t> </w:t>
      </w:r>
      <w:r>
        <w:rPr>
          <w:spacing w:val="-23"/>
        </w:rPr>
      </w:r>
      <w:r>
        <w:rPr>
          <w:spacing w:val="-3"/>
        </w:rPr>
        <w:t>公司（以下简称</w:t>
      </w:r>
      <w:r>
        <w:rPr>
          <w:rFonts w:ascii="Times New Roman" w:hAnsi="Times New Roman" w:cs="Times New Roman" w:eastAsia="Times New Roman" w:hint="default"/>
          <w:spacing w:val="-3"/>
        </w:rPr>
        <w:t>“</w:t>
      </w:r>
      <w:r>
        <w:rPr>
          <w:spacing w:val="-3"/>
        </w:rPr>
        <w:t>锐锋集团</w:t>
      </w:r>
      <w:r>
        <w:rPr>
          <w:rFonts w:ascii="Times New Roman" w:hAnsi="Times New Roman" w:cs="Times New Roman" w:eastAsia="Times New Roman" w:hint="default"/>
          <w:spacing w:val="-3"/>
        </w:rPr>
        <w:t>”</w:t>
      </w:r>
      <w:r>
        <w:rPr>
          <w:spacing w:val="-3"/>
        </w:rPr>
        <w:t>）、四川银海软件有限责任公司（以下简称</w:t>
      </w:r>
      <w:r>
        <w:rPr>
          <w:rFonts w:ascii="Times New Roman" w:hAnsi="Times New Roman" w:cs="Times New Roman" w:eastAsia="Times New Roman" w:hint="default"/>
          <w:spacing w:val="-3"/>
        </w:rPr>
        <w:t>“</w:t>
      </w:r>
      <w:r>
        <w:rPr>
          <w:spacing w:val="-3"/>
        </w:rPr>
        <w:t>四川银海</w:t>
      </w:r>
      <w:r>
        <w:rPr>
          <w:rFonts w:ascii="Times New Roman" w:hAnsi="Times New Roman" w:cs="Times New Roman" w:eastAsia="Times New Roman" w:hint="default"/>
          <w:spacing w:val="-3"/>
        </w:rPr>
        <w:t>”</w:t>
      </w:r>
      <w:r>
        <w:rPr>
          <w:spacing w:val="-3"/>
        </w:rPr>
        <w:t>）及李慧霞等</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6"/>
        </w:rPr>
        <w:t> </w:t>
      </w:r>
      <w:r>
        <w:rPr>
          <w:spacing w:val="-4"/>
        </w:rPr>
        <w:t>名自然人经中国工程物理研究院（以下简称</w:t>
      </w:r>
      <w:r>
        <w:rPr>
          <w:rFonts w:ascii="Times New Roman" w:hAnsi="Times New Roman" w:cs="Times New Roman" w:eastAsia="Times New Roman" w:hint="default"/>
          <w:spacing w:val="-4"/>
        </w:rPr>
        <w:t>“</w:t>
      </w:r>
      <w:r>
        <w:rPr>
          <w:spacing w:val="-4"/>
        </w:rPr>
        <w:t>中物院</w:t>
      </w:r>
      <w:r>
        <w:rPr>
          <w:rFonts w:ascii="Times New Roman" w:hAnsi="Times New Roman" w:cs="Times New Roman" w:eastAsia="Times New Roman" w:hint="default"/>
          <w:spacing w:val="-4"/>
        </w:rPr>
        <w:t>”</w:t>
      </w:r>
      <w:r>
        <w:rPr>
          <w:spacing w:val="-4"/>
        </w:rPr>
        <w:t>）以《关于发起设立四川久远银海软件股份有</w:t>
      </w:r>
      <w:r>
        <w:rPr>
          <w:spacing w:val="-18"/>
        </w:rPr>
        <w:t> </w:t>
      </w:r>
      <w:r>
        <w:rPr>
          <w:spacing w:val="-18"/>
        </w:rPr>
      </w:r>
      <w:r>
        <w:rPr/>
        <w:t>限公司的批复》（院军转民</w:t>
      </w:r>
      <w:r>
        <w:rPr>
          <w:rFonts w:ascii="Times New Roman" w:hAnsi="Times New Roman" w:cs="Times New Roman" w:eastAsia="Times New Roman" w:hint="default"/>
        </w:rPr>
        <w:t>[2008]216</w:t>
      </w:r>
      <w:r>
        <w:rPr/>
        <w:t>号）文批准共同发起设立的股份有限公司。企业法人营业执</w:t>
      </w:r>
      <w:r>
        <w:rPr>
          <w:spacing w:val="-38"/>
        </w:rPr>
        <w:t> </w:t>
      </w:r>
      <w:r>
        <w:rPr>
          <w:spacing w:val="-38"/>
        </w:rPr>
      </w:r>
      <w:r>
        <w:rPr/>
        <w:t>照统一社会信用代码：</w:t>
      </w:r>
      <w:r>
        <w:rPr>
          <w:rFonts w:ascii="Times New Roman" w:hAnsi="Times New Roman" w:cs="Times New Roman" w:eastAsia="Times New Roman" w:hint="default"/>
        </w:rPr>
        <w:t>915101006818136552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日在深圳证券交易所上市。所属行业</w:t>
      </w:r>
      <w:r>
        <w:rPr>
          <w:spacing w:val="-10"/>
        </w:rPr>
        <w:t> </w:t>
      </w:r>
      <w:r>
        <w:rPr>
          <w:spacing w:val="-10"/>
        </w:rPr>
      </w:r>
      <w:r>
        <w:rPr/>
        <w:t>为计算机应用服务业。</w:t>
      </w:r>
      <w:r>
        <w:rPr>
          <w:w w:val="100"/>
        </w:rPr>
        <w:t> </w:t>
      </w:r>
      <w:r>
        <w:rPr/>
        <w:t>根据本公司司第三届董事会第十一次（临时）会议、</w:t>
      </w:r>
      <w:r>
        <w:rPr>
          <w:rFonts w:ascii="Times New Roman" w:hAnsi="Times New Roman" w:cs="Times New Roman" w:eastAsia="Times New Roman" w:hint="default"/>
        </w:rPr>
        <w:t>2017</w:t>
      </w:r>
      <w:r>
        <w:rPr/>
        <w:t>年第三次临时股东大会审议通过了《关</w:t>
      </w:r>
      <w:r>
        <w:rPr>
          <w:spacing w:val="-4"/>
        </w:rPr>
        <w:t> </w:t>
      </w:r>
      <w:r>
        <w:rPr>
          <w:spacing w:val="-4"/>
        </w:rPr>
      </w:r>
      <w:r>
        <w:rPr/>
        <w:t>于</w:t>
      </w:r>
      <w:r>
        <w:rPr>
          <w:rFonts w:ascii="Times New Roman" w:hAnsi="Times New Roman" w:cs="Times New Roman" w:eastAsia="Times New Roman" w:hint="default"/>
        </w:rPr>
        <w:t>2017</w:t>
      </w:r>
      <w:r>
        <w:rPr/>
        <w:t>年半年度利润分配及资本公积金转增股本预案的议案》，以资本公积金向全体股东每</w:t>
      </w:r>
      <w:r>
        <w:rPr>
          <w:rFonts w:ascii="Times New Roman" w:hAnsi="Times New Roman" w:cs="Times New Roman" w:eastAsia="Times New Roman" w:hint="default"/>
        </w:rPr>
        <w:t>10</w:t>
      </w:r>
      <w:r>
        <w:rPr/>
        <w:t>股</w:t>
      </w:r>
      <w:r>
        <w:rPr>
          <w:spacing w:val="-1"/>
        </w:rPr>
        <w:t> </w:t>
      </w:r>
      <w:r>
        <w:rPr/>
        <w:t>转增</w:t>
      </w:r>
      <w:r>
        <w:rPr>
          <w:rFonts w:ascii="Times New Roman" w:hAnsi="Times New Roman" w:cs="Times New Roman" w:eastAsia="Times New Roman" w:hint="default"/>
        </w:rPr>
        <w:t>10</w:t>
      </w:r>
      <w:r>
        <w:rPr/>
        <w:t>股，不送红股、不进行现金分红。转股后本公司总股本为</w:t>
      </w:r>
      <w:r>
        <w:rPr>
          <w:rFonts w:ascii="Times New Roman" w:hAnsi="Times New Roman" w:cs="Times New Roman" w:eastAsia="Times New Roman" w:hint="default"/>
        </w:rPr>
        <w:t>16,000</w:t>
      </w:r>
      <w:r>
        <w:rPr/>
        <w:t>万股。</w:t>
      </w:r>
      <w:r>
        <w:rPr>
          <w:w w:val="100"/>
        </w:rPr>
        <w:t> </w:t>
      </w:r>
      <w:r>
        <w:rPr/>
        <w:t>根据本公司第三届董事会第二次（临时）会议、第三届董事会第四次（临时）会议、第三届董事</w:t>
      </w:r>
      <w:r>
        <w:rPr>
          <w:spacing w:val="-9"/>
        </w:rPr>
        <w:t> </w:t>
      </w:r>
      <w:r>
        <w:rPr>
          <w:spacing w:val="-9"/>
        </w:rPr>
      </w:r>
      <w:r>
        <w:rPr/>
        <w:t>会第八次（临时）会议、第三届董事会第十次会议、第四届董事会第三次会议、</w:t>
      </w:r>
      <w:r>
        <w:rPr>
          <w:rFonts w:ascii="Times New Roman" w:hAnsi="Times New Roman" w:cs="Times New Roman" w:eastAsia="Times New Roman" w:hint="default"/>
        </w:rPr>
        <w:t>2016</w:t>
      </w:r>
      <w:r>
        <w:rPr/>
        <w:t>年第二次临</w:t>
      </w:r>
      <w:r>
        <w:rPr>
          <w:spacing w:val="-3"/>
        </w:rPr>
        <w:t> </w:t>
      </w:r>
      <w:r>
        <w:rPr>
          <w:spacing w:val="-3"/>
        </w:rPr>
      </w:r>
      <w:r>
        <w:rPr/>
        <w:t>时股东大会决议、</w:t>
      </w:r>
      <w:r>
        <w:rPr>
          <w:rFonts w:ascii="Times New Roman" w:hAnsi="Times New Roman" w:cs="Times New Roman" w:eastAsia="Times New Roman" w:hint="default"/>
        </w:rPr>
        <w:t>2017</w:t>
      </w:r>
      <w:r>
        <w:rPr/>
        <w:t>年第一次临时股东大会决议、</w:t>
      </w:r>
      <w:r>
        <w:rPr>
          <w:rFonts w:ascii="Times New Roman" w:hAnsi="Times New Roman" w:cs="Times New Roman" w:eastAsia="Times New Roman" w:hint="default"/>
        </w:rPr>
        <w:t>2017</w:t>
      </w:r>
      <w:r>
        <w:rPr/>
        <w:t>年第二次临时股东大会决议，并经中国</w:t>
      </w:r>
    </w:p>
    <w:p>
      <w:pPr>
        <w:spacing w:after="0" w:line="259"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66" w:lineRule="auto" w:before="36"/>
        <w:ind w:left="866" w:right="986"/>
        <w:jc w:val="left"/>
      </w:pPr>
      <w:r>
        <w:rPr/>
        <w:t>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 </w:t>
      </w:r>
      <w:r>
        <w:rPr>
          <w:rFonts w:ascii="Times New Roman" w:hAnsi="Times New Roman" w:cs="Times New Roman" w:eastAsia="Times New Roman" w:hint="default"/>
          <w:spacing w:val="-4"/>
        </w:rPr>
        <w:t>1504</w:t>
      </w:r>
      <w:r>
        <w:rPr>
          <w:spacing w:val="-4"/>
        </w:rPr>
        <w:t>号</w:t>
      </w:r>
      <w:r>
        <w:rPr>
          <w:rFonts w:ascii="Times New Roman" w:hAnsi="Times New Roman" w:cs="Times New Roman" w:eastAsia="Times New Roman" w:hint="default"/>
          <w:spacing w:val="-4"/>
        </w:rPr>
        <w:t>”</w:t>
      </w:r>
      <w:r>
        <w:rPr>
          <w:spacing w:val="-4"/>
        </w:rPr>
        <w:t>文《关于核准四川久远银海软件股份有限公司非公开</w:t>
      </w:r>
      <w:r>
        <w:rPr>
          <w:spacing w:val="-64"/>
        </w:rPr>
        <w:t> </w:t>
      </w:r>
      <w:r>
        <w:rPr>
          <w:spacing w:val="-64"/>
        </w:rPr>
      </w:r>
      <w:r>
        <w:rPr/>
        <w:t>发行股票的批复》文件核准，公司发行人民币普通股股票</w:t>
      </w:r>
      <w:r>
        <w:rPr>
          <w:rFonts w:ascii="Times New Roman" w:hAnsi="Times New Roman" w:cs="Times New Roman" w:eastAsia="Times New Roman" w:hint="default"/>
        </w:rPr>
        <w:t>12,540,592.00</w:t>
      </w:r>
      <w:r>
        <w:rPr/>
        <w:t>股，每股面值</w:t>
      </w:r>
      <w:r>
        <w:rPr>
          <w:rFonts w:ascii="Times New Roman" w:hAnsi="Times New Roman" w:cs="Times New Roman" w:eastAsia="Times New Roman" w:hint="default"/>
        </w:rPr>
        <w:t>1.00</w:t>
      </w:r>
      <w:r>
        <w:rPr/>
        <w:t>元，每股</w:t>
      </w:r>
      <w:r>
        <w:rPr>
          <w:w w:val="100"/>
        </w:rPr>
        <w:t> </w:t>
      </w:r>
      <w:r>
        <w:rPr/>
        <w:t>发行价格</w:t>
      </w:r>
      <w:r>
        <w:rPr>
          <w:rFonts w:ascii="Times New Roman" w:hAnsi="Times New Roman" w:cs="Times New Roman" w:eastAsia="Times New Roman" w:hint="default"/>
        </w:rPr>
        <w:t>35.72</w:t>
      </w:r>
      <w:r>
        <w:rPr/>
        <w:t>元，增加股本</w:t>
      </w:r>
      <w:r>
        <w:rPr>
          <w:rFonts w:ascii="Times New Roman" w:hAnsi="Times New Roman" w:cs="Times New Roman" w:eastAsia="Times New Roman" w:hint="default"/>
        </w:rPr>
        <w:t>12,540,592.00</w:t>
      </w:r>
      <w:r>
        <w:rPr/>
        <w:t>元。非公开发行股票后公司总股本为</w:t>
      </w:r>
      <w:r>
        <w:rPr>
          <w:rFonts w:ascii="Times New Roman" w:hAnsi="Times New Roman" w:cs="Times New Roman" w:eastAsia="Times New Roman" w:hint="default"/>
        </w:rPr>
        <w:t>17,254.0592</w:t>
      </w:r>
      <w:r>
        <w:rPr/>
        <w:t>万股。</w:t>
      </w:r>
      <w:r>
        <w:rPr>
          <w:w w:val="100"/>
        </w:rPr>
        <w:t> </w:t>
      </w:r>
      <w:r>
        <w:rPr>
          <w:spacing w:val="-2"/>
        </w:rPr>
        <w:t>经公司</w:t>
      </w:r>
      <w:r>
        <w:rPr>
          <w:rFonts w:ascii="Times New Roman" w:hAnsi="Times New Roman" w:cs="Times New Roman" w:eastAsia="Times New Roman" w:hint="default"/>
          <w:spacing w:val="-2"/>
        </w:rPr>
        <w:t>2018</w:t>
      </w:r>
      <w:r>
        <w:rPr>
          <w:spacing w:val="-2"/>
        </w:rPr>
        <w:t>年年度股东大会、第四届董事会第十四次会议审议通过了公司</w:t>
      </w:r>
      <w:r>
        <w:rPr>
          <w:rFonts w:ascii="Times New Roman" w:hAnsi="Times New Roman" w:cs="Times New Roman" w:eastAsia="Times New Roman" w:hint="default"/>
          <w:spacing w:val="-2"/>
        </w:rPr>
        <w:t>2018</w:t>
      </w:r>
      <w:r>
        <w:rPr>
          <w:spacing w:val="-2"/>
        </w:rPr>
        <w:t>年度利润分配预案。</w:t>
      </w:r>
      <w:r>
        <w:rPr>
          <w:spacing w:val="-20"/>
        </w:rPr>
        <w:t> </w:t>
      </w:r>
      <w:r>
        <w:rPr>
          <w:spacing w:val="-20"/>
        </w:rPr>
      </w:r>
      <w:r>
        <w:rPr>
          <w:spacing w:val="-3"/>
        </w:rPr>
        <w:t>以总股本</w:t>
      </w:r>
      <w:r>
        <w:rPr>
          <w:rFonts w:ascii="Times New Roman" w:hAnsi="Times New Roman" w:cs="Times New Roman" w:eastAsia="Times New Roman" w:hint="default"/>
          <w:spacing w:val="-3"/>
        </w:rPr>
        <w:t>172,540,592</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2.50</w:t>
      </w:r>
      <w:r>
        <w:rPr>
          <w:spacing w:val="-3"/>
        </w:rPr>
        <w:t>元（含税），共分配现金红利</w:t>
      </w:r>
      <w:r>
        <w:rPr>
          <w:spacing w:val="-14"/>
        </w:rPr>
        <w:t> </w:t>
      </w:r>
      <w:r>
        <w:rPr>
          <w:spacing w:val="-14"/>
        </w:rPr>
      </w:r>
      <w:r>
        <w:rPr>
          <w:rFonts w:ascii="Times New Roman" w:hAnsi="Times New Roman" w:cs="Times New Roman" w:eastAsia="Times New Roman" w:hint="default"/>
        </w:rPr>
        <w:t>43,135,148</w:t>
      </w:r>
      <w:r>
        <w:rPr/>
        <w:t>元；以资本公积金向全体股东按每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股；不送红股；剩余未分配利润结转以后</w:t>
      </w:r>
      <w:r>
        <w:rPr>
          <w:spacing w:val="-6"/>
        </w:rPr>
        <w:t> </w:t>
      </w:r>
      <w:r>
        <w:rPr>
          <w:spacing w:val="-6"/>
        </w:rPr>
      </w:r>
      <w:r>
        <w:rPr/>
        <w:t>年度。</w:t>
      </w:r>
      <w:r>
        <w:rPr>
          <w:spacing w:val="-102"/>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22,430.2769</w:t>
      </w:r>
      <w:r>
        <w:rPr>
          <w:spacing w:val="-2"/>
        </w:rPr>
        <w:t>万股，注册资本为</w:t>
      </w:r>
      <w:r>
        <w:rPr>
          <w:rFonts w:ascii="Times New Roman" w:hAnsi="Times New Roman" w:cs="Times New Roman" w:eastAsia="Times New Roman" w:hint="default"/>
          <w:spacing w:val="-2"/>
        </w:rPr>
        <w:t>22,430.2769</w:t>
      </w:r>
      <w:r>
        <w:rPr>
          <w:spacing w:val="-2"/>
        </w:rPr>
        <w:t>万元，</w:t>
      </w:r>
      <w:r>
        <w:rPr>
          <w:spacing w:val="-1"/>
        </w:rPr>
        <w:t> </w:t>
      </w:r>
      <w:r>
        <w:rPr>
          <w:spacing w:val="-1"/>
        </w:rPr>
      </w:r>
      <w:r>
        <w:rPr/>
        <w:t>注册地：成都高新区科园一路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幢，总部地址：成都高新区科园一路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w:t>
      </w:r>
      <w:r>
        <w:rPr>
          <w:w w:val="100"/>
        </w:rPr>
        <w:t> </w:t>
      </w:r>
      <w:r>
        <w:rPr/>
        <w:t>本公司主要经营活动为：研制、开发、生产、销售计算机软硬件、网络设备、办公机械、货币专</w:t>
      </w:r>
      <w:r>
        <w:rPr>
          <w:spacing w:val="-9"/>
        </w:rPr>
        <w:t> </w:t>
      </w:r>
      <w:r>
        <w:rPr>
          <w:spacing w:val="-9"/>
        </w:rPr>
      </w:r>
      <w:r>
        <w:rPr/>
        <w:t>用设备、机电设备（不含九座以下乘用车）；软件运行维护服务；硬件运行维护服务；信息技术</w:t>
      </w:r>
      <w:r>
        <w:rPr>
          <w:spacing w:val="-4"/>
        </w:rPr>
        <w:t> </w:t>
      </w:r>
      <w:r>
        <w:rPr>
          <w:spacing w:val="-4"/>
        </w:rPr>
      </w:r>
      <w:r>
        <w:rPr/>
        <w:t>服务；信息安全服务；技术咨询；信息系统集成；智能弱电工程设计、施工；公共安全技术防范</w:t>
      </w:r>
      <w:r>
        <w:rPr>
          <w:spacing w:val="-9"/>
        </w:rPr>
        <w:t> </w:t>
      </w:r>
      <w:r>
        <w:rPr>
          <w:spacing w:val="-9"/>
        </w:rPr>
      </w:r>
      <w:r>
        <w:rPr/>
        <w:t>工程的设计、施工（以上工程类经营项目凭资质许可证从事经营）；货物进出口、技术进出口；</w:t>
      </w:r>
      <w:r>
        <w:rPr>
          <w:spacing w:val="-9"/>
        </w:rPr>
        <w:t> </w:t>
      </w:r>
      <w:r>
        <w:rPr>
          <w:spacing w:val="-9"/>
        </w:rPr>
      </w:r>
      <w:r>
        <w:rPr/>
        <w:t>医药、医疗咨询服务；开发、销售电子产品、通讯产品（不含无线广播电视发射设备和卫星地面</w:t>
      </w:r>
      <w:r>
        <w:rPr>
          <w:spacing w:val="-9"/>
        </w:rPr>
        <w:t> </w:t>
      </w:r>
      <w:r>
        <w:rPr>
          <w:spacing w:val="-9"/>
        </w:rPr>
      </w:r>
      <w:r>
        <w:rPr/>
        <w:t>接收设备）；增值电信业务经营（未取得相关行政审批，不得开展经营活动）；零售：药品（未</w:t>
      </w:r>
      <w:r>
        <w:rPr>
          <w:spacing w:val="-9"/>
        </w:rPr>
        <w:t> </w:t>
      </w:r>
      <w:r>
        <w:rPr>
          <w:spacing w:val="-9"/>
        </w:rPr>
      </w:r>
      <w:r>
        <w:rPr/>
        <w:t>取得相关行政审批，不得开展经营活动）；销售医疗器械（未取得相关行政审批，不得开展经营</w:t>
      </w:r>
      <w:r>
        <w:rPr>
          <w:spacing w:val="-9"/>
        </w:rPr>
        <w:t> </w:t>
      </w:r>
      <w:r>
        <w:rPr>
          <w:spacing w:val="-9"/>
        </w:rPr>
      </w:r>
      <w:r>
        <w:rPr/>
        <w:t>活动）；教育咨询。（依法须经批准的项目，经相关部门批准后方可开展经营活动）。</w:t>
      </w:r>
      <w:r>
        <w:rPr>
          <w:w w:val="100"/>
        </w:rPr>
        <w:t> </w:t>
      </w:r>
      <w:r>
        <w:rPr>
          <w:spacing w:val="-2"/>
        </w:rPr>
        <w:t>本公司的母公司为四川久远投资控股集团有限公司，本公司的实际控制人为中国工程物理研究院。</w:t>
      </w:r>
      <w:r>
        <w:rPr>
          <w:spacing w:val="-28"/>
        </w:rPr>
        <w:t> </w:t>
      </w:r>
      <w:r>
        <w:rPr>
          <w:spacing w:val="-28"/>
        </w:rPr>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w:t>
      </w:r>
    </w:p>
    <w:p>
      <w:pPr>
        <w:spacing w:line="240" w:lineRule="auto" w:before="7"/>
        <w:rPr>
          <w:rFonts w:ascii="宋体" w:hAnsi="宋体" w:cs="宋体" w:eastAsia="宋体" w:hint="default"/>
          <w:sz w:val="23"/>
          <w:szCs w:val="23"/>
        </w:rPr>
      </w:pPr>
    </w:p>
    <w:p>
      <w:pPr>
        <w:spacing w:line="256" w:lineRule="auto" w:before="0"/>
        <w:ind w:left="866" w:right="2654" w:hanging="17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b/>
          <w:bCs/>
          <w:spacing w:val="-102"/>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日止，本公司合并财务报表范围内子公司如下：</w:t>
      </w:r>
    </w:p>
    <w:tbl>
      <w:tblPr>
        <w:tblW w:w="0" w:type="auto"/>
        <w:jc w:val="left"/>
        <w:tblInd w:w="753" w:type="dxa"/>
        <w:tblLayout w:type="fixed"/>
        <w:tblCellMar>
          <w:top w:w="0" w:type="dxa"/>
          <w:left w:w="0" w:type="dxa"/>
          <w:bottom w:w="0" w:type="dxa"/>
          <w:right w:w="0" w:type="dxa"/>
        </w:tblCellMar>
        <w:tblLook w:val="01E0"/>
      </w:tblPr>
      <w:tblGrid>
        <w:gridCol w:w="7813"/>
      </w:tblGrid>
      <w:tr>
        <w:trPr>
          <w:trHeight w:val="355" w:hRule="exact"/>
        </w:trPr>
        <w:tc>
          <w:tcPr>
            <w:tcW w:w="7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成都兴联汇智科技有限公司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r>
      <w:tr>
        <w:trPr>
          <w:trHeight w:val="350"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天津久远健康科技有限公司</w:t>
            </w:r>
          </w:p>
        </w:tc>
      </w:tr>
      <w:tr>
        <w:trPr>
          <w:trHeight w:val="353" w:hRule="exact"/>
        </w:trPr>
        <w:tc>
          <w:tcPr>
            <w:tcW w:w="781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喀什银海鼎峰软件有限公司</w:t>
            </w:r>
          </w:p>
        </w:tc>
      </w:tr>
    </w:tbl>
    <w:p>
      <w:pPr>
        <w:pStyle w:val="Heading6"/>
        <w:spacing w:line="256" w:lineRule="auto" w:before="5"/>
        <w:ind w:left="152" w:right="1201" w:firstLine="504"/>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
        </w:rPr>
        <w:t> </w:t>
      </w:r>
      <w:r>
        <w:rPr>
          <w:rFonts w:ascii="Times New Roman" w:hAnsi="Times New Roman" w:cs="Times New Roman" w:eastAsia="Times New Roman" w:hint="default"/>
        </w:rPr>
        <w:t>“</w:t>
      </w:r>
      <w:r>
        <w:rPr/>
        <w:t>九、在其他主体中的权</w:t>
      </w:r>
      <w:r>
        <w:rPr>
          <w:w w:val="100"/>
        </w:rPr>
        <w:t> </w:t>
      </w:r>
      <w:r>
        <w:rPr/>
        <w:t>益</w:t>
      </w:r>
      <w:r>
        <w:rPr>
          <w:rFonts w:ascii="Times New Roman" w:hAnsi="Times New Roman" w:cs="Times New Roman" w:eastAsia="Times New Roman" w:hint="default"/>
        </w:rPr>
        <w:t>”</w:t>
      </w:r>
      <w:r>
        <w:rPr/>
        <w:t>。</w:t>
      </w:r>
    </w:p>
    <w:p>
      <w:pPr>
        <w:spacing w:after="0" w:line="25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265" w:right="986"/>
        <w:jc w:val="left"/>
      </w:pPr>
      <w:r>
        <w:rPr>
          <w:spacing w:val="-3"/>
        </w:rPr>
        <w:t>公司以持续经营为基础，根据实际发生的交易和事项，按照财政部颁布的《企业会计准则</w:t>
      </w:r>
      <w:r>
        <w:rPr>
          <w:rFonts w:ascii="Times New Roman" w:hAnsi="Times New Roman" w:cs="Times New Roman" w:eastAsia="Times New Roman" w:hint="default"/>
          <w:spacing w:val="-3"/>
        </w:rPr>
        <w:t>——</w:t>
      </w:r>
      <w:r>
        <w:rPr>
          <w:spacing w:val="-3"/>
        </w:rPr>
        <w:t>基本准则》</w:t>
      </w:r>
      <w:r>
        <w:rPr>
          <w:spacing w:val="-8"/>
        </w:rPr>
        <w:t> </w:t>
      </w:r>
      <w:r>
        <w:rPr>
          <w:spacing w:val="-8"/>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w w:val="100"/>
        </w:rPr>
        <w:t> </w:t>
      </w:r>
      <w:r>
        <w:rPr>
          <w:spacing w:val="-4"/>
        </w:rPr>
        <w:t>准则</w:t>
      </w:r>
      <w:r>
        <w:rPr>
          <w:rFonts w:ascii="Times New Roman" w:hAnsi="Times New Roman" w:cs="Times New Roman" w:eastAsia="Times New Roman" w:hint="default"/>
          <w:spacing w:val="-4"/>
        </w:rPr>
        <w:t>”</w:t>
      </w:r>
      <w:r>
        <w:rPr>
          <w:spacing w:val="-4"/>
        </w:rPr>
        <w:t>），以及中国证券监督管理委员会《公开发行证券的公司信息披露编报规则第</w:t>
      </w:r>
      <w:r>
        <w:rPr>
          <w:rFonts w:ascii="Times New Roman" w:hAnsi="Times New Roman" w:cs="Times New Roman" w:eastAsia="Times New Roman" w:hint="default"/>
          <w:spacing w:val="-4"/>
        </w:rPr>
        <w:t>15 </w:t>
      </w:r>
      <w:r>
        <w:rPr/>
        <w:t>号</w:t>
      </w:r>
      <w:r>
        <w:rPr>
          <w:rFonts w:ascii="Times New Roman" w:hAnsi="Times New Roman" w:cs="Times New Roman" w:eastAsia="Times New Roman" w:hint="default"/>
        </w:rPr>
        <w:t>——</w:t>
      </w:r>
      <w:r>
        <w:rPr/>
        <w:t>财务报告的</w:t>
      </w:r>
      <w:r>
        <w:rPr>
          <w:spacing w:val="-74"/>
        </w:rPr>
        <w:t> </w:t>
      </w:r>
      <w:r>
        <w:rPr>
          <w:spacing w:val="-74"/>
        </w:rPr>
      </w:r>
      <w:r>
        <w:rPr/>
        <w:t>一般规定》的披露规定编制财务报表。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1133"/>
        <w:jc w:val="left"/>
      </w:pPr>
      <w:r>
        <w:rPr/>
        <w:t>公司考虑宏观政策风险、市场经营风险、目前或长期的盈利能力、偿债能力、财务弹性等因素后，认为</w:t>
      </w:r>
      <w:r>
        <w:rPr>
          <w:spacing w:val="-36"/>
        </w:rPr>
        <w:t> </w:t>
      </w:r>
      <w:r>
        <w:rPr>
          <w:spacing w:val="-36"/>
        </w:rPr>
      </w:r>
      <w:r>
        <w:rPr/>
        <w:t>公司自报告期末起至少</w:t>
      </w:r>
      <w:r>
        <w:rPr>
          <w:rFonts w:ascii="Times New Roman" w:hAnsi="Times New Roman" w:cs="Times New Roman" w:eastAsia="Times New Roman" w:hint="default"/>
        </w:rPr>
        <w:t>12</w:t>
      </w:r>
      <w:r>
        <w:rPr/>
        <w:t>个月内可持续经营。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4"/>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具体会计政策和会计估计提示：</w:t>
      </w:r>
    </w:p>
    <w:p>
      <w:pPr>
        <w:pStyle w:val="Heading6"/>
        <w:spacing w:line="273" w:lineRule="auto" w:before="96"/>
        <w:ind w:left="265" w:right="1133"/>
        <w:jc w:val="left"/>
      </w:pPr>
      <w:r>
        <w:rPr/>
        <w:t>公司所编制的财务报表符合企业会计准则的要求，真实、完整地反映了报告期公司的财务状况、经营成</w:t>
      </w:r>
      <w:r>
        <w:rPr>
          <w:spacing w:val="-36"/>
        </w:rPr>
        <w:t> </w:t>
      </w:r>
      <w:r>
        <w:rPr>
          <w:spacing w:val="-36"/>
        </w:rPr>
      </w:r>
      <w:r>
        <w:rPr/>
        <w:t>果、现金流量等有关信息。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265" w:right="1133"/>
        <w:jc w:val="left"/>
      </w:pPr>
      <w:r>
        <w:rPr/>
        <w:t>本财务报表符合财政部颁布的企业会计准则的要求，真实、完整地反映了本公司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w:t>
      </w:r>
      <w:r>
        <w:rPr>
          <w:spacing w:val="-35"/>
        </w:rPr>
        <w:t> </w:t>
      </w:r>
      <w:r>
        <w:rPr>
          <w:spacing w:val="-35"/>
        </w:rPr>
      </w:r>
      <w:r>
        <w:rPr/>
        <w:t>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line="506"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p>
    <w:p>
      <w:pPr>
        <w:spacing w:line="240" w:lineRule="auto" w:before="9"/>
        <w:rPr>
          <w:rFonts w:ascii="宋体" w:hAnsi="宋体" w:cs="宋体" w:eastAsia="宋体" w:hint="default"/>
          <w:sz w:val="28"/>
          <w:szCs w:val="28"/>
        </w:rPr>
      </w:pPr>
    </w:p>
    <w:p>
      <w:pPr>
        <w:spacing w:line="506" w:lineRule="auto" w:before="0"/>
        <w:ind w:left="152" w:right="71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after="0" w:line="506"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152" w:right="1133"/>
        <w:jc w:val="left"/>
      </w:pPr>
      <w:r>
        <w:rPr>
          <w:spacing w:val="-2"/>
        </w:rPr>
        <w:t>同一控制下企业合并：合并方在企业合并中取得的资产和负债，按照合并日被合并方资产、负债（包括最</w:t>
      </w:r>
      <w:r>
        <w:rPr>
          <w:spacing w:val="-47"/>
        </w:rPr>
        <w:t> </w:t>
      </w:r>
      <w:r>
        <w:rPr>
          <w:spacing w:val="-47"/>
        </w:rPr>
      </w:r>
      <w:r>
        <w:rPr>
          <w:spacing w:val="-2"/>
        </w:rPr>
        <w:t>终控制方收购被合并方而形成的商誉）在最终控制方合并财务报表中的账面价值计量。在合并中取得的净</w:t>
      </w:r>
      <w:r>
        <w:rPr>
          <w:spacing w:val="-43"/>
        </w:rPr>
        <w:t> </w:t>
      </w:r>
      <w:r>
        <w:rPr>
          <w:spacing w:val="-43"/>
        </w:rPr>
      </w:r>
      <w:r>
        <w:rPr>
          <w:spacing w:val="-2"/>
        </w:rPr>
        <w:t>资产账面价值与支付的合并对价账面价值（或发行股份面值总额）的差额，调整资本公积中的股本溢价，</w:t>
      </w:r>
      <w:r>
        <w:rPr>
          <w:spacing w:val="-21"/>
        </w:rPr>
        <w:t> </w:t>
      </w:r>
      <w:r>
        <w:rPr>
          <w:spacing w:val="-21"/>
        </w:rPr>
      </w:r>
      <w:r>
        <w:rPr/>
        <w:t>资本公积中的股本溢价不足冲减的，调整留存收益。</w:t>
      </w:r>
      <w:r>
        <w:rPr>
          <w:w w:val="100"/>
        </w:rPr>
        <w:t> </w:t>
      </w:r>
      <w:r>
        <w:rPr>
          <w:spacing w:val="-2"/>
        </w:rPr>
        <w:t>非同一控制下企业合并：购买方在购买日对作为企业合并对价付出的资产、发生或承担的负债按照公允价</w:t>
      </w:r>
      <w:r>
        <w:rPr>
          <w:spacing w:val="-42"/>
        </w:rPr>
        <w:t> </w:t>
      </w:r>
      <w:r>
        <w:rPr>
          <w:spacing w:val="-42"/>
        </w:rPr>
      </w:r>
      <w:r>
        <w:rPr>
          <w:spacing w:val="-2"/>
        </w:rPr>
        <w:t>值计量，公允价值与其账面价值的差额，计入当期损益。合并成本大于合并中取得的被购买方可辨认净资</w:t>
      </w:r>
      <w:r>
        <w:rPr>
          <w:spacing w:val="-44"/>
        </w:rPr>
        <w:t> </w:t>
      </w:r>
      <w:r>
        <w:rPr>
          <w:spacing w:val="-44"/>
        </w:rPr>
      </w:r>
      <w:r>
        <w:rPr>
          <w:spacing w:val="-2"/>
        </w:rPr>
        <w:t>产公允价值份额的差额，确认为商誉；合并成本小于合并中取得的被购买方可辨认净资产公允价值份额的</w:t>
      </w:r>
      <w:r>
        <w:rPr>
          <w:spacing w:val="-43"/>
        </w:rPr>
        <w:t> </w:t>
      </w:r>
      <w:r>
        <w:rPr>
          <w:spacing w:val="-43"/>
        </w:rPr>
      </w:r>
      <w:r>
        <w:rPr/>
        <w:t>差额，计入当期损益。</w:t>
      </w:r>
      <w:r>
        <w:rPr>
          <w:w w:val="100"/>
        </w:rPr>
        <w:t> </w:t>
      </w:r>
      <w:r>
        <w:rPr>
          <w:spacing w:val="-2"/>
        </w:rPr>
        <w:t>为企业合并发生的直接相关费用于发生时计入当期损益；为企业合并而发行权益性证券或债务性证券的交</w:t>
      </w:r>
      <w:r>
        <w:rPr>
          <w:spacing w:val="-43"/>
        </w:rPr>
        <w:t> </w:t>
      </w:r>
      <w:r>
        <w:rPr>
          <w:spacing w:val="-43"/>
        </w:rPr>
      </w:r>
      <w:r>
        <w:rPr/>
        <w:t>易费用，计入权益性证券或债务性证券的初始确认金额。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6"/>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left="741" w:right="2114" w:hanging="41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合并财务报表的合并范围以控制为基础确定，合并范围包括本公司及全部子公司。</w:t>
      </w:r>
    </w:p>
    <w:p>
      <w:pPr>
        <w:spacing w:line="240" w:lineRule="auto" w:before="7"/>
        <w:rPr>
          <w:rFonts w:ascii="宋体" w:hAnsi="宋体" w:cs="宋体" w:eastAsia="宋体" w:hint="default"/>
          <w:sz w:val="25"/>
          <w:szCs w:val="25"/>
        </w:rPr>
      </w:pPr>
    </w:p>
    <w:p>
      <w:pPr>
        <w:pStyle w:val="Heading5"/>
        <w:spacing w:line="240" w:lineRule="auto"/>
        <w:ind w:left="330" w:right="1133"/>
        <w:jc w:val="left"/>
        <w:rPr>
          <w:b w:val="0"/>
          <w:bCs w:val="0"/>
        </w:rPr>
      </w:pPr>
      <w:r>
        <w:rPr/>
        <w:t>（</w:t>
      </w:r>
      <w:r>
        <w:rPr>
          <w:rFonts w:ascii="Times New Roman" w:hAnsi="Times New Roman" w:cs="Times New Roman" w:eastAsia="Times New Roman" w:hint="default"/>
        </w:rPr>
        <w:t>2</w:t>
      </w:r>
      <w:r>
        <w:rPr/>
        <w:t>）合并程序</w:t>
      </w:r>
      <w:r>
        <w:rPr>
          <w:b w:val="0"/>
          <w:bCs w:val="0"/>
        </w:rPr>
      </w:r>
    </w:p>
    <w:p>
      <w:pPr>
        <w:pStyle w:val="Heading6"/>
        <w:spacing w:line="273" w:lineRule="auto" w:before="21"/>
        <w:ind w:right="1133"/>
        <w:jc w:val="left"/>
      </w:pPr>
      <w:r>
        <w:rPr>
          <w:spacing w:val="-3"/>
        </w:rPr>
        <w:t>本公司以自身和各子公司的财务报表为基础，根据其他有关资料，编制合并财务报表。本公司编制</w:t>
      </w:r>
      <w:r>
        <w:rPr>
          <w:spacing w:val="-54"/>
        </w:rPr>
        <w:t> </w:t>
      </w:r>
      <w:r>
        <w:rPr>
          <w:spacing w:val="-54"/>
        </w:rPr>
      </w:r>
      <w:r>
        <w:rPr>
          <w:spacing w:val="-3"/>
        </w:rPr>
        <w:t>合并财务报表，将整个企业集团视为一个会计主体，依据相关企业会计准则的确认、计量和列报要</w:t>
      </w:r>
      <w:r>
        <w:rPr>
          <w:spacing w:val="-54"/>
        </w:rPr>
        <w:t> </w:t>
      </w:r>
      <w:r>
        <w:rPr>
          <w:spacing w:val="-54"/>
        </w:rPr>
      </w:r>
      <w:r>
        <w:rPr/>
        <w:t>求，按照统一的会计政策，反映本企业集团整体财务状况、经营成果和现金流量。</w:t>
      </w:r>
      <w:r>
        <w:rPr>
          <w:w w:val="100"/>
        </w:rPr>
        <w:t> </w:t>
      </w:r>
      <w:r>
        <w:rPr>
          <w:spacing w:val="-3"/>
        </w:rPr>
        <w:t>所有纳入合并财务报表合并范围的子公司所采用的会计政策、会计期间与本公司一致，如子公司采</w:t>
      </w:r>
      <w:r>
        <w:rPr>
          <w:spacing w:val="-53"/>
        </w:rPr>
        <w:t> </w:t>
      </w:r>
      <w:r>
        <w:rPr>
          <w:spacing w:val="-53"/>
        </w:rPr>
      </w:r>
      <w:r>
        <w:rPr>
          <w:spacing w:val="-4"/>
        </w:rPr>
        <w:t>用的会计政策、会计期间与本公司不一致的，在编制合并财务报表时，按本公司的会计政策、会计</w:t>
      </w:r>
      <w:r>
        <w:rPr>
          <w:spacing w:val="-16"/>
        </w:rPr>
        <w:t> </w:t>
      </w:r>
      <w:r>
        <w:rPr>
          <w:spacing w:val="-16"/>
        </w:rPr>
      </w:r>
      <w:r>
        <w:rPr>
          <w:spacing w:val="-4"/>
        </w:rPr>
        <w:t>期间进行必要的调整。对于非同一控制下企业合并取得的子公司，以购买日可辨认净资产公允价值</w:t>
      </w:r>
      <w:r>
        <w:rPr>
          <w:spacing w:val="-12"/>
        </w:rPr>
        <w:t> </w:t>
      </w:r>
      <w:r>
        <w:rPr>
          <w:spacing w:val="-12"/>
        </w:rPr>
      </w:r>
      <w:r>
        <w:rPr>
          <w:spacing w:val="-4"/>
        </w:rPr>
        <w:t>为基础对其财务报表进行调整。对于同一控制下企业合并取得的子公司，以其资产、负债（包括最</w:t>
      </w:r>
      <w:r>
        <w:rPr>
          <w:spacing w:val="-13"/>
        </w:rPr>
        <w:t> </w:t>
      </w:r>
      <w:r>
        <w:rPr>
          <w:spacing w:val="-13"/>
        </w:rPr>
      </w:r>
      <w:r>
        <w:rPr>
          <w:spacing w:val="-3"/>
        </w:rPr>
        <w:t>终控制方收购该子公司而形成的商誉）在最终控制方财务报表中的账面价值为基础对其财务报表进</w:t>
      </w:r>
      <w:r>
        <w:rPr>
          <w:spacing w:val="-52"/>
        </w:rPr>
        <w:t> </w:t>
      </w:r>
      <w:r>
        <w:rPr>
          <w:spacing w:val="-52"/>
        </w:rPr>
      </w:r>
      <w:r>
        <w:rPr/>
        <w:t>行调整。</w:t>
      </w:r>
      <w:r>
        <w:rPr>
          <w:w w:val="100"/>
        </w:rPr>
        <w:t> </w:t>
      </w:r>
      <w:r>
        <w:rPr>
          <w:spacing w:val="-3"/>
        </w:rPr>
        <w:t>子公司所有者权益、当期净损益和当期综合收益中属于少数股东的份额分别在合并资产负债表中所</w:t>
      </w:r>
      <w:r>
        <w:rPr>
          <w:spacing w:val="-53"/>
        </w:rPr>
        <w:t> </w:t>
      </w:r>
      <w:r>
        <w:rPr>
          <w:spacing w:val="-53"/>
        </w:rPr>
      </w:r>
      <w:r>
        <w:rPr>
          <w:spacing w:val="-3"/>
        </w:rPr>
        <w:t>有者权益项目下、合并利润表中净利润项目下和综合收益总额项目下单独列示。子公司少数股东分</w:t>
      </w:r>
      <w:r>
        <w:rPr>
          <w:spacing w:val="-51"/>
        </w:rPr>
        <w:t> </w:t>
      </w:r>
      <w:r>
        <w:rPr>
          <w:spacing w:val="-51"/>
        </w:rPr>
      </w:r>
      <w:r>
        <w:rPr>
          <w:spacing w:val="-3"/>
        </w:rPr>
        <w:t>担的当期亏损超过了少数股东在该子公司期初所有者权益中所享有份额而形成的余额，冲减少数股</w:t>
      </w:r>
      <w:r>
        <w:rPr>
          <w:spacing w:val="-53"/>
        </w:rPr>
        <w:t> </w:t>
      </w:r>
      <w:r>
        <w:rPr>
          <w:spacing w:val="-53"/>
        </w:rPr>
      </w:r>
      <w:r>
        <w:rPr/>
        <w:t>东权益。</w:t>
      </w:r>
    </w:p>
    <w:p>
      <w:pPr>
        <w:pStyle w:val="Heading6"/>
        <w:spacing w:line="273" w:lineRule="auto" w:before="7"/>
        <w:ind w:right="986"/>
        <w:jc w:val="left"/>
      </w:pPr>
      <w:r>
        <w:rPr/>
        <w:t>①增加子公司或业务</w:t>
      </w:r>
      <w:r>
        <w:rPr>
          <w:w w:val="100"/>
        </w:rPr>
        <w:t> </w:t>
      </w:r>
      <w:r>
        <w:rPr>
          <w:spacing w:val="-3"/>
        </w:rPr>
        <w:t>在报告期内，若因同一控制下企业合并增加子公司或业务的，则调整合并资产负债表的期初数；将</w:t>
      </w:r>
      <w:r>
        <w:rPr>
          <w:spacing w:val="-54"/>
        </w:rPr>
        <w:t> </w:t>
      </w:r>
      <w:r>
        <w:rPr>
          <w:spacing w:val="-54"/>
        </w:rPr>
      </w:r>
      <w:r>
        <w:rPr>
          <w:spacing w:val="-3"/>
        </w:rPr>
        <w:t>子公司或业务合并当期期初至报告期末的收入、费用、利润纳入合并利润表；将子公司或业务合并</w:t>
      </w:r>
      <w:r>
        <w:rPr>
          <w:spacing w:val="-54"/>
        </w:rPr>
        <w:t> </w:t>
      </w:r>
      <w:r>
        <w:rPr>
          <w:spacing w:val="-54"/>
        </w:rPr>
      </w:r>
      <w:r>
        <w:rPr>
          <w:spacing w:val="-3"/>
        </w:rPr>
        <w:t>当期期初至报告期末的现金流量纳入合并现金流量表，同时对比较报表的相关项目进行调整，视同</w:t>
      </w:r>
      <w:r>
        <w:rPr>
          <w:spacing w:val="-51"/>
        </w:rPr>
        <w:t> </w:t>
      </w:r>
      <w:r>
        <w:rPr>
          <w:spacing w:val="-51"/>
        </w:rPr>
      </w:r>
      <w:r>
        <w:rPr/>
        <w:t>合并后的报告主体自最终控制方开始控制时点起一直存在。</w:t>
      </w:r>
      <w:r>
        <w:rPr>
          <w:w w:val="100"/>
        </w:rPr>
        <w:t> </w:t>
      </w:r>
      <w:r>
        <w:rPr>
          <w:spacing w:val="-3"/>
        </w:rPr>
        <w:t>因追加投资等原因能够对同一控制下的被投资方实施控制的，视同参与合并的各方在最终控制方开</w:t>
      </w:r>
      <w:r>
        <w:rPr>
          <w:spacing w:val="-53"/>
        </w:rPr>
        <w:t> </w:t>
      </w:r>
      <w:r>
        <w:rPr>
          <w:spacing w:val="-53"/>
        </w:rPr>
      </w:r>
      <w:r>
        <w:rPr>
          <w:spacing w:val="-3"/>
        </w:rPr>
        <w:t>始控制时即以目前的状态存在进行调整。在取得被合并方控制权之前持有的股权投资，在取得原股</w:t>
      </w:r>
      <w:r>
        <w:rPr>
          <w:spacing w:val="-53"/>
        </w:rPr>
        <w:t> </w:t>
      </w:r>
      <w:r>
        <w:rPr>
          <w:spacing w:val="-53"/>
        </w:rPr>
      </w:r>
      <w:r>
        <w:rPr>
          <w:spacing w:val="-3"/>
        </w:rPr>
        <w:t>权之日与合并方和被合并方同处于同一控制之日孰晚日起至合并日之间已确认有关损益、其他综合</w:t>
      </w:r>
      <w:r>
        <w:rPr>
          <w:spacing w:val="-52"/>
        </w:rPr>
        <w:t> </w:t>
      </w:r>
      <w:r>
        <w:rPr>
          <w:spacing w:val="-52"/>
        </w:rPr>
      </w:r>
      <w:r>
        <w:rPr/>
        <w:t>收益以及其他净资产变动，分别冲减比较报表期间的期初留存收益或当期损益。</w:t>
      </w:r>
      <w:r>
        <w:rPr>
          <w:w w:val="100"/>
        </w:rPr>
        <w:t> </w:t>
      </w:r>
      <w:r>
        <w:rPr>
          <w:spacing w:val="-2"/>
        </w:rPr>
        <w:t>在报告期内，若因非同一控制下企业合并增加子公司或业务的，则不调整合并资产负债表期初数；</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986"/>
        <w:jc w:val="left"/>
      </w:pPr>
      <w:r>
        <w:rPr>
          <w:spacing w:val="-3"/>
        </w:rPr>
        <w:t>将该子公司或业务自购买日至报告期末的收入、费用、利润纳入合并利润表；该子公司或业务自购</w:t>
      </w:r>
      <w:r>
        <w:rPr>
          <w:spacing w:val="-54"/>
        </w:rPr>
        <w:t> </w:t>
      </w:r>
      <w:r>
        <w:rPr>
          <w:spacing w:val="-54"/>
        </w:rPr>
      </w:r>
      <w:r>
        <w:rPr/>
        <w:t>买日至报告期末的现金流量纳入合并现金流量表。</w:t>
      </w:r>
      <w:r>
        <w:rPr>
          <w:w w:val="100"/>
        </w:rPr>
        <w:t> </w:t>
      </w:r>
      <w:r>
        <w:rPr>
          <w:spacing w:val="-3"/>
        </w:rPr>
        <w:t>因追加投资等原因能够对非同一控制下的被投资方实施控制的，对于购买日之前持有的被购买方的</w:t>
      </w:r>
      <w:r>
        <w:rPr>
          <w:spacing w:val="-52"/>
        </w:rPr>
        <w:t> </w:t>
      </w:r>
      <w:r>
        <w:rPr>
          <w:spacing w:val="-52"/>
        </w:rPr>
      </w:r>
      <w:r>
        <w:rPr>
          <w:spacing w:val="-4"/>
        </w:rPr>
        <w:t>股权，本公司按照该股权在购买日的公允价值进行重新计量，公允价值与其账面价值的差额计入当</w:t>
      </w:r>
      <w:r>
        <w:rPr>
          <w:spacing w:val="-13"/>
        </w:rPr>
        <w:t> </w:t>
      </w:r>
      <w:r>
        <w:rPr>
          <w:spacing w:val="-13"/>
        </w:rPr>
      </w:r>
      <w:r>
        <w:rPr>
          <w:spacing w:val="-2"/>
        </w:rPr>
        <w:t>期投资收益。购买日之前持有的被购买方的股权涉及权益法核算下的其他综合收益以及除净损益、</w:t>
      </w:r>
      <w:r>
        <w:rPr>
          <w:spacing w:val="-28"/>
        </w:rPr>
        <w:t> </w:t>
      </w:r>
      <w:r>
        <w:rPr>
          <w:spacing w:val="-28"/>
        </w:rPr>
      </w:r>
      <w:r>
        <w:rPr>
          <w:spacing w:val="-3"/>
        </w:rPr>
        <w:t>其他综合收益和利润分配之外的其他所有者权益变动的，与其相关的其他综合收益、其他所有者权</w:t>
      </w:r>
      <w:r>
        <w:rPr>
          <w:spacing w:val="-52"/>
        </w:rPr>
        <w:t> </w:t>
      </w:r>
      <w:r>
        <w:rPr>
          <w:spacing w:val="-52"/>
        </w:rPr>
      </w:r>
      <w:r>
        <w:rPr>
          <w:spacing w:val="-3"/>
        </w:rPr>
        <w:t>益变动转为购买日所属当期投资收益，由于被投资方重新计量设定受益计划净负债或净资产变动而</w:t>
      </w:r>
      <w:r>
        <w:rPr>
          <w:spacing w:val="-52"/>
        </w:rPr>
        <w:t> </w:t>
      </w:r>
      <w:r>
        <w:rPr>
          <w:spacing w:val="-52"/>
        </w:rPr>
      </w:r>
      <w:r>
        <w:rPr/>
        <w:t>产生的其他综合收益除外。</w:t>
      </w:r>
    </w:p>
    <w:p>
      <w:pPr>
        <w:pStyle w:val="Heading6"/>
        <w:spacing w:line="273" w:lineRule="auto" w:before="7"/>
        <w:ind w:right="8195"/>
        <w:jc w:val="left"/>
      </w:pPr>
      <w:r>
        <w:rPr>
          <w:spacing w:val="-1"/>
        </w:rPr>
        <w:t>②处置子公司或业务</w:t>
      </w:r>
      <w:r>
        <w:rPr>
          <w:spacing w:val="-95"/>
        </w:rPr>
        <w:t> </w:t>
      </w:r>
      <w:r>
        <w:rPr>
          <w:spacing w:val="-95"/>
        </w:rPr>
      </w:r>
      <w:r>
        <w:rPr/>
        <w:t>Ⅰ一般处理方法</w:t>
      </w:r>
    </w:p>
    <w:p>
      <w:pPr>
        <w:pStyle w:val="Heading6"/>
        <w:spacing w:line="273" w:lineRule="auto" w:before="7"/>
        <w:ind w:right="986"/>
        <w:jc w:val="left"/>
      </w:pPr>
      <w:r>
        <w:rPr>
          <w:spacing w:val="-4"/>
        </w:rPr>
        <w:t>在报告期内，本公司处置子公司或业务，则该子公司或业务期初至处置日的收入、费用、利润纳入</w:t>
      </w:r>
      <w:r>
        <w:rPr>
          <w:spacing w:val="-13"/>
        </w:rPr>
        <w:t> </w:t>
      </w:r>
      <w:r>
        <w:rPr>
          <w:spacing w:val="-13"/>
        </w:rPr>
      </w:r>
      <w:r>
        <w:rPr/>
        <w:t>合并利润表；该子公司或业务期初至处置日的现金流量纳入合并现金流量表。</w:t>
      </w:r>
      <w:r>
        <w:rPr>
          <w:w w:val="100"/>
        </w:rPr>
        <w:t> </w:t>
      </w:r>
      <w:r>
        <w:rPr>
          <w:spacing w:val="-3"/>
        </w:rPr>
        <w:t>因处置部分股权投资或其他原因丧失了对被投资方控制权时，对于处置后的剩余股权投资，本公司</w:t>
      </w:r>
      <w:r>
        <w:rPr>
          <w:spacing w:val="-53"/>
        </w:rPr>
        <w:t> </w:t>
      </w:r>
      <w:r>
        <w:rPr>
          <w:spacing w:val="-53"/>
        </w:rPr>
      </w:r>
      <w:r>
        <w:rPr>
          <w:spacing w:val="-2"/>
        </w:rPr>
        <w:t>按照其在丧失控制权日的公允价值进行重新计量。处置股权取得的对价与剩余股权公允价值之和，</w:t>
      </w:r>
      <w:r>
        <w:rPr>
          <w:spacing w:val="-28"/>
        </w:rPr>
        <w:t> </w:t>
      </w:r>
      <w:r>
        <w:rPr>
          <w:spacing w:val="-28"/>
        </w:rPr>
      </w:r>
      <w:r>
        <w:rPr/>
        <w:t>减去按原持股比例计算应享有原有子公司自购买日或合并日开始持续计算的净资产的份额与商誉</w:t>
      </w:r>
      <w:r>
        <w:rPr>
          <w:spacing w:val="23"/>
        </w:rPr>
        <w:t> </w:t>
      </w:r>
      <w:r>
        <w:rPr>
          <w:spacing w:val="23"/>
        </w:rPr>
      </w:r>
      <w:r>
        <w:rPr>
          <w:spacing w:val="-4"/>
        </w:rPr>
        <w:t>之和的差额，计入丧失控制权当期的投资收益。与原有子公司股权投资相关的其他综合收益或除净</w:t>
      </w:r>
      <w:r>
        <w:rPr>
          <w:spacing w:val="-12"/>
        </w:rPr>
        <w:t> </w:t>
      </w:r>
      <w:r>
        <w:rPr>
          <w:spacing w:val="-12"/>
        </w:rPr>
      </w:r>
      <w:r>
        <w:rPr>
          <w:spacing w:val="-2"/>
        </w:rPr>
        <w:t>损益、其他综合收益及利润分配之外的其他所有者权益变动，在丧失控制权时转为当期投资收益，</w:t>
      </w:r>
      <w:r>
        <w:rPr>
          <w:spacing w:val="-28"/>
        </w:rPr>
        <w:t> </w:t>
      </w:r>
      <w:r>
        <w:rPr>
          <w:spacing w:val="-28"/>
        </w:rPr>
      </w:r>
      <w:r>
        <w:rPr/>
        <w:t>由于被投资方重新计量设定受益计划净负债或净资产变动而产生的其他综合收益除外。</w:t>
      </w:r>
      <w:r>
        <w:rPr>
          <w:w w:val="100"/>
        </w:rPr>
        <w:t> </w:t>
      </w:r>
      <w:r>
        <w:rPr>
          <w:spacing w:val="-3"/>
        </w:rPr>
        <w:t>因其他投资方对子公司增资而导致本公司持股比例下降从而丧失控制权的，按照上述原则进行会计</w:t>
      </w:r>
      <w:r>
        <w:rPr>
          <w:spacing w:val="-53"/>
        </w:rPr>
        <w:t> </w:t>
      </w:r>
      <w:r>
        <w:rPr>
          <w:spacing w:val="-53"/>
        </w:rPr>
      </w:r>
      <w:r>
        <w:rPr/>
        <w:t>处理。</w:t>
      </w:r>
    </w:p>
    <w:p>
      <w:pPr>
        <w:pStyle w:val="Heading6"/>
        <w:spacing w:line="273" w:lineRule="auto" w:before="7"/>
        <w:ind w:right="1133"/>
        <w:jc w:val="left"/>
      </w:pPr>
      <w:r>
        <w:rPr/>
        <w:t>Ⅱ分步处置子公司</w:t>
      </w:r>
      <w:r>
        <w:rPr>
          <w:w w:val="100"/>
        </w:rPr>
        <w:t> </w:t>
      </w:r>
      <w:r>
        <w:rPr>
          <w:spacing w:val="-3"/>
        </w:rPr>
        <w:t>通过多次交易分步处置对子公司股权投资直至丧失控制权的，处置对子公司股权投资的各项交易的</w:t>
      </w:r>
      <w:r>
        <w:rPr>
          <w:spacing w:val="-53"/>
        </w:rPr>
        <w:t> </w:t>
      </w:r>
      <w:r>
        <w:rPr>
          <w:spacing w:val="-53"/>
        </w:rPr>
      </w:r>
      <w:r>
        <w:rPr>
          <w:spacing w:val="-4"/>
        </w:rPr>
        <w:t>条款、条件以及经济影响符合以下一种或多种情况，通常表明应将多次交易事项作为一揽子交易进</w:t>
      </w:r>
      <w:r>
        <w:rPr>
          <w:spacing w:val="-13"/>
        </w:rPr>
        <w:t> </w:t>
      </w:r>
      <w:r>
        <w:rPr>
          <w:spacing w:val="-13"/>
        </w:rPr>
      </w:r>
      <w:r>
        <w:rPr/>
        <w:t>行会计处理：</w:t>
      </w:r>
    </w:p>
    <w:p>
      <w:pPr>
        <w:pStyle w:val="Heading6"/>
        <w:spacing w:line="273" w:lineRule="auto" w:before="7"/>
        <w:ind w:right="1133"/>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3"/>
        </w:rPr>
        <w:t>处置对子公司股权投资直至丧失控制权的各项交易属于一揽子交易的，本公司将各项交易作为一项</w:t>
      </w:r>
      <w:r>
        <w:rPr>
          <w:spacing w:val="-53"/>
        </w:rPr>
        <w:t> </w:t>
      </w:r>
      <w:r>
        <w:rPr>
          <w:spacing w:val="-53"/>
        </w:rPr>
      </w:r>
      <w:r>
        <w:rPr>
          <w:spacing w:val="-3"/>
        </w:rPr>
        <w:t>处置子公司并丧失控制权的交易进行会计处理；但是，在丧失控制权之前每一次处置价款与处置投</w:t>
      </w:r>
      <w:r>
        <w:rPr>
          <w:spacing w:val="-54"/>
        </w:rPr>
        <w:t> </w:t>
      </w:r>
      <w:r>
        <w:rPr>
          <w:spacing w:val="-54"/>
        </w:rPr>
      </w:r>
      <w:r>
        <w:rPr>
          <w:spacing w:val="-3"/>
        </w:rPr>
        <w:t>资对应的享有该子公司净资产份额的差额，在合并财务报表中确认为其他综合收益，在丧失控制权</w:t>
      </w:r>
      <w:r>
        <w:rPr>
          <w:spacing w:val="-51"/>
        </w:rPr>
        <w:t> </w:t>
      </w:r>
      <w:r>
        <w:rPr>
          <w:spacing w:val="-51"/>
        </w:rPr>
      </w:r>
      <w:r>
        <w:rPr/>
        <w:t>时一并转入丧失控制权当期的损益。</w:t>
      </w:r>
      <w:r>
        <w:rPr>
          <w:w w:val="100"/>
        </w:rPr>
        <w:t> </w:t>
      </w:r>
      <w:r>
        <w:rPr>
          <w:spacing w:val="-3"/>
        </w:rPr>
        <w:t>处置对子公司股权投资直至丧失控制权的各项交易不属于一揽子交易的，在丧失控制权之前，按不</w:t>
      </w:r>
      <w:r>
        <w:rPr>
          <w:spacing w:val="-51"/>
        </w:rPr>
        <w:t> </w:t>
      </w:r>
      <w:r>
        <w:rPr>
          <w:spacing w:val="-51"/>
        </w:rPr>
      </w:r>
      <w:r>
        <w:rPr>
          <w:spacing w:val="-3"/>
        </w:rPr>
        <w:t>丧失控制权的情况下部分处置对子公司的股权投资的相关政策进行会计处理；在丧失控制权时，按</w:t>
      </w:r>
      <w:r>
        <w:rPr>
          <w:spacing w:val="-52"/>
        </w:rPr>
        <w:t> </w:t>
      </w:r>
      <w:r>
        <w:rPr>
          <w:spacing w:val="-52"/>
        </w:rPr>
      </w:r>
      <w:r>
        <w:rPr/>
        <w:t>处置子公司一般处理方法进行会计处理。</w:t>
      </w:r>
    </w:p>
    <w:p>
      <w:pPr>
        <w:pStyle w:val="Heading6"/>
        <w:spacing w:line="273" w:lineRule="auto" w:before="7"/>
        <w:ind w:right="986"/>
        <w:jc w:val="left"/>
      </w:pPr>
      <w:r>
        <w:rPr/>
        <w:t>③购买子公司少数股权</w:t>
      </w:r>
      <w:r>
        <w:rPr>
          <w:w w:val="100"/>
        </w:rPr>
        <w:t> </w:t>
      </w:r>
      <w:r>
        <w:rPr>
          <w:spacing w:val="-3"/>
        </w:rPr>
        <w:t>本公司因购买少数股权新取得的长期股权投资与按照新增持股比例计算应享有子公司自购买日（或</w:t>
      </w:r>
      <w:r>
        <w:rPr>
          <w:spacing w:val="-52"/>
        </w:rPr>
        <w:t> </w:t>
      </w:r>
      <w:r>
        <w:rPr>
          <w:spacing w:val="-52"/>
        </w:rPr>
      </w:r>
      <w:r>
        <w:rPr>
          <w:spacing w:val="-6"/>
          <w:w w:val="100"/>
        </w:rPr>
        <w:t>合并日）开始持续计算的净资产份额之间的差额，调整合并资产负债表中的资本公积中的股本溢价，</w:t>
      </w:r>
      <w:r>
        <w:rPr>
          <w:spacing w:val="-75"/>
          <w:w w:val="100"/>
        </w:rPr>
        <w:t> </w:t>
      </w:r>
      <w:r>
        <w:rPr>
          <w:spacing w:val="-75"/>
          <w:w w:val="100"/>
        </w:rPr>
      </w:r>
      <w:r>
        <w:rPr/>
        <w:t>资本公积中的股本溢价不足冲减的，调整留存收益。</w:t>
      </w:r>
    </w:p>
    <w:p>
      <w:pPr>
        <w:pStyle w:val="Heading6"/>
        <w:spacing w:line="273" w:lineRule="auto" w:before="7"/>
        <w:ind w:right="1133"/>
        <w:jc w:val="left"/>
      </w:pPr>
      <w:r>
        <w:rPr/>
        <w:t>④不丧失控制权的情况下部分处置对子公司的股权投资</w:t>
      </w:r>
      <w:r>
        <w:rPr>
          <w:w w:val="100"/>
        </w:rPr>
        <w:t> </w:t>
      </w:r>
      <w:r>
        <w:rPr/>
        <w:t>在不丧失控制权的情况下因部分处置对子公司的长期股权投资而取得的处置价款与处置长期股权</w:t>
      </w:r>
      <w:r>
        <w:rPr>
          <w:spacing w:val="23"/>
        </w:rPr>
        <w:t> </w:t>
      </w:r>
      <w:r>
        <w:rPr>
          <w:spacing w:val="23"/>
        </w:rPr>
      </w:r>
      <w:r>
        <w:rPr>
          <w:spacing w:val="-3"/>
        </w:rPr>
        <w:t>投资相对应享有子公司自购买日或合并日开始持续计算的净资产份额之间的差额，调整合并资产负</w:t>
      </w:r>
      <w:r>
        <w:rPr>
          <w:spacing w:val="-53"/>
        </w:rPr>
        <w:t> </w:t>
      </w:r>
      <w:r>
        <w:rPr>
          <w:spacing w:val="-53"/>
        </w:rPr>
      </w:r>
      <w:r>
        <w:rPr/>
        <w:t>债表中的资本公积中的股本溢价，资本公积中的股本溢价不足冲减的，调整留存收益。</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1133"/>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Heading6"/>
        <w:spacing w:line="240" w:lineRule="auto" w:before="7"/>
        <w:ind w:left="265"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6"/>
        <w:spacing w:line="240" w:lineRule="auto" w:before="21"/>
        <w:ind w:left="265"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6"/>
        <w:spacing w:line="240" w:lineRule="auto" w:before="21"/>
        <w:ind w:left="265"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6"/>
        <w:spacing w:line="240" w:lineRule="auto" w:before="21"/>
        <w:ind w:left="265"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6"/>
        <w:spacing w:line="240" w:lineRule="auto" w:before="21"/>
        <w:ind w:left="265" w:right="1133"/>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7"/>
        <w:rPr>
          <w:rFonts w:ascii="宋体" w:hAnsi="宋体" w:cs="宋体" w:eastAsia="宋体" w:hint="default"/>
          <w:sz w:val="25"/>
          <w:szCs w:val="25"/>
        </w:rPr>
      </w:pPr>
    </w:p>
    <w:p>
      <w:pPr>
        <w:spacing w:line="590" w:lineRule="atLeast" w:before="0"/>
        <w:ind w:left="265" w:right="1133" w:hanging="1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在编制现金流量表时，将本公司库存现金以及可以随时用于支付的存款确认为现金。将同时具备期限短</w:t>
      </w:r>
    </w:p>
    <w:p>
      <w:pPr>
        <w:pStyle w:val="Heading6"/>
        <w:spacing w:line="273" w:lineRule="auto" w:before="37"/>
        <w:ind w:left="265" w:right="1133"/>
        <w:jc w:val="left"/>
      </w:pPr>
      <w:r>
        <w:rPr/>
        <w:t>（从购买日起三个月内到期）、流动性强、易于转换为已知现金、价值变动风险很小四个条件的投资，</w:t>
      </w:r>
      <w:r>
        <w:rPr>
          <w:spacing w:val="-36"/>
        </w:rPr>
        <w:t> </w:t>
      </w:r>
      <w:r>
        <w:rPr>
          <w:spacing w:val="-36"/>
        </w:rPr>
      </w:r>
      <w:r>
        <w:rPr/>
        <w:t>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1133"/>
        <w:jc w:val="left"/>
      </w:pPr>
      <w:r>
        <w:rPr/>
        <w:t>外币业务采用交易发生日的即期汇率作为折算汇率将外币金额折合成人民币记账。</w:t>
      </w:r>
      <w:r>
        <w:rPr>
          <w:w w:val="100"/>
        </w:rPr>
        <w:t> </w:t>
      </w:r>
      <w:r>
        <w:rPr/>
        <w:t>资产负债表日外币货币性项目余额按资产负债表日即期汇率折算，由此产生的汇兑差额，除属于与购建</w:t>
      </w:r>
      <w:r>
        <w:rPr>
          <w:spacing w:val="-36"/>
        </w:rPr>
        <w:t> </w:t>
      </w:r>
      <w:r>
        <w:rPr>
          <w:spacing w:val="-36"/>
        </w:rPr>
      </w:r>
      <w:r>
        <w:rPr/>
        <w:t>符合资本化条件的资产相关的外币专门借款产生的汇兑差额按照借款费用资本化的原则处理外，均计入</w:t>
      </w:r>
      <w:r>
        <w:rPr>
          <w:spacing w:val="-36"/>
        </w:rPr>
        <w:t> </w:t>
      </w:r>
      <w:r>
        <w:rPr>
          <w:spacing w:val="-36"/>
        </w:rPr>
      </w:r>
      <w:r>
        <w:rPr/>
        <w:t>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866" w:right="1133"/>
        <w:jc w:val="left"/>
      </w:pPr>
      <w:r>
        <w:rPr/>
        <w:t>金融工具包括金融资产、金融负债和权益工具。</w:t>
      </w:r>
    </w:p>
    <w:p>
      <w:pPr>
        <w:pStyle w:val="Heading5"/>
        <w:spacing w:line="256" w:lineRule="auto" w:before="37"/>
        <w:ind w:left="830" w:right="6474" w:hanging="166"/>
        <w:jc w:val="left"/>
        <w:rPr>
          <w:b w:val="0"/>
          <w:bCs w:val="0"/>
        </w:rPr>
      </w:pPr>
      <w:r>
        <w:rPr/>
        <w:t>（</w:t>
      </w:r>
      <w:r>
        <w:rPr>
          <w:rFonts w:ascii="Times New Roman" w:hAnsi="Times New Roman" w:cs="Times New Roman" w:eastAsia="Times New Roman" w:hint="default"/>
        </w:rPr>
        <w:t>1</w:t>
      </w:r>
      <w:r>
        <w:rPr/>
        <w:t>）金融工具的分类</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Heading6"/>
        <w:spacing w:line="273" w:lineRule="auto" w:before="5"/>
        <w:ind w:right="1133"/>
        <w:jc w:val="left"/>
      </w:pPr>
      <w:r>
        <w:rPr>
          <w:spacing w:val="-4"/>
        </w:rPr>
        <w:t>根据本公司管理金融资产的业务模式和金融资产的合同现金流量特征，金融资产于初始确认时分类</w:t>
      </w:r>
      <w:r>
        <w:rPr>
          <w:spacing w:val="-13"/>
        </w:rPr>
        <w:t> </w:t>
      </w:r>
      <w:r>
        <w:rPr>
          <w:spacing w:val="-13"/>
        </w:rPr>
      </w:r>
      <w:r>
        <w:rPr>
          <w:spacing w:val="-3"/>
        </w:rPr>
        <w:t>为：以摊余成本计量的金融资产、以公允价值计量且其变动计入其他综合收益的金融资产（债务工</w:t>
      </w:r>
      <w:r>
        <w:rPr>
          <w:spacing w:val="-54"/>
        </w:rPr>
        <w:t> </w:t>
      </w:r>
      <w:r>
        <w:rPr>
          <w:spacing w:val="-54"/>
        </w:rPr>
      </w:r>
      <w:r>
        <w:rPr/>
        <w:t>具）和以公允价值计量且其变动计入当期损益的金融资产。</w:t>
      </w:r>
      <w:r>
        <w:rPr>
          <w:w w:val="100"/>
        </w:rPr>
        <w:t> </w:t>
      </w:r>
      <w:r>
        <w:rPr/>
        <w:t>业务模式是以收取合同现金流量为目标且合同现金流量仅为对本金和以未偿付本金金额为基础的</w:t>
      </w:r>
      <w:r>
        <w:rPr>
          <w:spacing w:val="23"/>
        </w:rPr>
        <w:t> </w:t>
      </w:r>
      <w:r>
        <w:rPr>
          <w:spacing w:val="23"/>
        </w:rPr>
      </w:r>
      <w:r>
        <w:rPr>
          <w:spacing w:val="-4"/>
        </w:rPr>
        <w:t>利息的支付的，分类为以摊余成本计量的金融资产；业务模式既以收取合同现金流量又以出售该金</w:t>
      </w:r>
      <w:r>
        <w:rPr>
          <w:spacing w:val="-13"/>
        </w:rPr>
        <w:t> </w:t>
      </w:r>
      <w:r>
        <w:rPr>
          <w:spacing w:val="-13"/>
        </w:rPr>
      </w:r>
      <w:r>
        <w:rPr>
          <w:spacing w:val="-3"/>
        </w:rPr>
        <w:t>融资产为目标且合同现金流量仅为对本金和以未偿付本金金额为基础的利息的支付的，分类为以公</w:t>
      </w:r>
      <w:r>
        <w:rPr>
          <w:spacing w:val="-53"/>
        </w:rPr>
        <w:t> </w:t>
      </w:r>
      <w:r>
        <w:rPr>
          <w:spacing w:val="-53"/>
        </w:rPr>
      </w:r>
      <w:r>
        <w:rPr>
          <w:spacing w:val="-3"/>
        </w:rPr>
        <w:t>允价值计量且其变动计入其他综合收益的金融资产（债务工具）；除此之外的其他金融资产，分类</w:t>
      </w:r>
      <w:r>
        <w:rPr>
          <w:spacing w:val="-53"/>
        </w:rPr>
        <w:t> </w:t>
      </w:r>
      <w:r>
        <w:rPr>
          <w:spacing w:val="-53"/>
        </w:rPr>
      </w:r>
      <w:r>
        <w:rPr/>
        <w:t>为以公允价值计量且其变动计入当期损益的金融资产。</w:t>
      </w:r>
      <w:r>
        <w:rPr>
          <w:w w:val="100"/>
        </w:rPr>
        <w:t> </w:t>
      </w:r>
      <w:r>
        <w:rPr>
          <w:spacing w:val="-3"/>
        </w:rPr>
        <w:t>对于非交易性权益工具投资，本公司在初始确认时确定是否将其指定为以公允价值计量且其变动计</w:t>
      </w:r>
      <w:r>
        <w:rPr>
          <w:spacing w:val="-52"/>
        </w:rPr>
        <w:t> </w:t>
      </w:r>
      <w:r>
        <w:rPr>
          <w:spacing w:val="-52"/>
        </w:rPr>
      </w:r>
      <w:r>
        <w:rPr>
          <w:spacing w:val="-3"/>
        </w:rPr>
        <w:t>入其他综合收益的金融资产（权益工具）。在初始确认时，为了能够消除或显著减少会计错配，可</w:t>
      </w:r>
      <w:r>
        <w:rPr>
          <w:spacing w:val="-53"/>
        </w:rPr>
        <w:t> </w:t>
      </w:r>
      <w:r>
        <w:rPr>
          <w:spacing w:val="-53"/>
        </w:rPr>
      </w:r>
      <w:r>
        <w:rPr/>
        <w:t>以将金融资产指定为以公允价值计量且其变动计入当期损益的金融资产。</w:t>
      </w:r>
      <w:r>
        <w:rPr>
          <w:w w:val="100"/>
        </w:rPr>
        <w:t> </w:t>
      </w:r>
      <w:r>
        <w:rPr>
          <w:spacing w:val="-3"/>
        </w:rPr>
        <w:t>金融负债于初始确认时分类为：以公允价值计量且其变动计入当期损益的金融负债和以摊余成本计</w:t>
      </w:r>
      <w:r>
        <w:rPr>
          <w:spacing w:val="-53"/>
        </w:rPr>
        <w:t> </w:t>
      </w:r>
      <w:r>
        <w:rPr>
          <w:spacing w:val="-53"/>
        </w:rPr>
      </w:r>
      <w:r>
        <w:rPr/>
        <w:t>量的金融负债。</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33"/>
        <w:jc w:val="left"/>
      </w:pPr>
      <w:r>
        <w:rPr/>
        <w:t>符合以下条件之一的金融负债可在初始计量时指定为以公允价值计量且其变动计入当期损益的金</w:t>
      </w:r>
      <w:r>
        <w:rPr>
          <w:spacing w:val="23"/>
        </w:rPr>
        <w:t> </w:t>
      </w:r>
      <w:r>
        <w:rPr>
          <w:spacing w:val="23"/>
        </w:rPr>
      </w:r>
      <w:r>
        <w:rPr/>
        <w:t>融负债：</w:t>
      </w:r>
    </w:p>
    <w:p>
      <w:pPr>
        <w:pStyle w:val="Heading6"/>
        <w:spacing w:line="240" w:lineRule="auto" w:before="7"/>
        <w:ind w:right="1133"/>
        <w:jc w:val="left"/>
      </w:pPr>
      <w:r>
        <w:rPr/>
        <w:t>①该项指定能够消除或显著减少会计错配。</w:t>
      </w:r>
    </w:p>
    <w:p>
      <w:pPr>
        <w:pStyle w:val="Heading6"/>
        <w:spacing w:line="273" w:lineRule="auto" w:before="37"/>
        <w:ind w:right="1133"/>
        <w:jc w:val="left"/>
      </w:pPr>
      <w:r>
        <w:rPr>
          <w:spacing w:val="-3"/>
        </w:rPr>
        <w:t>②根据正式书面文件载明的企业风险管理或投资策略，以公允价值为基础对金融负债组合或金融资</w:t>
      </w:r>
      <w:r>
        <w:rPr>
          <w:spacing w:val="-53"/>
        </w:rPr>
        <w:t> </w:t>
      </w:r>
      <w:r>
        <w:rPr>
          <w:spacing w:val="-53"/>
        </w:rPr>
      </w:r>
      <w:r>
        <w:rPr/>
        <w:t>产和金融负债组合进行管理和业绩评价，并在企业内部以此为基础向关键管理人员报告。</w:t>
      </w:r>
    </w:p>
    <w:p>
      <w:pPr>
        <w:pStyle w:val="Heading6"/>
        <w:spacing w:line="240" w:lineRule="auto" w:before="7"/>
        <w:ind w:right="1133"/>
        <w:jc w:val="left"/>
      </w:pPr>
      <w:r>
        <w:rPr/>
        <w:t>③该金融负债包含需单独分拆的嵌入衍生工具。</w:t>
      </w:r>
    </w:p>
    <w:p>
      <w:pPr>
        <w:spacing w:line="240" w:lineRule="auto" w:before="9"/>
        <w:rPr>
          <w:rFonts w:ascii="宋体" w:hAnsi="宋体" w:cs="宋体" w:eastAsia="宋体" w:hint="default"/>
          <w:sz w:val="26"/>
          <w:szCs w:val="26"/>
        </w:rPr>
      </w:pPr>
    </w:p>
    <w:p>
      <w:pPr>
        <w:pStyle w:val="Heading6"/>
        <w:spacing w:line="266"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金融资产和金融负债于初始确认时分类为：以公允价值计量且其变动计入当期损益的金融资产或金</w:t>
      </w:r>
      <w:r>
        <w:rPr>
          <w:spacing w:val="-52"/>
        </w:rPr>
        <w:t> </w:t>
      </w:r>
      <w:r>
        <w:rPr>
          <w:spacing w:val="-52"/>
        </w:rPr>
      </w:r>
      <w:r>
        <w:rPr>
          <w:spacing w:val="-3"/>
        </w:rPr>
        <w:t>融负债，包括交易性金融资产或金融负债和直接指定为以公允价值计量且其变动计入当期损益的金</w:t>
      </w:r>
      <w:r>
        <w:rPr>
          <w:spacing w:val="-52"/>
        </w:rPr>
        <w:t> </w:t>
      </w:r>
      <w:r>
        <w:rPr>
          <w:spacing w:val="-52"/>
        </w:rPr>
      </w:r>
      <w:r>
        <w:rPr/>
        <w:t>融资产或金融负债；持有至到期投资；应收款项；可供出售金融资产；其他金融负债等。</w:t>
      </w:r>
    </w:p>
    <w:p>
      <w:pPr>
        <w:spacing w:line="240" w:lineRule="auto" w:before="13"/>
        <w:rPr>
          <w:rFonts w:ascii="宋体" w:hAnsi="宋体" w:cs="宋体" w:eastAsia="宋体" w:hint="default"/>
          <w:sz w:val="24"/>
          <w:szCs w:val="24"/>
        </w:rPr>
      </w:pPr>
    </w:p>
    <w:p>
      <w:pPr>
        <w:pStyle w:val="Heading5"/>
        <w:spacing w:line="256" w:lineRule="auto"/>
        <w:ind w:left="830" w:right="4274" w:hanging="300"/>
        <w:jc w:val="left"/>
        <w:rPr>
          <w:b w:val="0"/>
          <w:bCs w:val="0"/>
        </w:rPr>
      </w:pPr>
      <w:r>
        <w:rPr>
          <w:spacing w:val="-1"/>
        </w:rPr>
        <w:t>（</w:t>
      </w:r>
      <w:r>
        <w:rPr>
          <w:rFonts w:ascii="Times New Roman" w:hAnsi="Times New Roman" w:cs="Times New Roman" w:eastAsia="Times New Roman" w:hint="default"/>
          <w:spacing w:val="-1"/>
        </w:rPr>
        <w:t>2</w:t>
      </w:r>
      <w:r>
        <w:rPr>
          <w:spacing w:val="-1"/>
        </w:rPr>
        <w:t>）金融工具的确认依据和计量方法</w:t>
      </w:r>
      <w:r>
        <w:rPr>
          <w:spacing w:val="-91"/>
        </w:rPr>
        <w:t> </w:t>
      </w:r>
      <w:r>
        <w:rPr>
          <w:spacing w:val="-91"/>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Heading6"/>
        <w:spacing w:line="273" w:lineRule="auto" w:before="5"/>
        <w:ind w:right="1133"/>
        <w:jc w:val="left"/>
      </w:pPr>
      <w:r>
        <w:rPr/>
        <w:t>①以摊余成本计量的金融资产</w:t>
      </w:r>
      <w:r>
        <w:rPr>
          <w:w w:val="100"/>
        </w:rPr>
        <w:t> </w:t>
      </w:r>
      <w:r>
        <w:rPr>
          <w:spacing w:val="-3"/>
        </w:rPr>
        <w:t>以摊余成本计量的金融资产包括应收票据、应收账款、其他应收款、长期应收款、债权投资等，按</w:t>
      </w:r>
      <w:r>
        <w:rPr>
          <w:spacing w:val="-52"/>
        </w:rPr>
        <w:t> </w:t>
      </w:r>
      <w:r>
        <w:rPr>
          <w:spacing w:val="-52"/>
        </w:rPr>
      </w:r>
      <w:r>
        <w:rPr>
          <w:spacing w:val="-3"/>
        </w:rPr>
        <w:t>公允价值进行初始计量，相关交易费用计入初始确认金额；不包含重大融资成分的应收账款以及本</w:t>
      </w:r>
      <w:r>
        <w:rPr>
          <w:spacing w:val="-54"/>
        </w:rPr>
        <w:t> </w:t>
      </w:r>
      <w:r>
        <w:rPr>
          <w:spacing w:val="-54"/>
        </w:rPr>
      </w:r>
      <w:r>
        <w:rPr/>
        <w:t>公司决定不考虑不超过一年的融资成分的应收账款，以合同交易价格进行初始计量。</w:t>
      </w:r>
      <w:r>
        <w:rPr>
          <w:w w:val="100"/>
        </w:rPr>
        <w:t> </w:t>
      </w:r>
      <w:r>
        <w:rPr/>
        <w:t>持有期间采用实际利率法计算的利息计入当期损益。</w:t>
      </w:r>
      <w:r>
        <w:rPr>
          <w:w w:val="100"/>
        </w:rPr>
        <w:t> </w:t>
      </w:r>
      <w:r>
        <w:rPr/>
        <w:t>收回或处置时，将取得的价款与该金融资产账面价值之间的差额计入当期损益。</w:t>
      </w:r>
    </w:p>
    <w:p>
      <w:pPr>
        <w:spacing w:line="240" w:lineRule="auto" w:before="6"/>
        <w:rPr>
          <w:rFonts w:ascii="宋体" w:hAnsi="宋体" w:cs="宋体" w:eastAsia="宋体" w:hint="default"/>
          <w:sz w:val="24"/>
          <w:szCs w:val="24"/>
        </w:rPr>
      </w:pPr>
    </w:p>
    <w:p>
      <w:pPr>
        <w:pStyle w:val="Heading6"/>
        <w:spacing w:line="273" w:lineRule="auto"/>
        <w:ind w:right="1133"/>
        <w:jc w:val="left"/>
      </w:pPr>
      <w:r>
        <w:rPr/>
        <w:t>②以公允价值计量且其变动计入其他综合收益的金融资产（债务工具）</w:t>
      </w:r>
      <w:r>
        <w:rPr>
          <w:w w:val="100"/>
        </w:rPr>
        <w:t> </w:t>
      </w:r>
      <w:r>
        <w:rPr>
          <w:spacing w:val="-3"/>
        </w:rPr>
        <w:t>以公允价值计量且其变动计入其他综合收益的金融资产（债务工具）包括应收款项融资、其他债权</w:t>
      </w:r>
      <w:r>
        <w:rPr>
          <w:spacing w:val="-54"/>
        </w:rPr>
        <w:t> </w:t>
      </w:r>
      <w:r>
        <w:rPr>
          <w:spacing w:val="-54"/>
        </w:rPr>
      </w:r>
      <w:r>
        <w:rPr>
          <w:spacing w:val="-4"/>
        </w:rPr>
        <w:t>投资等，按公允价值进行初始计量，相关交易费用计入初始确认金额。该金融资产按公允价值进行</w:t>
      </w:r>
      <w:r>
        <w:rPr>
          <w:spacing w:val="-14"/>
        </w:rPr>
        <w:t> </w:t>
      </w:r>
      <w:r>
        <w:rPr>
          <w:spacing w:val="-14"/>
        </w:rPr>
      </w:r>
      <w:r>
        <w:rPr>
          <w:spacing w:val="-3"/>
        </w:rPr>
        <w:t>后续计量，公允价值变动除采用实际利率法计算的利息、减值损失或利得和汇兑损益之外，均计入</w:t>
      </w:r>
      <w:r>
        <w:rPr>
          <w:spacing w:val="-54"/>
        </w:rPr>
        <w:t> </w:t>
      </w:r>
      <w:r>
        <w:rPr>
          <w:spacing w:val="-54"/>
        </w:rPr>
      </w:r>
      <w:r>
        <w:rPr/>
        <w:t>其他综合收益。</w:t>
      </w:r>
      <w:r>
        <w:rPr>
          <w:spacing w:val="-103"/>
        </w:rPr>
        <w:t> </w:t>
      </w:r>
      <w:r>
        <w:rPr>
          <w:spacing w:val="-103"/>
        </w:rPr>
      </w:r>
      <w:r>
        <w:rPr/>
        <w:t>终止确认时，之前计入其他综合收益的累计利得或损失从其他综合收益中转出，计入当期损益。</w:t>
      </w:r>
    </w:p>
    <w:p>
      <w:pPr>
        <w:spacing w:line="240" w:lineRule="auto" w:before="6"/>
        <w:rPr>
          <w:rFonts w:ascii="宋体" w:hAnsi="宋体" w:cs="宋体" w:eastAsia="宋体" w:hint="default"/>
          <w:sz w:val="24"/>
          <w:szCs w:val="24"/>
        </w:rPr>
      </w:pPr>
    </w:p>
    <w:p>
      <w:pPr>
        <w:pStyle w:val="Heading6"/>
        <w:spacing w:line="273" w:lineRule="auto"/>
        <w:ind w:right="986"/>
        <w:jc w:val="left"/>
      </w:pPr>
      <w:r>
        <w:rPr/>
        <w:t>③以公允价值计量且其变动计入其他综合收益的金融资产（权益工具）</w:t>
      </w:r>
      <w:r>
        <w:rPr>
          <w:w w:val="100"/>
        </w:rPr>
        <w:t> </w:t>
      </w:r>
      <w:r>
        <w:rPr>
          <w:spacing w:val="-3"/>
        </w:rPr>
        <w:t>以公允价值计量且其变动计入其他综合收益的金融资产（权益工具）包括其他权益工具投资等，按</w:t>
      </w:r>
      <w:r>
        <w:rPr>
          <w:spacing w:val="-53"/>
        </w:rPr>
        <w:t> </w:t>
      </w:r>
      <w:r>
        <w:rPr>
          <w:spacing w:val="-53"/>
        </w:rPr>
      </w:r>
      <w:r>
        <w:rPr>
          <w:spacing w:val="-2"/>
        </w:rPr>
        <w:t>公允价值进行初始计量，相关交易费用计入初始确认金额。该金融资产按公允价值进行后续计量，</w:t>
      </w:r>
      <w:r>
        <w:rPr>
          <w:spacing w:val="-28"/>
        </w:rPr>
        <w:t> </w:t>
      </w:r>
      <w:r>
        <w:rPr>
          <w:spacing w:val="-28"/>
        </w:rPr>
      </w:r>
      <w:r>
        <w:rPr/>
        <w:t>公允价值变动计入其他综合收益。取得的股利计入当期损益。</w:t>
      </w:r>
      <w:r>
        <w:rPr>
          <w:w w:val="100"/>
        </w:rPr>
        <w:t> </w:t>
      </w:r>
      <w:r>
        <w:rPr/>
        <w:t>终止确认时，之前计入其他综合收益的累计利得或损失从其他综合收益中转出，计入留存收益。</w:t>
      </w:r>
    </w:p>
    <w:p>
      <w:pPr>
        <w:spacing w:line="240" w:lineRule="auto" w:before="6"/>
        <w:rPr>
          <w:rFonts w:ascii="宋体" w:hAnsi="宋体" w:cs="宋体" w:eastAsia="宋体" w:hint="default"/>
          <w:sz w:val="24"/>
          <w:szCs w:val="24"/>
        </w:rPr>
      </w:pPr>
    </w:p>
    <w:p>
      <w:pPr>
        <w:pStyle w:val="Heading6"/>
        <w:spacing w:line="273" w:lineRule="auto"/>
        <w:ind w:right="1133"/>
        <w:jc w:val="left"/>
      </w:pPr>
      <w:r>
        <w:rPr/>
        <w:t>④以公允价值计量且其变动计入当期损益的金融资产</w:t>
      </w:r>
      <w:r>
        <w:rPr>
          <w:w w:val="100"/>
        </w:rPr>
        <w:t> </w:t>
      </w:r>
      <w:r>
        <w:rPr>
          <w:spacing w:val="-3"/>
        </w:rPr>
        <w:t>以公允价值计量且其变动计入当期损益的金融资产包括交易性金融资产、衍生金融资产、其他非流</w:t>
      </w:r>
      <w:r>
        <w:rPr>
          <w:spacing w:val="-51"/>
        </w:rPr>
        <w:t> </w:t>
      </w:r>
      <w:r>
        <w:rPr>
          <w:spacing w:val="-51"/>
        </w:rPr>
      </w:r>
      <w:r>
        <w:rPr>
          <w:spacing w:val="-4"/>
        </w:rPr>
        <w:t>动金融资产等，按公允价值进行初始计量，相关交易费用计入当期损益。该金融资产按公允价值进</w:t>
      </w:r>
      <w:r>
        <w:rPr>
          <w:spacing w:val="-14"/>
        </w:rPr>
        <w:t> </w:t>
      </w:r>
      <w:r>
        <w:rPr>
          <w:spacing w:val="-14"/>
        </w:rPr>
      </w:r>
      <w:r>
        <w:rPr/>
        <w:t>行后续计量，公允价值变动计入当期损益。</w:t>
      </w:r>
    </w:p>
    <w:p>
      <w:pPr>
        <w:spacing w:line="240" w:lineRule="auto" w:before="6"/>
        <w:rPr>
          <w:rFonts w:ascii="宋体" w:hAnsi="宋体" w:cs="宋体" w:eastAsia="宋体" w:hint="default"/>
          <w:sz w:val="24"/>
          <w:szCs w:val="24"/>
        </w:rPr>
      </w:pPr>
    </w:p>
    <w:p>
      <w:pPr>
        <w:pStyle w:val="Heading6"/>
        <w:spacing w:line="273" w:lineRule="auto"/>
        <w:ind w:right="1133"/>
        <w:jc w:val="left"/>
      </w:pPr>
      <w:r>
        <w:rPr/>
        <w:t>⑤以公允价值计量且其变动计入当期损益的金融负债</w:t>
      </w:r>
      <w:r>
        <w:rPr>
          <w:w w:val="100"/>
        </w:rPr>
        <w:t> </w:t>
      </w:r>
      <w:r>
        <w:rPr>
          <w:spacing w:val="-3"/>
        </w:rPr>
        <w:t>以公允价值计量且其变动计入当期损益的金融负债包括交易性金融负债、衍生金融负债等，按公允</w:t>
      </w:r>
      <w:r>
        <w:rPr>
          <w:spacing w:val="-52"/>
        </w:rPr>
        <w:t> </w:t>
      </w:r>
      <w:r>
        <w:rPr>
          <w:spacing w:val="-52"/>
        </w:rPr>
      </w:r>
      <w:r>
        <w:rPr>
          <w:spacing w:val="-3"/>
        </w:rPr>
        <w:t>价值进行初始计量，相关交易费用计入当期损益。该金融负债按公允价值进行后续计量，公允价值</w:t>
      </w:r>
      <w:r>
        <w:rPr>
          <w:spacing w:val="-54"/>
        </w:rPr>
        <w:t> </w:t>
      </w:r>
      <w:r>
        <w:rPr>
          <w:spacing w:val="-54"/>
        </w:rPr>
      </w:r>
      <w:r>
        <w:rPr/>
        <w:t>变动计入当期损益。</w:t>
      </w:r>
    </w:p>
    <w:p>
      <w:pPr>
        <w:pStyle w:val="Heading6"/>
        <w:spacing w:line="240" w:lineRule="auto" w:before="7"/>
        <w:ind w:right="1133"/>
        <w:jc w:val="left"/>
      </w:pPr>
      <w:r>
        <w:rPr/>
        <w:t>终止确认时，其账面价值与支付的对价之间的差额计入当期损益。</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73" w:lineRule="auto" w:before="36"/>
        <w:ind w:right="1133"/>
        <w:jc w:val="left"/>
      </w:pPr>
      <w:r>
        <w:rPr/>
        <w:t>⑥以摊余成本计量的金融负债</w:t>
      </w:r>
      <w:r>
        <w:rPr>
          <w:w w:val="100"/>
        </w:rPr>
        <w:t> </w:t>
      </w:r>
      <w:r>
        <w:rPr>
          <w:spacing w:val="-3"/>
        </w:rPr>
        <w:t>以摊余成本计量的金融负债包括短期借款、应付票据、应付账款、其他应付款、长期借款、应付债</w:t>
      </w:r>
      <w:r>
        <w:rPr>
          <w:spacing w:val="-54"/>
        </w:rPr>
        <w:t> </w:t>
      </w:r>
      <w:r>
        <w:rPr>
          <w:spacing w:val="-54"/>
        </w:rPr>
      </w:r>
      <w:r>
        <w:rPr/>
        <w:t>券、长期应付款，按公允价值进行初始计量，相关交易费用计入初始确认金额。</w:t>
      </w:r>
      <w:r>
        <w:rPr>
          <w:w w:val="100"/>
        </w:rPr>
        <w:t> </w:t>
      </w:r>
      <w:r>
        <w:rPr/>
        <w:t>持有期间采用实际利率法计算的利息计入当期损益。</w:t>
      </w:r>
      <w:r>
        <w:rPr>
          <w:spacing w:val="-3"/>
          <w:w w:val="100"/>
        </w:rPr>
        <w:t> </w:t>
      </w:r>
      <w:r>
        <w:rPr/>
        <w:t>终止确认时，将支付的对价与该金融负债账面价值之间的差额计入当期损益。</w:t>
      </w:r>
    </w:p>
    <w:p>
      <w:pPr>
        <w:spacing w:line="240" w:lineRule="auto" w:before="6"/>
        <w:rPr>
          <w:rFonts w:ascii="宋体" w:hAnsi="宋体" w:cs="宋体" w:eastAsia="宋体" w:hint="default"/>
          <w:sz w:val="24"/>
          <w:szCs w:val="24"/>
        </w:rPr>
      </w:pPr>
    </w:p>
    <w:p>
      <w:pPr>
        <w:pStyle w:val="Heading5"/>
        <w:spacing w:line="240" w:lineRule="auto"/>
        <w:ind w:left="830"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Heading6"/>
        <w:spacing w:line="273" w:lineRule="auto" w:before="21"/>
        <w:ind w:right="1133"/>
        <w:jc w:val="left"/>
      </w:pPr>
      <w:r>
        <w:rPr/>
        <w:t>①以公允价值计量且其变动计入当期损益的金融资产（金融负债）</w:t>
      </w:r>
      <w:r>
        <w:rPr>
          <w:w w:val="100"/>
        </w:rPr>
        <w:t> </w:t>
      </w:r>
      <w:r>
        <w:rPr>
          <w:spacing w:val="-3"/>
        </w:rPr>
        <w:t>取得时以公允价值（扣除已宣告但尚未发放的现金股利或已到付息期但尚未领取的债券利息）作为</w:t>
      </w:r>
      <w:r>
        <w:rPr>
          <w:spacing w:val="-51"/>
        </w:rPr>
        <w:t> </w:t>
      </w:r>
      <w:r>
        <w:rPr>
          <w:spacing w:val="-51"/>
        </w:rPr>
      </w:r>
      <w:r>
        <w:rPr/>
        <w:t>初始确认金额，相关的交易费用计入当期损益。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Heading6"/>
        <w:spacing w:line="273" w:lineRule="auto" w:before="7"/>
        <w:ind w:right="1133"/>
        <w:jc w:val="left"/>
      </w:pPr>
      <w:r>
        <w:rPr/>
        <w:t>②持有至到期投资</w:t>
      </w:r>
      <w:r>
        <w:rPr>
          <w:w w:val="100"/>
        </w:rPr>
        <w:t> </w:t>
      </w:r>
      <w:r>
        <w:rPr>
          <w:spacing w:val="-4"/>
        </w:rPr>
        <w:t>取得时按公允价值（扣除已到付息期但尚未领取的债券利息）和相关交易费用之和作为初始确认金</w:t>
      </w:r>
      <w:r>
        <w:rPr>
          <w:spacing w:val="-12"/>
        </w:rPr>
        <w:t> </w:t>
      </w:r>
      <w:r>
        <w:rPr>
          <w:spacing w:val="-12"/>
        </w:rPr>
      </w:r>
      <w:r>
        <w:rPr/>
        <w:t>额。</w:t>
      </w:r>
      <w:r>
        <w:rPr>
          <w:spacing w:val="-103"/>
        </w:rPr>
        <w:t> </w:t>
      </w:r>
      <w:r>
        <w:rPr>
          <w:spacing w:val="-3"/>
        </w:rPr>
        <w:t>持有期间按照摊余成本和实际利率计算确认利息收入，计入投资收益。实际利率在取得时确定，在</w:t>
      </w:r>
      <w:r>
        <w:rPr>
          <w:spacing w:val="-54"/>
        </w:rPr>
        <w:t> </w:t>
      </w:r>
      <w:r>
        <w:rPr>
          <w:spacing w:val="-54"/>
        </w:rPr>
      </w:r>
      <w:r>
        <w:rPr/>
        <w:t>该预期存续期间或适用的更短期间内保持不变。</w:t>
      </w:r>
      <w:r>
        <w:rPr>
          <w:w w:val="100"/>
        </w:rPr>
        <w:t> </w:t>
      </w:r>
      <w:r>
        <w:rPr/>
        <w:t>处置时，将所取得价款与该投资账面价值之间的差额计入投资收益。</w:t>
      </w:r>
    </w:p>
    <w:p>
      <w:pPr>
        <w:pStyle w:val="Heading6"/>
        <w:spacing w:line="273" w:lineRule="auto" w:before="7"/>
        <w:ind w:right="1133"/>
        <w:jc w:val="left"/>
      </w:pPr>
      <w:r>
        <w:rPr/>
        <w:t>③应收款项</w:t>
      </w:r>
      <w:r>
        <w:rPr>
          <w:spacing w:val="-102"/>
        </w:rPr>
        <w:t> </w:t>
      </w:r>
      <w:r>
        <w:rPr>
          <w:spacing w:val="-102"/>
        </w:rPr>
      </w:r>
      <w:r>
        <w:rPr>
          <w:spacing w:val="-3"/>
        </w:rPr>
        <w:t>公司对外销售商品或提供劳务形成的应收债权，以及公司持有的其他企业的不包括在活跃市场上有</w:t>
      </w:r>
      <w:r>
        <w:rPr>
          <w:spacing w:val="-52"/>
        </w:rPr>
        <w:t> </w:t>
      </w:r>
      <w:r>
        <w:rPr>
          <w:spacing w:val="-52"/>
        </w:rPr>
      </w:r>
      <w:r>
        <w:rPr>
          <w:spacing w:val="-4"/>
        </w:rPr>
        <w:t>报价的债务工具的债权，包括应收账款、其他应收款等，以向购货方应收的合同或协议价款作为初</w:t>
      </w:r>
      <w:r>
        <w:rPr>
          <w:spacing w:val="-14"/>
        </w:rPr>
        <w:t> </w:t>
      </w:r>
      <w:r>
        <w:rPr>
          <w:spacing w:val="-14"/>
        </w:rPr>
      </w:r>
      <w:r>
        <w:rPr/>
        <w:t>始确认金额；具有融资性质的，按其现值进行初始确认。</w:t>
      </w:r>
      <w:r>
        <w:rPr>
          <w:w w:val="100"/>
        </w:rPr>
        <w:t> </w:t>
      </w:r>
      <w:r>
        <w:rPr/>
        <w:t>收回或处置时，将取得的价款与该应收款项账面价值之间的差额计入当期损益。</w:t>
      </w:r>
    </w:p>
    <w:p>
      <w:pPr>
        <w:pStyle w:val="Heading6"/>
        <w:spacing w:line="273" w:lineRule="auto" w:before="7"/>
        <w:ind w:right="1133"/>
        <w:jc w:val="left"/>
      </w:pPr>
      <w:r>
        <w:rPr/>
        <w:t>④可供出售金融资产</w:t>
      </w:r>
      <w:r>
        <w:rPr>
          <w:w w:val="100"/>
        </w:rPr>
        <w:t> </w:t>
      </w:r>
      <w:r>
        <w:rPr>
          <w:spacing w:val="-3"/>
        </w:rPr>
        <w:t>取得时按公允价值（扣除已宣告但尚未发放的现金股利或已到付息期但尚未领取的债券利息）和相</w:t>
      </w:r>
      <w:r>
        <w:rPr>
          <w:spacing w:val="-51"/>
        </w:rPr>
        <w:t> </w:t>
      </w:r>
      <w:r>
        <w:rPr>
          <w:spacing w:val="-51"/>
        </w:rPr>
      </w:r>
      <w:r>
        <w:rPr/>
        <w:t>关交易费用之和作为初始确认金额。</w:t>
      </w:r>
      <w:r>
        <w:rPr>
          <w:w w:val="100"/>
        </w:rPr>
        <w:t> </w:t>
      </w:r>
      <w:r>
        <w:rPr>
          <w:spacing w:val="-3"/>
        </w:rPr>
        <w:t>持有期间将取得的利息或现金股利确认为投资收益。期末以公允价值计量且将公允价值变动计入其</w:t>
      </w:r>
      <w:r>
        <w:rPr>
          <w:spacing w:val="-52"/>
        </w:rPr>
        <w:t> </w:t>
      </w:r>
      <w:r>
        <w:rPr>
          <w:spacing w:val="-52"/>
        </w:rPr>
      </w:r>
      <w:r>
        <w:rPr>
          <w:spacing w:val="-3"/>
        </w:rPr>
        <w:t>他综合收益。但是，在活跃市场中没有报价且其公允价值不能可靠计量的权益工具投资，以及与该</w:t>
      </w:r>
      <w:r>
        <w:rPr>
          <w:spacing w:val="-54"/>
        </w:rPr>
        <w:t> </w:t>
      </w:r>
      <w:r>
        <w:rPr>
          <w:spacing w:val="-54"/>
        </w:rPr>
      </w:r>
      <w:r>
        <w:rPr/>
        <w:t>权益工具挂钩并须通过交付该权益工具结算的衍生金融资产，按照成本计量。</w:t>
      </w:r>
      <w:r>
        <w:rPr>
          <w:w w:val="100"/>
        </w:rPr>
        <w:t> </w:t>
      </w:r>
      <w:r>
        <w:rPr>
          <w:spacing w:val="-4"/>
        </w:rPr>
        <w:t>处置时，将取得的价款与该金融资产账面价值之间的差额，计入投资损益；同时，将原直接计入其</w:t>
      </w:r>
      <w:r>
        <w:rPr>
          <w:spacing w:val="-12"/>
        </w:rPr>
        <w:t> </w:t>
      </w:r>
      <w:r>
        <w:rPr>
          <w:spacing w:val="-12"/>
        </w:rPr>
      </w:r>
      <w:r>
        <w:rPr/>
        <w:t>他综合收益的公允价值变动累计额对应处置部分的金额转出，计入当期损益。</w:t>
      </w:r>
    </w:p>
    <w:p>
      <w:pPr>
        <w:pStyle w:val="Heading6"/>
        <w:spacing w:line="273" w:lineRule="auto" w:before="8"/>
        <w:ind w:right="1133"/>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pStyle w:val="Heading6"/>
        <w:spacing w:line="268" w:lineRule="auto"/>
        <w:ind w:right="98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3"/>
        </w:rPr>
        <w:t>公司发生金融资产转移时，如已将金融资产所有权上几乎所有的风险和报酬转移给转入方，则终止</w:t>
      </w:r>
      <w:r>
        <w:rPr>
          <w:spacing w:val="-53"/>
        </w:rPr>
        <w:t> </w:t>
      </w:r>
      <w:r>
        <w:rPr>
          <w:spacing w:val="-53"/>
        </w:rPr>
      </w:r>
      <w:r>
        <w:rPr>
          <w:spacing w:val="-6"/>
          <w:w w:val="100"/>
        </w:rPr>
        <w:t>确认该金融资产；如保留了金融资产所有权上几乎所有的风险和报酬的，则不终止确认该金融资产。</w:t>
      </w:r>
      <w:r>
        <w:rPr>
          <w:spacing w:val="-78"/>
          <w:w w:val="100"/>
        </w:rPr>
        <w:t> </w:t>
      </w:r>
      <w:r>
        <w:rPr>
          <w:spacing w:val="-78"/>
          <w:w w:val="100"/>
        </w:rPr>
      </w:r>
      <w:r>
        <w:rPr/>
        <w:t>在判断金融资产转移是否满足上述金融资产终止确认条件时，采用实质重于形式的原则。</w:t>
      </w:r>
      <w:r>
        <w:rPr>
          <w:w w:val="100"/>
        </w:rPr>
        <w:t> </w:t>
      </w:r>
      <w:r>
        <w:rPr/>
        <w:t>公司将金融资产转移区分为金融资产整体转移和部分转移。金融资产整体转移满足终止确认条件</w:t>
      </w:r>
      <w:r>
        <w:rPr>
          <w:spacing w:val="21"/>
        </w:rPr>
        <w:t> </w:t>
      </w:r>
      <w:r>
        <w:rPr>
          <w:spacing w:val="21"/>
        </w:rPr>
      </w:r>
      <w:r>
        <w:rPr/>
        <w:t>的，将下列两项金额的差额计入当期损益：</w:t>
      </w:r>
    </w:p>
    <w:p>
      <w:pPr>
        <w:pStyle w:val="Heading6"/>
        <w:spacing w:line="240" w:lineRule="auto" w:before="12"/>
        <w:ind w:right="1133"/>
        <w:jc w:val="left"/>
      </w:pPr>
      <w:r>
        <w:rPr/>
        <w:t>①所转移金融资产的账面价值；</w:t>
      </w:r>
    </w:p>
    <w:p>
      <w:pPr>
        <w:pStyle w:val="Heading6"/>
        <w:spacing w:line="273" w:lineRule="auto" w:before="37"/>
        <w:ind w:right="986"/>
        <w:jc w:val="left"/>
      </w:pPr>
      <w:r>
        <w:rPr>
          <w:spacing w:val="-3"/>
        </w:rPr>
        <w:t>②因转移而收到的对价，与原直接计入所有者权益的公允价值变动累计额（涉及转移的金融资产为</w:t>
      </w:r>
      <w:r>
        <w:rPr>
          <w:spacing w:val="-54"/>
        </w:rPr>
        <w:t> </w:t>
      </w:r>
      <w:r>
        <w:rPr>
          <w:spacing w:val="-54"/>
        </w:rPr>
      </w:r>
      <w:r>
        <w:rPr>
          <w:spacing w:val="-2"/>
        </w:rPr>
        <w:t>以公允价值计量且其变动计入其他综合收益的金融资产（债务工具）、可供出售金融资产的情形）</w:t>
      </w:r>
    </w:p>
    <w:p>
      <w:pPr>
        <w:spacing w:after="0" w:line="273" w:lineRule="auto"/>
        <w:jc w:val="left"/>
        <w:sectPr>
          <w:footerReference w:type="default" r:id="rId16"/>
          <w:pgSz w:w="11910" w:h="16840"/>
          <w:pgMar w:footer="979" w:header="745"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pPr>
      <w:r>
        <w:rPr/>
        <w:t>之和。</w:t>
      </w:r>
    </w:p>
    <w:p>
      <w:pPr>
        <w:spacing w:line="240" w:lineRule="auto" w:before="9"/>
        <w:rPr>
          <w:rFonts w:ascii="宋体" w:hAnsi="宋体" w:cs="宋体" w:eastAsia="宋体" w:hint="default"/>
          <w:sz w:val="26"/>
          <w:szCs w:val="26"/>
        </w:rPr>
      </w:pPr>
    </w:p>
    <w:p>
      <w:pPr>
        <w:pStyle w:val="Heading6"/>
        <w:spacing w:line="273" w:lineRule="auto"/>
        <w:ind w:right="986"/>
        <w:jc w:val="left"/>
      </w:pPr>
      <w:r>
        <w:rPr>
          <w:spacing w:val="-3"/>
        </w:rPr>
        <w:t>金融资产部分转移满足终止确认条件的，将所转移金融资产整体的账面价值，在终止确认部分和未</w:t>
      </w:r>
      <w:r>
        <w:rPr>
          <w:spacing w:val="-53"/>
        </w:rPr>
        <w:t> </w:t>
      </w:r>
      <w:r>
        <w:rPr>
          <w:spacing w:val="-53"/>
        </w:rPr>
      </w:r>
      <w:r>
        <w:rPr>
          <w:spacing w:val="-2"/>
        </w:rPr>
        <w:t>终止确认部分之间，按照各自的相对公允价值进行分摊，并将下列两项金额的差额计入当期损益：</w:t>
      </w:r>
    </w:p>
    <w:p>
      <w:pPr>
        <w:pStyle w:val="Heading6"/>
        <w:spacing w:line="240" w:lineRule="auto" w:before="7"/>
        <w:ind w:right="1133"/>
        <w:jc w:val="left"/>
      </w:pPr>
      <w:r>
        <w:rPr/>
        <w:t>①终止确认部分的账面价值；</w:t>
      </w:r>
    </w:p>
    <w:p>
      <w:pPr>
        <w:pStyle w:val="Heading6"/>
        <w:spacing w:line="273" w:lineRule="auto" w:before="37"/>
        <w:ind w:right="986"/>
        <w:jc w:val="left"/>
      </w:pPr>
      <w:r>
        <w:rPr>
          <w:spacing w:val="-3"/>
        </w:rPr>
        <w:t>②终止确认部分的对价，与原直接计入所有者权益的公允价值变动累计额中对应终止确认部分的金</w:t>
      </w:r>
      <w:r>
        <w:rPr>
          <w:spacing w:val="-53"/>
        </w:rPr>
        <w:t> </w:t>
      </w:r>
      <w:r>
        <w:rPr>
          <w:spacing w:val="-53"/>
        </w:rPr>
      </w:r>
      <w:r>
        <w:rPr>
          <w:spacing w:val="-2"/>
        </w:rPr>
        <w:t>额（涉及转移的金融资产为以公允价值计量且其变动计入其他综合收益的金融资产（债务工具）、</w:t>
      </w:r>
      <w:r>
        <w:rPr>
          <w:spacing w:val="-28"/>
        </w:rPr>
        <w:t> </w:t>
      </w:r>
      <w:r>
        <w:rPr>
          <w:spacing w:val="-28"/>
        </w:rPr>
      </w:r>
      <w:r>
        <w:rPr/>
        <w:t>可供出售金融资产的情形）之和。</w:t>
      </w:r>
      <w:r>
        <w:rPr>
          <w:w w:val="100"/>
        </w:rPr>
        <w:t> </w:t>
      </w:r>
      <w:r>
        <w:rPr>
          <w:spacing w:val="-2"/>
        </w:rPr>
        <w:t>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Heading6"/>
        <w:spacing w:line="271" w:lineRule="auto"/>
        <w:ind w:right="113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spacing w:val="-3"/>
        </w:rPr>
        <w:t>金融负债的现时义务全部或部分已经解除的，则终止确认该金融负债或其一部分；本公司若与债权</w:t>
      </w:r>
      <w:r>
        <w:rPr>
          <w:spacing w:val="-53"/>
        </w:rPr>
        <w:t> </w:t>
      </w:r>
      <w:r>
        <w:rPr>
          <w:spacing w:val="-53"/>
        </w:rPr>
      </w:r>
      <w:r>
        <w:rPr>
          <w:spacing w:val="-3"/>
        </w:rPr>
        <w:t>人签定协议，以承担新金融负债方替换现存金融负债，且新金融负债与现存金融负债的合同条款实</w:t>
      </w:r>
      <w:r>
        <w:rPr>
          <w:spacing w:val="-54"/>
        </w:rPr>
        <w:t> </w:t>
      </w:r>
      <w:r>
        <w:rPr>
          <w:spacing w:val="-54"/>
        </w:rPr>
      </w:r>
      <w:r>
        <w:rPr/>
        <w:t>质上不同的，则终止确认现存金融负债，并同时确认新金融负债。</w:t>
      </w:r>
      <w:r>
        <w:rPr>
          <w:w w:val="100"/>
        </w:rPr>
        <w:t> </w:t>
      </w:r>
      <w:r>
        <w:rPr>
          <w:spacing w:val="-3"/>
        </w:rPr>
        <w:t>对现存金融负债全部或部分合同条款作出实质性修改的，则终止确认现存金融负债或其一部分，同</w:t>
      </w:r>
      <w:r>
        <w:rPr>
          <w:spacing w:val="-53"/>
        </w:rPr>
        <w:t> </w:t>
      </w:r>
      <w:r>
        <w:rPr>
          <w:spacing w:val="-53"/>
        </w:rPr>
      </w:r>
      <w:r>
        <w:rPr/>
        <w:t>时将修改条款后的金融负债确认为一项新金融负债。</w:t>
      </w:r>
      <w:r>
        <w:rPr>
          <w:w w:val="100"/>
        </w:rPr>
        <w:t> </w:t>
      </w:r>
      <w:r>
        <w:rPr>
          <w:spacing w:val="-3"/>
        </w:rPr>
        <w:t>金融负债全部或部分终止确认时，终止确认的金融负债账面价值与支付对价（包括转出的非现金资</w:t>
      </w:r>
      <w:r>
        <w:rPr>
          <w:spacing w:val="-51"/>
        </w:rPr>
        <w:t> </w:t>
      </w:r>
      <w:r>
        <w:rPr>
          <w:spacing w:val="-51"/>
        </w:rPr>
      </w:r>
      <w:r>
        <w:rPr/>
        <w:t>产或承担的新金融负债）之间的差额，计入当期损益。</w:t>
      </w:r>
      <w:r>
        <w:rPr>
          <w:w w:val="100"/>
        </w:rPr>
        <w:t> </w:t>
      </w:r>
      <w:r>
        <w:rPr>
          <w:spacing w:val="-3"/>
        </w:rPr>
        <w:t>本公司若回购部分金融负债的，在回购日按照继续确认部分与终止确认部分的相对公允价值，将该</w:t>
      </w:r>
      <w:r>
        <w:rPr>
          <w:spacing w:val="-52"/>
        </w:rPr>
        <w:t> </w:t>
      </w:r>
      <w:r>
        <w:rPr>
          <w:spacing w:val="-52"/>
        </w:rPr>
      </w:r>
      <w:r>
        <w:rPr>
          <w:spacing w:val="-3"/>
        </w:rPr>
        <w:t>金融负债整体的账面价值进行分配。分配给终止确认部分的账面价值与支付的对价（包括转出的非</w:t>
      </w:r>
      <w:r>
        <w:rPr>
          <w:spacing w:val="-52"/>
        </w:rPr>
        <w:t> </w:t>
      </w:r>
      <w:r>
        <w:rPr>
          <w:spacing w:val="-52"/>
        </w:rPr>
      </w:r>
      <w:r>
        <w:rPr/>
        <w:t>现金资产或承担的新金融负债）之间的差额，计入当期损益。</w:t>
      </w:r>
    </w:p>
    <w:p>
      <w:pPr>
        <w:spacing w:line="240" w:lineRule="auto" w:before="8"/>
        <w:rPr>
          <w:rFonts w:ascii="宋体" w:hAnsi="宋体" w:cs="宋体" w:eastAsia="宋体" w:hint="default"/>
          <w:sz w:val="24"/>
          <w:szCs w:val="24"/>
        </w:rPr>
      </w:pPr>
    </w:p>
    <w:p>
      <w:pPr>
        <w:pStyle w:val="Heading6"/>
        <w:spacing w:line="268" w:lineRule="auto"/>
        <w:ind w:right="1133"/>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3"/>
        </w:rPr>
        <w:t>存在活跃市场的金融工具，以活跃市场中的报价确定其公允价值。不存在活跃市场的金融工具，采</w:t>
      </w:r>
      <w:r>
        <w:rPr>
          <w:spacing w:val="-54"/>
        </w:rPr>
        <w:t> </w:t>
      </w:r>
      <w:r>
        <w:rPr>
          <w:spacing w:val="-54"/>
        </w:rPr>
      </w:r>
      <w:r>
        <w:rPr>
          <w:spacing w:val="-3"/>
        </w:rPr>
        <w:t>用估值技术确定其公允价值。在估值时，本公司采用在当前情况下适用并且有足够可利用数据和其</w:t>
      </w:r>
      <w:r>
        <w:rPr>
          <w:spacing w:val="-52"/>
        </w:rPr>
        <w:t> </w:t>
      </w:r>
      <w:r>
        <w:rPr>
          <w:spacing w:val="-52"/>
        </w:rPr>
      </w:r>
      <w:r>
        <w:rPr>
          <w:spacing w:val="-3"/>
        </w:rPr>
        <w:t>他信息支持的估值技术，选择与市场参与者在相关资产或负债的交易中所考虑的资产或负债特征相</w:t>
      </w:r>
      <w:r>
        <w:rPr>
          <w:spacing w:val="-53"/>
        </w:rPr>
        <w:t> </w:t>
      </w:r>
      <w:r>
        <w:rPr>
          <w:spacing w:val="-53"/>
        </w:rPr>
      </w:r>
      <w:r>
        <w:rPr>
          <w:spacing w:val="-4"/>
        </w:rPr>
        <w:t>一致的输入值，并优先使用相关可观察输入值。只有在相关可观察输入值无法取得或取得不切实可</w:t>
      </w:r>
      <w:r>
        <w:rPr>
          <w:spacing w:val="-12"/>
        </w:rPr>
        <w:t> </w:t>
      </w:r>
      <w:r>
        <w:rPr>
          <w:spacing w:val="-12"/>
        </w:rPr>
      </w:r>
      <w:r>
        <w:rPr/>
        <w:t>行的情况下，才使用不可观察输入值。</w:t>
      </w:r>
    </w:p>
    <w:p>
      <w:pPr>
        <w:spacing w:line="240" w:lineRule="auto" w:before="10"/>
        <w:rPr>
          <w:rFonts w:ascii="宋体" w:hAnsi="宋体" w:cs="宋体" w:eastAsia="宋体" w:hint="default"/>
          <w:sz w:val="24"/>
          <w:szCs w:val="24"/>
        </w:rPr>
      </w:pPr>
    </w:p>
    <w:p>
      <w:pPr>
        <w:pStyle w:val="Heading5"/>
        <w:spacing w:line="256" w:lineRule="auto"/>
        <w:ind w:left="830" w:right="4274"/>
        <w:jc w:val="left"/>
        <w:rPr>
          <w:b w:val="0"/>
          <w:bCs w:val="0"/>
        </w:rPr>
      </w:pPr>
      <w:r>
        <w:rPr>
          <w:spacing w:val="-1"/>
        </w:rPr>
        <w:t>（</w:t>
      </w:r>
      <w:r>
        <w:rPr>
          <w:rFonts w:ascii="Times New Roman" w:hAnsi="Times New Roman" w:cs="Times New Roman" w:eastAsia="Times New Roman" w:hint="default"/>
          <w:spacing w:val="-1"/>
        </w:rPr>
        <w:t>6</w:t>
      </w:r>
      <w:r>
        <w:rPr>
          <w:spacing w:val="-1"/>
        </w:rPr>
        <w:t>）金融资产减值的测试方法及会计处理方法</w:t>
      </w:r>
      <w:r>
        <w:rPr>
          <w:spacing w:val="-84"/>
        </w:rPr>
        <w:t> </w:t>
      </w:r>
      <w:r>
        <w:rPr>
          <w:spacing w:val="-84"/>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Heading6"/>
        <w:spacing w:line="271" w:lineRule="auto" w:before="5"/>
        <w:ind w:right="1133"/>
        <w:jc w:val="left"/>
      </w:pPr>
      <w:r>
        <w:rPr>
          <w:spacing w:val="-4"/>
        </w:rPr>
        <w:t>本公司考虑所有合理且有依据的信息，包括前瞻性信息，以单项或组合的方式对以摊余成本计量的</w:t>
      </w:r>
      <w:r>
        <w:rPr>
          <w:spacing w:val="-12"/>
        </w:rPr>
        <w:t> </w:t>
      </w:r>
      <w:r>
        <w:rPr>
          <w:spacing w:val="-12"/>
        </w:rPr>
      </w:r>
      <w:r>
        <w:rPr>
          <w:spacing w:val="-3"/>
        </w:rPr>
        <w:t>金融资产和以公允价值计量且其变动计入其他综合收益的金融资产（债务工具）的预期信用损失进</w:t>
      </w:r>
      <w:r>
        <w:rPr>
          <w:spacing w:val="-51"/>
        </w:rPr>
        <w:t> </w:t>
      </w:r>
      <w:r>
        <w:rPr>
          <w:spacing w:val="-51"/>
        </w:rPr>
      </w:r>
      <w:r>
        <w:rPr/>
        <w:t>行估计。预期信用损失的计量取决于金融资产自初始确认后是否发生信用风险显著增加。</w:t>
      </w:r>
      <w:r>
        <w:rPr>
          <w:w w:val="100"/>
        </w:rPr>
        <w:t> </w:t>
      </w:r>
      <w:r>
        <w:rPr>
          <w:spacing w:val="-3"/>
        </w:rPr>
        <w:t>如果该金融工具的信用风险自初始确认后已显著增加，本公司按照相当于该金融工具整个存续期内</w:t>
      </w:r>
      <w:r>
        <w:rPr>
          <w:spacing w:val="-52"/>
        </w:rPr>
        <w:t> </w:t>
      </w:r>
      <w:r>
        <w:rPr>
          <w:spacing w:val="-52"/>
        </w:rPr>
      </w:r>
      <w:r>
        <w:rPr>
          <w:spacing w:val="-3"/>
        </w:rPr>
        <w:t>预期信用损失的金额计量其损失准备；如果该金融工具的信用风险自初始确认后并未显著增加，本</w:t>
      </w:r>
      <w:r>
        <w:rPr>
          <w:spacing w:val="-52"/>
        </w:rPr>
        <w:t> </w:t>
      </w:r>
      <w:r>
        <w:rPr>
          <w:spacing w:val="-52"/>
        </w:rPr>
      </w:r>
      <w:r>
        <w:rPr>
          <w:spacing w:val="-3"/>
        </w:rPr>
        <w:t>公司按照相当于该金融工具未来</w:t>
      </w:r>
      <w:r>
        <w:rPr>
          <w:rFonts w:ascii="Times New Roman" w:hAnsi="Times New Roman" w:cs="Times New Roman" w:eastAsia="Times New Roman" w:hint="default"/>
          <w:spacing w:val="-3"/>
        </w:rPr>
        <w:t>12</w:t>
      </w:r>
      <w:r>
        <w:rPr>
          <w:spacing w:val="-3"/>
        </w:rPr>
        <w:t>个月内预期信用损失的金额计量其损失准备。由此形成的损失准</w:t>
      </w:r>
      <w:r>
        <w:rPr>
          <w:spacing w:val="-50"/>
        </w:rPr>
        <w:t> </w:t>
      </w:r>
      <w:r>
        <w:rPr>
          <w:spacing w:val="-50"/>
        </w:rPr>
      </w:r>
      <w:r>
        <w:rPr/>
        <w:t>备的增加或转回金额，作为减值损失或利得计入当期损益。</w:t>
      </w:r>
      <w:r>
        <w:rPr>
          <w:w w:val="100"/>
        </w:rPr>
        <w:t> </w:t>
      </w:r>
      <w:r>
        <w:rPr>
          <w:spacing w:val="-3"/>
        </w:rPr>
        <w:t>通常逾期超过</w:t>
      </w:r>
      <w:r>
        <w:rPr>
          <w:rFonts w:ascii="Times New Roman" w:hAnsi="Times New Roman" w:cs="Times New Roman" w:eastAsia="Times New Roman" w:hint="default"/>
          <w:spacing w:val="-3"/>
        </w:rPr>
        <w:t>30</w:t>
      </w:r>
      <w:r>
        <w:rPr>
          <w:spacing w:val="-3"/>
        </w:rPr>
        <w:t>日，本公司即认为该金融工具的信用风险已显著增加，除非有确凿证据证明该金融</w:t>
      </w:r>
      <w:r>
        <w:rPr>
          <w:spacing w:val="-54"/>
        </w:rPr>
        <w:t> </w:t>
      </w:r>
      <w:r>
        <w:rPr>
          <w:spacing w:val="-54"/>
        </w:rPr>
      </w:r>
      <w:r>
        <w:rPr/>
        <w:t>工具的信用风险自初始确认后并未显著增加。</w:t>
      </w:r>
      <w:r>
        <w:rPr>
          <w:w w:val="100"/>
        </w:rPr>
        <w:t> </w:t>
      </w:r>
      <w:r>
        <w:rPr>
          <w:spacing w:val="-3"/>
        </w:rPr>
        <w:t>如果金融工具于资产负债表日的信用风险较低，本公司即认为该金融工具的信用风险自初始确认后</w:t>
      </w:r>
      <w:r>
        <w:rPr>
          <w:spacing w:val="-52"/>
        </w:rPr>
        <w:t> </w:t>
      </w:r>
      <w:r>
        <w:rPr>
          <w:spacing w:val="-52"/>
        </w:rPr>
      </w:r>
      <w:r>
        <w:rPr/>
        <w:t>并未显著增加。</w:t>
      </w:r>
      <w:r>
        <w:rPr>
          <w:spacing w:val="-103"/>
        </w:rPr>
        <w:t> </w:t>
      </w:r>
      <w:r>
        <w:rPr>
          <w:spacing w:val="-103"/>
        </w:rPr>
      </w:r>
      <w:r>
        <w:rPr>
          <w:spacing w:val="-3"/>
        </w:rPr>
        <w:t>如果有客观证据表明某项金融资产已经发生信用减值，则本公司在单项基础上对该金融资产计提减</w:t>
      </w:r>
      <w:r>
        <w:rPr>
          <w:spacing w:val="-52"/>
        </w:rPr>
        <w:t> </w:t>
      </w:r>
      <w:r>
        <w:rPr>
          <w:spacing w:val="-52"/>
        </w:rPr>
      </w:r>
      <w:r>
        <w:rPr/>
        <w:t>值准备。</w:t>
      </w:r>
    </w:p>
    <w:p>
      <w:pPr>
        <w:spacing w:after="0" w:line="271" w:lineRule="auto"/>
        <w:jc w:val="left"/>
        <w:sectPr>
          <w:footerReference w:type="default" r:id="rId17"/>
          <w:pgSz w:w="11910" w:h="16840"/>
          <w:pgMar w:footer="979" w:header="745" w:top="1060" w:bottom="1160" w:left="980" w:right="0"/>
          <w:pgNumType w:start="101"/>
        </w:sectPr>
      </w:pPr>
    </w:p>
    <w:p>
      <w:pPr>
        <w:spacing w:line="240" w:lineRule="auto" w:before="10"/>
        <w:rPr>
          <w:rFonts w:ascii="宋体" w:hAnsi="宋体" w:cs="宋体" w:eastAsia="宋体" w:hint="default"/>
          <w:sz w:val="24"/>
          <w:szCs w:val="24"/>
        </w:rPr>
      </w:pPr>
    </w:p>
    <w:p>
      <w:pPr>
        <w:pStyle w:val="Heading6"/>
        <w:spacing w:line="273" w:lineRule="auto" w:before="36"/>
        <w:ind w:right="1133"/>
        <w:jc w:val="left"/>
      </w:pPr>
      <w:r>
        <w:rPr>
          <w:spacing w:val="-4"/>
        </w:rPr>
        <w:t>对于应收账款，无论是否包含重大融资成分，本公司始终按照相当于整个存续期内预期信用损失的</w:t>
      </w:r>
      <w:r>
        <w:rPr>
          <w:spacing w:val="-13"/>
        </w:rPr>
        <w:t> </w:t>
      </w:r>
      <w:r>
        <w:rPr>
          <w:spacing w:val="-13"/>
        </w:rPr>
      </w:r>
      <w:r>
        <w:rPr/>
        <w:t>金额计量其损失准备。</w:t>
      </w:r>
      <w:r>
        <w:rPr>
          <w:w w:val="100"/>
        </w:rPr>
        <w:t> </w:t>
      </w:r>
      <w:r>
        <w:rPr>
          <w:spacing w:val="-3"/>
        </w:rPr>
        <w:t>对于租赁应收款、公司通过销售商品或提供劳务形成的长期应收款，本公司选择始终按照相当于整</w:t>
      </w:r>
      <w:r>
        <w:rPr>
          <w:spacing w:val="-54"/>
        </w:rPr>
        <w:t> </w:t>
      </w:r>
      <w:r>
        <w:rPr>
          <w:spacing w:val="-54"/>
        </w:rPr>
      </w:r>
      <w:r>
        <w:rPr/>
        <w:t>个存续期内预期信用损失的金额计量其损失准备。</w:t>
      </w:r>
    </w:p>
    <w:p>
      <w:pPr>
        <w:spacing w:line="240" w:lineRule="auto" w:before="6"/>
        <w:rPr>
          <w:rFonts w:ascii="宋体" w:hAnsi="宋体" w:cs="宋体" w:eastAsia="宋体" w:hint="default"/>
          <w:sz w:val="24"/>
          <w:szCs w:val="24"/>
        </w:rPr>
      </w:pPr>
    </w:p>
    <w:p>
      <w:pPr>
        <w:pStyle w:val="Heading6"/>
        <w:spacing w:line="264"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除以公允价值计量且其变动计入当期损益的金融资产外，本公司于资产负债表日对金融资产的账面</w:t>
      </w:r>
      <w:r>
        <w:rPr>
          <w:spacing w:val="-53"/>
        </w:rPr>
        <w:t> </w:t>
      </w:r>
      <w:r>
        <w:rPr>
          <w:spacing w:val="-53"/>
        </w:rPr>
      </w:r>
      <w:r>
        <w:rPr/>
        <w:t>价值进行检查，如果有客观证据表明某项金融资产发生减值的，计提减值准备。</w:t>
      </w:r>
    </w:p>
    <w:p>
      <w:pPr>
        <w:spacing w:line="240" w:lineRule="auto" w:before="1"/>
        <w:rPr>
          <w:rFonts w:ascii="宋体" w:hAnsi="宋体" w:cs="宋体" w:eastAsia="宋体" w:hint="default"/>
          <w:sz w:val="25"/>
          <w:szCs w:val="25"/>
        </w:rPr>
      </w:pPr>
    </w:p>
    <w:p>
      <w:pPr>
        <w:pStyle w:val="Heading6"/>
        <w:spacing w:line="273" w:lineRule="auto"/>
        <w:ind w:right="1133"/>
        <w:jc w:val="left"/>
      </w:pPr>
      <w:r>
        <w:rPr/>
        <w:t>①可供出售金融资产的减值准备：</w:t>
      </w:r>
      <w:r>
        <w:rPr>
          <w:w w:val="100"/>
        </w:rPr>
        <w:t> </w:t>
      </w:r>
      <w:r>
        <w:rPr>
          <w:spacing w:val="-3"/>
        </w:rPr>
        <w:t>期末如果可供出售金融资产的公允价值发生严重下降，或在综合考虑各种相关因素后，预期这种下</w:t>
      </w:r>
      <w:r>
        <w:rPr>
          <w:spacing w:val="-52"/>
        </w:rPr>
        <w:t> </w:t>
      </w:r>
      <w:r>
        <w:rPr>
          <w:spacing w:val="-52"/>
        </w:rPr>
      </w:r>
      <w:r>
        <w:rPr>
          <w:spacing w:val="-4"/>
        </w:rPr>
        <w:t>降趋势属于非暂时性的，就认定其已发生减值，将原直接计入所有者权益的公允价值下降形成的累</w:t>
      </w:r>
      <w:r>
        <w:rPr>
          <w:spacing w:val="-12"/>
        </w:rPr>
        <w:t> </w:t>
      </w:r>
      <w:r>
        <w:rPr>
          <w:spacing w:val="-12"/>
        </w:rPr>
      </w:r>
      <w:r>
        <w:rPr/>
        <w:t>计损失一并转出，确认减值损失。</w:t>
      </w:r>
      <w:r>
        <w:rPr>
          <w:w w:val="100"/>
        </w:rPr>
        <w:t> </w:t>
      </w:r>
      <w:r>
        <w:rPr>
          <w:spacing w:val="-3"/>
        </w:rPr>
        <w:t>对于已确认减值损失的可供出售债务工具，在随后的会计期间公允价值已上升且客观上与确认原减</w:t>
      </w:r>
      <w:r>
        <w:rPr>
          <w:spacing w:val="-52"/>
        </w:rPr>
        <w:t> </w:t>
      </w:r>
      <w:r>
        <w:rPr>
          <w:spacing w:val="-52"/>
        </w:rPr>
      </w:r>
      <w:r>
        <w:rPr/>
        <w:t>值损失确认后发生的事项有关的，原确认的减值损失予以转回，计入当期损益。</w:t>
      </w:r>
      <w:r>
        <w:rPr>
          <w:w w:val="100"/>
        </w:rPr>
        <w:t> </w:t>
      </w:r>
      <w:r>
        <w:rPr/>
        <w:t>可供出售权益工具投资发生的减值损失，不通过损益转回。</w:t>
      </w:r>
    </w:p>
    <w:p>
      <w:pPr>
        <w:spacing w:line="240" w:lineRule="auto" w:before="6"/>
        <w:rPr>
          <w:rFonts w:ascii="宋体" w:hAnsi="宋体" w:cs="宋体" w:eastAsia="宋体" w:hint="default"/>
          <w:sz w:val="24"/>
          <w:szCs w:val="24"/>
        </w:rPr>
      </w:pPr>
    </w:p>
    <w:p>
      <w:pPr>
        <w:pStyle w:val="Heading6"/>
        <w:spacing w:line="273" w:lineRule="auto"/>
        <w:ind w:right="4274"/>
        <w:jc w:val="left"/>
      </w:pPr>
      <w:r>
        <w:rPr/>
        <w:t>②应收款项坏账准备：</w:t>
      </w:r>
      <w:r>
        <w:rPr>
          <w:w w:val="100"/>
        </w:rPr>
        <w:t> </w:t>
      </w:r>
      <w:r>
        <w:rPr>
          <w:spacing w:val="-2"/>
        </w:rPr>
        <w:t>Ⅰ单项金额重大并单独计提坏账准备的应收款项：</w:t>
      </w:r>
    </w:p>
    <w:p>
      <w:pPr>
        <w:pStyle w:val="Heading6"/>
        <w:spacing w:line="266" w:lineRule="auto" w:before="7"/>
        <w:ind w:right="1133"/>
        <w:jc w:val="left"/>
      </w:pPr>
      <w:r>
        <w:rPr/>
        <w:t>单项金额重大的判断依据或金额标准：应收款项期末余额</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w:t>
      </w:r>
      <w:r>
        <w:rPr>
          <w:w w:val="100"/>
        </w:rPr>
        <w:t> </w:t>
      </w:r>
      <w:r>
        <w:rPr>
          <w:spacing w:val="-3"/>
        </w:rPr>
        <w:t>单项金额重大并单独计提坏账准备的计提方法：单独进行减值测试，按预计未来现金流量现值低于</w:t>
      </w:r>
      <w:r>
        <w:rPr>
          <w:spacing w:val="-54"/>
        </w:rPr>
        <w:t> </w:t>
      </w:r>
      <w:r>
        <w:rPr>
          <w:spacing w:val="-54"/>
        </w:rPr>
      </w:r>
      <w:r>
        <w:rPr/>
        <w:t>其账面价值的差额计提坏账准备，计入当期损益。</w:t>
      </w:r>
    </w:p>
    <w:p>
      <w:pPr>
        <w:spacing w:line="240" w:lineRule="auto" w:before="12"/>
        <w:rPr>
          <w:rFonts w:ascii="宋体" w:hAnsi="宋体" w:cs="宋体" w:eastAsia="宋体" w:hint="default"/>
          <w:sz w:val="24"/>
          <w:szCs w:val="24"/>
        </w:rPr>
      </w:pPr>
    </w:p>
    <w:p>
      <w:pPr>
        <w:pStyle w:val="Heading6"/>
        <w:spacing w:line="240" w:lineRule="auto"/>
        <w:ind w:right="1133"/>
        <w:jc w:val="left"/>
      </w:pPr>
      <w:r>
        <w:rPr/>
        <w:t>Ⅱ按信用风险特征组合计提坏账准备应收款项：</w:t>
      </w:r>
    </w:p>
    <w:p>
      <w:pPr>
        <w:spacing w:line="240" w:lineRule="auto" w:before="10"/>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2545"/>
        <w:gridCol w:w="5269"/>
      </w:tblGrid>
      <w:tr>
        <w:trPr>
          <w:trHeight w:val="355" w:hRule="exact"/>
        </w:trPr>
        <w:tc>
          <w:tcPr>
            <w:tcW w:w="7813"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left="16"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1286"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21" w:right="2"/>
              <w:jc w:val="left"/>
              <w:rPr>
                <w:rFonts w:ascii="宋体" w:hAnsi="宋体" w:cs="宋体" w:eastAsia="宋体" w:hint="default"/>
                <w:sz w:val="21"/>
                <w:szCs w:val="21"/>
              </w:rPr>
            </w:pPr>
            <w:r>
              <w:rPr>
                <w:rFonts w:ascii="宋体" w:hAnsi="宋体" w:cs="宋体" w:eastAsia="宋体" w:hint="default"/>
                <w:spacing w:val="-3"/>
                <w:sz w:val="21"/>
                <w:szCs w:val="21"/>
              </w:rPr>
              <w:t>除已单独计提减值准备以外的应收账款和其他应收款，公</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司根据以前年度与之相同或相类似的、按账龄段划分的具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有类似信用风险特征的应收款项组合的实际损失率为基</w:t>
            </w:r>
            <w:r>
              <w:rPr>
                <w:rFonts w:ascii="宋体" w:hAnsi="宋体" w:cs="宋体" w:eastAsia="宋体" w:hint="default"/>
                <w:w w:val="100"/>
                <w:sz w:val="21"/>
                <w:szCs w:val="21"/>
              </w:rPr>
              <w:t> </w:t>
            </w:r>
            <w:r>
              <w:rPr>
                <w:rFonts w:ascii="宋体" w:hAnsi="宋体" w:cs="宋体" w:eastAsia="宋体" w:hint="default"/>
                <w:sz w:val="21"/>
                <w:szCs w:val="21"/>
              </w:rPr>
              <w:t>础，结合现时情况分析法确定坏账准备计提的比例。</w:t>
            </w:r>
          </w:p>
        </w:tc>
      </w:tr>
      <w:tr>
        <w:trPr>
          <w:trHeight w:val="1601"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2"/>
                <w:sz w:val="21"/>
                <w:szCs w:val="21"/>
              </w:rPr>
              <w:t>年末对于不适用按类似信用风险特征组合的应收票据、预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付账款和长期应收款均进行单项减值测试。如有客观证据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表明其发生了减值的，根据其未来现金流量现值低于其账</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面价值的差额，确认减值损失，计提坏账准备。如经减值</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测试未发现减值的，则不计提坏账准备。</w:t>
            </w:r>
          </w:p>
        </w:tc>
      </w:tr>
    </w:tbl>
    <w:p>
      <w:pPr>
        <w:spacing w:line="240" w:lineRule="auto" w:before="11"/>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2545"/>
        <w:gridCol w:w="5269"/>
      </w:tblGrid>
      <w:tr>
        <w:trPr>
          <w:trHeight w:val="355" w:hRule="exact"/>
        </w:trPr>
        <w:tc>
          <w:tcPr>
            <w:tcW w:w="7813" w:type="dxa"/>
            <w:gridSpan w:val="2"/>
            <w:tcBorders>
              <w:top w:val="single" w:sz="6" w:space="0" w:color="000000"/>
              <w:left w:val="single" w:sz="6" w:space="0" w:color="000000"/>
              <w:bottom w:val="single" w:sz="12" w:space="0" w:color="000000"/>
              <w:right w:val="nil" w:sz="6" w:space="0" w:color="auto"/>
            </w:tcBorders>
          </w:tcPr>
          <w:p>
            <w:pPr>
              <w:pStyle w:val="TableParagraph"/>
              <w:spacing w:line="274" w:lineRule="exact"/>
              <w:ind w:left="1804"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p>
        </w:tc>
      </w:tr>
      <w:tr>
        <w:trPr>
          <w:trHeight w:val="353"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3" w:hRule="exact"/>
        </w:trPr>
        <w:tc>
          <w:tcPr>
            <w:tcW w:w="254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p>
        </w:tc>
        <w:tc>
          <w:tcPr>
            <w:tcW w:w="526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2"/>
        <w:rPr>
          <w:rFonts w:ascii="宋体" w:hAnsi="宋体" w:cs="宋体" w:eastAsia="宋体" w:hint="default"/>
          <w:sz w:val="20"/>
          <w:szCs w:val="20"/>
        </w:rPr>
      </w:pPr>
    </w:p>
    <w:p>
      <w:pPr>
        <w:pStyle w:val="Heading6"/>
        <w:spacing w:line="240" w:lineRule="auto" w:before="36"/>
        <w:ind w:right="1133"/>
        <w:jc w:val="left"/>
      </w:pPr>
      <w:r>
        <w:rPr/>
        <w:t>组合中，采用账龄分析法计提坏账准备的：</w:t>
      </w:r>
    </w:p>
    <w:p>
      <w:pPr>
        <w:spacing w:line="240" w:lineRule="auto" w:before="8"/>
        <w:rPr>
          <w:rFonts w:ascii="宋体" w:hAnsi="宋体" w:cs="宋体" w:eastAsia="宋体" w:hint="default"/>
          <w:sz w:val="27"/>
          <w:szCs w:val="27"/>
        </w:rPr>
      </w:pPr>
    </w:p>
    <w:tbl>
      <w:tblPr>
        <w:tblW w:w="0" w:type="auto"/>
        <w:jc w:val="left"/>
        <w:tblInd w:w="753" w:type="dxa"/>
        <w:tblLayout w:type="fixed"/>
        <w:tblCellMar>
          <w:top w:w="0" w:type="dxa"/>
          <w:left w:w="0" w:type="dxa"/>
          <w:bottom w:w="0" w:type="dxa"/>
          <w:right w:w="0" w:type="dxa"/>
        </w:tblCellMar>
        <w:tblLook w:val="01E0"/>
      </w:tblPr>
      <w:tblGrid>
        <w:gridCol w:w="2813"/>
        <w:gridCol w:w="2528"/>
        <w:gridCol w:w="2472"/>
      </w:tblGrid>
      <w:tr>
        <w:trPr>
          <w:trHeight w:val="353" w:hRule="exact"/>
        </w:trPr>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28"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8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55"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2813"/>
        <w:gridCol w:w="2528"/>
        <w:gridCol w:w="2472"/>
      </w:tblGrid>
      <w:tr>
        <w:trPr>
          <w:trHeight w:val="356" w:hRule="exact"/>
        </w:trPr>
        <w:tc>
          <w:tcPr>
            <w:tcW w:w="2813"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1149" w:right="0"/>
              <w:jc w:val="left"/>
              <w:rPr>
                <w:rFonts w:ascii="Times New Roman" w:hAnsi="Times New Roman" w:cs="Times New Roman" w:eastAsia="Times New Roman" w:hint="default"/>
                <w:sz w:val="21"/>
                <w:szCs w:val="21"/>
              </w:rPr>
            </w:pPr>
            <w:r>
              <w:rPr>
                <w:rFonts w:ascii="Times New Roman"/>
                <w:sz w:val="21"/>
              </w:rPr>
              <w:t>10</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left="1125" w:right="0"/>
              <w:jc w:val="left"/>
              <w:rPr>
                <w:rFonts w:ascii="Times New Roman" w:hAnsi="Times New Roman" w:cs="Times New Roman" w:eastAsia="Times New Roman" w:hint="default"/>
                <w:sz w:val="21"/>
                <w:szCs w:val="21"/>
              </w:rPr>
            </w:pPr>
            <w:r>
              <w:rPr>
                <w:rFonts w:ascii="Times New Roman"/>
                <w:sz w:val="21"/>
              </w:rPr>
              <w:t>10</w:t>
            </w:r>
          </w:p>
        </w:tc>
      </w:tr>
      <w:tr>
        <w:trPr>
          <w:trHeight w:val="350"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9" w:right="0"/>
              <w:jc w:val="left"/>
              <w:rPr>
                <w:rFonts w:ascii="Times New Roman" w:hAnsi="Times New Roman" w:cs="Times New Roman" w:eastAsia="Times New Roman" w:hint="default"/>
                <w:sz w:val="21"/>
                <w:szCs w:val="21"/>
              </w:rPr>
            </w:pPr>
            <w:r>
              <w:rPr>
                <w:rFonts w:ascii="Times New Roman"/>
                <w:sz w:val="21"/>
              </w:rPr>
              <w:t>20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25" w:right="0"/>
              <w:jc w:val="left"/>
              <w:rPr>
                <w:rFonts w:ascii="Times New Roman" w:hAnsi="Times New Roman" w:cs="Times New Roman" w:eastAsia="Times New Roman" w:hint="default"/>
                <w:sz w:val="21"/>
                <w:szCs w:val="21"/>
              </w:rPr>
            </w:pPr>
            <w:r>
              <w:rPr>
                <w:rFonts w:ascii="Times New Roman"/>
                <w:sz w:val="21"/>
              </w:rPr>
              <w:t>20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149" w:right="0"/>
              <w:jc w:val="left"/>
              <w:rPr>
                <w:rFonts w:ascii="Times New Roman" w:hAnsi="Times New Roman" w:cs="Times New Roman" w:eastAsia="Times New Roman" w:hint="default"/>
                <w:sz w:val="21"/>
                <w:szCs w:val="21"/>
              </w:rPr>
            </w:pPr>
            <w:r>
              <w:rPr>
                <w:rFonts w:ascii="Times New Roman"/>
                <w:sz w:val="21"/>
              </w:rPr>
              <w:t>50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left="1125" w:right="0"/>
              <w:jc w:val="left"/>
              <w:rPr>
                <w:rFonts w:ascii="Times New Roman" w:hAnsi="Times New Roman" w:cs="Times New Roman" w:eastAsia="Times New Roman" w:hint="default"/>
                <w:sz w:val="21"/>
                <w:szCs w:val="21"/>
              </w:rPr>
            </w:pPr>
            <w:r>
              <w:rPr>
                <w:rFonts w:ascii="Times New Roman"/>
                <w:sz w:val="21"/>
              </w:rPr>
              <w:t>50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9" w:right="0"/>
              <w:jc w:val="left"/>
              <w:rPr>
                <w:rFonts w:ascii="Times New Roman" w:hAnsi="Times New Roman" w:cs="Times New Roman" w:eastAsia="Times New Roman" w:hint="default"/>
                <w:sz w:val="21"/>
                <w:szCs w:val="21"/>
              </w:rPr>
            </w:pPr>
            <w:r>
              <w:rPr>
                <w:rFonts w:ascii="Times New Roman"/>
                <w:sz w:val="21"/>
              </w:rPr>
              <w:t>80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25" w:right="0"/>
              <w:jc w:val="left"/>
              <w:rPr>
                <w:rFonts w:ascii="Times New Roman" w:hAnsi="Times New Roman" w:cs="Times New Roman" w:eastAsia="Times New Roman" w:hint="default"/>
                <w:sz w:val="21"/>
                <w:szCs w:val="21"/>
              </w:rPr>
            </w:pPr>
            <w:r>
              <w:rPr>
                <w:rFonts w:ascii="Times New Roman"/>
                <w:sz w:val="21"/>
              </w:rPr>
              <w:t>80</w:t>
            </w:r>
          </w:p>
        </w:tc>
      </w:tr>
      <w:tr>
        <w:trPr>
          <w:trHeight w:val="353" w:hRule="exact"/>
        </w:trPr>
        <w:tc>
          <w:tcPr>
            <w:tcW w:w="281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99" w:right="0"/>
              <w:jc w:val="left"/>
              <w:rPr>
                <w:rFonts w:ascii="Times New Roman" w:hAnsi="Times New Roman" w:cs="Times New Roman" w:eastAsia="Times New Roman" w:hint="default"/>
                <w:sz w:val="21"/>
                <w:szCs w:val="21"/>
              </w:rPr>
            </w:pPr>
            <w:r>
              <w:rPr>
                <w:rFonts w:ascii="Times New Roman"/>
                <w:sz w:val="21"/>
              </w:rPr>
              <w:t>100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72"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0"/>
          <w:szCs w:val="20"/>
        </w:rPr>
      </w:pPr>
    </w:p>
    <w:p>
      <w:pPr>
        <w:pStyle w:val="Heading6"/>
        <w:spacing w:line="273" w:lineRule="auto" w:before="36"/>
        <w:ind w:right="1133"/>
        <w:jc w:val="left"/>
      </w:pPr>
      <w:r>
        <w:rPr/>
        <w:t>Ⅲ单项金额不重大但单独计提坏账准备的应收款项：</w:t>
      </w:r>
      <w:r>
        <w:rPr>
          <w:w w:val="100"/>
        </w:rPr>
        <w:t> </w:t>
      </w:r>
      <w:r>
        <w:rPr>
          <w:spacing w:val="-4"/>
        </w:rPr>
        <w:t>单独计提坏账准备的理由：有客观证据表明单项金额虽不重大，但因其发生了特殊减值的应收款应</w:t>
      </w:r>
      <w:r>
        <w:rPr>
          <w:spacing w:val="-12"/>
        </w:rPr>
        <w:t> </w:t>
      </w:r>
      <w:r>
        <w:rPr>
          <w:spacing w:val="-12"/>
        </w:rPr>
      </w:r>
      <w:r>
        <w:rPr/>
        <w:t>进行单项减值测试。</w:t>
      </w:r>
    </w:p>
    <w:p>
      <w:pPr>
        <w:pStyle w:val="Heading6"/>
        <w:spacing w:line="240" w:lineRule="auto" w:before="7"/>
        <w:ind w:right="1133"/>
        <w:jc w:val="left"/>
      </w:pPr>
      <w:r>
        <w:rPr/>
        <w:t>坏账准备的计提方法：结合现时情况分析法确认坏账准备计提的比例。</w:t>
      </w:r>
    </w:p>
    <w:p>
      <w:pPr>
        <w:spacing w:line="240" w:lineRule="auto" w:before="10"/>
        <w:rPr>
          <w:rFonts w:ascii="宋体" w:hAnsi="宋体" w:cs="宋体" w:eastAsia="宋体" w:hint="default"/>
          <w:sz w:val="26"/>
          <w:szCs w:val="26"/>
        </w:rPr>
      </w:pPr>
    </w:p>
    <w:p>
      <w:pPr>
        <w:pStyle w:val="Heading6"/>
        <w:spacing w:line="273" w:lineRule="auto"/>
        <w:ind w:right="1133"/>
        <w:jc w:val="left"/>
      </w:pPr>
      <w:r>
        <w:rPr/>
        <w:t>③持有至到期投资的减值准备：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44" w:lineRule="auto" w:before="0"/>
        <w:ind w:left="152" w:right="62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五、重要会计政策及会计估计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BodyText"/>
        <w:spacing w:line="240" w:lineRule="auto" w:before="49"/>
        <w:ind w:right="1133"/>
        <w:jc w:val="left"/>
      </w:pPr>
      <w:r>
        <w:rPr/>
        <w:t>详见</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中</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6294"/>
        <w:jc w:val="left"/>
      </w:pPr>
      <w:r>
        <w:rPr/>
        <w:t>其他应收款的预期信用损失的确定方法及会计处理方法 详见</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中</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8"/>
        <w:rPr>
          <w:rFonts w:ascii="宋体" w:hAnsi="宋体" w:cs="宋体" w:eastAsia="宋体" w:hint="default"/>
          <w:b/>
          <w:bCs/>
          <w:sz w:val="24"/>
          <w:szCs w:val="24"/>
        </w:rPr>
      </w:pPr>
    </w:p>
    <w:p>
      <w:pPr>
        <w:spacing w:line="256" w:lineRule="auto" w:before="0"/>
        <w:ind w:left="229" w:right="42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存货分类为：原材料、周转材料、库存商品、在产品等。</w:t>
      </w:r>
    </w:p>
    <w:p>
      <w:pPr>
        <w:spacing w:line="240" w:lineRule="auto" w:before="7"/>
        <w:rPr>
          <w:rFonts w:ascii="宋体" w:hAnsi="宋体" w:cs="宋体" w:eastAsia="宋体" w:hint="default"/>
          <w:sz w:val="25"/>
          <w:szCs w:val="25"/>
        </w:rPr>
      </w:pPr>
    </w:p>
    <w:p>
      <w:pPr>
        <w:spacing w:line="256" w:lineRule="auto" w:before="0"/>
        <w:ind w:left="229" w:right="64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存货发出时按个别认定法计价。</w:t>
      </w:r>
    </w:p>
    <w:p>
      <w:pPr>
        <w:spacing w:line="240" w:lineRule="auto" w:before="7"/>
        <w:rPr>
          <w:rFonts w:ascii="宋体" w:hAnsi="宋体" w:cs="宋体" w:eastAsia="宋体" w:hint="default"/>
          <w:sz w:val="25"/>
          <w:szCs w:val="25"/>
        </w:rPr>
      </w:pPr>
    </w:p>
    <w:p>
      <w:pPr>
        <w:pStyle w:val="Heading6"/>
        <w:spacing w:line="268" w:lineRule="auto"/>
        <w:ind w:left="229" w:right="11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4"/>
        </w:rPr>
        <w:t>产成品、库存商品和用于出售的材料等直接用于出售的商品存货，在正常生产经营过程中，以该存货的估</w:t>
      </w:r>
      <w:r>
        <w:rPr>
          <w:spacing w:val="-26"/>
        </w:rPr>
        <w:t> </w:t>
      </w:r>
      <w:r>
        <w:rPr>
          <w:spacing w:val="-26"/>
        </w:rPr>
      </w:r>
      <w:r>
        <w:rPr>
          <w:spacing w:val="-4"/>
        </w:rPr>
        <w:t>计售价减去估计的销售费用和相关税费后的金额，确定其可变现净值；需要经过加工的材料存货，在正常</w:t>
      </w:r>
      <w:r>
        <w:rPr>
          <w:spacing w:val="-26"/>
        </w:rPr>
        <w:t> </w:t>
      </w:r>
      <w:r>
        <w:rPr>
          <w:spacing w:val="-26"/>
        </w:rPr>
      </w:r>
      <w:r>
        <w:rPr>
          <w:spacing w:val="-4"/>
        </w:rPr>
        <w:t>生产经营过程中，以所生产的产成品的估计售价减去至完工时估计将要发生的成本、估计的销售费用和相</w:t>
      </w:r>
      <w:r>
        <w:rPr>
          <w:spacing w:val="-28"/>
        </w:rPr>
        <w:t> </w:t>
      </w:r>
      <w:r>
        <w:rPr>
          <w:spacing w:val="-28"/>
        </w:rPr>
      </w:r>
      <w:r>
        <w:rPr>
          <w:spacing w:val="-4"/>
        </w:rPr>
        <w:t>关税费后的金额，确定其可变现净值；为执行销售合同或者劳务合同而持有的存货，其可变现净值以合同</w:t>
      </w:r>
      <w:r>
        <w:rPr>
          <w:spacing w:val="-28"/>
        </w:rPr>
        <w:t> </w:t>
      </w:r>
      <w:r>
        <w:rPr>
          <w:spacing w:val="-28"/>
        </w:rPr>
      </w:r>
      <w:r>
        <w:rPr>
          <w:spacing w:val="-4"/>
        </w:rPr>
        <w:t>价格为基础计算，若持有存货的数量多于销售合同订购数量的，超出部分的存货的可变现净值以一般销售</w:t>
      </w:r>
    </w:p>
    <w:p>
      <w:pPr>
        <w:spacing w:after="0" w:line="26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left="229" w:right="986"/>
        <w:jc w:val="left"/>
      </w:pPr>
      <w:r>
        <w:rPr/>
        <w:t>价格为基础计算。</w:t>
      </w:r>
      <w:r>
        <w:rPr>
          <w:w w:val="100"/>
        </w:rPr>
        <w:t> </w:t>
      </w:r>
      <w:r>
        <w:rPr>
          <w:spacing w:val="-4"/>
        </w:rPr>
        <w:t>期末按照单个存货项目计提存货跌价准备；但对于数量繁多、单价较低的存货，按照存货类别计提存货跌</w:t>
      </w:r>
      <w:r>
        <w:rPr>
          <w:spacing w:val="-27"/>
        </w:rPr>
        <w:t> </w:t>
      </w:r>
      <w:r>
        <w:rPr>
          <w:spacing w:val="-27"/>
        </w:rPr>
      </w:r>
      <w:r>
        <w:rPr>
          <w:spacing w:val="-4"/>
        </w:rPr>
        <w:t>价准备；与在同一地区生产和销售的产品系列相关、具有相同或类似最终用途或目的，且难以与其他项目</w:t>
      </w:r>
      <w:r>
        <w:rPr>
          <w:spacing w:val="-27"/>
        </w:rPr>
        <w:t> </w:t>
      </w:r>
      <w:r>
        <w:rPr>
          <w:spacing w:val="-27"/>
        </w:rPr>
      </w:r>
      <w:r>
        <w:rPr/>
        <w:t>分开计量的存货，则合并计提存货跌价准备。</w:t>
      </w:r>
      <w:r>
        <w:rPr>
          <w:w w:val="100"/>
        </w:rPr>
        <w:t> </w:t>
      </w:r>
      <w:r>
        <w:rPr>
          <w:spacing w:val="-4"/>
          <w:w w:val="100"/>
        </w:rPr>
        <w:t>除有明确证据表明资产负债表日市场价格异常外，存货项目的可变现净值以资产负债表日市场价格为基础</w:t>
      </w:r>
      <w:r>
        <w:rPr>
          <w:spacing w:val="-86"/>
          <w:w w:val="100"/>
        </w:rPr>
        <w:t> </w:t>
      </w:r>
      <w:r>
        <w:rPr>
          <w:spacing w:val="-86"/>
          <w:w w:val="100"/>
        </w:rPr>
      </w:r>
      <w:r>
        <w:rPr/>
        <w:t>确定。</w:t>
      </w:r>
    </w:p>
    <w:p>
      <w:pPr>
        <w:pStyle w:val="Heading6"/>
        <w:spacing w:line="240" w:lineRule="auto" w:before="7"/>
        <w:ind w:left="229" w:right="1133"/>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314" w:right="8675" w:hanging="8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line="240" w:lineRule="auto" w:before="8"/>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Heading6"/>
        <w:spacing w:line="240" w:lineRule="auto" w:before="21"/>
        <w:ind w:left="530" w:right="1133"/>
        <w:jc w:val="left"/>
        <w:rPr>
          <w:sz w:val="16"/>
          <w:szCs w:val="16"/>
        </w:rPr>
      </w:pPr>
      <w:r>
        <w:rPr/>
        <w:t>①低值易耗品采用一次转销法</w:t>
      </w:r>
      <w:r>
        <w:rPr>
          <w:color w:val="0000FF"/>
          <w:sz w:val="16"/>
          <w:szCs w:val="16"/>
        </w:rPr>
        <w:t>；</w:t>
      </w:r>
      <w:r>
        <w:rPr>
          <w:sz w:val="16"/>
          <w:szCs w:val="16"/>
        </w:rPr>
      </w:r>
    </w:p>
    <w:p>
      <w:pPr>
        <w:pStyle w:val="Heading6"/>
        <w:spacing w:line="240" w:lineRule="auto" w:before="37"/>
        <w:ind w:left="530" w:right="1133"/>
        <w:jc w:val="left"/>
        <w:rPr>
          <w:sz w:val="16"/>
          <w:szCs w:val="16"/>
        </w:rPr>
      </w:pPr>
      <w:r>
        <w:rPr/>
        <w:t>②包装物采用一次转销法</w:t>
      </w:r>
      <w:r>
        <w:rPr>
          <w:color w:val="0000FF"/>
          <w:sz w:val="16"/>
          <w:szCs w:val="16"/>
        </w:rPr>
        <w:t>。</w:t>
      </w:r>
      <w:r>
        <w:rPr>
          <w:sz w:val="16"/>
          <w:szCs w:val="1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5"/>
        <w:spacing w:line="240" w:lineRule="auto"/>
        <w:ind w:right="1133"/>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6"/>
        <w:spacing w:line="268" w:lineRule="auto"/>
        <w:ind w:left="530" w:right="986" w:hanging="30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100"/>
        </w:rPr>
        <w:t> </w:t>
      </w:r>
      <w:r>
        <w:rPr/>
        <w:t>共同控制，是指按照相关约定对某项安排所共有的控制，并且该安排的相关活动必须经过分享控制权</w:t>
      </w:r>
      <w:r>
        <w:rPr>
          <w:w w:val="100"/>
        </w:rPr>
        <w:t> </w:t>
      </w:r>
      <w:r>
        <w:rPr/>
        <w:t>的参与方一致同意后才能决策。本公司与其他合营方一同对被投资单位实施共同控制且对被投资单位</w:t>
      </w:r>
      <w:r>
        <w:rPr>
          <w:w w:val="100"/>
        </w:rPr>
        <w:t> </w:t>
      </w:r>
      <w:r>
        <w:rPr/>
        <w:t>净资产享有权利的，被投资单位为本公司的合营企业。</w:t>
      </w:r>
      <w:r>
        <w:rPr>
          <w:w w:val="100"/>
        </w:rPr>
        <w:t> </w:t>
      </w:r>
      <w:r>
        <w:rPr/>
        <w:t>重大影响，是指对一个企业的财务和经营决策有参与决策的权力，但并不能够控制或者与其他方一起</w:t>
      </w:r>
      <w:r>
        <w:rPr>
          <w:w w:val="100"/>
        </w:rPr>
        <w:t> </w:t>
      </w:r>
      <w:r>
        <w:rPr>
          <w:spacing w:val="-4"/>
        </w:rPr>
        <w:t>共同控制这些政策的制定。本公司能够对被投资单位施加重大影响的，被投资单位为本公司联营企业。</w:t>
      </w:r>
    </w:p>
    <w:p>
      <w:pPr>
        <w:spacing w:line="240" w:lineRule="auto" w:before="10"/>
        <w:rPr>
          <w:rFonts w:ascii="宋体" w:hAnsi="宋体" w:cs="宋体" w:eastAsia="宋体" w:hint="default"/>
          <w:sz w:val="24"/>
          <w:szCs w:val="24"/>
        </w:rPr>
      </w:pPr>
    </w:p>
    <w:p>
      <w:pPr>
        <w:pStyle w:val="Heading5"/>
        <w:spacing w:line="240" w:lineRule="auto"/>
        <w:ind w:left="229" w:right="1133"/>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Heading6"/>
        <w:spacing w:line="273" w:lineRule="auto" w:before="21"/>
        <w:ind w:left="530" w:right="986"/>
        <w:jc w:val="left"/>
      </w:pPr>
      <w:r>
        <w:rPr/>
        <w:t>①企业合并形成的长期股权投资</w:t>
      </w:r>
      <w:r>
        <w:rPr>
          <w:w w:val="100"/>
        </w:rPr>
        <w:t> </w:t>
      </w:r>
      <w:r>
        <w:rPr/>
        <w:t>同一控制下的企业合并：公司以支付现金、转让非现金资产或承担债务方式以及以发行权益性证券作</w:t>
      </w:r>
      <w:r>
        <w:rPr>
          <w:spacing w:val="-86"/>
        </w:rPr>
        <w:t> </w:t>
      </w:r>
      <w:r>
        <w:rPr>
          <w:spacing w:val="-86"/>
        </w:rPr>
      </w:r>
      <w:r>
        <w:rPr/>
        <w:t>为合并对价的，在合并日按照取得被合并方所有者权益在最终控制方合并财务报表中的账面价值的份</w:t>
      </w:r>
      <w:r>
        <w:rPr>
          <w:spacing w:val="-86"/>
        </w:rPr>
        <w:t> </w:t>
      </w:r>
      <w:r>
        <w:rPr>
          <w:spacing w:val="-86"/>
        </w:rPr>
      </w:r>
      <w:r>
        <w:rPr>
          <w:spacing w:val="-4"/>
          <w:w w:val="100"/>
        </w:rPr>
        <w:t>额作为长期股权投资的初始投资成本。因追加投资等原因能够对同一控制下的被投资单位实施控制的，</w:t>
      </w:r>
      <w:r>
        <w:rPr>
          <w:spacing w:val="-71"/>
          <w:w w:val="100"/>
        </w:rPr>
        <w:t> </w:t>
      </w:r>
      <w:r>
        <w:rPr>
          <w:spacing w:val="-71"/>
          <w:w w:val="100"/>
        </w:rPr>
      </w:r>
      <w:r>
        <w:rPr/>
        <w:t>在合并日根据合并后应享有被合并方净资产在最终控制方合并财务报表中的账面价值的份额，确定长</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left="530" w:right="1133"/>
        <w:jc w:val="left"/>
      </w:pPr>
      <w:r>
        <w:rPr>
          <w:spacing w:val="-1"/>
        </w:rPr>
        <w:t>期股权投资的初始投资成本。合并日长期股权投资的初始投资成本，与达到合并前的长期股权投资账</w:t>
      </w:r>
      <w:r>
        <w:rPr>
          <w:spacing w:val="-42"/>
        </w:rPr>
        <w:t> </w:t>
      </w:r>
      <w:r>
        <w:rPr>
          <w:spacing w:val="-42"/>
        </w:rPr>
      </w:r>
      <w:r>
        <w:rPr>
          <w:spacing w:val="-1"/>
        </w:rPr>
        <w:t>面价值加上合并日进一步取得股份新支付对价的账面价值之和的差额，调整股本溢价，股本溢价不足</w:t>
      </w:r>
      <w:r>
        <w:rPr>
          <w:spacing w:val="-42"/>
        </w:rPr>
        <w:t> </w:t>
      </w:r>
      <w:r>
        <w:rPr>
          <w:spacing w:val="-42"/>
        </w:rPr>
      </w:r>
      <w:r>
        <w:rPr/>
        <w:t>冲减的，冲减留存收益。</w:t>
      </w:r>
      <w:r>
        <w:rPr>
          <w:w w:val="100"/>
        </w:rPr>
        <w:t> </w:t>
      </w:r>
      <w:r>
        <w:rPr>
          <w:spacing w:val="-1"/>
        </w:rPr>
        <w:t>非同一控制下的企业合并：公司按照购买日确定的合并成本作为长期股权投资的初始投资成本。因追</w:t>
      </w:r>
      <w:r>
        <w:rPr>
          <w:spacing w:val="-42"/>
        </w:rPr>
        <w:t> </w:t>
      </w:r>
      <w:r>
        <w:rPr>
          <w:spacing w:val="-42"/>
        </w:rPr>
      </w:r>
      <w:r>
        <w:rPr>
          <w:spacing w:val="-1"/>
        </w:rPr>
        <w:t>加投资等原因能够对非同一控制下的被投资单位实施控制的，按照原持有的股权投资账面价值加上新</w:t>
      </w:r>
      <w:r>
        <w:rPr>
          <w:spacing w:val="-42"/>
        </w:rPr>
        <w:t> </w:t>
      </w:r>
      <w:r>
        <w:rPr>
          <w:spacing w:val="-42"/>
        </w:rPr>
      </w:r>
      <w:r>
        <w:rPr/>
        <w:t>增投资成本之和，作为改按成本法核算的初始投资成本。</w:t>
      </w:r>
    </w:p>
    <w:p>
      <w:pPr>
        <w:pStyle w:val="Heading6"/>
        <w:spacing w:line="273" w:lineRule="auto" w:before="7"/>
        <w:ind w:left="530" w:right="1133"/>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1"/>
        </w:rPr>
        <w:t>在非货币性资产交换具有商业实质且换入资产和换出资产的公允价值均能够可靠计量的前提下，非货</w:t>
      </w:r>
      <w:r>
        <w:rPr>
          <w:spacing w:val="-42"/>
        </w:rPr>
        <w:t> </w:t>
      </w:r>
      <w:r>
        <w:rPr>
          <w:spacing w:val="-42"/>
        </w:rPr>
      </w:r>
      <w:r>
        <w:rPr>
          <w:spacing w:val="-1"/>
        </w:rPr>
        <w:t>币性资产交换换入的长期股权投资以换出资产的公允价值和应支付的相关税费确定其初始投资成本，</w:t>
      </w:r>
      <w:r>
        <w:rPr>
          <w:spacing w:val="-42"/>
        </w:rPr>
        <w:t> </w:t>
      </w:r>
      <w:r>
        <w:rPr>
          <w:spacing w:val="-42"/>
        </w:rPr>
      </w:r>
      <w:r>
        <w:rPr>
          <w:spacing w:val="-1"/>
        </w:rPr>
        <w:t>除非有确凿证据表明换入资产的公允价值更加可靠；不满足上述前提的非货币性资产交换，以换出资</w:t>
      </w:r>
      <w:r>
        <w:rPr>
          <w:spacing w:val="-42"/>
        </w:rPr>
        <w:t> </w:t>
      </w:r>
      <w:r>
        <w:rPr>
          <w:spacing w:val="-42"/>
        </w:rPr>
      </w:r>
      <w:r>
        <w:rPr/>
        <w:t>产的账面价值和应支付的相关税费作为换入长期股权投资的初始投资成本。</w:t>
      </w:r>
      <w:r>
        <w:rPr>
          <w:w w:val="100"/>
        </w:rPr>
        <w:t> </w:t>
      </w:r>
      <w:r>
        <w:rPr>
          <w:spacing w:val="-1"/>
        </w:rPr>
        <w:t>通过债务重组取得的长期股权投资，以所放弃债权的公允价值和可直接归属于该资产的税金等其他成</w:t>
      </w:r>
      <w:r>
        <w:rPr>
          <w:spacing w:val="-42"/>
        </w:rPr>
        <w:t> </w:t>
      </w:r>
      <w:r>
        <w:rPr>
          <w:spacing w:val="-42"/>
        </w:rPr>
      </w:r>
      <w:r>
        <w:rPr/>
        <w:t>本确定其入账价值，并将所放弃债权的公允价值与账面价值之间的差额，计入当期损益。</w:t>
      </w:r>
    </w:p>
    <w:p>
      <w:pPr>
        <w:spacing w:line="240" w:lineRule="auto" w:before="6"/>
        <w:rPr>
          <w:rFonts w:ascii="宋体" w:hAnsi="宋体" w:cs="宋体" w:eastAsia="宋体" w:hint="default"/>
          <w:sz w:val="24"/>
          <w:szCs w:val="24"/>
        </w:rPr>
      </w:pPr>
    </w:p>
    <w:p>
      <w:pPr>
        <w:pStyle w:val="Heading5"/>
        <w:spacing w:line="240" w:lineRule="auto"/>
        <w:ind w:left="229" w:right="1133"/>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Heading6"/>
        <w:spacing w:line="273" w:lineRule="auto" w:before="21"/>
        <w:ind w:left="530" w:right="1133"/>
        <w:jc w:val="left"/>
      </w:pPr>
      <w:r>
        <w:rPr/>
        <w:t>①成本法核算的长期股权投资</w:t>
      </w:r>
      <w:r>
        <w:rPr>
          <w:w w:val="100"/>
        </w:rPr>
        <w:t> </w:t>
      </w:r>
      <w:r>
        <w:rPr>
          <w:spacing w:val="-1"/>
        </w:rPr>
        <w:t>公司对子公司的长期股权投资，采用成本法核算。除取得投资时实际支付的价款或对价中包含的已宣</w:t>
      </w:r>
      <w:r>
        <w:rPr>
          <w:spacing w:val="-42"/>
        </w:rPr>
        <w:t> </w:t>
      </w:r>
      <w:r>
        <w:rPr>
          <w:spacing w:val="-42"/>
        </w:rPr>
      </w:r>
      <w:r>
        <w:rPr>
          <w:spacing w:val="-1"/>
        </w:rPr>
        <w:t>告但尚未发放的现金股利或利润外，公司按照享有被投资单位宣告发放的现金股利或利润确认当期投</w:t>
      </w:r>
      <w:r>
        <w:rPr>
          <w:spacing w:val="-42"/>
        </w:rPr>
        <w:t> </w:t>
      </w:r>
      <w:r>
        <w:rPr>
          <w:spacing w:val="-42"/>
        </w:rPr>
      </w:r>
      <w:r>
        <w:rPr/>
        <w:t>资收益。</w:t>
      </w:r>
    </w:p>
    <w:p>
      <w:pPr>
        <w:pStyle w:val="Heading6"/>
        <w:spacing w:line="271" w:lineRule="auto" w:before="8"/>
        <w:ind w:left="530" w:right="986"/>
        <w:jc w:val="left"/>
      </w:pPr>
      <w:r>
        <w:rPr/>
        <w:t>②权益法核算的长期股权投资</w:t>
      </w:r>
      <w:r>
        <w:rPr>
          <w:w w:val="100"/>
        </w:rPr>
        <w:t> </w:t>
      </w:r>
      <w:r>
        <w:rPr/>
        <w:t>对联营企业和合营企业的长期股权投资，采用权益法核算。初始投资成本大于投资时应享有被投资单</w:t>
      </w:r>
      <w:r>
        <w:rPr>
          <w:spacing w:val="-86"/>
        </w:rPr>
        <w:t> </w:t>
      </w:r>
      <w:r>
        <w:rPr>
          <w:spacing w:val="-86"/>
        </w:rPr>
      </w:r>
      <w:r>
        <w:rPr/>
        <w:t>位可辨认净资产公允价值份额的差额，不调整长期股权投资的初始投资成本；初始投资成本小于投资</w:t>
      </w:r>
      <w:r>
        <w:rPr>
          <w:spacing w:val="-86"/>
        </w:rPr>
        <w:t> </w:t>
      </w:r>
      <w:r>
        <w:rPr>
          <w:spacing w:val="-86"/>
        </w:rPr>
      </w:r>
      <w:r>
        <w:rPr/>
        <w:t>时应享有被投资单位可辨认净资产公允价值份额的差额，计入当期损益。</w:t>
      </w:r>
      <w:r>
        <w:rPr>
          <w:w w:val="100"/>
        </w:rPr>
        <w:t> </w:t>
      </w:r>
      <w:r>
        <w:rPr/>
        <w:t>公司按照应享有或应分担的被投资单位实现的净损益和其他综合收益的份额，分别确认投资收益和其</w:t>
      </w:r>
      <w:r>
        <w:rPr>
          <w:spacing w:val="-86"/>
        </w:rPr>
        <w:t> </w:t>
      </w:r>
      <w:r>
        <w:rPr>
          <w:spacing w:val="-86"/>
        </w:rPr>
      </w:r>
      <w:r>
        <w:rPr/>
        <w:t>他综合收益，同时调整长期股权投资的账面价值；按照被投资单位宣告分派的利润或现金股利计算应</w:t>
      </w:r>
      <w:r>
        <w:rPr>
          <w:spacing w:val="-86"/>
        </w:rPr>
        <w:t> </w:t>
      </w:r>
      <w:r>
        <w:rPr>
          <w:spacing w:val="-86"/>
        </w:rPr>
      </w:r>
      <w:r>
        <w:rPr/>
        <w:t>享有的部分，相应减少长期股权投资的账面价值；对于被投资单位除净损益、其他综合收益和利润分</w:t>
      </w:r>
      <w:r>
        <w:rPr>
          <w:spacing w:val="-86"/>
        </w:rPr>
        <w:t> </w:t>
      </w:r>
      <w:r>
        <w:rPr>
          <w:spacing w:val="-86"/>
        </w:rPr>
      </w:r>
      <w:r>
        <w:rPr/>
        <w:t>配以外所有者权益的其他变动，调整长期股权投资的账面价值并计入所有者权益。</w:t>
      </w:r>
      <w:r>
        <w:rPr>
          <w:w w:val="100"/>
        </w:rPr>
        <w:t> </w:t>
      </w:r>
      <w:r>
        <w:rPr>
          <w:spacing w:val="-4"/>
          <w:w w:val="100"/>
        </w:rPr>
        <w:t>在确认应享有被投资单位净损益的份额时，以取得投资时被投资单位可辨认净资产的公允价值为基础，</w:t>
      </w:r>
      <w:r>
        <w:rPr>
          <w:spacing w:val="-71"/>
          <w:w w:val="100"/>
        </w:rPr>
        <w:t> </w:t>
      </w:r>
      <w:r>
        <w:rPr>
          <w:spacing w:val="-71"/>
          <w:w w:val="100"/>
        </w:rPr>
      </w:r>
      <w:r>
        <w:rPr/>
        <w:t>并按照公司的会计政策及会计期间，对被投资单位的净利润进行调整后确认。在持有投资期间，被投</w:t>
      </w:r>
      <w:r>
        <w:rPr>
          <w:spacing w:val="-86"/>
        </w:rPr>
        <w:t> </w:t>
      </w:r>
      <w:r>
        <w:rPr>
          <w:spacing w:val="-86"/>
        </w:rPr>
      </w:r>
      <w:r>
        <w:rPr/>
        <w:t>资单位编制合并财务报表的，以合并财务报表中的净利润、其他综合收益和其他所有者权益变动中归</w:t>
      </w:r>
      <w:r>
        <w:rPr>
          <w:spacing w:val="-86"/>
        </w:rPr>
        <w:t> </w:t>
      </w:r>
      <w:r>
        <w:rPr>
          <w:spacing w:val="-86"/>
        </w:rPr>
      </w:r>
      <w:r>
        <w:rPr/>
        <w:t>属于被投资单位的金额为基础进行核算。</w:t>
      </w:r>
      <w:r>
        <w:rPr>
          <w:w w:val="100"/>
        </w:rPr>
        <w:t> </w:t>
      </w:r>
      <w:r>
        <w:rPr>
          <w:spacing w:val="-4"/>
          <w:w w:val="100"/>
        </w:rPr>
        <w:t>公司与联营企业、合营企业之间发生的未实现内部交易损益按照应享有的比例计算归属于公司的部分，</w:t>
      </w:r>
      <w:r>
        <w:rPr>
          <w:spacing w:val="-71"/>
          <w:w w:val="100"/>
        </w:rPr>
        <w:t> </w:t>
      </w:r>
      <w:r>
        <w:rPr>
          <w:spacing w:val="-71"/>
          <w:w w:val="100"/>
        </w:rPr>
      </w:r>
      <w:r>
        <w:rPr/>
        <w:t>予以抵销，在此基础上确认投资收益。与被投资单位发生的未实现内部交易损失，属于资产减值损失</w:t>
      </w:r>
      <w:r>
        <w:rPr>
          <w:spacing w:val="-86"/>
        </w:rPr>
        <w:t> </w:t>
      </w:r>
      <w:r>
        <w:rPr>
          <w:spacing w:val="-86"/>
        </w:rPr>
      </w:r>
      <w:r>
        <w:rPr/>
        <w:t>的，全额确认。公司与联营企业、合营企业之间发生投出或出售资产的交易，该资产构成业务的，按</w:t>
      </w:r>
      <w:r>
        <w:rPr>
          <w:spacing w:val="-86"/>
        </w:rPr>
        <w:t> </w:t>
      </w:r>
      <w:r>
        <w:rPr>
          <w:spacing w:val="-86"/>
        </w:rPr>
      </w:r>
      <w:r>
        <w:rPr>
          <w:spacing w:val="-3"/>
        </w:rPr>
        <w:t>照本附注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5</w:t>
      </w:r>
      <w:r>
        <w:rPr>
          <w:spacing w:val="-3"/>
        </w:rPr>
        <w:t>同一控制下和非同一控制下企业合并的会计处理方法</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6</w:t>
      </w:r>
      <w:r>
        <w:rPr>
          <w:spacing w:val="-3"/>
        </w:rPr>
        <w:t>合并财务报表的编制方</w:t>
      </w:r>
      <w:r>
        <w:rPr>
          <w:spacing w:val="-21"/>
        </w:rPr>
        <w:t> </w:t>
      </w:r>
      <w:r>
        <w:rPr>
          <w:spacing w:val="-21"/>
        </w:rPr>
      </w:r>
      <w:r>
        <w:rPr/>
        <w:t>法</w:t>
      </w:r>
      <w:r>
        <w:rPr>
          <w:rFonts w:ascii="Times New Roman" w:hAnsi="Times New Roman" w:cs="Times New Roman" w:eastAsia="Times New Roman" w:hint="default"/>
        </w:rPr>
        <w:t>”</w:t>
      </w:r>
      <w:r>
        <w:rPr/>
        <w:t>中披露的相关政策进行会计处理。</w:t>
      </w:r>
      <w:r>
        <w:rPr>
          <w:w w:val="100"/>
        </w:rPr>
        <w:t> </w:t>
      </w:r>
      <w:r>
        <w:rPr/>
        <w:t>在公司确认应分担被投资单位发生的亏损时，按照以下顺序进行处理：首先，冲减长期股权投资的账</w:t>
      </w:r>
      <w:r>
        <w:rPr>
          <w:spacing w:val="-86"/>
        </w:rPr>
        <w:t> </w:t>
      </w:r>
      <w:r>
        <w:rPr>
          <w:spacing w:val="-86"/>
        </w:rPr>
      </w:r>
      <w:r>
        <w:rPr/>
        <w:t>面价值。其次，长期股权投资的账面价值不足以冲减的，以其他实质上构成对被投资单位净投资的长</w:t>
      </w:r>
      <w:r>
        <w:rPr>
          <w:spacing w:val="-86"/>
        </w:rPr>
        <w:t> </w:t>
      </w:r>
      <w:r>
        <w:rPr>
          <w:spacing w:val="-86"/>
        </w:rPr>
      </w:r>
      <w:r>
        <w:rPr/>
        <w:t>期权益账面价值为限继续确认投资损失，冲减长期应收项目等的账面价值。最后，经过上述处理，按</w:t>
      </w:r>
      <w:r>
        <w:rPr>
          <w:spacing w:val="-86"/>
        </w:rPr>
        <w:t> </w:t>
      </w:r>
      <w:r>
        <w:rPr>
          <w:spacing w:val="-86"/>
        </w:rPr>
      </w:r>
      <w:r>
        <w:rPr>
          <w:spacing w:val="-4"/>
        </w:rPr>
        <w:t>照投资合同或协议约定企业仍承担额外义务的，按预计承担的义务确认预计负债，计入当期投资损失。</w:t>
      </w:r>
    </w:p>
    <w:p>
      <w:pPr>
        <w:pStyle w:val="Heading6"/>
        <w:spacing w:line="273" w:lineRule="auto" w:before="10"/>
        <w:ind w:left="530" w:right="2114"/>
        <w:jc w:val="left"/>
      </w:pPr>
      <w:r>
        <w:rPr/>
        <w:t>③长期股权投资的处置</w:t>
      </w:r>
      <w:r>
        <w:rPr>
          <w:w w:val="100"/>
        </w:rPr>
        <w:t> </w:t>
      </w:r>
      <w:r>
        <w:rPr>
          <w:spacing w:val="-2"/>
        </w:rPr>
        <w:t>处置长期股权投资，其账面价值与实际取得价款的差额，计入当期损益。</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left="530" w:right="1133"/>
        <w:jc w:val="left"/>
      </w:pPr>
      <w:r>
        <w:rPr>
          <w:spacing w:val="-1"/>
        </w:rPr>
        <w:t>采用权益法核算的长期股权投资，在处置该项投资时，采用与被投资单位直接处置相关资产或负债相</w:t>
      </w:r>
      <w:r>
        <w:rPr>
          <w:spacing w:val="-42"/>
        </w:rPr>
        <w:t> </w:t>
      </w:r>
      <w:r>
        <w:rPr>
          <w:spacing w:val="-42"/>
        </w:rPr>
      </w:r>
      <w:r>
        <w:rPr>
          <w:spacing w:val="-1"/>
        </w:rPr>
        <w:t>同的基础，按相应比例对原计入其他综合收益的部分进行会计处理。因被投资单位除净损益、其他综</w:t>
      </w:r>
      <w:r>
        <w:rPr>
          <w:spacing w:val="-42"/>
        </w:rPr>
        <w:t> </w:t>
      </w:r>
      <w:r>
        <w:rPr>
          <w:spacing w:val="-42"/>
        </w:rPr>
      </w:r>
      <w:r>
        <w:rPr>
          <w:spacing w:val="-1"/>
        </w:rPr>
        <w:t>合收益和利润分配以外的其他所有者权益变动而确认的所有者权益，按比例结转入当期损益，由于被</w:t>
      </w:r>
      <w:r>
        <w:rPr>
          <w:spacing w:val="-42"/>
        </w:rPr>
        <w:t> </w:t>
      </w:r>
      <w:r>
        <w:rPr>
          <w:spacing w:val="-42"/>
        </w:rPr>
      </w:r>
      <w:r>
        <w:rPr/>
        <w:t>投资方重新计量设定受益计划净负债或净资产变动而产生的其他综合收益除外。</w:t>
      </w:r>
      <w:r>
        <w:rPr>
          <w:w w:val="100"/>
        </w:rPr>
        <w:t> </w:t>
      </w:r>
      <w:r>
        <w:rPr>
          <w:spacing w:val="-1"/>
        </w:rPr>
        <w:t>因处置部分股权投资等原因丧失了对被投资单位的共同控制或重大影响的，处置后的剩余股权改按金</w:t>
      </w:r>
      <w:r>
        <w:rPr>
          <w:spacing w:val="-43"/>
        </w:rPr>
        <w:t> </w:t>
      </w:r>
      <w:r>
        <w:rPr>
          <w:spacing w:val="-43"/>
        </w:rPr>
      </w:r>
      <w:r>
        <w:rPr>
          <w:spacing w:val="-1"/>
        </w:rPr>
        <w:t>融工具确认和计量准则核算，其在丧失共同控制或重大影响之日的公允价值与账面价值之间的差额计</w:t>
      </w:r>
      <w:r>
        <w:rPr>
          <w:spacing w:val="-42"/>
        </w:rPr>
        <w:t> </w:t>
      </w:r>
      <w:r>
        <w:rPr>
          <w:spacing w:val="-42"/>
        </w:rPr>
      </w:r>
      <w:r>
        <w:rPr>
          <w:spacing w:val="-1"/>
        </w:rPr>
        <w:t>入当期损益。原股权投资因采用权益法核算而确认的其他综合收益，在终止采用权益法核算时采用与</w:t>
      </w:r>
      <w:r>
        <w:rPr>
          <w:spacing w:val="-42"/>
        </w:rPr>
        <w:t> </w:t>
      </w:r>
      <w:r>
        <w:rPr>
          <w:spacing w:val="-42"/>
        </w:rPr>
      </w:r>
      <w:r>
        <w:rPr>
          <w:spacing w:val="-1"/>
        </w:rPr>
        <w:t>被投资单位直接处置相关资产或负债相同的基础进行会计处理。因被投资方除净损益、其他综合收益</w:t>
      </w:r>
      <w:r>
        <w:rPr>
          <w:spacing w:val="-42"/>
        </w:rPr>
        <w:t> </w:t>
      </w:r>
      <w:r>
        <w:rPr>
          <w:spacing w:val="-42"/>
        </w:rPr>
      </w:r>
      <w:r>
        <w:rPr>
          <w:spacing w:val="-1"/>
        </w:rPr>
        <w:t>和利润分配以外的其他所有者权益变动而确认的所有者权益，在终止采用权益法核算时全部转入当期</w:t>
      </w:r>
      <w:r>
        <w:rPr>
          <w:spacing w:val="-42"/>
        </w:rPr>
        <w:t> </w:t>
      </w:r>
      <w:r>
        <w:rPr>
          <w:spacing w:val="-42"/>
        </w:rPr>
      </w:r>
      <w:r>
        <w:rPr/>
        <w:t>损益。</w:t>
      </w:r>
      <w:r>
        <w:rPr>
          <w:spacing w:val="-102"/>
        </w:rPr>
        <w:t> </w:t>
      </w:r>
      <w:r>
        <w:rPr>
          <w:spacing w:val="-1"/>
        </w:rPr>
        <w:t>因处置部分股权投资、因其他投资方对子公司增资而导致本公司持股比例下降等原因丧失了对被投资</w:t>
      </w:r>
      <w:r>
        <w:rPr>
          <w:spacing w:val="-42"/>
        </w:rPr>
        <w:t> </w:t>
      </w:r>
      <w:r>
        <w:rPr>
          <w:spacing w:val="-42"/>
        </w:rPr>
      </w:r>
      <w:r>
        <w:rPr>
          <w:spacing w:val="-1"/>
        </w:rPr>
        <w:t>单位控制权的，在编制个别财务报表时，剩余股权能够对被投资单位实施共同控制或重大影响的，改</w:t>
      </w:r>
      <w:r>
        <w:rPr>
          <w:spacing w:val="-42"/>
        </w:rPr>
        <w:t> </w:t>
      </w:r>
      <w:r>
        <w:rPr>
          <w:spacing w:val="-42"/>
        </w:rPr>
      </w:r>
      <w:r>
        <w:rPr>
          <w:spacing w:val="-1"/>
        </w:rPr>
        <w:t>按权益法核算，并对该剩余股权视同自取得时即采用权益法核算进行调整；剩余股权不能对被投资单</w:t>
      </w:r>
      <w:r>
        <w:rPr>
          <w:spacing w:val="-42"/>
        </w:rPr>
        <w:t> </w:t>
      </w:r>
      <w:r>
        <w:rPr>
          <w:spacing w:val="-42"/>
        </w:rPr>
      </w:r>
      <w:r>
        <w:rPr>
          <w:spacing w:val="-1"/>
        </w:rPr>
        <w:t>位实施共同控制或施加重大影响的，改按金融工具确认和计量准则的有关规定进行会计处理，其在丧</w:t>
      </w:r>
      <w:r>
        <w:rPr>
          <w:spacing w:val="-42"/>
        </w:rPr>
        <w:t> </w:t>
      </w:r>
      <w:r>
        <w:rPr>
          <w:spacing w:val="-42"/>
        </w:rPr>
      </w:r>
      <w:r>
        <w:rPr/>
        <w:t>失控制之日的公允价值与账面价值间的差额计入当期损益。</w:t>
      </w:r>
      <w:r>
        <w:rPr>
          <w:w w:val="100"/>
        </w:rPr>
        <w:t> </w:t>
      </w:r>
      <w:r>
        <w:rPr>
          <w:spacing w:val="-1"/>
        </w:rPr>
        <w:t>处置的股权是因追加投资等原因通过企业合并取得的，在编制个别财务报表时，处置后的剩余股权采</w:t>
      </w:r>
      <w:r>
        <w:rPr>
          <w:spacing w:val="-42"/>
        </w:rPr>
        <w:t> </w:t>
      </w:r>
      <w:r>
        <w:rPr>
          <w:spacing w:val="-42"/>
        </w:rPr>
      </w:r>
      <w:r>
        <w:rPr>
          <w:spacing w:val="-1"/>
        </w:rPr>
        <w:t>用成本法或权益法核算的，购买日之前持有的股权投资因采用权益法核算而确认的其他综合收益和其</w:t>
      </w:r>
      <w:r>
        <w:rPr>
          <w:spacing w:val="-42"/>
        </w:rPr>
        <w:t> </w:t>
      </w:r>
      <w:r>
        <w:rPr>
          <w:spacing w:val="-42"/>
        </w:rPr>
      </w:r>
      <w:r>
        <w:rPr>
          <w:spacing w:val="-1"/>
        </w:rPr>
        <w:t>他所有者权益按比例结转；处置后的剩余股权改按金融工具确认和计量准则进行会计处理的，其他综</w:t>
      </w:r>
      <w:r>
        <w:rPr>
          <w:spacing w:val="-42"/>
        </w:rPr>
        <w:t> </w:t>
      </w:r>
      <w:r>
        <w:rPr>
          <w:spacing w:val="-42"/>
        </w:rPr>
      </w:r>
      <w:r>
        <w:rPr/>
        <w:t>合收益和其他所有者权益全部结转。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投资性房地产计量模式 成本法计量 折旧或摊销方法</w:t>
      </w:r>
    </w:p>
    <w:p>
      <w:pPr>
        <w:pStyle w:val="Heading6"/>
        <w:spacing w:line="273" w:lineRule="auto" w:before="8"/>
        <w:ind w:left="152" w:right="1133"/>
        <w:jc w:val="left"/>
      </w:pPr>
      <w:r>
        <w:rPr>
          <w:spacing w:val="-2"/>
        </w:rPr>
        <w:t>投资性房地产是指为赚取租金或资本增值，或两者兼有而持有的房地产，包括已出租的土地使用权、持有</w:t>
      </w:r>
      <w:r>
        <w:rPr>
          <w:spacing w:val="-44"/>
        </w:rPr>
        <w:t> </w:t>
      </w:r>
      <w:r>
        <w:rPr>
          <w:spacing w:val="-44"/>
        </w:rPr>
      </w:r>
      <w:r>
        <w:rPr>
          <w:spacing w:val="-2"/>
        </w:rPr>
        <w:t>并准备增值后转让的土地使用权、已出租的建筑物（含自行建造或开发活动完成后用于出租的建筑物以及</w:t>
      </w:r>
      <w:r>
        <w:rPr>
          <w:spacing w:val="-43"/>
        </w:rPr>
        <w:t> </w:t>
      </w:r>
      <w:r>
        <w:rPr>
          <w:spacing w:val="-43"/>
        </w:rPr>
      </w:r>
      <w:r>
        <w:rPr/>
        <w:t>正在建造或开发过程中将来用于出租的建筑物）。</w:t>
      </w:r>
      <w:r>
        <w:rPr>
          <w:w w:val="100"/>
        </w:rPr>
        <w:t> </w:t>
      </w:r>
      <w:r>
        <w:rPr>
          <w:spacing w:val="-2"/>
        </w:rPr>
        <w:t>本公司对现有投资性房地产采用成本模式计量。对按照成本模式计量的投资性房地产－出租用建筑物采用</w:t>
      </w:r>
      <w:r>
        <w:rPr>
          <w:spacing w:val="-43"/>
        </w:rPr>
        <w:t> </w:t>
      </w:r>
      <w:r>
        <w:rPr>
          <w:spacing w:val="-43"/>
        </w:rPr>
      </w:r>
      <w:r>
        <w:rPr/>
        <w:t>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986"/>
        <w:jc w:val="left"/>
      </w:pPr>
      <w:r>
        <w:rPr/>
        <w:t>在建工程项目按建造该项资产达到预定可使用状态前所发生的必要支出，作为固定资产的入账价值。所</w:t>
      </w:r>
      <w:r>
        <w:rPr>
          <w:spacing w:val="-36"/>
        </w:rPr>
        <w:t> </w:t>
      </w:r>
      <w:r>
        <w:rPr>
          <w:spacing w:val="-36"/>
        </w:rPr>
      </w:r>
      <w:r>
        <w:rPr>
          <w:spacing w:val="-3"/>
        </w:rPr>
        <w:t>建造的固定资产在工程已达到预定可使用状态，但尚未办理竣工决算的，自达到预定可使用状态之日起，</w:t>
      </w:r>
      <w:r>
        <w:rPr>
          <w:spacing w:val="-6"/>
        </w:rPr>
        <w:t> </w:t>
      </w:r>
      <w:r>
        <w:rPr>
          <w:spacing w:val="-6"/>
        </w:rPr>
      </w:r>
      <w:r>
        <w:rPr/>
        <w:t>根据工程预算、造价或者工程实际成本等，按估计的价值转入固定资产，并按本公司固定资产折旧政策</w:t>
      </w:r>
      <w:r>
        <w:rPr>
          <w:spacing w:val="-32"/>
        </w:rPr>
        <w:t> </w:t>
      </w:r>
      <w:r>
        <w:rPr>
          <w:spacing w:val="-32"/>
        </w:rPr>
      </w:r>
      <w:r>
        <w:rPr/>
        <w:t>计提固定资产的折旧，待办理竣工决算后，再按实际成本调整原来的暂估价值，但不调整原已计提的折</w:t>
      </w:r>
      <w:r>
        <w:rPr>
          <w:spacing w:val="-36"/>
        </w:rPr>
        <w:t> </w:t>
      </w:r>
      <w:r>
        <w:rPr>
          <w:spacing w:val="-36"/>
        </w:rPr>
      </w:r>
      <w:r>
        <w:rPr/>
        <w:t>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68" w:lineRule="auto"/>
        <w:ind w:left="229" w:right="98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4"/>
        </w:rPr>
        <w:t>公司发生的借款费用，可直接归属于符合资本化条件的资产的购建或者生产的，予以资本化，计入相关资</w:t>
      </w:r>
      <w:r>
        <w:rPr>
          <w:spacing w:val="-30"/>
        </w:rPr>
        <w:t> </w:t>
      </w:r>
      <w:r>
        <w:rPr>
          <w:spacing w:val="-30"/>
        </w:rPr>
      </w:r>
      <w:r>
        <w:rPr/>
        <w:t>产成本；其他借款费用，在发生时根据其发生额确认为费用，计入当期损益。</w:t>
      </w:r>
      <w:r>
        <w:rPr>
          <w:w w:val="100"/>
        </w:rPr>
        <w:t> </w:t>
      </w:r>
      <w:r>
        <w:rPr>
          <w:spacing w:val="-4"/>
          <w:w w:val="100"/>
        </w:rPr>
        <w:t>符合资本化条件的资产，是指需要经过相当长时间的购建或者生产活动才能达到预定可使用或者可销售状</w:t>
      </w:r>
      <w:r>
        <w:rPr>
          <w:spacing w:val="-86"/>
          <w:w w:val="100"/>
        </w:rPr>
        <w:t> </w:t>
      </w:r>
      <w:r>
        <w:rPr>
          <w:spacing w:val="-86"/>
          <w:w w:val="100"/>
        </w:rPr>
      </w:r>
      <w:r>
        <w:rPr/>
        <w:t>态的固定资产、投资性房地产和存货等资产。</w:t>
      </w:r>
    </w:p>
    <w:p>
      <w:pPr>
        <w:pStyle w:val="Heading6"/>
        <w:spacing w:line="240" w:lineRule="auto" w:before="12"/>
        <w:ind w:left="229" w:right="1133"/>
        <w:jc w:val="left"/>
      </w:pPr>
      <w:r>
        <w:rPr/>
        <w:t>借款费用同时满足下列条件时开始资本化：</w:t>
      </w:r>
    </w:p>
    <w:p>
      <w:pPr>
        <w:pStyle w:val="Heading6"/>
        <w:spacing w:line="273" w:lineRule="auto" w:before="37"/>
        <w:ind w:left="229" w:right="1133"/>
        <w:jc w:val="left"/>
      </w:pPr>
      <w:r>
        <w:rPr>
          <w:spacing w:val="-4"/>
        </w:rPr>
        <w:t>①资产支出已经发生，资产支出包括为购建或者生产符合资本化条件的资产而以支付现金、转移非现金资</w:t>
      </w:r>
      <w:r>
        <w:rPr>
          <w:spacing w:val="-28"/>
        </w:rPr>
        <w:t> </w:t>
      </w:r>
      <w:r>
        <w:rPr>
          <w:spacing w:val="-28"/>
        </w:rPr>
      </w:r>
      <w:r>
        <w:rPr/>
        <w:t>产或者承担带息债务形式发生的支出；</w:t>
      </w:r>
    </w:p>
    <w:p>
      <w:pPr>
        <w:pStyle w:val="Heading6"/>
        <w:spacing w:line="240" w:lineRule="auto" w:before="8"/>
        <w:ind w:left="229" w:right="1133"/>
        <w:jc w:val="left"/>
      </w:pPr>
      <w:r>
        <w:rPr/>
        <w:t>②借款费用已经发生；</w:t>
      </w:r>
    </w:p>
    <w:p>
      <w:pPr>
        <w:pStyle w:val="Heading6"/>
        <w:spacing w:line="240" w:lineRule="auto" w:before="37"/>
        <w:ind w:left="229" w:right="1133"/>
        <w:jc w:val="left"/>
      </w:pPr>
      <w:r>
        <w:rPr/>
        <w:t>③为使资产达到预定可使用或者可销售状态所必要的购建或者生产活动已经开始。</w:t>
      </w:r>
    </w:p>
    <w:p>
      <w:pPr>
        <w:spacing w:line="240" w:lineRule="auto" w:before="9"/>
        <w:rPr>
          <w:rFonts w:ascii="宋体" w:hAnsi="宋体" w:cs="宋体" w:eastAsia="宋体" w:hint="default"/>
          <w:sz w:val="26"/>
          <w:szCs w:val="26"/>
        </w:rPr>
      </w:pPr>
    </w:p>
    <w:p>
      <w:pPr>
        <w:pStyle w:val="Heading6"/>
        <w:spacing w:line="271" w:lineRule="auto"/>
        <w:ind w:left="229" w:right="111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4"/>
        </w:rPr>
        <w:t>资本化期间，指从借款费用开始资本化时点到停止资本化时点的期间，借款费用暂停资本化的期间不包括</w:t>
      </w:r>
      <w:r>
        <w:rPr>
          <w:spacing w:val="-28"/>
        </w:rPr>
        <w:t> </w:t>
      </w:r>
      <w:r>
        <w:rPr>
          <w:spacing w:val="-28"/>
        </w:rPr>
      </w:r>
      <w:r>
        <w:rPr/>
        <w:t>在内。</w:t>
      </w:r>
      <w:r>
        <w:rPr>
          <w:spacing w:val="-102"/>
        </w:rPr>
        <w:t> </w:t>
      </w:r>
      <w:r>
        <w:rPr/>
        <w:t>当购建或者生产符合资本化条件的资产达到预定可使用或者可销售状态时，借款费用停止资本化。</w:t>
      </w:r>
      <w:r>
        <w:rPr>
          <w:w w:val="100"/>
        </w:rPr>
        <w:t> </w:t>
      </w:r>
      <w:r>
        <w:rPr>
          <w:spacing w:val="-4"/>
          <w:w w:val="100"/>
        </w:rPr>
        <w:t>当购建或者生产符合资本化条件的资产中部分项目分别完工且可单独使用时，该部分资产借款费用停止资</w:t>
      </w:r>
      <w:r>
        <w:rPr>
          <w:spacing w:val="-86"/>
          <w:w w:val="100"/>
        </w:rPr>
        <w:t> </w:t>
      </w:r>
      <w:r>
        <w:rPr>
          <w:spacing w:val="-86"/>
          <w:w w:val="100"/>
        </w:rPr>
      </w:r>
      <w:r>
        <w:rPr/>
        <w:t>本化。</w:t>
      </w:r>
      <w:r>
        <w:rPr>
          <w:spacing w:val="-102"/>
        </w:rPr>
        <w:t> </w:t>
      </w:r>
      <w:r>
        <w:rPr>
          <w:spacing w:val="-4"/>
        </w:rPr>
        <w:t>购建或者生产的资产的各部分分别完工，但必须等到整体完工后才可使用或可对外销售的，在该资产整体</w:t>
      </w:r>
      <w:r>
        <w:rPr>
          <w:spacing w:val="-28"/>
        </w:rPr>
        <w:t> </w:t>
      </w:r>
      <w:r>
        <w:rPr>
          <w:spacing w:val="-28"/>
        </w:rPr>
      </w:r>
      <w:r>
        <w:rPr/>
        <w:t>完工时停止借款费用资本化。</w:t>
      </w:r>
    </w:p>
    <w:p>
      <w:pPr>
        <w:spacing w:after="0" w:line="271"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64" w:lineRule="auto" w:before="36"/>
        <w:ind w:left="229" w:right="98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w:t>
      </w:r>
      <w:r>
        <w:rPr>
          <w:spacing w:val="-19"/>
        </w:rPr>
        <w:t> </w:t>
      </w:r>
      <w:r>
        <w:rPr>
          <w:spacing w:val="-19"/>
        </w:rPr>
      </w:r>
      <w:r>
        <w:rPr>
          <w:spacing w:val="-4"/>
          <w:w w:val="100"/>
        </w:rPr>
        <w:t>用暂停资本化；该项中断如是所购建或生产的符合资本化条件的资产达到预定可使用状态或者可销售状态</w:t>
      </w:r>
      <w:r>
        <w:rPr>
          <w:spacing w:val="-86"/>
          <w:w w:val="100"/>
        </w:rPr>
        <w:t> </w:t>
      </w:r>
      <w:r>
        <w:rPr>
          <w:spacing w:val="-86"/>
          <w:w w:val="100"/>
        </w:rPr>
      </w:r>
      <w:r>
        <w:rPr>
          <w:spacing w:val="-4"/>
        </w:rPr>
        <w:t>必要的程序，则借款费用继续资本化。在中断期间发生的借款费用确认为当期损益，直至资产的购建或者</w:t>
      </w:r>
      <w:r>
        <w:rPr>
          <w:spacing w:val="-28"/>
        </w:rPr>
        <w:t> </w:t>
      </w:r>
      <w:r>
        <w:rPr>
          <w:spacing w:val="-28"/>
        </w:rPr>
      </w:r>
      <w:r>
        <w:rPr/>
        <w:t>生产活动重新开始后借款费用继续资本化。</w:t>
      </w:r>
    </w:p>
    <w:p>
      <w:pPr>
        <w:spacing w:line="240" w:lineRule="auto" w:before="1"/>
        <w:rPr>
          <w:rFonts w:ascii="宋体" w:hAnsi="宋体" w:cs="宋体" w:eastAsia="宋体" w:hint="default"/>
          <w:sz w:val="25"/>
          <w:szCs w:val="25"/>
        </w:rPr>
      </w:pPr>
    </w:p>
    <w:p>
      <w:pPr>
        <w:pStyle w:val="Heading6"/>
        <w:spacing w:line="271" w:lineRule="auto"/>
        <w:ind w:left="229" w:right="986"/>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spacing w:val="-103"/>
        </w:rPr>
        <w:t> </w:t>
      </w:r>
      <w:r>
        <w:rPr>
          <w:rFonts w:ascii="宋体" w:hAnsi="宋体" w:cs="宋体" w:eastAsia="宋体" w:hint="default"/>
          <w:b/>
          <w:bCs/>
          <w:spacing w:val="-103"/>
        </w:rPr>
      </w:r>
      <w:r>
        <w:rPr>
          <w:spacing w:val="-4"/>
        </w:rPr>
        <w:t>对于为购建或者生产符合资本化条件的资产而借入的专门借款，以专门借款当期实际发生的借款费用，减</w:t>
      </w:r>
      <w:r>
        <w:rPr>
          <w:spacing w:val="-28"/>
        </w:rPr>
        <w:t> </w:t>
      </w:r>
      <w:r>
        <w:rPr>
          <w:spacing w:val="-28"/>
        </w:rPr>
      </w:r>
      <w:r>
        <w:rPr>
          <w:spacing w:val="-4"/>
          <w:w w:val="100"/>
        </w:rPr>
        <w:t>去尚未动用的借款资金存入银行取得的利息收入或进行暂时性投资取得的投资收益后的金额，来确定借款</w:t>
      </w:r>
      <w:r>
        <w:rPr>
          <w:spacing w:val="-87"/>
          <w:w w:val="100"/>
        </w:rPr>
        <w:t> </w:t>
      </w:r>
      <w:r>
        <w:rPr>
          <w:spacing w:val="-87"/>
          <w:w w:val="100"/>
        </w:rPr>
      </w:r>
      <w:r>
        <w:rPr/>
        <w:t>费用的资本化金额。</w:t>
      </w:r>
      <w:r>
        <w:rPr>
          <w:w w:val="100"/>
        </w:rPr>
        <w:t> </w:t>
      </w:r>
      <w:r>
        <w:rPr>
          <w:spacing w:val="-4"/>
          <w:w w:val="100"/>
        </w:rPr>
        <w:t>对于为购建或者生产符合资本化条件的资产而占用的一般借款，根据累计资产支出超过专门借款部分的资</w:t>
      </w:r>
      <w:r>
        <w:rPr>
          <w:spacing w:val="-87"/>
          <w:w w:val="100"/>
        </w:rPr>
        <w:t> </w:t>
      </w:r>
      <w:r>
        <w:rPr>
          <w:spacing w:val="-87"/>
          <w:w w:val="100"/>
        </w:rPr>
      </w:r>
      <w:r>
        <w:rPr>
          <w:spacing w:val="-4"/>
        </w:rPr>
        <w:t>产支出加权平均数乘以所占用一般借款的资本化率，计算确定一般借款应予资本化的借款费用金额。资本</w:t>
      </w:r>
      <w:r>
        <w:rPr>
          <w:spacing w:val="-28"/>
        </w:rPr>
        <w:t> </w:t>
      </w:r>
      <w:r>
        <w:rPr>
          <w:spacing w:val="-28"/>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spacing w:line="273" w:lineRule="auto" w:before="0"/>
        <w:ind w:left="530" w:right="4274" w:firstLine="0"/>
        <w:jc w:val="left"/>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Ⅰ公司取得无形资产时按成本进行初始计量；</w:t>
      </w:r>
    </w:p>
    <w:p>
      <w:pPr>
        <w:pStyle w:val="Heading6"/>
        <w:spacing w:line="273" w:lineRule="auto" w:before="7"/>
        <w:ind w:left="530" w:right="1133"/>
        <w:jc w:val="left"/>
      </w:pPr>
      <w:r>
        <w:rPr>
          <w:spacing w:val="-1"/>
        </w:rPr>
        <w:t>外购无形资产的成本，包括购买价款、相关税费以及直接归属于使该项资产达到预定用途所发生的其</w:t>
      </w:r>
      <w:r>
        <w:rPr>
          <w:spacing w:val="-42"/>
        </w:rPr>
        <w:t> </w:t>
      </w:r>
      <w:r>
        <w:rPr>
          <w:spacing w:val="-42"/>
        </w:rPr>
      </w:r>
      <w:r>
        <w:rPr/>
        <w:t>他支出。</w:t>
      </w:r>
    </w:p>
    <w:p>
      <w:pPr>
        <w:pStyle w:val="Heading6"/>
        <w:spacing w:line="273" w:lineRule="auto" w:before="7"/>
        <w:ind w:left="530" w:right="6474"/>
        <w:jc w:val="left"/>
      </w:pPr>
      <w:r>
        <w:rPr/>
        <w:t>Ⅱ后续计量</w:t>
      </w:r>
      <w:r>
        <w:rPr>
          <w:spacing w:val="-102"/>
        </w:rPr>
        <w:t> </w:t>
      </w:r>
      <w:r>
        <w:rPr>
          <w:spacing w:val="-102"/>
        </w:rPr>
      </w:r>
      <w:r>
        <w:rPr>
          <w:spacing w:val="-2"/>
        </w:rPr>
        <w:t>在取得无形资产时分析判断其使用寿命。</w:t>
      </w:r>
    </w:p>
    <w:p>
      <w:pPr>
        <w:pStyle w:val="Heading6"/>
        <w:spacing w:line="273" w:lineRule="auto" w:before="7"/>
        <w:ind w:left="530" w:right="1133"/>
        <w:jc w:val="left"/>
      </w:pPr>
      <w:r>
        <w:rPr>
          <w:spacing w:val="-1"/>
        </w:rPr>
        <w:t>对于使用寿命有限的无形资产，在为企业带来经济利益的期限内按直线法摊销；无法预见无形资产为</w:t>
      </w:r>
      <w:r>
        <w:rPr>
          <w:spacing w:val="-42"/>
        </w:rPr>
        <w:t> </w:t>
      </w:r>
      <w:r>
        <w:rPr>
          <w:spacing w:val="-42"/>
        </w:rPr>
      </w:r>
      <w:r>
        <w:rPr/>
        <w:t>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5"/>
        <w:spacing w:line="240" w:lineRule="auto"/>
        <w:ind w:left="530" w:right="1133"/>
        <w:jc w:val="left"/>
        <w:rPr>
          <w:b w:val="0"/>
          <w:bCs w:val="0"/>
        </w:rPr>
      </w:pPr>
      <w:r>
        <w:rPr/>
        <w:t>②使用寿命有限的无形资产的使用寿命估计情况</w:t>
      </w:r>
      <w:r>
        <w:rPr>
          <w:b w:val="0"/>
          <w:bCs w:val="0"/>
        </w:rPr>
      </w:r>
    </w:p>
    <w:p>
      <w:pPr>
        <w:spacing w:line="240" w:lineRule="auto" w:before="8"/>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053"/>
        <w:gridCol w:w="1916"/>
        <w:gridCol w:w="2844"/>
      </w:tblGrid>
      <w:tr>
        <w:trPr>
          <w:trHeight w:val="353"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40-50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土地使用权证</w:t>
            </w:r>
          </w:p>
        </w:tc>
      </w:tr>
    </w:tbl>
    <w:p>
      <w:pPr>
        <w:pStyle w:val="Heading6"/>
        <w:spacing w:line="273" w:lineRule="auto"/>
        <w:ind w:right="1133"/>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after="0" w:line="27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273" w:lineRule="auto" w:before="36"/>
        <w:ind w:left="830" w:right="1133" w:firstLine="0"/>
        <w:jc w:val="left"/>
        <w:rPr>
          <w:rFonts w:ascii="宋体" w:hAnsi="宋体" w:cs="宋体" w:eastAsia="宋体" w:hint="default"/>
          <w:sz w:val="21"/>
          <w:szCs w:val="21"/>
        </w:rPr>
      </w:pPr>
      <w:r>
        <w:rPr>
          <w:rFonts w:ascii="宋体" w:hAnsi="宋体" w:cs="宋体" w:eastAsia="宋体" w:hint="default"/>
          <w:b/>
          <w:bCs/>
          <w:spacing w:val="-1"/>
          <w:sz w:val="21"/>
          <w:szCs w:val="21"/>
        </w:rPr>
        <w:t>③使用寿命不确定的无形资产的判断依据以及对其使用寿命进行复核的程序</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每期末，对使用寿命不确定的无形资产的使用寿命进行复核。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29" w:right="1133"/>
        <w:jc w:val="left"/>
      </w:pPr>
      <w:r>
        <w:rPr>
          <w:rFonts w:ascii="宋体" w:hAnsi="宋体" w:cs="宋体" w:eastAsia="宋体" w:hint="default"/>
          <w:b/>
          <w:bCs/>
        </w:rPr>
        <w:t>①划分研究阶段和开发阶段的具体标准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4"/>
        </w:rPr>
        <w:t>开发阶段：在进行商业性生产或使用前，将研究成果或其他知识应用于某项计划或设计，以生产出新的或</w:t>
      </w:r>
      <w:r>
        <w:rPr>
          <w:spacing w:val="-26"/>
        </w:rPr>
        <w:t> </w:t>
      </w:r>
      <w:r>
        <w:rPr>
          <w:spacing w:val="-26"/>
        </w:rPr>
      </w:r>
      <w:r>
        <w:rPr/>
        <w:t>具有实质性改进的材料、装置、产品等活动的阶段。</w:t>
      </w:r>
    </w:p>
    <w:p>
      <w:pPr>
        <w:spacing w:line="240" w:lineRule="auto" w:before="6"/>
        <w:rPr>
          <w:rFonts w:ascii="宋体" w:hAnsi="宋体" w:cs="宋体" w:eastAsia="宋体" w:hint="default"/>
          <w:sz w:val="24"/>
          <w:szCs w:val="24"/>
        </w:rPr>
      </w:pPr>
    </w:p>
    <w:p>
      <w:pPr>
        <w:pStyle w:val="Heading6"/>
        <w:spacing w:line="273" w:lineRule="auto"/>
        <w:ind w:left="152" w:right="1133" w:firstLine="76"/>
        <w:jc w:val="left"/>
      </w:pPr>
      <w:r>
        <w:rPr>
          <w:rFonts w:ascii="宋体" w:hAnsi="宋体" w:cs="宋体" w:eastAsia="宋体" w:hint="default"/>
          <w:b/>
          <w:bCs/>
        </w:rPr>
        <w:t>②开发阶段支出资本化的具体条件</w:t>
      </w:r>
      <w:r>
        <w:rPr>
          <w:rFonts w:ascii="宋体" w:hAnsi="宋体" w:cs="宋体" w:eastAsia="宋体" w:hint="default"/>
          <w:b/>
          <w:bCs/>
          <w:w w:val="100"/>
        </w:rPr>
        <w:t> </w:t>
      </w:r>
      <w:r>
        <w:rPr/>
        <w:t>内部研究开发项目开发阶段的支出，同时满足下列条件时确认为无形资产：</w:t>
      </w:r>
      <w:r>
        <w:rPr>
          <w:w w:val="100"/>
        </w:rPr>
        <w:t> </w:t>
      </w:r>
      <w:r>
        <w:rPr/>
        <w:t>Ⅰ完成该无形资产以使其能够使用或出售在技术上具有可行性；</w:t>
      </w:r>
      <w:r>
        <w:rPr>
          <w:w w:val="100"/>
        </w:rPr>
        <w:t> </w:t>
      </w:r>
      <w:r>
        <w:rPr/>
        <w:t>Ⅱ具有完成该无形资产并使用或出售的意图；</w:t>
      </w:r>
      <w:r>
        <w:rPr>
          <w:w w:val="100"/>
        </w:rPr>
        <w:t> </w:t>
      </w:r>
      <w:r>
        <w:rPr>
          <w:spacing w:val="-4"/>
          <w:w w:val="100"/>
        </w:rPr>
        <w:t>Ⅲ无形资产产生经济利益的方式，包括能够证明运用该无形资产生产的产品存在市场或无形资产自身存在</w:t>
      </w:r>
      <w:r>
        <w:rPr>
          <w:spacing w:val="-87"/>
          <w:w w:val="100"/>
        </w:rPr>
        <w:t> </w:t>
      </w:r>
      <w:r>
        <w:rPr>
          <w:spacing w:val="-87"/>
          <w:w w:val="100"/>
        </w:rPr>
      </w:r>
      <w:r>
        <w:rPr/>
        <w:t>市场，无形资产将在内部使用的，能够证明其有用性；</w:t>
      </w:r>
      <w:r>
        <w:rPr>
          <w:w w:val="100"/>
        </w:rPr>
        <w:t> </w:t>
      </w:r>
      <w:r>
        <w:rPr>
          <w:spacing w:val="-6"/>
        </w:rPr>
        <w:t>Ⅳ有足够的技术、财务资源和其他资源支持，以完成该无形资产的开发，并有能力使用或出售该无形资产；</w:t>
      </w:r>
      <w:r>
        <w:rPr>
          <w:spacing w:val="-37"/>
        </w:rPr>
        <w:t> </w:t>
      </w:r>
      <w:r>
        <w:rPr>
          <w:spacing w:val="-37"/>
        </w:rPr>
      </w:r>
      <w:r>
        <w:rPr/>
        <w:t>Ⅴ归属于该无形资产开发阶段的支出能够可靠地计量。</w:t>
      </w:r>
      <w:r>
        <w:rPr>
          <w:w w:val="100"/>
        </w:rPr>
        <w:t> </w:t>
      </w:r>
      <w:r>
        <w:rPr>
          <w:spacing w:val="-4"/>
        </w:rPr>
        <w:t>开发阶段的支出，若不满足上列条件的，于发生时计入当期损益。研究阶段的支出，在发生时计入当期损</w:t>
      </w:r>
      <w:r>
        <w:rPr>
          <w:spacing w:val="-36"/>
        </w:rPr>
        <w:t> </w:t>
      </w:r>
      <w:r>
        <w:rPr>
          <w:spacing w:val="-36"/>
        </w:rPr>
      </w:r>
      <w:r>
        <w:rPr/>
        <w:t>益。</w:t>
      </w:r>
    </w:p>
    <w:p>
      <w:pPr>
        <w:spacing w:line="240" w:lineRule="auto" w:before="7"/>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265" w:right="986"/>
        <w:jc w:val="left"/>
      </w:pPr>
      <w:r>
        <w:rPr/>
        <w:t>长期股权投资、采用成本模式计量的投资性房地产、固定资产、在建工程、使用寿命有限的无形资产等</w:t>
      </w:r>
      <w:r>
        <w:rPr>
          <w:spacing w:val="-34"/>
        </w:rPr>
        <w:t> </w:t>
      </w:r>
      <w:r>
        <w:rPr>
          <w:spacing w:val="-34"/>
        </w:rPr>
      </w:r>
      <w:r>
        <w:rPr/>
        <w:t>长期资产，于资产负债表日存在减值迹象的，进行减值测试。减值测试结果表明资产的可收回金额低于</w:t>
      </w:r>
      <w:r>
        <w:rPr>
          <w:spacing w:val="-36"/>
        </w:rPr>
        <w:t> </w:t>
      </w:r>
      <w:r>
        <w:rPr>
          <w:spacing w:val="-36"/>
        </w:rPr>
      </w:r>
      <w:r>
        <w:rPr/>
        <w:t>其账面价值的，按其差额计提减值准备并计入减值损失。可收回金额为资产的公允价值减去处置费用后</w:t>
      </w:r>
      <w:r>
        <w:rPr>
          <w:spacing w:val="-36"/>
        </w:rPr>
        <w:t> </w:t>
      </w:r>
      <w:r>
        <w:rPr>
          <w:spacing w:val="-36"/>
        </w:rPr>
      </w:r>
      <w:r>
        <w:rPr>
          <w:spacing w:val="-2"/>
        </w:rPr>
        <w:t>的净额与资产预计未来现金流量的现值两者之间的较高者。资产减值准备按单项资产为基础计算并确认，</w:t>
      </w:r>
      <w:r>
        <w:rPr>
          <w:spacing w:val="-50"/>
        </w:rPr>
        <w:t> </w:t>
      </w:r>
      <w:r>
        <w:rPr>
          <w:spacing w:val="-50"/>
        </w:rPr>
      </w:r>
      <w:r>
        <w:rPr/>
        <w:t>如果难以对单项资产的可收回金额进行估计的，以该资产所属的资产组确定资产组的可收回金额。资产</w:t>
      </w:r>
      <w:r>
        <w:rPr>
          <w:spacing w:val="-36"/>
        </w:rPr>
        <w:t> </w:t>
      </w:r>
      <w:r>
        <w:rPr>
          <w:spacing w:val="-36"/>
        </w:rPr>
      </w:r>
      <w:r>
        <w:rPr/>
        <w:t>组是能够独立产生现金流入的最小资产组合。</w:t>
      </w:r>
      <w:r>
        <w:rPr>
          <w:w w:val="100"/>
        </w:rPr>
        <w:t> </w:t>
      </w:r>
      <w:r>
        <w:rPr>
          <w:spacing w:val="-3"/>
        </w:rPr>
        <w:t>商誉、使用寿命不确定的无形资产、尚未达到可使用状态的无形资产至少在每年年度终了进行减值测试。</w:t>
      </w:r>
      <w:r>
        <w:rPr>
          <w:spacing w:val="-8"/>
        </w:rPr>
        <w:t> </w:t>
      </w:r>
      <w:r>
        <w:rPr>
          <w:spacing w:val="-8"/>
        </w:rPr>
      </w:r>
      <w:r>
        <w:rPr/>
        <w:t>本公司进行商誉减值测试，对于因企业合并形成的商誉的账面价值，自购买日起按照合理的方法分摊至</w:t>
      </w:r>
      <w:r>
        <w:rPr>
          <w:spacing w:val="-36"/>
        </w:rPr>
        <w:t> </w:t>
      </w:r>
      <w:r>
        <w:rPr>
          <w:spacing w:val="-36"/>
        </w:rPr>
      </w:r>
      <w:r>
        <w:rPr/>
        <w:t>相关的资产组；难以分摊至相关的资产组的，将其分摊至相关的资产组组合。本公司在分摊商誉的账面</w:t>
      </w:r>
      <w:r>
        <w:rPr>
          <w:spacing w:val="-36"/>
        </w:rPr>
        <w:t> </w:t>
      </w:r>
      <w:r>
        <w:rPr>
          <w:spacing w:val="-36"/>
        </w:rPr>
      </w:r>
      <w:r>
        <w:rPr/>
        <w:t>价值时，根据相关资产组或资产组组合能够从企业合并的协同效应中获得的相对受益情况进行分摊，在</w:t>
      </w:r>
      <w:r>
        <w:rPr>
          <w:spacing w:val="-36"/>
        </w:rPr>
        <w:t> </w:t>
      </w:r>
      <w:r>
        <w:rPr>
          <w:spacing w:val="-36"/>
        </w:rPr>
      </w:r>
      <w:r>
        <w:rPr/>
        <w:t>此基础上进行商誉减值测试。</w:t>
      </w:r>
      <w:r>
        <w:rPr>
          <w:w w:val="100"/>
        </w:rPr>
        <w:t> </w:t>
      </w:r>
      <w:r>
        <w:rPr/>
        <w:t>在对包含商誉的相关资产组或者资产组组合进行减值测试时，如与商誉相关的资产组或者资产组组合存</w:t>
      </w:r>
      <w:r>
        <w:rPr>
          <w:spacing w:val="-36"/>
        </w:rPr>
        <w:t> </w:t>
      </w:r>
      <w:r>
        <w:rPr>
          <w:spacing w:val="-36"/>
        </w:rPr>
      </w:r>
      <w:r>
        <w:rPr/>
        <w:t>在减值迹象的，先对不包含商誉的资产组或者资产组组合进行减值测试，计算可收回金额，并与相关账</w:t>
      </w:r>
      <w:r>
        <w:rPr>
          <w:spacing w:val="-36"/>
        </w:rPr>
        <w:t> </w:t>
      </w:r>
      <w:r>
        <w:rPr>
          <w:spacing w:val="-36"/>
        </w:rPr>
      </w:r>
      <w:r>
        <w:rPr/>
        <w:t>面价值相比较，确认相应的减值损失。再对包含商誉的资产组或者资产组组合进行减值测试，比较这些</w:t>
      </w:r>
      <w:r>
        <w:rPr>
          <w:spacing w:val="-36"/>
        </w:rPr>
        <w:t> </w:t>
      </w:r>
      <w:r>
        <w:rPr>
          <w:spacing w:val="-36"/>
        </w:rPr>
      </w:r>
      <w:r>
        <w:rPr/>
        <w:t>相关资产组或者资产组组合的账面价值（包括所分摊的商誉的账面价值部分）与其可收回金额，如相关</w:t>
      </w:r>
      <w:r>
        <w:rPr>
          <w:spacing w:val="-36"/>
        </w:rPr>
        <w:t> </w:t>
      </w:r>
      <w:r>
        <w:rPr>
          <w:spacing w:val="-36"/>
        </w:rPr>
      </w:r>
      <w:r>
        <w:rPr/>
        <w:t>资产组或者资产组组合的可收回金额低于其账面价值的，确认商誉的减值损失。上述资产减值损失一经</w:t>
      </w:r>
      <w:r>
        <w:rPr>
          <w:spacing w:val="-36"/>
        </w:rPr>
        <w:t> </w:t>
      </w:r>
      <w:r>
        <w:rPr>
          <w:spacing w:val="-36"/>
        </w:rPr>
      </w:r>
      <w:r>
        <w:rPr/>
        <w:t>确认，在以后会计期间不予转回。</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1133"/>
        <w:jc w:val="left"/>
      </w:pPr>
      <w:r>
        <w:rPr/>
        <w:t>长期待摊费用为已经发生但应由本期和以后各期负担的分摊期限在一年以上的各项费用。本公司长期待</w:t>
      </w:r>
      <w:r>
        <w:rPr>
          <w:spacing w:val="-36"/>
        </w:rPr>
        <w:t> </w:t>
      </w:r>
      <w:r>
        <w:rPr>
          <w:spacing w:val="-36"/>
        </w:rPr>
      </w:r>
      <w:r>
        <w:rPr/>
        <w:t>摊费用主要包括租入固定资产改良支出、技术成果使用权、长期借款担保费。。</w:t>
      </w:r>
    </w:p>
    <w:p>
      <w:pPr>
        <w:spacing w:line="256" w:lineRule="auto" w:before="7"/>
        <w:ind w:left="321" w:right="6474" w:hanging="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spacing w:line="240" w:lineRule="auto" w:before="7"/>
        <w:rPr>
          <w:rFonts w:ascii="宋体" w:hAnsi="宋体" w:cs="宋体" w:eastAsia="宋体" w:hint="default"/>
          <w:sz w:val="25"/>
          <w:szCs w:val="25"/>
        </w:rPr>
      </w:pPr>
    </w:p>
    <w:p>
      <w:pPr>
        <w:pStyle w:val="Heading5"/>
        <w:spacing w:line="240" w:lineRule="auto"/>
        <w:ind w:left="241" w:right="1133"/>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753" w:type="dxa"/>
        <w:tblLayout w:type="fixed"/>
        <w:tblCellMar>
          <w:top w:w="0" w:type="dxa"/>
          <w:left w:w="0" w:type="dxa"/>
          <w:bottom w:w="0" w:type="dxa"/>
          <w:right w:w="0" w:type="dxa"/>
        </w:tblCellMar>
        <w:tblLook w:val="01E0"/>
      </w:tblPr>
      <w:tblGrid>
        <w:gridCol w:w="3125"/>
        <w:gridCol w:w="2072"/>
        <w:gridCol w:w="2616"/>
      </w:tblGrid>
      <w:tr>
        <w:trPr>
          <w:trHeight w:val="353" w:hRule="exact"/>
        </w:trPr>
        <w:tc>
          <w:tcPr>
            <w:tcW w:w="3125" w:type="dxa"/>
            <w:tcBorders>
              <w:top w:val="single" w:sz="6" w:space="0" w:color="000000"/>
              <w:left w:val="single" w:sz="6" w:space="0" w:color="000000"/>
              <w:bottom w:val="single" w:sz="12" w:space="0" w:color="000000"/>
              <w:right w:val="single" w:sz="6" w:space="0" w:color="000000"/>
            </w:tcBorders>
          </w:tcPr>
          <w:p>
            <w:pPr>
              <w:pStyle w:val="TableParagraph"/>
              <w:tabs>
                <w:tab w:pos="42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预计收益期（年）</w:t>
            </w:r>
          </w:p>
        </w:tc>
        <w:tc>
          <w:tcPr>
            <w:tcW w:w="2616"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3" w:hRule="exact"/>
        </w:trPr>
        <w:tc>
          <w:tcPr>
            <w:tcW w:w="31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租入固定资产改良支出</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4-5</w:t>
            </w:r>
          </w:p>
        </w:tc>
        <w:tc>
          <w:tcPr>
            <w:tcW w:w="2616"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租赁合同</w:t>
            </w:r>
          </w:p>
        </w:tc>
      </w:tr>
      <w:tr>
        <w:trPr>
          <w:trHeight w:val="351" w:hRule="exact"/>
        </w:trPr>
        <w:tc>
          <w:tcPr>
            <w:tcW w:w="31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技术成果使用权</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616"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技术成果使用合同</w:t>
            </w:r>
          </w:p>
        </w:tc>
      </w:tr>
      <w:tr>
        <w:trPr>
          <w:trHeight w:val="355" w:hRule="exact"/>
        </w:trPr>
        <w:tc>
          <w:tcPr>
            <w:tcW w:w="31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长期借款担保费</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借款期限</w:t>
            </w:r>
          </w:p>
        </w:tc>
        <w:tc>
          <w:tcPr>
            <w:tcW w:w="2616"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借款合同</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229" w:right="1133"/>
        <w:jc w:val="left"/>
      </w:pPr>
      <w:r>
        <w:rPr>
          <w:spacing w:val="-4"/>
        </w:rPr>
        <w:t>本公司在职工为本公司提供服务的会计期间，将实际发生的短期薪酬确认为负债，并计入当期损益或相关</w:t>
      </w:r>
      <w:r>
        <w:rPr>
          <w:spacing w:val="-28"/>
        </w:rPr>
        <w:t> </w:t>
      </w:r>
      <w:r>
        <w:rPr>
          <w:spacing w:val="-28"/>
        </w:rPr>
      </w:r>
      <w:r>
        <w:rPr/>
        <w:t>资产成本。</w:t>
      </w:r>
      <w:r>
        <w:rPr>
          <w:spacing w:val="-102"/>
        </w:rPr>
        <w:t> </w:t>
      </w:r>
      <w:r>
        <w:rPr>
          <w:spacing w:val="-102"/>
        </w:rPr>
      </w:r>
      <w:r>
        <w:rPr>
          <w:spacing w:val="-4"/>
        </w:rPr>
        <w:t>本公司为职工缴纳的社会保险费和住房公积金，以及按规定提取的工会经费和职工教育经费，在职工为本</w:t>
      </w:r>
      <w:r>
        <w:rPr>
          <w:spacing w:val="-28"/>
        </w:rPr>
        <w:t> </w:t>
      </w:r>
      <w:r>
        <w:rPr>
          <w:spacing w:val="-28"/>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29" w:right="1133"/>
        <w:jc w:val="left"/>
      </w:pPr>
      <w:r>
        <w:rPr/>
        <w:t>①设定提存计划</w:t>
      </w:r>
      <w:r>
        <w:rPr>
          <w:spacing w:val="-103"/>
        </w:rPr>
        <w:t> </w:t>
      </w:r>
      <w:r>
        <w:rPr>
          <w:spacing w:val="-103"/>
        </w:rPr>
      </w:r>
      <w:r>
        <w:rPr/>
        <w:t>本公司按当地政府的相关规定为职工缴纳基本养老保险和失业保险，在职工为本公司提供服务的会计期</w:t>
      </w:r>
      <w:r>
        <w:rPr>
          <w:spacing w:val="-4"/>
        </w:rPr>
        <w:t> </w:t>
      </w:r>
      <w:r>
        <w:rPr>
          <w:spacing w:val="-4"/>
        </w:rPr>
      </w:r>
      <w:r>
        <w:rPr/>
        <w:t>间，按以当地规定的缴纳基数和比例计算应缴纳金额，确认为负债，并计入当期损益或相关资产成本。</w:t>
      </w:r>
    </w:p>
    <w:p>
      <w:pPr>
        <w:pStyle w:val="Heading6"/>
        <w:spacing w:line="273" w:lineRule="auto" w:before="7"/>
        <w:ind w:left="229" w:right="8144"/>
        <w:jc w:val="left"/>
      </w:pPr>
      <w:r>
        <w:rPr/>
        <w:t>②设定受益计划</w:t>
      </w:r>
      <w:r>
        <w:rPr>
          <w:spacing w:val="-103"/>
        </w:rPr>
        <w:t> </w:t>
      </w:r>
      <w:r>
        <w:rPr>
          <w:spacing w:val="-103"/>
        </w:rPr>
      </w:r>
      <w:r>
        <w:rPr>
          <w:spacing w:val="-2"/>
        </w:rPr>
        <w:t>本公司暂无设定收益计划。</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left="229" w:right="986"/>
        <w:jc w:val="left"/>
      </w:pPr>
      <w:r>
        <w:rPr>
          <w:spacing w:val="-4"/>
          <w:w w:val="100"/>
        </w:rPr>
        <w:t>本公司在不能单方面撤回因解除劳动关系计划或裁减建议所提供的辞退福利时，或确认与涉及支付辞退福</w:t>
      </w:r>
      <w:r>
        <w:rPr>
          <w:spacing w:val="-87"/>
          <w:w w:val="100"/>
        </w:rPr>
        <w:t> </w:t>
      </w:r>
      <w:r>
        <w:rPr>
          <w:spacing w:val="-87"/>
          <w:w w:val="100"/>
        </w:rPr>
      </w:r>
      <w:r>
        <w:rPr/>
        <w:t>利的重组相关的成本或费用时（两者孰早），确认辞退福利产生的职工薪酬负债，并计入当期损益。</w:t>
      </w:r>
    </w:p>
    <w:p>
      <w:pPr>
        <w:spacing w:after="0" w:line="273" w:lineRule="auto"/>
        <w:jc w:val="left"/>
        <w:sectPr>
          <w:footerReference w:type="default" r:id="rId18"/>
          <w:pgSz w:w="11910" w:h="16840"/>
          <w:pgMar w:footer="979" w:header="745" w:top="1060" w:bottom="1160" w:left="980" w:right="0"/>
          <w:pgNumType w:start="11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66" w:lineRule="auto" w:before="83"/>
        <w:ind w:left="729" w:right="4994" w:hanging="577"/>
        <w:jc w:val="left"/>
        <w:rPr>
          <w:rFonts w:ascii="宋体" w:hAnsi="宋体" w:cs="宋体" w:eastAsia="宋体" w:hint="default"/>
          <w:sz w:val="21"/>
          <w:szCs w:val="21"/>
        </w:rPr>
      </w:pPr>
      <w:r>
        <w:rPr>
          <w:rFonts w:ascii="宋体" w:hAnsi="宋体" w:cs="宋体" w:eastAsia="宋体" w:hint="default"/>
          <w:b/>
          <w:bCs/>
          <w:spacing w:val="-1"/>
          <w:sz w:val="21"/>
          <w:szCs w:val="21"/>
        </w:rPr>
        <w:t>（一）销售商品、提供劳务收入确认时间的具体判断标准</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、软件产品销售</w:t>
      </w:r>
      <w:r>
        <w:rPr>
          <w:rFonts w:ascii="宋体" w:hAnsi="宋体" w:cs="宋体" w:eastAsia="宋体" w:hint="default"/>
          <w:w w:val="100"/>
          <w:sz w:val="21"/>
          <w:szCs w:val="21"/>
        </w:rPr>
        <w:t> </w:t>
      </w:r>
      <w:r>
        <w:rPr>
          <w:rFonts w:ascii="宋体" w:hAnsi="宋体" w:cs="宋体" w:eastAsia="宋体" w:hint="default"/>
          <w:sz w:val="21"/>
          <w:szCs w:val="21"/>
        </w:rPr>
        <w:t>包括定制产品化软件以及定制工程化软件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、定制产品化软件</w:t>
      </w:r>
    </w:p>
    <w:p>
      <w:pPr>
        <w:pStyle w:val="Heading6"/>
        <w:spacing w:line="273" w:lineRule="auto"/>
        <w:ind w:left="861" w:right="986"/>
        <w:jc w:val="left"/>
      </w:pPr>
      <w:r>
        <w:rPr>
          <w:spacing w:val="-4"/>
          <w:w w:val="100"/>
        </w:rPr>
        <w:t>主要指针对具体实施工程项目的定点医院和定点药店定制的医疗保险支付软件产品。该类软件通过</w:t>
      </w:r>
      <w:r>
        <w:rPr>
          <w:spacing w:val="-92"/>
          <w:w w:val="100"/>
        </w:rPr>
        <w:t> </w:t>
      </w:r>
      <w:r>
        <w:rPr>
          <w:spacing w:val="-92"/>
          <w:w w:val="100"/>
        </w:rPr>
      </w:r>
      <w:r>
        <w:rPr/>
        <w:t>产品配置、技术培训，就能够满足客户对产品的应用需求，具有区域性推广特点。</w:t>
      </w:r>
    </w:p>
    <w:p>
      <w:pPr>
        <w:pStyle w:val="Heading6"/>
        <w:spacing w:line="268" w:lineRule="auto" w:before="7"/>
        <w:ind w:left="861" w:right="986" w:hanging="180"/>
        <w:jc w:val="left"/>
      </w:pPr>
      <w:r>
        <w:rPr/>
        <w:t>（</w:t>
      </w:r>
      <w:r>
        <w:rPr>
          <w:rFonts w:ascii="Times New Roman" w:hAnsi="Times New Roman" w:cs="Times New Roman" w:eastAsia="Times New Roman" w:hint="default"/>
        </w:rPr>
        <w:t>1</w:t>
      </w:r>
      <w:r>
        <w:rPr/>
        <w:t>）收入确认原则：</w:t>
      </w:r>
      <w:r>
        <w:rPr>
          <w:spacing w:val="-103"/>
        </w:rPr>
        <w:t> </w:t>
      </w:r>
      <w:r>
        <w:rPr>
          <w:spacing w:val="-103"/>
        </w:rPr>
      </w:r>
      <w:r>
        <w:rPr>
          <w:spacing w:val="-4"/>
          <w:w w:val="100"/>
        </w:rPr>
        <w:t>公司在软件产品使用权的主要风险和报酬转移给买方，不再对该软件产品使用权实施继续管理权和</w:t>
      </w:r>
      <w:r>
        <w:rPr>
          <w:w w:val="100"/>
        </w:rPr>
        <w:t> </w:t>
      </w:r>
      <w:r>
        <w:rPr>
          <w:spacing w:val="-4"/>
        </w:rPr>
        <w:t>实际控制权、相关的收入已经收到或取得了收款的证据、并且与销售该软件产品有关的成本能够可</w:t>
      </w:r>
      <w:r>
        <w:rPr>
          <w:w w:val="100"/>
        </w:rPr>
        <w:t> </w:t>
      </w:r>
      <w:r>
        <w:rPr/>
        <w:t>靠地计量时，确认销售收入。</w:t>
      </w:r>
    </w:p>
    <w:p>
      <w:pPr>
        <w:pStyle w:val="Heading6"/>
        <w:spacing w:line="240" w:lineRule="auto" w:before="12"/>
        <w:ind w:left="861" w:right="1133"/>
        <w:jc w:val="left"/>
      </w:pPr>
      <w:r>
        <w:rPr/>
        <w:t>（</w:t>
      </w:r>
      <w:r>
        <w:rPr>
          <w:rFonts w:ascii="Times New Roman" w:hAnsi="Times New Roman" w:cs="Times New Roman" w:eastAsia="Times New Roman" w:hint="default"/>
        </w:rPr>
        <w:t>2</w:t>
      </w:r>
      <w:r>
        <w:rPr/>
        <w:t>）收入确认方法：</w:t>
      </w:r>
    </w:p>
    <w:p>
      <w:pPr>
        <w:pStyle w:val="Heading6"/>
        <w:spacing w:line="240" w:lineRule="auto" w:before="21"/>
        <w:ind w:left="861" w:right="1133"/>
        <w:jc w:val="left"/>
      </w:pPr>
      <w:r>
        <w:rPr/>
        <w:t>①如销售合同规定需要安装验收的，在取得客户的安装验收报告时确认为销售收入；</w:t>
      </w:r>
    </w:p>
    <w:p>
      <w:pPr>
        <w:pStyle w:val="Heading6"/>
        <w:spacing w:line="266" w:lineRule="auto" w:before="37"/>
        <w:ind w:left="861" w:right="1133"/>
        <w:jc w:val="left"/>
      </w:pPr>
      <w:r>
        <w:rPr/>
        <w:t>②如销售合同未规定需要安装验收的，则在取得到货验收证明时确认为销售收入。</w:t>
      </w:r>
      <w:r>
        <w:rPr>
          <w:w w:val="100"/>
        </w:rPr>
        <w:t> </w:t>
      </w:r>
      <w:r>
        <w:rPr>
          <w:rFonts w:ascii="Times New Roman" w:hAnsi="Times New Roman" w:cs="Times New Roman" w:eastAsia="Times New Roman" w:hint="default"/>
        </w:rPr>
        <w:t>b</w:t>
      </w:r>
      <w:r>
        <w:rPr/>
        <w:t>、定制工程化软件</w:t>
      </w:r>
      <w:r>
        <w:rPr>
          <w:w w:val="100"/>
        </w:rPr>
        <w:t> </w:t>
      </w:r>
      <w:r>
        <w:rPr>
          <w:spacing w:val="-4"/>
        </w:rPr>
        <w:t>是指接受客户委托，根据客户的具体业务需求，采用软件技术进行应用软件产品研究开发，由此开</w:t>
      </w:r>
      <w:r>
        <w:rPr>
          <w:spacing w:val="-39"/>
        </w:rPr>
        <w:t> </w:t>
      </w:r>
      <w:r>
        <w:rPr>
          <w:spacing w:val="-39"/>
        </w:rPr>
      </w:r>
      <w:r>
        <w:rPr/>
        <w:t>发出来的软件为定制工程化软件、一般不具有通用性。</w:t>
      </w:r>
    </w:p>
    <w:p>
      <w:pPr>
        <w:pStyle w:val="Heading6"/>
        <w:spacing w:line="240" w:lineRule="auto" w:before="14"/>
        <w:ind w:left="861" w:right="1133"/>
        <w:jc w:val="left"/>
      </w:pPr>
      <w:r>
        <w:rPr/>
        <w:t>（</w:t>
      </w:r>
      <w:r>
        <w:rPr>
          <w:rFonts w:ascii="Times New Roman" w:hAnsi="Times New Roman" w:cs="Times New Roman" w:eastAsia="Times New Roman" w:hint="default"/>
        </w:rPr>
        <w:t>1</w:t>
      </w:r>
      <w:r>
        <w:rPr/>
        <w:t>）收入确认原则：</w:t>
      </w:r>
    </w:p>
    <w:p>
      <w:pPr>
        <w:pStyle w:val="Heading6"/>
        <w:spacing w:line="273" w:lineRule="auto" w:before="21"/>
        <w:ind w:left="861" w:right="1133"/>
        <w:jc w:val="left"/>
      </w:pPr>
      <w:r>
        <w:rPr>
          <w:spacing w:val="-4"/>
        </w:rPr>
        <w:t>①在资产负债表日提供劳务交易的结果能够可靠估计的软件开发项目，采用完工百分比法（项目完</w:t>
      </w:r>
      <w:r>
        <w:rPr>
          <w:spacing w:val="-40"/>
        </w:rPr>
        <w:t> </w:t>
      </w:r>
      <w:r>
        <w:rPr>
          <w:spacing w:val="-40"/>
        </w:rPr>
      </w:r>
      <w:r>
        <w:rPr/>
        <w:t>工进度）确认软件开发收入。</w:t>
      </w:r>
      <w:r>
        <w:rPr>
          <w:w w:val="100"/>
        </w:rPr>
        <w:t> </w:t>
      </w:r>
      <w:r>
        <w:rPr/>
        <w:t>完工百分比的确定方法：按已经提供的工作量占应提供的工作总量的比例确定。</w:t>
      </w:r>
    </w:p>
    <w:p>
      <w:pPr>
        <w:pStyle w:val="Heading6"/>
        <w:spacing w:line="273" w:lineRule="auto" w:before="7"/>
        <w:ind w:left="861" w:right="1126"/>
        <w:jc w:val="both"/>
      </w:pPr>
      <w:r>
        <w:rPr>
          <w:spacing w:val="-4"/>
          <w:w w:val="100"/>
        </w:rPr>
        <w:t>②对在资产负债表日提供劳务交易结果不能可靠估计的软件开发项目，如果已经发生的成本预计能</w:t>
      </w:r>
      <w:r>
        <w:rPr>
          <w:spacing w:val="-92"/>
          <w:w w:val="100"/>
        </w:rPr>
        <w:t> </w:t>
      </w:r>
      <w:r>
        <w:rPr>
          <w:spacing w:val="-92"/>
          <w:w w:val="100"/>
        </w:rPr>
      </w:r>
      <w:r>
        <w:rPr>
          <w:spacing w:val="-4"/>
        </w:rPr>
        <w:t>够得到补偿，按能够得到补偿的金额确认收入，并按相同的金额结转成本；如果已经发生的成本预</w:t>
      </w:r>
      <w:r>
        <w:rPr>
          <w:spacing w:val="-40"/>
        </w:rPr>
        <w:t> </w:t>
      </w:r>
      <w:r>
        <w:rPr>
          <w:spacing w:val="-40"/>
        </w:rPr>
      </w:r>
      <w:r>
        <w:rPr>
          <w:spacing w:val="-4"/>
        </w:rPr>
        <w:t>计不能全部得到补偿，按能够得到补偿的开发成本金额确认收入，并按已发生的成本结转成本，确</w:t>
      </w:r>
      <w:r>
        <w:rPr>
          <w:spacing w:val="-40"/>
        </w:rPr>
        <w:t> </w:t>
      </w:r>
      <w:r>
        <w:rPr>
          <w:spacing w:val="-40"/>
        </w:rPr>
      </w:r>
      <w:r>
        <w:rPr>
          <w:spacing w:val="-4"/>
        </w:rPr>
        <w:t>认的收入金额小于已经发生的成本的差额，确认为损失；如果已发生的成本全部不能得到补偿，则</w:t>
      </w:r>
      <w:r>
        <w:rPr>
          <w:spacing w:val="-40"/>
        </w:rPr>
        <w:t> </w:t>
      </w:r>
      <w:r>
        <w:rPr>
          <w:spacing w:val="-40"/>
        </w:rPr>
      </w:r>
      <w:r>
        <w:rPr/>
        <w:t>不确认收入，但将已发生的成本确认为费用。</w:t>
      </w:r>
    </w:p>
    <w:p>
      <w:pPr>
        <w:pStyle w:val="Heading6"/>
        <w:spacing w:line="264" w:lineRule="auto" w:before="7"/>
        <w:ind w:left="861" w:right="1133"/>
        <w:jc w:val="left"/>
      </w:pPr>
      <w:r>
        <w:rPr/>
        <w:t>（</w:t>
      </w:r>
      <w:r>
        <w:rPr>
          <w:rFonts w:ascii="Times New Roman" w:hAnsi="Times New Roman" w:cs="Times New Roman" w:eastAsia="Times New Roman" w:hint="default"/>
        </w:rPr>
        <w:t>2</w:t>
      </w:r>
      <w:r>
        <w:rPr/>
        <w:t>）收入确认方法：</w:t>
      </w:r>
      <w:r>
        <w:rPr>
          <w:w w:val="100"/>
        </w:rPr>
        <w:t> </w:t>
      </w:r>
      <w:r>
        <w:rPr>
          <w:spacing w:val="-4"/>
        </w:rPr>
        <w:t>合同中明确约定合同总金额中包含质保金的，在确认收入时，先扣除质保金部分，然后按如下方法</w:t>
      </w:r>
      <w:r>
        <w:rPr>
          <w:spacing w:val="-39"/>
        </w:rPr>
        <w:t> </w:t>
      </w:r>
      <w:r>
        <w:rPr>
          <w:spacing w:val="-39"/>
        </w:rPr>
      </w:r>
      <w:r>
        <w:rPr/>
        <w:t>确认收入；质保期届满后，再将该质保金确认收入。</w:t>
      </w:r>
    </w:p>
    <w:p>
      <w:pPr>
        <w:pStyle w:val="Heading6"/>
        <w:spacing w:line="273" w:lineRule="auto" w:before="16"/>
        <w:ind w:left="861" w:right="986"/>
        <w:jc w:val="left"/>
      </w:pPr>
      <w:r>
        <w:rPr/>
        <w:t>①取得初验报告开始确认收入。</w:t>
      </w:r>
      <w:r>
        <w:rPr>
          <w:w w:val="100"/>
        </w:rPr>
        <w:t> </w:t>
      </w:r>
      <w:r>
        <w:rPr>
          <w:spacing w:val="-7"/>
        </w:rPr>
        <w:t>定制工程化软件一般包括软件功能的开发、现场安装调试、旧系统数据迁移、系统培训、用户测试、</w:t>
      </w:r>
      <w:r>
        <w:rPr>
          <w:spacing w:val="-11"/>
        </w:rPr>
        <w:t> </w:t>
      </w:r>
      <w:r>
        <w:rPr>
          <w:spacing w:val="-11"/>
        </w:rPr>
      </w:r>
      <w:r>
        <w:rPr>
          <w:spacing w:val="-4"/>
        </w:rPr>
        <w:t>初验（系统试运行）和终验等环节，其中初验和终验是客户对系统运行情况作出的评价（用户也可</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left="861" w:right="986"/>
        <w:jc w:val="left"/>
      </w:pPr>
      <w:r>
        <w:rPr>
          <w:spacing w:val="-4"/>
        </w:rPr>
        <w:t>直接终验），也是公司与客户结算的主要依据和环节。在初验阶段完成时，围绕项目的大部分工作</w:t>
      </w:r>
      <w:r>
        <w:rPr>
          <w:spacing w:val="-40"/>
        </w:rPr>
        <w:t> </w:t>
      </w:r>
      <w:r>
        <w:rPr>
          <w:spacing w:val="-40"/>
        </w:rPr>
      </w:r>
      <w:r>
        <w:rPr>
          <w:spacing w:val="-7"/>
        </w:rPr>
        <w:t>均已完成，之后只是在运行期间可能进行部分系统功能的修改，所涉工作内容很少、工作量也不大。</w:t>
      </w:r>
      <w:r>
        <w:rPr>
          <w:spacing w:val="-12"/>
        </w:rPr>
        <w:t> </w:t>
      </w:r>
      <w:r>
        <w:rPr>
          <w:spacing w:val="-12"/>
        </w:rPr>
      </w:r>
      <w:r>
        <w:rPr/>
        <w:t>因此，公司在取得初验报告后开始确认收入。</w:t>
      </w:r>
    </w:p>
    <w:p>
      <w:pPr>
        <w:pStyle w:val="Heading6"/>
        <w:spacing w:line="264" w:lineRule="auto" w:before="7"/>
        <w:ind w:left="861" w:right="1133"/>
        <w:jc w:val="left"/>
      </w:pPr>
      <w:r>
        <w:rPr/>
        <w:t>②初验确认收入的比例。</w:t>
      </w:r>
      <w:r>
        <w:rPr>
          <w:w w:val="100"/>
        </w:rPr>
        <w:t> </w:t>
      </w:r>
      <w:r>
        <w:rPr>
          <w:spacing w:val="-4"/>
        </w:rPr>
        <w:t>由于公司定制工程化软件主要依靠项目实施人员及自有软件技术的整合来进行开发，因此，公司以</w:t>
      </w:r>
      <w:r>
        <w:rPr>
          <w:spacing w:val="-40"/>
        </w:rPr>
        <w:t> </w:t>
      </w:r>
      <w:r>
        <w:rPr>
          <w:spacing w:val="-40"/>
        </w:rPr>
      </w:r>
      <w:r>
        <w:rPr>
          <w:spacing w:val="-4"/>
        </w:rPr>
        <w:t>投入工时为计算基础，以完工进度作为确认收入的依据。根据历年已完工典型合同统计，初验时项</w:t>
      </w:r>
      <w:r>
        <w:rPr>
          <w:spacing w:val="-41"/>
        </w:rPr>
        <w:t> </w:t>
      </w:r>
      <w:r>
        <w:rPr>
          <w:spacing w:val="-41"/>
        </w:rPr>
      </w:r>
      <w:r>
        <w:rPr/>
        <w:t>目投入工时约为</w:t>
      </w:r>
      <w:r>
        <w:rPr>
          <w:rFonts w:ascii="Times New Roman" w:hAnsi="Times New Roman" w:cs="Times New Roman" w:eastAsia="Times New Roman" w:hint="default"/>
        </w:rPr>
        <w:t>80%</w:t>
      </w:r>
      <w:r>
        <w:rPr/>
        <w:t>左右，因此，公司按照以下标准孰低的原则确定初验收入的确认比例：</w:t>
      </w:r>
      <w:r>
        <w:rPr>
          <w:w w:val="100"/>
        </w:rPr>
        <w:t> </w:t>
      </w:r>
      <w:r>
        <w:rPr/>
        <w:t>Ⅰ初验时合同约定的付款比例等于或高于</w:t>
      </w:r>
      <w:r>
        <w:rPr>
          <w:rFonts w:ascii="Times New Roman" w:hAnsi="Times New Roman" w:cs="Times New Roman" w:eastAsia="Times New Roman" w:hint="default"/>
        </w:rPr>
        <w:t>80%</w:t>
      </w:r>
      <w:r>
        <w:rPr/>
        <w:t>，则以</w:t>
      </w:r>
      <w:r>
        <w:rPr>
          <w:rFonts w:ascii="Times New Roman" w:hAnsi="Times New Roman" w:cs="Times New Roman" w:eastAsia="Times New Roman" w:hint="default"/>
        </w:rPr>
        <w:t>80%</w:t>
      </w:r>
      <w:r>
        <w:rPr/>
        <w:t>确认收入；</w:t>
      </w:r>
      <w:r>
        <w:rPr>
          <w:w w:val="100"/>
        </w:rPr>
        <w:t> </w:t>
      </w:r>
      <w:r>
        <w:rPr/>
        <w:t>Ⅱ初验时合同约定的付款比例低于</w:t>
      </w:r>
      <w:r>
        <w:rPr>
          <w:rFonts w:ascii="Times New Roman" w:hAnsi="Times New Roman" w:cs="Times New Roman" w:eastAsia="Times New Roman" w:hint="default"/>
        </w:rPr>
        <w:t>80%</w:t>
      </w:r>
      <w:r>
        <w:rPr/>
        <w:t>，则以合同约定的比例确认收入。</w:t>
      </w:r>
      <w:r>
        <w:rPr>
          <w:w w:val="100"/>
        </w:rPr>
        <w:t> </w:t>
      </w:r>
      <w:r>
        <w:rPr/>
        <w:t>公司每年年末会根据当年完工合同情况，对初验完工进度进行复核。</w:t>
      </w:r>
    </w:p>
    <w:p>
      <w:pPr>
        <w:pStyle w:val="Heading6"/>
        <w:spacing w:line="273" w:lineRule="auto" w:before="16"/>
        <w:ind w:left="861" w:right="1133"/>
        <w:jc w:val="left"/>
      </w:pPr>
      <w:r>
        <w:rPr/>
        <w:t>③终验时的收入确认：</w:t>
      </w:r>
      <w:r>
        <w:rPr>
          <w:w w:val="100"/>
        </w:rPr>
        <w:t> </w:t>
      </w:r>
      <w:r>
        <w:rPr>
          <w:spacing w:val="-4"/>
        </w:rPr>
        <w:t>取得客户终验报告确认时，公司扣除终验前已确认的比例后，将其余部分确认收入，如合同中明确</w:t>
      </w:r>
      <w:r>
        <w:rPr>
          <w:spacing w:val="-40"/>
        </w:rPr>
        <w:t> </w:t>
      </w:r>
      <w:r>
        <w:rPr>
          <w:spacing w:val="-40"/>
        </w:rPr>
      </w:r>
      <w:r>
        <w:rPr/>
        <w:t>约定合同总金额中包含质保金的，先扣除质保金部分，再按前述办法确认收入。</w:t>
      </w:r>
    </w:p>
    <w:p>
      <w:pPr>
        <w:pStyle w:val="Heading6"/>
        <w:spacing w:line="264" w:lineRule="auto" w:before="7"/>
        <w:ind w:left="861" w:right="986"/>
        <w:jc w:val="left"/>
      </w:pPr>
      <w:r>
        <w:rPr>
          <w:rFonts w:ascii="Times New Roman" w:hAnsi="Times New Roman" w:cs="Times New Roman" w:eastAsia="Times New Roman" w:hint="default"/>
        </w:rPr>
        <w:t>B</w:t>
      </w:r>
      <w:r>
        <w:rPr/>
        <w:t>、运维服务</w:t>
      </w:r>
      <w:r>
        <w:rPr>
          <w:w w:val="100"/>
        </w:rPr>
        <w:t> </w:t>
      </w:r>
      <w:r>
        <w:rPr>
          <w:spacing w:val="-7"/>
        </w:rPr>
        <w:t>运维服务包括公司向客户提供的技术支持、技术咨询、技术开发、系统维护、运营管理等服务内容。</w:t>
      </w:r>
      <w:r>
        <w:rPr>
          <w:spacing w:val="-10"/>
        </w:rPr>
        <w:t> </w:t>
      </w:r>
      <w:r>
        <w:rPr>
          <w:spacing w:val="-10"/>
        </w:rPr>
      </w:r>
      <w:r>
        <w:rPr/>
        <w:t>服务合同期限过后，合同自动终止。</w:t>
      </w:r>
    </w:p>
    <w:p>
      <w:pPr>
        <w:pStyle w:val="Heading6"/>
        <w:spacing w:line="264" w:lineRule="auto" w:before="16"/>
        <w:ind w:left="861" w:right="1133"/>
        <w:jc w:val="left"/>
      </w:pPr>
      <w:r>
        <w:rPr/>
        <w:t>（</w:t>
      </w:r>
      <w:r>
        <w:rPr>
          <w:rFonts w:ascii="Times New Roman" w:hAnsi="Times New Roman" w:cs="Times New Roman" w:eastAsia="Times New Roman" w:hint="default"/>
        </w:rPr>
        <w:t>1</w:t>
      </w:r>
      <w:r>
        <w:rPr/>
        <w:t>）收入确认原则：</w:t>
      </w:r>
      <w:r>
        <w:rPr>
          <w:w w:val="100"/>
        </w:rPr>
        <w:t> </w:t>
      </w:r>
      <w:r>
        <w:rPr>
          <w:spacing w:val="-4"/>
        </w:rPr>
        <w:t>公司在已根据合同约定提供了相应服务，取得明确的收款证据，相关成本能够可靠地计量时，确认</w:t>
      </w:r>
      <w:r>
        <w:rPr>
          <w:spacing w:val="-40"/>
        </w:rPr>
        <w:t> </w:t>
      </w:r>
      <w:r>
        <w:rPr>
          <w:spacing w:val="-40"/>
        </w:rPr>
      </w:r>
      <w:r>
        <w:rPr/>
        <w:t>收入。</w:t>
      </w:r>
    </w:p>
    <w:p>
      <w:pPr>
        <w:pStyle w:val="Heading6"/>
        <w:spacing w:line="240" w:lineRule="auto" w:before="16"/>
        <w:ind w:left="861" w:right="1133"/>
        <w:jc w:val="left"/>
      </w:pPr>
      <w:r>
        <w:rPr/>
        <w:t>（</w:t>
      </w:r>
      <w:r>
        <w:rPr>
          <w:rFonts w:ascii="Times New Roman" w:hAnsi="Times New Roman" w:cs="Times New Roman" w:eastAsia="Times New Roman" w:hint="default"/>
        </w:rPr>
        <w:t>2</w:t>
      </w:r>
      <w:r>
        <w:rPr/>
        <w:t>）收入确认方法：</w:t>
      </w:r>
    </w:p>
    <w:p>
      <w:pPr>
        <w:pStyle w:val="Heading6"/>
        <w:spacing w:line="240" w:lineRule="auto" w:before="21"/>
        <w:ind w:left="861" w:right="1133"/>
        <w:jc w:val="left"/>
      </w:pPr>
      <w:r>
        <w:rPr/>
        <w:t>①合同明确约定服务期限的，在合同约定的服务期限内分期确认收入。</w:t>
      </w:r>
    </w:p>
    <w:p>
      <w:pPr>
        <w:pStyle w:val="Heading6"/>
        <w:spacing w:line="240" w:lineRule="auto" w:before="37"/>
        <w:ind w:left="861" w:right="1133"/>
        <w:jc w:val="left"/>
      </w:pPr>
      <w:r>
        <w:rPr/>
        <w:t>②合同明确约定服务成果需经客户验收确认的，根据客户验收情况确认收入。</w:t>
      </w:r>
    </w:p>
    <w:p>
      <w:pPr>
        <w:pStyle w:val="Heading6"/>
        <w:spacing w:line="264" w:lineRule="auto" w:before="37"/>
        <w:ind w:left="861" w:right="4274"/>
        <w:jc w:val="left"/>
      </w:pPr>
      <w:r>
        <w:rPr>
          <w:rFonts w:ascii="Times New Roman" w:hAnsi="Times New Roman" w:cs="Times New Roman" w:eastAsia="Times New Roman" w:hint="default"/>
        </w:rPr>
        <w:t>C</w:t>
      </w:r>
      <w:r>
        <w:rPr/>
        <w:t>、系统集成</w:t>
      </w:r>
      <w:r>
        <w:rPr>
          <w:w w:val="100"/>
        </w:rPr>
        <w:t> </w:t>
      </w:r>
      <w:r>
        <w:rPr>
          <w:spacing w:val="-2"/>
        </w:rPr>
        <w:t>系统集成包括外购软硬件产品和公司软件产品的安装调试。</w:t>
      </w:r>
      <w:r>
        <w:rPr>
          <w:spacing w:val="-55"/>
        </w:rPr>
        <w:t> </w:t>
      </w:r>
      <w:r>
        <w:rPr>
          <w:spacing w:val="-55"/>
        </w:rPr>
      </w:r>
      <w:r>
        <w:rPr>
          <w:rFonts w:ascii="Times New Roman" w:hAnsi="Times New Roman" w:cs="Times New Roman" w:eastAsia="Times New Roman" w:hint="default"/>
        </w:rPr>
        <w:t>1</w:t>
      </w:r>
      <w:r>
        <w:rPr/>
        <w:t>、收入确认原则：</w:t>
      </w:r>
    </w:p>
    <w:p>
      <w:pPr>
        <w:pStyle w:val="Heading6"/>
        <w:spacing w:line="273" w:lineRule="auto"/>
        <w:ind w:left="861" w:right="1025"/>
        <w:jc w:val="both"/>
      </w:pPr>
      <w:r>
        <w:rPr>
          <w:spacing w:val="-2"/>
        </w:rPr>
        <w:t>公司已将产品所有权上的主要风险和报酬转移给购货方，并且不再对该产品实施继续管理和控制，</w:t>
      </w:r>
      <w:r>
        <w:rPr>
          <w:spacing w:val="-25"/>
        </w:rPr>
        <w:t> </w:t>
      </w:r>
      <w:r>
        <w:rPr>
          <w:spacing w:val="-25"/>
        </w:rPr>
      </w:r>
      <w:r>
        <w:rPr>
          <w:spacing w:val="-2"/>
        </w:rPr>
        <w:t>与交易相关的经济利益能够流入本公司，相关的收入和成本能够可靠计量时确认销售收入的实现。</w:t>
      </w:r>
      <w:r>
        <w:rPr>
          <w:spacing w:val="-28"/>
        </w:rPr>
        <w:t> </w:t>
      </w:r>
      <w:r>
        <w:rPr>
          <w:spacing w:val="-28"/>
        </w:rPr>
      </w:r>
      <w:r>
        <w:rPr>
          <w:rFonts w:ascii="Times New Roman" w:hAnsi="Times New Roman" w:cs="Times New Roman" w:eastAsia="Times New Roman" w:hint="default"/>
        </w:rPr>
        <w:t>2</w:t>
      </w:r>
      <w:r>
        <w:rPr/>
        <w:t>、收入确认方法：</w:t>
      </w:r>
    </w:p>
    <w:p>
      <w:pPr>
        <w:pStyle w:val="Heading6"/>
        <w:spacing w:line="273" w:lineRule="auto"/>
        <w:ind w:left="861" w:right="986"/>
        <w:jc w:val="left"/>
      </w:pPr>
      <w:r>
        <w:rPr>
          <w:spacing w:val="-4"/>
          <w:w w:val="100"/>
        </w:rPr>
        <w:t>①如销售合同规定需要安装验收的，在取得客户的安装验收报告时按合同金额扣除增值税后的余额</w:t>
      </w:r>
      <w:r>
        <w:rPr>
          <w:spacing w:val="-92"/>
          <w:w w:val="100"/>
        </w:rPr>
        <w:t> </w:t>
      </w:r>
      <w:r>
        <w:rPr>
          <w:spacing w:val="-92"/>
          <w:w w:val="100"/>
        </w:rPr>
      </w:r>
      <w:r>
        <w:rPr/>
        <w:t>确认为销售收入；</w:t>
      </w:r>
    </w:p>
    <w:p>
      <w:pPr>
        <w:pStyle w:val="Heading6"/>
        <w:spacing w:line="273" w:lineRule="auto" w:before="7"/>
        <w:ind w:left="861" w:right="986"/>
        <w:jc w:val="left"/>
      </w:pPr>
      <w:r>
        <w:rPr>
          <w:spacing w:val="-4"/>
          <w:w w:val="100"/>
        </w:rPr>
        <w:t>②如销售合同未规定需要安装验收的，则在取得到货验收证明时按合同金额扣除增值税后的余额确</w:t>
      </w:r>
      <w:r>
        <w:rPr>
          <w:spacing w:val="-92"/>
          <w:w w:val="100"/>
        </w:rPr>
        <w:t> </w:t>
      </w:r>
      <w:r>
        <w:rPr>
          <w:spacing w:val="-92"/>
          <w:w w:val="100"/>
        </w:rPr>
      </w:r>
      <w:r>
        <w:rPr/>
        <w:t>认为销售收入。</w:t>
      </w:r>
    </w:p>
    <w:p>
      <w:pPr>
        <w:pStyle w:val="Heading6"/>
        <w:spacing w:line="256" w:lineRule="auto" w:before="8"/>
        <w:ind w:left="861" w:right="4524"/>
        <w:jc w:val="left"/>
      </w:pPr>
      <w:r>
        <w:rPr>
          <w:rFonts w:ascii="Times New Roman" w:hAnsi="Times New Roman" w:cs="Times New Roman" w:eastAsia="Times New Roman" w:hint="default"/>
        </w:rPr>
        <w:t>D</w:t>
      </w:r>
      <w:r>
        <w:rPr/>
        <w:t>、综合工程</w:t>
      </w:r>
      <w:r>
        <w:rPr>
          <w:w w:val="100"/>
        </w:rPr>
        <w:t> </w:t>
      </w:r>
      <w:r>
        <w:rPr>
          <w:spacing w:val="-2"/>
        </w:rPr>
        <w:t>本公司综合工程包括弱电系统安装、综合布线等。</w:t>
      </w:r>
    </w:p>
    <w:p>
      <w:pPr>
        <w:pStyle w:val="Heading6"/>
        <w:spacing w:line="268" w:lineRule="auto" w:before="22"/>
        <w:ind w:left="861" w:right="1133"/>
        <w:jc w:val="left"/>
      </w:pPr>
      <w:r>
        <w:rPr/>
        <w:t>（</w:t>
      </w:r>
      <w:r>
        <w:rPr>
          <w:rFonts w:ascii="Times New Roman" w:hAnsi="Times New Roman" w:cs="Times New Roman" w:eastAsia="Times New Roman" w:hint="default"/>
        </w:rPr>
        <w:t>1</w:t>
      </w:r>
      <w:r>
        <w:rPr/>
        <w:t>）收入确认原则：</w:t>
      </w:r>
      <w:r>
        <w:rPr>
          <w:w w:val="100"/>
        </w:rPr>
        <w:t> </w:t>
      </w:r>
      <w:r>
        <w:rPr/>
        <w:t>在资产负债表日，合同的结果能够可靠估计的，根据完工百分比法确认合同收入和合同费用。</w:t>
      </w:r>
      <w:r>
        <w:rPr>
          <w:w w:val="100"/>
        </w:rPr>
        <w:t> </w:t>
      </w:r>
      <w:r>
        <w:rPr>
          <w:spacing w:val="-4"/>
        </w:rPr>
        <w:t>如果合同的结果不能可靠地估计，区别以下情况处理：合同成本能够收回的，合同收入根据能够收</w:t>
      </w:r>
      <w:r>
        <w:rPr>
          <w:spacing w:val="-39"/>
        </w:rPr>
        <w:t> </w:t>
      </w:r>
      <w:r>
        <w:rPr>
          <w:spacing w:val="-39"/>
        </w:rPr>
      </w:r>
      <w:r>
        <w:rPr/>
        <w:t>回的实际合同成本加以确认；合同成本不可能收回的，在发生时立即确认为费用，不确认收入。</w:t>
      </w:r>
      <w:r>
        <w:rPr>
          <w:w w:val="100"/>
        </w:rPr>
        <w:t> </w:t>
      </w:r>
      <w:r>
        <w:rPr/>
        <w:t>合同的结果能够可靠估计是指同时具备下列条件：</w:t>
      </w:r>
    </w:p>
    <w:p>
      <w:pPr>
        <w:pStyle w:val="Heading6"/>
        <w:spacing w:line="240" w:lineRule="auto" w:before="12"/>
        <w:ind w:left="861" w:right="1133"/>
        <w:jc w:val="left"/>
      </w:pPr>
      <w:r>
        <w:rPr/>
        <w:t>①合同总收入能够可靠地计量；</w:t>
      </w:r>
    </w:p>
    <w:p>
      <w:pPr>
        <w:pStyle w:val="Heading6"/>
        <w:spacing w:line="240" w:lineRule="auto" w:before="37"/>
        <w:ind w:left="861" w:right="1133"/>
        <w:jc w:val="left"/>
      </w:pPr>
      <w:r>
        <w:rPr/>
        <w:t>②与合同相关的经济利益能够流入企业；</w:t>
      </w:r>
    </w:p>
    <w:p>
      <w:pPr>
        <w:pStyle w:val="Heading6"/>
        <w:spacing w:line="240" w:lineRule="auto" w:before="37"/>
        <w:ind w:left="861" w:right="1133"/>
        <w:jc w:val="left"/>
      </w:pPr>
      <w:r>
        <w:rPr/>
        <w:t>③在资产负债表日合同完工进度和为完成合同尚需发生的成本能够可靠地确定；</w:t>
      </w:r>
    </w:p>
    <w:p>
      <w:pPr>
        <w:pStyle w:val="Heading6"/>
        <w:spacing w:line="273" w:lineRule="auto" w:before="37"/>
        <w:ind w:left="861" w:right="986"/>
        <w:jc w:val="left"/>
      </w:pPr>
      <w:r>
        <w:rPr>
          <w:spacing w:val="-4"/>
          <w:w w:val="100"/>
        </w:rPr>
        <w:t>④为完成合同已经发生的合同成本能够清楚地区分和可靠地计量，以便实际合同成本能够与以前的</w:t>
      </w:r>
      <w:r>
        <w:rPr>
          <w:spacing w:val="-92"/>
          <w:w w:val="100"/>
        </w:rPr>
        <w:t> </w:t>
      </w:r>
      <w:r>
        <w:rPr>
          <w:spacing w:val="-92"/>
          <w:w w:val="100"/>
        </w:rPr>
      </w:r>
      <w:r>
        <w:rPr/>
        <w:t>预计成本相比较。</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861" w:right="0"/>
        <w:jc w:val="both"/>
      </w:pPr>
      <w:r>
        <w:rPr/>
        <w:t>（</w:t>
      </w:r>
      <w:r>
        <w:rPr>
          <w:rFonts w:ascii="Times New Roman" w:hAnsi="Times New Roman" w:cs="Times New Roman" w:eastAsia="Times New Roman" w:hint="default"/>
        </w:rPr>
        <w:t>2</w:t>
      </w:r>
      <w:r>
        <w:rPr/>
        <w:t>）收入确认方法：</w:t>
      </w:r>
    </w:p>
    <w:p>
      <w:pPr>
        <w:pStyle w:val="Heading6"/>
        <w:spacing w:line="273" w:lineRule="auto" w:before="21"/>
        <w:ind w:left="861" w:right="1126"/>
        <w:jc w:val="both"/>
      </w:pPr>
      <w:r>
        <w:rPr>
          <w:spacing w:val="-5"/>
        </w:rPr>
        <w:t>①在资产负债表日，按照合同总收入乘以完工进度扣除以前会计期间累计已确认收入后的金额，确</w:t>
      </w:r>
      <w:r>
        <w:rPr>
          <w:spacing w:val="-49"/>
        </w:rPr>
        <w:t> </w:t>
      </w:r>
      <w:r>
        <w:rPr>
          <w:spacing w:val="-49"/>
        </w:rPr>
      </w:r>
      <w:r>
        <w:rPr>
          <w:spacing w:val="-4"/>
        </w:rPr>
        <w:t>认为当期合同收入；同时，按照合同预计总成本乘以完工进度扣除以前会计期间累计已确认费用后</w:t>
      </w:r>
      <w:r>
        <w:rPr>
          <w:spacing w:val="-39"/>
        </w:rPr>
        <w:t> </w:t>
      </w:r>
      <w:r>
        <w:rPr>
          <w:spacing w:val="-39"/>
        </w:rPr>
      </w:r>
      <w:r>
        <w:rPr/>
        <w:t>的金额，确认为当期合同费用。</w:t>
      </w:r>
    </w:p>
    <w:p>
      <w:pPr>
        <w:pStyle w:val="Heading6"/>
        <w:spacing w:line="273" w:lineRule="auto" w:before="7"/>
        <w:ind w:left="861" w:right="1126"/>
        <w:jc w:val="both"/>
      </w:pPr>
      <w:r>
        <w:rPr>
          <w:spacing w:val="-4"/>
        </w:rPr>
        <w:t>②当期完成的建造合同，按照实际合同总收入扣除以前会计期间累计已确认收入后的金额，确认为</w:t>
      </w:r>
      <w:r>
        <w:rPr>
          <w:spacing w:val="-39"/>
        </w:rPr>
        <w:t> </w:t>
      </w:r>
      <w:r>
        <w:rPr>
          <w:spacing w:val="-39"/>
        </w:rPr>
      </w:r>
      <w:r>
        <w:rPr>
          <w:spacing w:val="-4"/>
        </w:rPr>
        <w:t>当期合同收入，如果合同约定质保条款的，先扣除质保金部分，然后按前述方法确认收入，质保期</w:t>
      </w:r>
      <w:r>
        <w:rPr>
          <w:spacing w:val="-42"/>
        </w:rPr>
        <w:t> </w:t>
      </w:r>
      <w:r>
        <w:rPr>
          <w:spacing w:val="-42"/>
        </w:rPr>
      </w:r>
      <w:r>
        <w:rPr>
          <w:spacing w:val="-4"/>
        </w:rPr>
        <w:t>届满后，再将该质保金确认收入；同时，按照累计实际发生的合同成本扣除以前会计期间累计已确</w:t>
      </w:r>
      <w:r>
        <w:rPr>
          <w:spacing w:val="-41"/>
        </w:rPr>
        <w:t> </w:t>
      </w:r>
      <w:r>
        <w:rPr>
          <w:spacing w:val="-41"/>
        </w:rPr>
      </w:r>
      <w:r>
        <w:rPr/>
        <w:t>认费用后的金额，确认为当期合同费用。</w:t>
      </w:r>
    </w:p>
    <w:p>
      <w:pPr>
        <w:spacing w:line="240" w:lineRule="auto" w:before="6"/>
        <w:rPr>
          <w:rFonts w:ascii="宋体" w:hAnsi="宋体" w:cs="宋体" w:eastAsia="宋体" w:hint="default"/>
          <w:sz w:val="24"/>
          <w:szCs w:val="24"/>
        </w:rPr>
      </w:pPr>
    </w:p>
    <w:p>
      <w:pPr>
        <w:spacing w:line="273" w:lineRule="auto" w:before="0"/>
        <w:ind w:left="813" w:right="1133" w:hanging="661"/>
        <w:jc w:val="left"/>
        <w:rPr>
          <w:rFonts w:ascii="宋体" w:hAnsi="宋体" w:cs="宋体" w:eastAsia="宋体" w:hint="default"/>
          <w:sz w:val="21"/>
          <w:szCs w:val="21"/>
        </w:rPr>
      </w:pPr>
      <w:r>
        <w:rPr>
          <w:rFonts w:ascii="宋体" w:hAnsi="宋体" w:cs="宋体" w:eastAsia="宋体" w:hint="default"/>
          <w:b/>
          <w:bCs/>
          <w:sz w:val="21"/>
          <w:szCs w:val="21"/>
        </w:rPr>
        <w:t>（二）确认让渡资产使用权收入的依据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与交易相关的经济利益很可能流入企业，收入的金额能够可靠地计量时。分别下列情况确定让渡资</w:t>
      </w:r>
      <w:r>
        <w:rPr>
          <w:rFonts w:ascii="宋体" w:hAnsi="宋体" w:cs="宋体" w:eastAsia="宋体" w:hint="default"/>
          <w:w w:val="100"/>
          <w:sz w:val="21"/>
          <w:szCs w:val="21"/>
        </w:rPr>
        <w:t> </w:t>
      </w:r>
      <w:r>
        <w:rPr>
          <w:rFonts w:ascii="宋体" w:hAnsi="宋体" w:cs="宋体" w:eastAsia="宋体" w:hint="default"/>
          <w:sz w:val="21"/>
          <w:szCs w:val="21"/>
        </w:rPr>
        <w:t>产使用权收入金额：</w:t>
      </w:r>
    </w:p>
    <w:p>
      <w:pPr>
        <w:pStyle w:val="Heading6"/>
        <w:spacing w:line="240" w:lineRule="auto" w:before="7"/>
        <w:ind w:left="681"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6"/>
        <w:spacing w:line="240" w:lineRule="auto" w:before="21"/>
        <w:ind w:left="681"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pStyle w:val="Heading5"/>
        <w:spacing w:line="240" w:lineRule="auto"/>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71" w:lineRule="auto"/>
        <w:ind w:left="229" w:right="113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100"/>
        </w:rPr>
        <w:t> </w:t>
      </w:r>
      <w:r>
        <w:rPr>
          <w:spacing w:val="-4"/>
        </w:rPr>
        <w:t>政府补助，是本公司从政府无偿取得的货币性资产与非货币性资产。分为与资产相关的政府补助和与收益</w:t>
      </w:r>
      <w:r>
        <w:rPr>
          <w:spacing w:val="-28"/>
        </w:rPr>
        <w:t> </w:t>
      </w:r>
      <w:r>
        <w:rPr>
          <w:spacing w:val="-28"/>
        </w:rPr>
      </w:r>
      <w:r>
        <w:rPr/>
        <w:t>相关的政府补助。</w:t>
      </w:r>
      <w:r>
        <w:rPr>
          <w:w w:val="100"/>
        </w:rPr>
        <w:t> </w:t>
      </w:r>
      <w:r>
        <w:rPr>
          <w:spacing w:val="-4"/>
        </w:rPr>
        <w:t>与资产相关的政府补助，是指本公司取得的、用于购建或以其他方式形成长期资产的政府补助。与收益相</w:t>
      </w:r>
      <w:r>
        <w:rPr>
          <w:spacing w:val="-25"/>
        </w:rPr>
        <w:t> </w:t>
      </w:r>
      <w:r>
        <w:rPr>
          <w:spacing w:val="-25"/>
        </w:rPr>
      </w:r>
      <w:r>
        <w:rPr/>
        <w:t>关的政府补助，是指除与资产相关的政府补助之外的政府补助。</w:t>
      </w:r>
      <w:r>
        <w:rPr>
          <w:w w:val="100"/>
        </w:rPr>
        <w:t> </w:t>
      </w:r>
      <w:r>
        <w:rPr/>
        <w:t>本公司将政府补助划分为与资产相关的具体标准为：补助企业相关资产的购建；</w:t>
      </w:r>
      <w:r>
        <w:rPr>
          <w:w w:val="100"/>
        </w:rPr>
        <w:t> </w:t>
      </w:r>
      <w:r>
        <w:rPr/>
        <w:t>本公司将政府补助划分为与收益相关的具体标准为：补偿企业相关费用或损失；</w:t>
      </w:r>
      <w:r>
        <w:rPr>
          <w:w w:val="100"/>
        </w:rPr>
        <w:t> </w:t>
      </w:r>
      <w:r>
        <w:rPr/>
        <w:t>对于政府文件未明确规定补助对象的，本公司将该政府补助划分为与资产相关或与收益相关的判断依据</w:t>
      </w:r>
      <w:r>
        <w:rPr>
          <w:spacing w:val="-4"/>
        </w:rPr>
        <w:t> </w:t>
      </w:r>
      <w:r>
        <w:rPr>
          <w:spacing w:val="-4"/>
        </w:rPr>
      </w:r>
      <w:r>
        <w:rPr/>
        <w:t>为：将政府补助整体归类为与收益相关的政府补助。</w:t>
      </w:r>
    </w:p>
    <w:p>
      <w:pPr>
        <w:spacing w:line="240" w:lineRule="auto" w:before="8"/>
        <w:rPr>
          <w:rFonts w:ascii="宋体" w:hAnsi="宋体" w:cs="宋体" w:eastAsia="宋体" w:hint="default"/>
          <w:sz w:val="24"/>
          <w:szCs w:val="24"/>
        </w:rPr>
      </w:pPr>
    </w:p>
    <w:p>
      <w:pPr>
        <w:pStyle w:val="Heading6"/>
        <w:spacing w:line="264" w:lineRule="auto"/>
        <w:ind w:left="229" w:right="211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100"/>
        </w:rPr>
        <w:t> </w:t>
      </w:r>
      <w:r>
        <w:rPr>
          <w:spacing w:val="-2"/>
        </w:rPr>
        <w:t>与资产相关的政府补助确认时点：相关资产达到预定可使用状态或收到政府补助款项时；</w:t>
      </w:r>
      <w:r>
        <w:rPr>
          <w:spacing w:val="-31"/>
        </w:rPr>
        <w:t> </w:t>
      </w:r>
      <w:r>
        <w:rPr>
          <w:spacing w:val="-31"/>
        </w:rPr>
      </w:r>
      <w:r>
        <w:rPr/>
        <w:t>与收益相关的政府补助确认时点：相关费用或损失发生时。</w:t>
      </w:r>
    </w:p>
    <w:p>
      <w:pPr>
        <w:spacing w:line="240" w:lineRule="auto" w:before="2"/>
        <w:rPr>
          <w:rFonts w:ascii="宋体" w:hAnsi="宋体" w:cs="宋体" w:eastAsia="宋体" w:hint="default"/>
          <w:sz w:val="25"/>
          <w:szCs w:val="25"/>
        </w:rPr>
      </w:pPr>
    </w:p>
    <w:p>
      <w:pPr>
        <w:pStyle w:val="Heading6"/>
        <w:spacing w:line="271" w:lineRule="auto"/>
        <w:ind w:left="229" w:right="11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100"/>
        </w:rPr>
        <w:t> </w:t>
      </w:r>
      <w:r>
        <w:rPr>
          <w:spacing w:val="-4"/>
        </w:rPr>
        <w:t>与资产相关的政府补助，冲减相关资产账面价值或确认为递延收益。确认为递延收益的，在相关资产使用</w:t>
      </w:r>
      <w:r>
        <w:rPr>
          <w:spacing w:val="-26"/>
        </w:rPr>
        <w:t> </w:t>
      </w:r>
      <w:r>
        <w:rPr>
          <w:spacing w:val="-26"/>
        </w:rPr>
      </w:r>
      <w:r>
        <w:rPr>
          <w:spacing w:val="-4"/>
        </w:rPr>
        <w:t>寿命内按照合理、系统的方法分期计入当期损益（与本公司日常活动相关的，计入其他收益；与本公司日</w:t>
      </w:r>
      <w:r>
        <w:rPr>
          <w:spacing w:val="-32"/>
        </w:rPr>
        <w:t> </w:t>
      </w:r>
      <w:r>
        <w:rPr>
          <w:spacing w:val="-32"/>
        </w:rPr>
      </w:r>
      <w:r>
        <w:rPr/>
        <w:t>常活动无关的，计入营业外收入）；</w:t>
      </w:r>
      <w:r>
        <w:rPr>
          <w:w w:val="100"/>
        </w:rPr>
        <w:t> </w:t>
      </w:r>
      <w:r>
        <w:rPr>
          <w:spacing w:val="-4"/>
        </w:rPr>
        <w:t>与收益相关的政府补助，用于补偿本公司以后期间的相关成本费用或损失的，确认为递延收益，并在确认</w:t>
      </w:r>
      <w:r>
        <w:rPr>
          <w:spacing w:val="-30"/>
        </w:rPr>
        <w:t> </w:t>
      </w:r>
      <w:r>
        <w:rPr>
          <w:spacing w:val="-30"/>
        </w:rPr>
      </w:r>
      <w:r>
        <w:rPr>
          <w:spacing w:val="-4"/>
        </w:rPr>
        <w:t>相关成本费用或损失的期间，计入当期损益（与本公司日常活动相关的，计入其他收益；与本公司日常活</w:t>
      </w:r>
      <w:r>
        <w:rPr>
          <w:spacing w:val="-31"/>
        </w:rPr>
        <w:t> </w:t>
      </w:r>
      <w:r>
        <w:rPr>
          <w:spacing w:val="-31"/>
        </w:rPr>
      </w:r>
      <w:r>
        <w:rPr>
          <w:spacing w:val="-4"/>
        </w:rPr>
        <w:t>动无关的，计入营业外收入）或冲减相关成本费用或损失；用于补偿本公司已发生的相关成本费用或损失</w:t>
      </w:r>
      <w:r>
        <w:rPr>
          <w:spacing w:val="-27"/>
        </w:rPr>
        <w:t> </w:t>
      </w:r>
      <w:r>
        <w:rPr>
          <w:spacing w:val="-27"/>
        </w:rPr>
      </w:r>
      <w:r>
        <w:rPr>
          <w:spacing w:val="-4"/>
        </w:rPr>
        <w:t>的，直接计入当期损益（与本公司日常活动相关的，计入其他收益；与本公司日常活动无关的，计入营业</w:t>
      </w:r>
      <w:r>
        <w:rPr>
          <w:spacing w:val="-32"/>
        </w:rPr>
        <w:t> </w:t>
      </w:r>
      <w:r>
        <w:rPr>
          <w:spacing w:val="-32"/>
        </w:rPr>
      </w:r>
      <w:r>
        <w:rPr/>
        <w:t>外收入）或冲减相关成本费用或损失。</w:t>
      </w:r>
    </w:p>
    <w:p>
      <w:pPr>
        <w:spacing w:after="0" w:line="271"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152" w:right="1133" w:firstLine="112"/>
        <w:jc w:val="left"/>
      </w:pPr>
      <w:r>
        <w:rPr/>
        <w:t>对于可抵扣暂时性差异确认递延所得税资产，以未来期间很可能取得的用来抵扣可抵扣暂时性差异的应</w:t>
      </w:r>
      <w:r>
        <w:rPr>
          <w:w w:val="100"/>
        </w:rPr>
        <w:t> </w:t>
      </w:r>
      <w:r>
        <w:rPr/>
        <w:t>纳税所得额为限。对于能够结转以后年度的可抵扣亏损和税款抵减，以很可能获得用来抵扣可抵扣亏损</w:t>
      </w:r>
      <w:r>
        <w:rPr>
          <w:spacing w:val="-36"/>
        </w:rPr>
        <w:t> </w:t>
      </w:r>
      <w:r>
        <w:rPr>
          <w:spacing w:val="-36"/>
        </w:rPr>
      </w:r>
      <w:r>
        <w:rPr/>
        <w:t>和税款抵减的未来应纳税所得额为限，确认相应的递延所得税资产。</w:t>
      </w:r>
      <w:r>
        <w:rPr>
          <w:w w:val="100"/>
        </w:rPr>
        <w:t> </w:t>
      </w:r>
      <w:r>
        <w:rPr/>
        <w:t>对于应纳税暂时性差异，除特殊情况外，确认递延所得税负债。</w:t>
      </w:r>
      <w:r>
        <w:rPr>
          <w:w w:val="100"/>
        </w:rPr>
        <w:t> </w:t>
      </w:r>
      <w:r>
        <w:rPr/>
        <w:t>不确认递延所得税资产或递延所得税负债的特殊情况包括：商誉的初始确认；除企业合并以外的发生时</w:t>
      </w:r>
      <w:r>
        <w:rPr>
          <w:spacing w:val="-36"/>
        </w:rPr>
        <w:t> </w:t>
      </w:r>
      <w:r>
        <w:rPr>
          <w:spacing w:val="-36"/>
        </w:rPr>
      </w:r>
      <w:r>
        <w:rPr/>
        <w:t>既不影响会计利润也不影响应纳税所得额（或可抵扣亏损）的其他交易或事项。</w:t>
      </w:r>
      <w:r>
        <w:rPr>
          <w:w w:val="100"/>
        </w:rPr>
        <w:t> </w:t>
      </w:r>
      <w:r>
        <w:rPr/>
        <w:t>当拥有以净额结算的法定权利，且意图以净额结算或取得资产、清偿负债同时进行时，当期所得税资产</w:t>
      </w:r>
      <w:r>
        <w:rPr>
          <w:spacing w:val="-36"/>
        </w:rPr>
        <w:t> </w:t>
      </w:r>
      <w:r>
        <w:rPr>
          <w:spacing w:val="-36"/>
        </w:rPr>
      </w:r>
      <w:r>
        <w:rPr/>
        <w:t>及当期所得税负债以抵销后的净额列报。</w:t>
      </w:r>
      <w:r>
        <w:rPr>
          <w:w w:val="100"/>
        </w:rPr>
        <w:t> </w:t>
      </w:r>
      <w:r>
        <w:rPr/>
        <w:t>当拥有以净额结算当期所得税资产及当期所得税负债的法定权利，且递延所得税资产及递延所得税负债</w:t>
      </w:r>
      <w:r>
        <w:rPr>
          <w:spacing w:val="-36"/>
        </w:rPr>
        <w:t> </w:t>
      </w:r>
      <w:r>
        <w:rPr>
          <w:spacing w:val="-36"/>
        </w:rPr>
      </w:r>
      <w:r>
        <w:rPr/>
        <w:t>是与同一税收征管部门对同一纳税主体征收的所得税相关或者是对不同的纳税主体相关，但在未来每一</w:t>
      </w:r>
      <w:r>
        <w:rPr>
          <w:spacing w:val="-36"/>
        </w:rPr>
        <w:t> </w:t>
      </w:r>
      <w:r>
        <w:rPr>
          <w:spacing w:val="-36"/>
        </w:rPr>
      </w:r>
      <w:r>
        <w:rPr/>
        <w:t>具有重要性的递延所得税资产及负债转回的期间内，涉及的纳税主体意图以净额结算当期所得税资产和</w:t>
      </w:r>
      <w:r>
        <w:rPr>
          <w:spacing w:val="-36"/>
        </w:rPr>
        <w:t> </w:t>
      </w:r>
      <w:r>
        <w:rPr>
          <w:spacing w:val="-36"/>
        </w:rPr>
      </w:r>
      <w:r>
        <w:rPr/>
        <w:t>负债或是同时取得资产、清偿负债时，递延所得税资产及递延所得税负债以抵销后的净额列报。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Heading6"/>
        <w:spacing w:line="273" w:lineRule="auto"/>
        <w:ind w:left="265" w:right="986"/>
        <w:jc w:val="left"/>
      </w:pPr>
      <w:r>
        <w:rPr>
          <w:spacing w:val="-3"/>
        </w:rPr>
        <w:t>①公司租入资产所支付的租赁费，在不扣除免租期的整个租赁期内，按直线法进行分摊，计入当期费用。</w:t>
      </w:r>
      <w:r>
        <w:rPr>
          <w:spacing w:val="-11"/>
        </w:rPr>
        <w:t> </w:t>
      </w:r>
      <w:r>
        <w:rPr>
          <w:spacing w:val="-11"/>
        </w:rPr>
      </w:r>
      <w:r>
        <w:rPr/>
        <w:t>公司支付的与租赁交易相关的初始直接费用，计入当期费用。</w:t>
      </w:r>
      <w:r>
        <w:rPr>
          <w:w w:val="100"/>
        </w:rPr>
        <w:t> </w:t>
      </w:r>
      <w:r>
        <w:rPr/>
        <w:t>资产出租方承担了应由公司承担的与租赁相关的费用时，公司将该部分费用从租金总额中扣除，按扣除</w:t>
      </w:r>
      <w:r>
        <w:rPr>
          <w:spacing w:val="-36"/>
        </w:rPr>
        <w:t> </w:t>
      </w:r>
      <w:r>
        <w:rPr>
          <w:spacing w:val="-36"/>
        </w:rPr>
      </w:r>
      <w:r>
        <w:rPr/>
        <w:t>后的租金费用在租赁期内分摊，计入当期费用。</w:t>
      </w:r>
    </w:p>
    <w:p>
      <w:pPr>
        <w:pStyle w:val="Heading6"/>
        <w:spacing w:line="273" w:lineRule="auto" w:before="7"/>
        <w:ind w:left="265" w:right="1133"/>
        <w:jc w:val="left"/>
      </w:pPr>
      <w:r>
        <w:rPr/>
        <w:t>②公司出租资产所收取的租赁费，在不扣除免租期的整个租赁期内，按直线法进行分摊，确认为租赁相</w:t>
      </w:r>
      <w:r>
        <w:rPr>
          <w:spacing w:val="-36"/>
        </w:rPr>
        <w:t> </w:t>
      </w:r>
      <w:r>
        <w:rPr>
          <w:spacing w:val="-36"/>
        </w:rPr>
      </w:r>
      <w:r>
        <w:rPr/>
        <w:t>关收入。公司支付的与租赁交易相关的初始直接费用，计入当期费用；如金额较大的，则予以资本化，</w:t>
      </w:r>
      <w:r>
        <w:rPr>
          <w:spacing w:val="-36"/>
        </w:rPr>
        <w:t> </w:t>
      </w:r>
      <w:r>
        <w:rPr>
          <w:spacing w:val="-36"/>
        </w:rPr>
      </w:r>
      <w:r>
        <w:rPr/>
        <w:t>在整个租赁期间内按照与租赁相关收入确认相同的基础分期计入当期收益。</w:t>
      </w:r>
      <w:r>
        <w:rPr>
          <w:w w:val="100"/>
        </w:rPr>
        <w:t> </w:t>
      </w:r>
      <w:r>
        <w:rPr/>
        <w:t>公司承担了应由承租方承担的与租赁相关的费用时，公司将该部分费用从租金收入总额中扣除，按扣除</w:t>
      </w:r>
      <w:r>
        <w:rPr>
          <w:spacing w:val="-36"/>
        </w:rPr>
        <w:t> </w:t>
      </w:r>
      <w:r>
        <w:rPr>
          <w:spacing w:val="-36"/>
        </w:rPr>
      </w:r>
      <w:r>
        <w:rPr/>
        <w:t>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31"/>
          <w:szCs w:val="31"/>
        </w:rPr>
      </w:pPr>
    </w:p>
    <w:p>
      <w:pPr>
        <w:pStyle w:val="Heading5"/>
        <w:spacing w:line="240" w:lineRule="auto"/>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4" w:right="36"/>
              <w:jc w:val="both"/>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 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 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 余额 </w:t>
            </w:r>
            <w:r>
              <w:rPr>
                <w:rFonts w:ascii="Times New Roman" w:hAnsi="Times New Roman" w:cs="Times New Roman" w:eastAsia="Times New Roman" w:hint="default"/>
                <w:sz w:val="18"/>
                <w:szCs w:val="18"/>
              </w:rPr>
              <w:t>2,930,000.00 </w:t>
            </w:r>
            <w:r>
              <w:rPr>
                <w:rFonts w:ascii="宋体" w:hAnsi="宋体" w:cs="宋体" w:eastAsia="宋体" w:hint="default"/>
                <w:sz w:val="18"/>
                <w:szCs w:val="18"/>
              </w:rPr>
              <w:t>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 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186,452,491.18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 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 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68,000,724.48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非交易性的可供出售权益工具投资指定 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以公允价值计量且其变动计入其他 综合收益的金融资产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1,500,000.00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其他权益工具投资</w:t>
            </w:r>
            <w:r>
              <w:rPr>
                <w:rFonts w:ascii="宋体" w:hAnsi="宋体" w:cs="宋体" w:eastAsia="宋体" w:hint="default"/>
                <w:spacing w:val="-92"/>
                <w:sz w:val="18"/>
                <w:szCs w:val="18"/>
              </w:rPr>
              <w:t>：</w:t>
            </w:r>
            <w:r>
              <w:rPr>
                <w:rFonts w:ascii="宋体" w:hAnsi="宋体" w:cs="宋体" w:eastAsia="宋体" w:hint="default"/>
                <w:sz w:val="18"/>
                <w:szCs w:val="18"/>
              </w:rPr>
              <w:t>增加</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其他流动资产重分类为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 量且其变动计入当期损益的金融资产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280,000,000.00 </w:t>
            </w:r>
            <w:r>
              <w:rPr>
                <w:rFonts w:ascii="宋体" w:hAnsi="宋体" w:cs="宋体" w:eastAsia="宋体" w:hint="default"/>
                <w:sz w:val="18"/>
                <w:szCs w:val="18"/>
              </w:rPr>
              <w:t>元，</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pacing w:val="-7"/>
                <w:sz w:val="18"/>
                <w:szCs w:val="18"/>
              </w:rPr>
              <w:t>交易性金融资产：增加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计入应收利息的银行定期存款利息重分 类计入银行存款。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其他应收款：减少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1,439,911.92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元；货币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1,439,911.92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pStyle w:val="Heading6"/>
        <w:spacing w:line="256" w:lineRule="auto"/>
        <w:ind w:left="152" w:right="1133"/>
        <w:jc w:val="left"/>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年度一般企业财务报表格式的通知》和《关于修订印发合并财务报</w:t>
      </w:r>
      <w:r>
        <w:rPr>
          <w:spacing w:val="-27"/>
        </w:rPr>
        <w:t> </w:t>
      </w:r>
      <w:r>
        <w:rPr>
          <w:spacing w:val="-27"/>
        </w:rPr>
      </w:r>
      <w:r>
        <w:rPr/>
        <w:t>表格式（</w:t>
      </w:r>
      <w:r>
        <w:rPr>
          <w:rFonts w:ascii="Times New Roman" w:hAnsi="Times New Roman" w:cs="Times New Roman" w:eastAsia="Times New Roman" w:hint="default"/>
        </w:rPr>
        <w:t>2019</w:t>
      </w:r>
      <w:r>
        <w:rPr/>
        <w:t>版）的通知》</w:t>
      </w:r>
    </w:p>
    <w:p>
      <w:pPr>
        <w:pStyle w:val="Heading6"/>
        <w:spacing w:line="256" w:lineRule="auto" w:before="5"/>
        <w:ind w:left="152" w:right="1215"/>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30"/>
        </w:rPr>
        <w:t> </w:t>
      </w:r>
      <w:r>
        <w:rPr/>
        <w:t>发布了《关于修订印发</w:t>
      </w:r>
      <w:r>
        <w:rPr>
          <w:rFonts w:ascii="Times New Roman" w:hAnsi="Times New Roman" w:cs="Times New Roman" w:eastAsia="Times New Roman" w:hint="default"/>
        </w:rPr>
        <w:t>2019</w:t>
      </w:r>
      <w:r>
        <w:rPr/>
        <w:t>年度一般企业财务报表格式的</w:t>
      </w:r>
      <w:r>
        <w:rPr>
          <w:w w:val="100"/>
        </w:rPr>
        <w:t> </w:t>
      </w:r>
      <w:r>
        <w:rPr>
          <w:spacing w:val="-2"/>
        </w:rPr>
        <w:t>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号）和《关于修订印发合并财务报表格式（</w:t>
      </w:r>
      <w:r>
        <w:rPr>
          <w:rFonts w:ascii="Times New Roman" w:hAnsi="Times New Roman" w:cs="Times New Roman" w:eastAsia="Times New Roman" w:hint="default"/>
          <w:spacing w:val="-2"/>
        </w:rPr>
        <w:t>2019</w:t>
      </w:r>
      <w:r>
        <w:rPr>
          <w:spacing w:val="-2"/>
        </w:rPr>
        <w:t>版）的通知》（财会（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39"/>
        </w:rPr>
        <w:t> </w:t>
      </w:r>
      <w:r>
        <w:rPr/>
        <w:t>号），对一般企业财务报表格式进行了修订。</w:t>
      </w:r>
    </w:p>
    <w:p>
      <w:pPr>
        <w:spacing w:line="240" w:lineRule="auto" w:before="7"/>
        <w:rPr>
          <w:rFonts w:ascii="宋体" w:hAnsi="宋体" w:cs="宋体" w:eastAsia="宋体" w:hint="default"/>
          <w:sz w:val="25"/>
          <w:szCs w:val="25"/>
        </w:rPr>
      </w:pPr>
    </w:p>
    <w:p>
      <w:pPr>
        <w:pStyle w:val="Heading6"/>
        <w:spacing w:line="240" w:lineRule="auto"/>
        <w:ind w:left="152" w:right="986"/>
        <w:jc w:val="left"/>
      </w:pPr>
      <w:r>
        <w:rPr>
          <w:spacing w:val="-6"/>
        </w:rPr>
        <w:t>（</w:t>
      </w:r>
      <w:r>
        <w:rPr>
          <w:rFonts w:ascii="Times New Roman" w:hAnsi="Times New Roman" w:cs="Times New Roman" w:eastAsia="Times New Roman" w:hint="default"/>
          <w:spacing w:val="-6"/>
        </w:rPr>
        <w:t>2</w:t>
      </w:r>
      <w:r>
        <w:rPr>
          <w:spacing w:val="-6"/>
        </w:rPr>
        <w:t>）执行《企业会计准则第</w:t>
      </w:r>
      <w:r>
        <w:rPr>
          <w:rFonts w:ascii="Times New Roman" w:hAnsi="Times New Roman" w:cs="Times New Roman" w:eastAsia="Times New Roman" w:hint="default"/>
          <w:spacing w:val="-6"/>
        </w:rPr>
        <w:t>22</w:t>
      </w:r>
      <w:r>
        <w:rPr>
          <w:spacing w:val="-6"/>
        </w:rPr>
        <w:t>号</w:t>
      </w:r>
      <w:r>
        <w:rPr>
          <w:rFonts w:ascii="Times New Roman" w:hAnsi="Times New Roman" w:cs="Times New Roman" w:eastAsia="Times New Roman" w:hint="default"/>
          <w:spacing w:val="-6"/>
        </w:rPr>
        <w:t>——</w:t>
      </w:r>
      <w:r>
        <w:rPr>
          <w:spacing w:val="-6"/>
        </w:rPr>
        <w:t>金融工具确认和计量》、《企业会计准则第</w:t>
      </w:r>
      <w:r>
        <w:rPr>
          <w:rFonts w:ascii="Times New Roman" w:hAnsi="Times New Roman" w:cs="Times New Roman" w:eastAsia="Times New Roman" w:hint="default"/>
          <w:spacing w:val="-6"/>
        </w:rPr>
        <w:t>23</w:t>
      </w:r>
      <w:r>
        <w:rPr>
          <w:spacing w:val="-6"/>
        </w:rPr>
        <w:t>号</w:t>
      </w:r>
      <w:r>
        <w:rPr>
          <w:rFonts w:ascii="Times New Roman" w:hAnsi="Times New Roman" w:cs="Times New Roman" w:eastAsia="Times New Roman" w:hint="default"/>
          <w:spacing w:val="-6"/>
        </w:rPr>
        <w:t>——</w:t>
      </w:r>
      <w:r>
        <w:rPr>
          <w:spacing w:val="-6"/>
        </w:rPr>
        <w:t>金融资产转移》、</w:t>
      </w:r>
    </w:p>
    <w:p>
      <w:pPr>
        <w:pStyle w:val="Heading6"/>
        <w:spacing w:line="264" w:lineRule="auto" w:before="21"/>
        <w:ind w:left="212" w:right="986" w:hanging="60"/>
        <w:jc w:val="left"/>
      </w:pP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w:t>
      </w:r>
      <w:r>
        <w:rPr>
          <w:w w:val="100"/>
        </w:rPr>
        <w:t> </w:t>
      </w:r>
      <w:r>
        <w:rPr>
          <w:spacing w:val="-3"/>
        </w:rPr>
        <w:t>财政部于</w:t>
      </w:r>
      <w:r>
        <w:rPr>
          <w:rFonts w:ascii="Times New Roman" w:hAnsi="Times New Roman" w:cs="Times New Roman" w:eastAsia="Times New Roman" w:hint="default"/>
          <w:spacing w:val="-3"/>
        </w:rPr>
        <w:t>2017</w:t>
      </w:r>
      <w:r>
        <w:rPr>
          <w:spacing w:val="-3"/>
        </w:rPr>
        <w:t>年度修订了《企业会计准则第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spacing w:val="-76"/>
        </w:rPr>
        <w:t> </w:t>
      </w:r>
      <w:r>
        <w:rPr>
          <w:spacing w:val="-76"/>
        </w:rPr>
      </w:r>
      <w:r>
        <w:rPr>
          <w:spacing w:val="-4"/>
        </w:rPr>
        <w:t>修订后的准则规定，对于首次执行日尚未终止确认的金融工具，之前的确认和计量与修订后的准则要求不</w:t>
      </w:r>
      <w:r>
        <w:rPr>
          <w:spacing w:val="-74"/>
        </w:rPr>
        <w:t> </w:t>
      </w:r>
      <w:r>
        <w:rPr>
          <w:spacing w:val="-74"/>
        </w:rPr>
      </w:r>
      <w:r>
        <w:rPr>
          <w:spacing w:val="-4"/>
        </w:rPr>
        <w:t>一致的，应当追溯调整。涉及前期比较财务报表数据与修订后的准则要求不一致的，无需调整。本公司将</w:t>
      </w:r>
      <w:r>
        <w:rPr>
          <w:spacing w:val="-74"/>
        </w:rPr>
        <w:t> </w:t>
      </w:r>
      <w:r>
        <w:rPr>
          <w:spacing w:val="-74"/>
        </w:rPr>
      </w:r>
      <w:r>
        <w:rPr/>
        <w:t>因追溯调整产生的累积影响数调整当年年初留存收益和其他综合收益。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5"/>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3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54"/>
        <w:gridCol w:w="2454"/>
        <w:gridCol w:w="244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760,756,346.11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762,196,258.03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1,439,911.92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2,930,000.00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186,452,491.18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186,452,491.18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12,311,763.55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12,311,763.55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51,107,192.71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49,667,280.79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-1,439,911.92</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315,624,957.41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315,624,957.41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281,249,497.71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1,249,497.71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1,610,432,248.67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1,610,432,248.67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z w:val="18"/>
              </w:rPr>
              <w:t>1,500,000.00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48,040,462.34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94,575,293.38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120,785,066.12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120,785,066.12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28,305,791.51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28,305,791.51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34,758,418.83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34,758,418.83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4,720,347.60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4,720,347.60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13,603,374.59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13,603,374.59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346,288,754.37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346,288,754.37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1,956,721,003.04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1,956,721,003.04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68,000,724.48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68,000,724.48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511,926,022.62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511,926,022.62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82,831,663.64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82,831,663.64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26,253,993.46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26,253,993.46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26,849,258.95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26,849,258.95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715,861,663.15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715,861,663.15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46,792,174.65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46,792,174.65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4,650,333.33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4,650,333.33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126,442,507.98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126,442,507.98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842,304,171.13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842,304,171.13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172,540,592.00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172,540,592.00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545,375,231.04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545,375,231.04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54,368,511.63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54,368,511.63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247,161,662.00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247,161,662.00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1,019,445,996.67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1,019,445,996.67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94,970,835.24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94,970,835.24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1,114,416,831.91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1,114,416,831.91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1,956,721,003.04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1,956,721,003.04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300" w:lineRule="auto" w:before="115"/>
        <w:ind w:right="1133"/>
        <w:jc w:val="left"/>
      </w:pP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上年年末余额</w:t>
      </w:r>
      <w:r>
        <w:rPr>
          <w:rFonts w:ascii="Times New Roman" w:hAnsi="Times New Roman" w:cs="Times New Roman" w:eastAsia="Times New Roman" w:hint="default"/>
        </w:rPr>
        <w:t>2,930,000.00</w:t>
      </w:r>
      <w:r>
        <w:rPr/>
        <w:t>元，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上年年末余</w:t>
      </w:r>
      <w:r>
        <w:rPr>
          <w:spacing w:val="-44"/>
        </w:rPr>
        <w:t> </w:t>
      </w:r>
      <w:r>
        <w:rPr>
          <w:spacing w:val="-44"/>
        </w:rPr>
      </w:r>
      <w:r>
        <w:rPr/>
        <w:t>额</w:t>
      </w:r>
      <w:r>
        <w:rPr>
          <w:rFonts w:ascii="Times New Roman" w:hAnsi="Times New Roman" w:cs="Times New Roman" w:eastAsia="Times New Roman" w:hint="default"/>
        </w:rPr>
        <w:t>186,452,491.18</w:t>
      </w:r>
      <w:r>
        <w:rPr/>
        <w:t>元；</w:t>
      </w:r>
    </w:p>
    <w:p>
      <w:pPr>
        <w:pStyle w:val="BodyText"/>
        <w:spacing w:line="300" w:lineRule="auto" w:before="13"/>
        <w:ind w:right="1877"/>
        <w:jc w:val="left"/>
      </w:pP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上年年末余额</w:t>
      </w:r>
      <w:r>
        <w:rPr>
          <w:rFonts w:ascii="Times New Roman" w:hAnsi="Times New Roman" w:cs="Times New Roman" w:eastAsia="Times New Roman" w:hint="default"/>
        </w:rPr>
        <w:t>0</w:t>
      </w:r>
      <w:r>
        <w:rPr/>
        <w:t>元，</w:t>
      </w:r>
      <w:r>
        <w:rPr>
          <w:spacing w:val="-22"/>
        </w:rPr>
        <w:t> </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上年年末余额 </w:t>
      </w:r>
      <w:r>
        <w:rPr>
          <w:rFonts w:ascii="Times New Roman" w:hAnsi="Times New Roman" w:cs="Times New Roman" w:eastAsia="Times New Roman" w:hint="default"/>
        </w:rPr>
        <w:t>68,000,724.48</w:t>
      </w:r>
      <w:r>
        <w:rPr/>
        <w:t>元。</w:t>
      </w:r>
    </w:p>
    <w:p>
      <w:pPr>
        <w:pStyle w:val="BodyText"/>
        <w:spacing w:line="300" w:lineRule="auto" w:before="13"/>
        <w:ind w:left="297" w:right="4039"/>
        <w:jc w:val="left"/>
      </w:pPr>
      <w:r>
        <w:rPr/>
        <w:t>可供出售金融资产：减少</w:t>
      </w:r>
      <w:r>
        <w:rPr>
          <w:rFonts w:ascii="Times New Roman" w:hAnsi="Times New Roman" w:cs="Times New Roman" w:eastAsia="Times New Roman" w:hint="default"/>
        </w:rPr>
        <w:t>1,500,000.00</w:t>
      </w:r>
      <w:r>
        <w:rPr/>
        <w:t>元，其他权益工具投资：增加</w:t>
      </w:r>
      <w:r>
        <w:rPr>
          <w:rFonts w:ascii="Times New Roman" w:hAnsi="Times New Roman" w:cs="Times New Roman" w:eastAsia="Times New Roman" w:hint="default"/>
        </w:rPr>
        <w:t>1,500,000.00</w:t>
      </w:r>
      <w:r>
        <w:rPr/>
        <w:t>元。 其他流动资产：减少</w:t>
      </w:r>
      <w:r>
        <w:rPr>
          <w:rFonts w:ascii="Times New Roman" w:hAnsi="Times New Roman" w:cs="Times New Roman" w:eastAsia="Times New Roman" w:hint="default"/>
        </w:rPr>
        <w:t>280,000,000.00</w:t>
      </w:r>
      <w:r>
        <w:rPr/>
        <w:t>元，交易性金融资产：增加</w:t>
      </w:r>
      <w:r>
        <w:rPr>
          <w:rFonts w:ascii="Times New Roman" w:hAnsi="Times New Roman" w:cs="Times New Roman" w:eastAsia="Times New Roman" w:hint="default"/>
        </w:rPr>
        <w:t>280,000,000.00</w:t>
      </w:r>
      <w:r>
        <w:rPr/>
        <w:t>元。 其他应收款：减少</w:t>
      </w:r>
      <w:r>
        <w:rPr>
          <w:rFonts w:ascii="Times New Roman" w:hAnsi="Times New Roman" w:cs="Times New Roman" w:eastAsia="Times New Roman" w:hint="default"/>
        </w:rPr>
        <w:t>1,439,911.92</w:t>
      </w:r>
      <w:r>
        <w:rPr/>
        <w:t>元；货币资金：增加</w:t>
      </w:r>
      <w:r>
        <w:rPr>
          <w:rFonts w:ascii="Times New Roman" w:hAnsi="Times New Roman" w:cs="Times New Roman" w:eastAsia="Times New Roman" w:hint="default"/>
        </w:rPr>
        <w:t>1,439,911.92</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1133"/>
        <w:jc w:val="left"/>
      </w:pPr>
      <w:r>
        <w:rPr/>
        <w:t>母公司资产负债表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503,714,708.43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505,071,735.93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1,357,027.50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166,539,502.08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166,539,502.08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9,360,757.23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9,360,757.23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67,564,462.24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66,207,434.74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-1,357,027.50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256,065,364.36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256,065,364.36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1,285,914,794.34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1,285,914,794.34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260,832,520.20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260,832,520.20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6,578,557.48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6,578,557.48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60,864,882.39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60,864,882.39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88,786,846.22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88,786,846.22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23,676,274.68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23,676,274.68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2,928,529.43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2,928,529.43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11,337,263.88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11,337,263.88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456,504,874.28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456,504,874.28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1,742,419,668.62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1,742,419,668.62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89,108,851.34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89,108,851.34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413,655,757.07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413,655,757.07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59,559,083.36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59,559,083.36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13,132,481.73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13,132,481.73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82,901,877.81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82,901,877.81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658,358,051.31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658,358,051.31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30,491,174.65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30,491,174.65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105,491,174.65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105,491,174.65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763,849,225.96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763,849,225.96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172,540,592.00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172,540,592.00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553,117,406.37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553,117,406.37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53,904,759.23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53,904,759.23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199,007,685.06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199,007,685.06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978,570,442.66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978,570,442.66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1,742,419,668.62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1,742,419,668.62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pStyle w:val="BodyText"/>
        <w:spacing w:line="300" w:lineRule="auto" w:before="115"/>
        <w:ind w:right="1133"/>
        <w:jc w:val="left"/>
      </w:pP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上年年末余额</w:t>
      </w:r>
      <w:r>
        <w:rPr>
          <w:rFonts w:ascii="Times New Roman" w:hAnsi="Times New Roman" w:cs="Times New Roman" w:eastAsia="Times New Roman" w:hint="default"/>
        </w:rPr>
        <w:t>2,670,000.00</w:t>
      </w:r>
      <w:r>
        <w:rPr/>
        <w:t>元，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上年年末余</w:t>
      </w:r>
      <w:r>
        <w:rPr>
          <w:spacing w:val="-44"/>
        </w:rPr>
        <w:t> </w:t>
      </w:r>
      <w:r>
        <w:rPr>
          <w:spacing w:val="-44"/>
        </w:rPr>
      </w:r>
      <w:r>
        <w:rPr/>
        <w:t>额</w:t>
      </w:r>
      <w:r>
        <w:rPr>
          <w:rFonts w:ascii="Times New Roman" w:hAnsi="Times New Roman" w:cs="Times New Roman" w:eastAsia="Times New Roman" w:hint="default"/>
        </w:rPr>
        <w:t>166,539,502.08</w:t>
      </w:r>
      <w:r>
        <w:rPr/>
        <w:t>元；</w:t>
      </w:r>
    </w:p>
    <w:p>
      <w:pPr>
        <w:pStyle w:val="BodyText"/>
        <w:spacing w:line="300" w:lineRule="auto" w:before="13"/>
        <w:ind w:right="1877"/>
        <w:jc w:val="left"/>
      </w:pP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上年年末余额</w:t>
      </w:r>
      <w:r>
        <w:rPr>
          <w:rFonts w:ascii="Times New Roman" w:hAnsi="Times New Roman" w:cs="Times New Roman" w:eastAsia="Times New Roman" w:hint="default"/>
        </w:rPr>
        <w:t>0</w:t>
      </w:r>
      <w:r>
        <w:rPr/>
        <w:t>元，</w:t>
      </w:r>
      <w:r>
        <w:rPr>
          <w:spacing w:val="-22"/>
        </w:rPr>
        <w:t> </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上年年末余额 </w:t>
      </w:r>
      <w:r>
        <w:rPr>
          <w:rFonts w:ascii="Times New Roman" w:hAnsi="Times New Roman" w:cs="Times New Roman" w:eastAsia="Times New Roman" w:hint="default"/>
        </w:rPr>
        <w:t>89,108,851.34</w:t>
      </w:r>
      <w:r>
        <w:rPr/>
        <w:t>元。</w:t>
      </w:r>
    </w:p>
    <w:p>
      <w:pPr>
        <w:pStyle w:val="BodyText"/>
        <w:spacing w:line="300" w:lineRule="auto" w:before="13"/>
        <w:ind w:left="297" w:right="4039"/>
        <w:jc w:val="left"/>
      </w:pPr>
      <w:r>
        <w:rPr/>
        <w:t>可供出售金融资产：减少</w:t>
      </w:r>
      <w:r>
        <w:rPr>
          <w:rFonts w:ascii="Times New Roman" w:hAnsi="Times New Roman" w:cs="Times New Roman" w:eastAsia="Times New Roman" w:hint="default"/>
        </w:rPr>
        <w:t>1,500,000.00</w:t>
      </w:r>
      <w:r>
        <w:rPr/>
        <w:t>元，其他权益工具投资：增加</w:t>
      </w:r>
      <w:r>
        <w:rPr>
          <w:rFonts w:ascii="Times New Roman" w:hAnsi="Times New Roman" w:cs="Times New Roman" w:eastAsia="Times New Roman" w:hint="default"/>
        </w:rPr>
        <w:t>1,500,000.00</w:t>
      </w:r>
      <w:r>
        <w:rPr/>
        <w:t>元。 其他流动资产：减少</w:t>
      </w:r>
      <w:r>
        <w:rPr>
          <w:rFonts w:ascii="Times New Roman" w:hAnsi="Times New Roman" w:cs="Times New Roman" w:eastAsia="Times New Roman" w:hint="default"/>
        </w:rPr>
        <w:t>280,000,000.00</w:t>
      </w:r>
      <w:r>
        <w:rPr/>
        <w:t>元，交易性金融资产：增加</w:t>
      </w:r>
      <w:r>
        <w:rPr>
          <w:rFonts w:ascii="Times New Roman" w:hAnsi="Times New Roman" w:cs="Times New Roman" w:eastAsia="Times New Roman" w:hint="default"/>
        </w:rPr>
        <w:t>280,000,000.00</w:t>
      </w:r>
      <w:r>
        <w:rPr/>
        <w:t>元。 其他应收款：减少</w:t>
      </w:r>
      <w:r>
        <w:rPr>
          <w:rFonts w:ascii="Times New Roman" w:hAnsi="Times New Roman" w:cs="Times New Roman" w:eastAsia="Times New Roman" w:hint="default"/>
        </w:rPr>
        <w:t>1,357,027.5</w:t>
      </w:r>
      <w:r>
        <w:rPr/>
        <w:t>元；货币资金：增加</w:t>
      </w:r>
      <w:r>
        <w:rPr>
          <w:rFonts w:ascii="Times New Roman" w:hAnsi="Times New Roman" w:cs="Times New Roman" w:eastAsia="Times New Roman" w:hint="default"/>
        </w:rPr>
        <w:t>1,357,027.5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6"/>
        <w:spacing w:line="261" w:lineRule="auto" w:before="80"/>
        <w:ind w:left="265" w:right="1133"/>
        <w:jc w:val="left"/>
      </w:pPr>
      <w:r>
        <w:rPr/>
        <w:t>将非交易性的可供出售权益工具投资指定为</w:t>
      </w:r>
      <w:r>
        <w:rPr>
          <w:rFonts w:ascii="Times New Roman" w:hAnsi="Times New Roman" w:cs="Times New Roman" w:eastAsia="Times New Roman" w:hint="default"/>
        </w:rPr>
        <w:t>“</w:t>
      </w:r>
      <w:r>
        <w:rPr/>
        <w:t>以公允价值计量且其变动计入其他综合收益的金融资产</w:t>
      </w:r>
      <w:r>
        <w:rPr>
          <w:rFonts w:ascii="Times New Roman" w:hAnsi="Times New Roman" w:cs="Times New Roman" w:eastAsia="Times New Roman" w:hint="default"/>
        </w:rPr>
        <w:t>”</w:t>
      </w:r>
      <w:r>
        <w:rPr/>
        <w:t>，</w:t>
      </w:r>
      <w:r>
        <w:rPr>
          <w:spacing w:val="-7"/>
        </w:rPr>
        <w:t> </w:t>
      </w:r>
      <w:r>
        <w:rPr/>
        <w:t>由</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重分类至</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列报，重分类金额</w:t>
      </w:r>
      <w:r>
        <w:rPr>
          <w:rFonts w:ascii="Times New Roman" w:hAnsi="Times New Roman" w:cs="Times New Roman" w:eastAsia="Times New Roman" w:hint="default"/>
        </w:rPr>
        <w:t>1,500,000.00</w:t>
      </w:r>
      <w:r>
        <w:rPr/>
        <w:t>元。</w:t>
      </w:r>
      <w:r>
        <w:rPr>
          <w:w w:val="100"/>
        </w:rPr>
        <w:t> </w:t>
      </w:r>
      <w:r>
        <w:rPr>
          <w:spacing w:val="-4"/>
          <w:w w:val="100"/>
        </w:rPr>
        <w:t>将其他流动资产重分类为</w:t>
      </w:r>
      <w:r>
        <w:rPr>
          <w:rFonts w:ascii="Times New Roman" w:hAnsi="Times New Roman" w:cs="Times New Roman" w:eastAsia="Times New Roman" w:hint="default"/>
          <w:spacing w:val="-4"/>
          <w:w w:val="100"/>
        </w:rPr>
        <w:t>“</w:t>
      </w:r>
      <w:r>
        <w:rPr>
          <w:spacing w:val="-4"/>
          <w:w w:val="100"/>
        </w:rPr>
        <w:t>以公允价值计量且其变动计入当期损益的金融资产</w:t>
      </w:r>
      <w:r>
        <w:rPr>
          <w:rFonts w:ascii="Times New Roman" w:hAnsi="Times New Roman" w:cs="Times New Roman" w:eastAsia="Times New Roman" w:hint="default"/>
          <w:spacing w:val="-4"/>
          <w:w w:val="100"/>
        </w:rPr>
        <w:t>”</w:t>
      </w:r>
      <w:r>
        <w:rPr>
          <w:spacing w:val="-4"/>
          <w:w w:val="100"/>
        </w:rPr>
        <w:t>，由</w:t>
      </w:r>
      <w:r>
        <w:rPr>
          <w:rFonts w:ascii="Times New Roman" w:hAnsi="Times New Roman" w:cs="Times New Roman" w:eastAsia="Times New Roman" w:hint="default"/>
          <w:spacing w:val="-4"/>
          <w:w w:val="100"/>
        </w:rPr>
        <w:t>“</w:t>
      </w:r>
      <w:r>
        <w:rPr>
          <w:spacing w:val="-4"/>
          <w:w w:val="100"/>
        </w:rPr>
        <w:t>其他流动资产</w:t>
      </w:r>
      <w:r>
        <w:rPr>
          <w:rFonts w:ascii="Times New Roman" w:hAnsi="Times New Roman" w:cs="Times New Roman" w:eastAsia="Times New Roman" w:hint="default"/>
          <w:spacing w:val="-4"/>
          <w:w w:val="100"/>
        </w:rPr>
        <w:t>”</w:t>
      </w:r>
      <w:r>
        <w:rPr>
          <w:spacing w:val="-4"/>
          <w:w w:val="100"/>
        </w:rPr>
        <w:t>重分类</w:t>
      </w:r>
      <w:r>
        <w:rPr>
          <w:spacing w:val="-69"/>
          <w:w w:val="100"/>
        </w:rPr>
        <w:t> </w:t>
      </w:r>
      <w:r>
        <w:rPr>
          <w:spacing w:val="-69"/>
          <w:w w:val="100"/>
        </w:rPr>
      </w:r>
      <w:r>
        <w:rPr/>
        <w:t>至</w:t>
      </w:r>
      <w:r>
        <w:rPr>
          <w:rFonts w:ascii="Times New Roman" w:hAnsi="Times New Roman" w:cs="Times New Roman" w:eastAsia="Times New Roman" w:hint="default"/>
        </w:rPr>
        <w:t>“</w:t>
      </w:r>
      <w:r>
        <w:rPr/>
        <w:t>交易性金融资产</w:t>
      </w:r>
      <w:r>
        <w:rPr>
          <w:rFonts w:ascii="Times New Roman" w:hAnsi="Times New Roman" w:cs="Times New Roman" w:eastAsia="Times New Roman" w:hint="default"/>
        </w:rPr>
        <w:t>”</w:t>
      </w:r>
      <w:r>
        <w:rPr/>
        <w:t>列报，重分类金额</w:t>
      </w:r>
      <w:r>
        <w:rPr>
          <w:rFonts w:ascii="Times New Roman" w:hAnsi="Times New Roman" w:cs="Times New Roman" w:eastAsia="Times New Roman" w:hint="default"/>
        </w:rPr>
        <w:t>280,000,000.00</w:t>
      </w:r>
      <w:r>
        <w:rPr/>
        <w:t>元。</w:t>
      </w:r>
      <w:r>
        <w:rPr>
          <w:w w:val="100"/>
        </w:rPr>
        <w:t> </w:t>
      </w:r>
      <w:r>
        <w:rPr/>
        <w:t>将计入应收利息的银行定期存款利息重分类计入银行存款，由其他应收款重分类至货币资金列报，重分</w:t>
      </w:r>
      <w:r>
        <w:rPr>
          <w:spacing w:val="-33"/>
        </w:rPr>
        <w:t> </w:t>
      </w:r>
      <w:r>
        <w:rPr>
          <w:spacing w:val="-33"/>
        </w:rPr>
      </w:r>
      <w:r>
        <w:rPr/>
        <w:t>类金额</w:t>
      </w:r>
      <w:r>
        <w:rPr>
          <w:rFonts w:ascii="Times New Roman" w:hAnsi="Times New Roman" w:cs="Times New Roman" w:eastAsia="Times New Roman" w:hint="default"/>
        </w:rPr>
        <w:t>1,439,911.92</w:t>
      </w:r>
      <w:r>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北京银海奥尼思特咨询有限公司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成都兴联汇智科技有限公司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天津久远健康科技有限公司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喀什银海鼎峰软件有限公司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ind w:left="265" w:right="1133" w:hanging="11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）母公司税收优惠及批文</w:t>
      </w:r>
      <w:r>
        <w:rPr>
          <w:rFonts w:ascii="宋体" w:hAnsi="宋体" w:cs="宋体" w:eastAsia="宋体" w:hint="default"/>
          <w:b/>
          <w:bCs/>
          <w:w w:val="100"/>
        </w:rPr>
        <w:t> </w:t>
      </w:r>
      <w:r>
        <w:rPr>
          <w:spacing w:val="-5"/>
          <w:w w:val="100"/>
        </w:rPr>
        <w:t>依据《国家税务总局关于深入实施西部大开发战略有关企业所得税问题的公告》（国家税务总局公告</w:t>
      </w:r>
      <w:r>
        <w:rPr>
          <w:rFonts w:ascii="Times New Roman" w:hAnsi="Times New Roman" w:cs="Times New Roman" w:eastAsia="Times New Roman" w:hint="default"/>
          <w:spacing w:val="-5"/>
          <w:w w:val="100"/>
        </w:rPr>
        <w:t>2012</w:t>
      </w:r>
      <w:r>
        <w:rPr>
          <w:rFonts w:ascii="Times New Roman" w:hAnsi="Times New Roman" w:cs="Times New Roman" w:eastAsia="Times New Roman" w:hint="default"/>
          <w:w w:val="100"/>
        </w:rPr>
        <w:t> </w:t>
      </w:r>
      <w:r>
        <w:rPr>
          <w:spacing w:val="-4"/>
        </w:rPr>
        <w:t>年第</w:t>
      </w:r>
      <w:r>
        <w:rPr>
          <w:rFonts w:ascii="Times New Roman" w:hAnsi="Times New Roman" w:cs="Times New Roman" w:eastAsia="Times New Roman" w:hint="default"/>
          <w:spacing w:val="-4"/>
        </w:rPr>
        <w:t>12</w:t>
      </w:r>
      <w:r>
        <w:rPr>
          <w:spacing w:val="-4"/>
        </w:rPr>
        <w:t>号）第三条的规定，公司</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spacing w:val="-4"/>
        </w:rPr>
        <w:t>税率缴纳企业所得税。</w:t>
      </w:r>
      <w:r>
        <w:rPr>
          <w:rFonts w:ascii="Times New Roman" w:hAnsi="Times New Roman" w:cs="Times New Roman" w:eastAsia="Times New Roman" w:hint="default"/>
          <w:spacing w:val="-4"/>
        </w:rPr>
        <w:t>2019</w:t>
      </w:r>
      <w:r>
        <w:rPr>
          <w:spacing w:val="-4"/>
        </w:rPr>
        <w:t>年度，公司享受的企业所得</w:t>
      </w:r>
      <w:r>
        <w:rPr>
          <w:w w:val="100"/>
        </w:rPr>
        <w:t> </w:t>
      </w:r>
      <w:r>
        <w:rPr/>
        <w:t>税减征优惠金额为</w:t>
      </w:r>
      <w:r>
        <w:rPr>
          <w:rFonts w:ascii="Times New Roman" w:hAnsi="Times New Roman" w:cs="Times New Roman" w:eastAsia="Times New Roman" w:hint="default"/>
        </w:rPr>
        <w:t>12,411,583.70</w:t>
      </w:r>
      <w:r>
        <w:rPr/>
        <w:t>元。</w:t>
      </w:r>
    </w:p>
    <w:p>
      <w:pPr>
        <w:spacing w:line="240" w:lineRule="auto" w:before="3"/>
        <w:rPr>
          <w:rFonts w:ascii="宋体" w:hAnsi="宋体" w:cs="宋体" w:eastAsia="宋体" w:hint="default"/>
          <w:sz w:val="24"/>
          <w:szCs w:val="24"/>
        </w:rPr>
      </w:pPr>
    </w:p>
    <w:p>
      <w:pPr>
        <w:spacing w:line="256" w:lineRule="auto" w:before="0"/>
        <w:ind w:left="265" w:right="6474" w:hanging="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子公司税收优惠及批文</w:t>
      </w:r>
      <w:r>
        <w:rPr>
          <w:rFonts w:ascii="宋体" w:hAnsi="宋体" w:cs="宋体" w:eastAsia="宋体" w:hint="default"/>
          <w:b/>
          <w:bCs/>
          <w:spacing w:val="-103"/>
          <w:sz w:val="21"/>
          <w:szCs w:val="21"/>
        </w:rPr>
        <w:t> </w:t>
      </w:r>
      <w:r>
        <w:rPr>
          <w:rFonts w:ascii="宋体" w:hAnsi="宋体" w:cs="宋体" w:eastAsia="宋体" w:hint="default"/>
          <w:spacing w:val="-2"/>
          <w:sz w:val="21"/>
          <w:szCs w:val="21"/>
        </w:rPr>
        <w:t>天津银海环球信息技术有限公司</w:t>
      </w:r>
    </w:p>
    <w:p>
      <w:pPr>
        <w:pStyle w:val="Heading6"/>
        <w:spacing w:line="240" w:lineRule="auto" w:before="22"/>
        <w:ind w:left="265" w:right="0"/>
        <w:jc w:val="both"/>
      </w:pPr>
      <w:r>
        <w:rPr/>
        <w:t>依据国科发火</w:t>
      </w:r>
      <w:r>
        <w:rPr>
          <w:rFonts w:ascii="Times New Roman" w:hAnsi="Times New Roman" w:cs="Times New Roman" w:eastAsia="Times New Roman" w:hint="default"/>
        </w:rPr>
        <w:t>[2016]32</w:t>
      </w:r>
      <w:r>
        <w:rPr/>
        <w:t>号、国科发火</w:t>
      </w:r>
      <w:r>
        <w:rPr>
          <w:rFonts w:ascii="Times New Roman" w:hAnsi="Times New Roman" w:cs="Times New Roman" w:eastAsia="Times New Roman" w:hint="default"/>
        </w:rPr>
        <w:t>[2016]195</w:t>
      </w:r>
      <w:r>
        <w:rPr/>
        <w:t>号、国税函</w:t>
      </w:r>
      <w:r>
        <w:rPr>
          <w:rFonts w:ascii="Times New Roman" w:hAnsi="Times New Roman" w:cs="Times New Roman" w:eastAsia="Times New Roman" w:hint="default"/>
        </w:rPr>
        <w:t>[2009]203</w:t>
      </w:r>
      <w:r>
        <w:rPr/>
        <w:t>号以及公司获取的高新技术企业证书</w:t>
      </w:r>
    </w:p>
    <w:p>
      <w:pPr>
        <w:pStyle w:val="Heading6"/>
        <w:spacing w:line="256" w:lineRule="auto" w:before="21"/>
        <w:ind w:left="265" w:right="1128"/>
        <w:jc w:val="both"/>
      </w:pPr>
      <w:r>
        <w:rPr>
          <w:spacing w:val="-3"/>
        </w:rPr>
        <w:t>（证书编号：</w:t>
      </w:r>
      <w:r>
        <w:rPr>
          <w:rFonts w:ascii="Times New Roman" w:hAnsi="Times New Roman" w:cs="Times New Roman" w:eastAsia="Times New Roman" w:hint="default"/>
          <w:spacing w:val="-3"/>
        </w:rPr>
        <w:t>GR201812000449</w:t>
      </w:r>
      <w:r>
        <w:rPr>
          <w:spacing w:val="-3"/>
        </w:rPr>
        <w:t>，发证日 </w:t>
      </w:r>
      <w:r>
        <w:rPr>
          <w:spacing w:val="-4"/>
        </w:rPr>
        <w:t>期：</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日，有效期三年），公司享受高新技术企业所</w:t>
      </w:r>
      <w:r>
        <w:rPr>
          <w:spacing w:val="-31"/>
        </w:rPr>
        <w:t> </w:t>
      </w:r>
      <w:r>
        <w:rPr>
          <w:spacing w:val="-31"/>
        </w:rPr>
      </w:r>
      <w:r>
        <w:rPr>
          <w:spacing w:val="-4"/>
        </w:rPr>
        <w:t>得税优惠政策，</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spacing w:val="-4"/>
        </w:rPr>
        <w:t>税率预缴企业所得税。</w:t>
      </w:r>
      <w:r>
        <w:rPr>
          <w:rFonts w:ascii="Times New Roman" w:hAnsi="Times New Roman" w:cs="Times New Roman" w:eastAsia="Times New Roman" w:hint="default"/>
          <w:spacing w:val="-4"/>
        </w:rPr>
        <w:t>2019</w:t>
      </w:r>
      <w:r>
        <w:rPr>
          <w:spacing w:val="-4"/>
        </w:rPr>
        <w:t>年度，公司享受的企业所得税减征优惠金额</w:t>
      </w:r>
      <w:r>
        <w:rPr>
          <w:spacing w:val="-10"/>
        </w:rPr>
        <w:t> </w:t>
      </w:r>
      <w:r>
        <w:rPr>
          <w:spacing w:val="-10"/>
        </w:rPr>
      </w:r>
      <w:r>
        <w:rPr/>
        <w:t>为</w:t>
      </w:r>
      <w:r>
        <w:rPr>
          <w:rFonts w:ascii="Times New Roman" w:hAnsi="Times New Roman" w:cs="Times New Roman" w:eastAsia="Times New Roman" w:hint="default"/>
        </w:rPr>
        <w:t>1,196,769.58</w:t>
      </w:r>
      <w:r>
        <w:rPr/>
        <w:t>元。</w:t>
      </w:r>
    </w:p>
    <w:p>
      <w:pPr>
        <w:spacing w:line="240" w:lineRule="auto" w:before="3"/>
        <w:rPr>
          <w:rFonts w:ascii="宋体" w:hAnsi="宋体" w:cs="宋体" w:eastAsia="宋体" w:hint="default"/>
          <w:sz w:val="24"/>
          <w:szCs w:val="24"/>
        </w:rPr>
      </w:pPr>
    </w:p>
    <w:p>
      <w:pPr>
        <w:pStyle w:val="Heading6"/>
        <w:spacing w:line="240" w:lineRule="auto"/>
        <w:ind w:left="265" w:right="0"/>
        <w:jc w:val="both"/>
      </w:pPr>
      <w:r>
        <w:rPr/>
        <w:t>重庆久远银海软件有限公司</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265" w:right="1133"/>
        <w:jc w:val="left"/>
      </w:pPr>
      <w:r>
        <w:rPr/>
        <w:t>依据国科发火</w:t>
      </w:r>
      <w:r>
        <w:rPr>
          <w:rFonts w:ascii="Times New Roman" w:hAnsi="Times New Roman" w:cs="Times New Roman" w:eastAsia="Times New Roman" w:hint="default"/>
        </w:rPr>
        <w:t>[2016]32</w:t>
      </w:r>
      <w:r>
        <w:rPr/>
        <w:t>号、国科发火</w:t>
      </w:r>
      <w:r>
        <w:rPr>
          <w:rFonts w:ascii="Times New Roman" w:hAnsi="Times New Roman" w:cs="Times New Roman" w:eastAsia="Times New Roman" w:hint="default"/>
        </w:rPr>
        <w:t>[2016]195</w:t>
      </w:r>
      <w:r>
        <w:rPr/>
        <w:t>号、国税函</w:t>
      </w:r>
      <w:r>
        <w:rPr>
          <w:rFonts w:ascii="Times New Roman" w:hAnsi="Times New Roman" w:cs="Times New Roman" w:eastAsia="Times New Roman" w:hint="default"/>
        </w:rPr>
        <w:t>[2009]203</w:t>
      </w:r>
      <w:r>
        <w:rPr/>
        <w:t>号的规定，以及公司获取的高新技术</w:t>
      </w:r>
      <w:r>
        <w:rPr>
          <w:spacing w:val="-40"/>
        </w:rPr>
        <w:t> </w:t>
      </w:r>
      <w:r>
        <w:rPr>
          <w:spacing w:val="-40"/>
        </w:rPr>
      </w:r>
      <w:r>
        <w:rPr>
          <w:spacing w:val="-2"/>
        </w:rPr>
        <w:t>企业证书（证书编号：</w:t>
      </w:r>
      <w:r>
        <w:rPr>
          <w:rFonts w:ascii="Times New Roman" w:hAnsi="Times New Roman" w:cs="Times New Roman" w:eastAsia="Times New Roman" w:hint="default"/>
          <w:spacing w:val="-2"/>
        </w:rPr>
        <w:t>GR201851100241</w:t>
      </w:r>
      <w:r>
        <w:rPr>
          <w:spacing w:val="-2"/>
        </w:rPr>
        <w:t>，发证日期：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日，有效期三年），公司享受高新技</w:t>
      </w:r>
      <w:r>
        <w:rPr>
          <w:spacing w:val="-13"/>
        </w:rPr>
        <w:t> </w:t>
      </w:r>
      <w:r>
        <w:rPr>
          <w:spacing w:val="-13"/>
        </w:rPr>
      </w:r>
      <w:r>
        <w:rPr>
          <w:spacing w:val="-4"/>
        </w:rPr>
        <w:t>术企业所得税优惠政策，</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spacing w:val="-4"/>
        </w:rPr>
        <w:t>税率预缴企业所得税。</w:t>
      </w:r>
      <w:r>
        <w:rPr>
          <w:rFonts w:ascii="Times New Roman" w:hAnsi="Times New Roman" w:cs="Times New Roman" w:eastAsia="Times New Roman" w:hint="default"/>
          <w:spacing w:val="-4"/>
        </w:rPr>
        <w:t>2019</w:t>
      </w:r>
      <w:r>
        <w:rPr>
          <w:spacing w:val="-4"/>
        </w:rPr>
        <w:t>年度，公司享受的企业所得税减征</w:t>
      </w:r>
      <w:r>
        <w:rPr>
          <w:spacing w:val="-12"/>
        </w:rPr>
        <w:t> </w:t>
      </w:r>
      <w:r>
        <w:rPr>
          <w:spacing w:val="-12"/>
        </w:rPr>
      </w:r>
      <w:r>
        <w:rPr/>
        <w:t>优惠金额为</w:t>
      </w:r>
      <w:r>
        <w:rPr>
          <w:rFonts w:ascii="Times New Roman" w:hAnsi="Times New Roman" w:cs="Times New Roman" w:eastAsia="Times New Roman" w:hint="default"/>
        </w:rPr>
        <w:t>1,214,471.37</w:t>
      </w:r>
      <w:r>
        <w:rPr/>
        <w:t>元。</w:t>
      </w:r>
      <w:r>
        <w:rPr>
          <w:spacing w:val="-3"/>
          <w:w w:val="100"/>
        </w:rPr>
        <w:t> </w:t>
      </w:r>
      <w:r>
        <w:rPr>
          <w:spacing w:val="-2"/>
        </w:rPr>
        <w:t>依据国发</w:t>
      </w:r>
      <w:r>
        <w:rPr>
          <w:rFonts w:ascii="Times New Roman" w:hAnsi="Times New Roman" w:cs="Times New Roman" w:eastAsia="Times New Roman" w:hint="default"/>
          <w:spacing w:val="-2"/>
        </w:rPr>
        <w:t>[2011]4</w:t>
      </w:r>
      <w:r>
        <w:rPr>
          <w:spacing w:val="-2"/>
        </w:rPr>
        <w:t>号、财税</w:t>
      </w:r>
      <w:r>
        <w:rPr>
          <w:rFonts w:ascii="Times New Roman" w:hAnsi="Times New Roman" w:cs="Times New Roman" w:eastAsia="Times New Roman" w:hint="default"/>
          <w:spacing w:val="-2"/>
        </w:rPr>
        <w:t>[2011]100</w:t>
      </w:r>
      <w:r>
        <w:rPr>
          <w:spacing w:val="-2"/>
        </w:rPr>
        <w:t>号的规定，公司销售自行开发生产的软件产品，按适用税率征收增值</w:t>
      </w:r>
      <w:r>
        <w:rPr>
          <w:spacing w:val="-6"/>
        </w:rPr>
        <w:t> </w:t>
      </w:r>
      <w:r>
        <w:rPr>
          <w:spacing w:val="-6"/>
        </w:rPr>
      </w:r>
      <w:r>
        <w:rPr>
          <w:spacing w:val="-2"/>
        </w:rPr>
        <w:t>税后，对其增值税实际税负超过</w:t>
      </w:r>
      <w:r>
        <w:rPr>
          <w:rFonts w:ascii="Times New Roman" w:hAnsi="Times New Roman" w:cs="Times New Roman" w:eastAsia="Times New Roman" w:hint="default"/>
          <w:spacing w:val="-2"/>
        </w:rPr>
        <w:t>3%</w:t>
      </w:r>
      <w:r>
        <w:rPr>
          <w:spacing w:val="-2"/>
        </w:rPr>
        <w:t>的部分实行即征即退政策。</w:t>
      </w:r>
      <w:r>
        <w:rPr>
          <w:rFonts w:ascii="Times New Roman" w:hAnsi="Times New Roman" w:cs="Times New Roman" w:eastAsia="Times New Roman" w:hint="default"/>
          <w:spacing w:val="-2"/>
        </w:rPr>
        <w:t>2019</w:t>
      </w:r>
      <w:r>
        <w:rPr>
          <w:spacing w:val="-2"/>
        </w:rPr>
        <w:t>年度，公司享受的增值税即征即退优</w:t>
      </w:r>
      <w:r>
        <w:rPr>
          <w:spacing w:val="-15"/>
        </w:rPr>
        <w:t> </w:t>
      </w:r>
      <w:r>
        <w:rPr>
          <w:spacing w:val="-15"/>
        </w:rPr>
      </w:r>
      <w:r>
        <w:rPr/>
        <w:t>惠金额为</w:t>
      </w:r>
      <w:r>
        <w:rPr>
          <w:rFonts w:ascii="Times New Roman" w:hAnsi="Times New Roman" w:cs="Times New Roman" w:eastAsia="Times New Roman" w:hint="default"/>
        </w:rPr>
        <w:t>1,348,316.18</w:t>
      </w:r>
      <w:r>
        <w:rPr/>
        <w:t>元</w:t>
      </w:r>
    </w:p>
    <w:p>
      <w:pPr>
        <w:spacing w:line="240" w:lineRule="auto" w:before="3"/>
        <w:rPr>
          <w:rFonts w:ascii="宋体" w:hAnsi="宋体" w:cs="宋体" w:eastAsia="宋体" w:hint="default"/>
          <w:sz w:val="24"/>
          <w:szCs w:val="24"/>
        </w:rPr>
      </w:pPr>
    </w:p>
    <w:p>
      <w:pPr>
        <w:pStyle w:val="Heading6"/>
        <w:spacing w:line="261" w:lineRule="auto"/>
        <w:ind w:left="265" w:right="1133"/>
        <w:jc w:val="left"/>
      </w:pPr>
      <w:r>
        <w:rPr/>
        <w:t>山西久远爱思普软件股份有限公司</w:t>
      </w:r>
      <w:r>
        <w:rPr>
          <w:w w:val="100"/>
        </w:rPr>
        <w:t> </w:t>
      </w:r>
      <w:r>
        <w:rPr/>
        <w:t>依据国科发火</w:t>
      </w:r>
      <w:r>
        <w:rPr>
          <w:rFonts w:ascii="Times New Roman" w:hAnsi="Times New Roman" w:cs="Times New Roman" w:eastAsia="Times New Roman" w:hint="default"/>
        </w:rPr>
        <w:t>[2016]32</w:t>
      </w:r>
      <w:r>
        <w:rPr/>
        <w:t>号、国科发火</w:t>
      </w:r>
      <w:r>
        <w:rPr>
          <w:rFonts w:ascii="Times New Roman" w:hAnsi="Times New Roman" w:cs="Times New Roman" w:eastAsia="Times New Roman" w:hint="default"/>
        </w:rPr>
        <w:t>[2016]195</w:t>
      </w:r>
      <w:r>
        <w:rPr/>
        <w:t>号、国税函</w:t>
      </w:r>
      <w:r>
        <w:rPr>
          <w:rFonts w:ascii="Times New Roman" w:hAnsi="Times New Roman" w:cs="Times New Roman" w:eastAsia="Times New Roman" w:hint="default"/>
        </w:rPr>
        <w:t>[2009]203</w:t>
      </w:r>
      <w:r>
        <w:rPr/>
        <w:t>号的规定，以及公司获取的高新技术</w:t>
      </w:r>
      <w:r>
        <w:rPr>
          <w:spacing w:val="-41"/>
        </w:rPr>
        <w:t> </w:t>
      </w:r>
      <w:r>
        <w:rPr>
          <w:spacing w:val="-41"/>
        </w:rPr>
      </w:r>
      <w:r>
        <w:rPr/>
        <w:t>企业证书（证书编号：</w:t>
      </w:r>
      <w:r>
        <w:rPr>
          <w:rFonts w:ascii="Times New Roman" w:hAnsi="Times New Roman" w:cs="Times New Roman" w:eastAsia="Times New Roman" w:hint="default"/>
        </w:rPr>
        <w:t>GR201714000209</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日，有效期三年），公司享受高新技</w:t>
      </w:r>
      <w:r>
        <w:rPr>
          <w:spacing w:val="-13"/>
        </w:rPr>
        <w:t> </w:t>
      </w:r>
      <w:r>
        <w:rPr>
          <w:spacing w:val="-13"/>
        </w:rPr>
      </w:r>
      <w:r>
        <w:rPr>
          <w:spacing w:val="-4"/>
        </w:rPr>
        <w:t>术企业所得税优惠政策，</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spacing w:val="-4"/>
        </w:rPr>
        <w:t>税率预缴企业所得税。</w:t>
      </w:r>
      <w:r>
        <w:rPr>
          <w:rFonts w:ascii="Times New Roman" w:hAnsi="Times New Roman" w:cs="Times New Roman" w:eastAsia="Times New Roman" w:hint="default"/>
          <w:spacing w:val="-4"/>
        </w:rPr>
        <w:t>2019</w:t>
      </w:r>
      <w:r>
        <w:rPr>
          <w:spacing w:val="-4"/>
        </w:rPr>
        <w:t>年度，公司享受的企业所得税减征</w:t>
      </w:r>
      <w:r>
        <w:rPr>
          <w:spacing w:val="-12"/>
        </w:rPr>
        <w:t> </w:t>
      </w:r>
      <w:r>
        <w:rPr>
          <w:spacing w:val="-12"/>
        </w:rPr>
      </w:r>
      <w:r>
        <w:rPr/>
        <w:t>优惠金额为</w:t>
      </w:r>
      <w:r>
        <w:rPr>
          <w:rFonts w:ascii="Times New Roman" w:hAnsi="Times New Roman" w:cs="Times New Roman" w:eastAsia="Times New Roman" w:hint="default"/>
        </w:rPr>
        <w:t>878,196.62</w:t>
      </w:r>
      <w:r>
        <w:rPr/>
        <w:t>元。</w:t>
      </w:r>
    </w:p>
    <w:p>
      <w:pPr>
        <w:spacing w:line="240" w:lineRule="auto" w:before="11"/>
        <w:rPr>
          <w:rFonts w:ascii="宋体" w:hAnsi="宋体" w:cs="宋体" w:eastAsia="宋体" w:hint="default"/>
          <w:sz w:val="23"/>
          <w:szCs w:val="23"/>
        </w:rPr>
      </w:pPr>
    </w:p>
    <w:p>
      <w:pPr>
        <w:pStyle w:val="Heading6"/>
        <w:spacing w:line="264" w:lineRule="auto"/>
        <w:ind w:left="265" w:right="1133"/>
        <w:jc w:val="left"/>
      </w:pPr>
      <w:r>
        <w:rPr/>
        <w:t>成都兴政电子政务运营服务有限公司</w:t>
      </w:r>
      <w:r>
        <w:rPr>
          <w:w w:val="100"/>
        </w:rPr>
        <w:t> </w:t>
      </w:r>
      <w:r>
        <w:rPr>
          <w:spacing w:val="-2"/>
        </w:rPr>
        <w:t>公司已获取《四川省经济和信息化委员会关于四川卫士通信息安全平台技术有限公司等</w:t>
      </w:r>
      <w:r>
        <w:rPr>
          <w:rFonts w:ascii="Times New Roman" w:hAnsi="Times New Roman" w:cs="Times New Roman" w:eastAsia="Times New Roman" w:hint="default"/>
          <w:spacing w:val="-2"/>
        </w:rPr>
        <w:t>223</w:t>
      </w:r>
      <w:r>
        <w:rPr>
          <w:spacing w:val="-2"/>
        </w:rPr>
        <w:t>家企业符合国</w:t>
      </w:r>
      <w:r>
        <w:rPr>
          <w:spacing w:val="-50"/>
        </w:rPr>
        <w:t> </w:t>
      </w:r>
      <w:r>
        <w:rPr>
          <w:spacing w:val="-50"/>
        </w:rPr>
      </w:r>
      <w:r>
        <w:rPr>
          <w:spacing w:val="-1"/>
        </w:rPr>
        <w:t>家软件产业优惠政策条件的通知》（川经信软件函</w:t>
      </w:r>
      <w:r>
        <w:rPr>
          <w:rFonts w:ascii="Times New Roman" w:hAnsi="Times New Roman" w:cs="Times New Roman" w:eastAsia="Times New Roman" w:hint="default"/>
          <w:spacing w:val="-1"/>
        </w:rPr>
        <w:t>[2015]499</w:t>
      </w:r>
      <w:r>
        <w:rPr>
          <w:spacing w:val="-1"/>
        </w:rPr>
        <w:t>号），确认公司符合财政部、国家税务总局</w:t>
      </w:r>
    </w:p>
    <w:p>
      <w:pPr>
        <w:pStyle w:val="Heading6"/>
        <w:spacing w:line="261" w:lineRule="auto"/>
        <w:ind w:left="265" w:right="1128"/>
        <w:jc w:val="both"/>
      </w:pPr>
      <w:r>
        <w:rPr>
          <w:spacing w:val="-2"/>
        </w:rPr>
        <w:t>《关于进一步鼓励软件产业和集成电路产业发展企业所得税政策的通知》（财税【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027</w:t>
      </w:r>
      <w:r>
        <w:rPr>
          <w:spacing w:val="-2"/>
        </w:rPr>
        <w:t>号）的文件</w:t>
      </w:r>
      <w:r>
        <w:rPr>
          <w:spacing w:val="-49"/>
        </w:rPr>
        <w:t> </w:t>
      </w:r>
      <w:r>
        <w:rPr>
          <w:spacing w:val="-49"/>
        </w:rPr>
      </w:r>
      <w:r>
        <w:rPr/>
        <w:t>规定，公司被认定为新办软件生产、集成电路设计企业，符合两免三减半减免税条件。享受优惠期间为</w:t>
      </w:r>
      <w:r>
        <w:rPr>
          <w:spacing w:val="-36"/>
        </w:rPr>
        <w:t> </w:t>
      </w:r>
      <w:r>
        <w:rPr>
          <w:spacing w:val="-36"/>
        </w:rPr>
      </w:r>
      <w:r>
        <w:rPr>
          <w:spacing w:val="-3"/>
        </w:rPr>
        <w:t>自</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01</w:t>
      </w:r>
      <w:r>
        <w:rPr>
          <w:spacing w:val="-3"/>
        </w:rPr>
        <w:t>月</w:t>
      </w:r>
      <w:r>
        <w:rPr>
          <w:rFonts w:ascii="Times New Roman" w:hAnsi="Times New Roman" w:cs="Times New Roman" w:eastAsia="Times New Roman" w:hint="default"/>
          <w:spacing w:val="-3"/>
        </w:rPr>
        <w:t>01</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,2019</w:t>
      </w:r>
      <w:r>
        <w:rPr>
          <w:spacing w:val="-3"/>
        </w:rPr>
        <w:t>年度减按</w:t>
      </w:r>
      <w:r>
        <w:rPr>
          <w:rFonts w:ascii="Times New Roman" w:hAnsi="Times New Roman" w:cs="Times New Roman" w:eastAsia="Times New Roman" w:hint="default"/>
          <w:spacing w:val="-3"/>
        </w:rPr>
        <w:t>12.5%</w:t>
      </w:r>
      <w:r>
        <w:rPr>
          <w:spacing w:val="-3"/>
        </w:rPr>
        <w:t>征收企业所得税。</w:t>
      </w:r>
      <w:r>
        <w:rPr>
          <w:rFonts w:ascii="Times New Roman" w:hAnsi="Times New Roman" w:cs="Times New Roman" w:eastAsia="Times New Roman" w:hint="default"/>
          <w:spacing w:val="-3"/>
        </w:rPr>
        <w:t>2019</w:t>
      </w:r>
      <w:r>
        <w:rPr>
          <w:spacing w:val="-3"/>
        </w:rPr>
        <w:t>年度，公司享受的企业所</w:t>
      </w:r>
      <w:r>
        <w:rPr>
          <w:spacing w:val="-36"/>
        </w:rPr>
        <w:t> </w:t>
      </w:r>
      <w:r>
        <w:rPr>
          <w:spacing w:val="-36"/>
        </w:rPr>
      </w:r>
      <w:r>
        <w:rPr/>
        <w:t>得税减征优惠金额为</w:t>
      </w:r>
      <w:r>
        <w:rPr>
          <w:rFonts w:ascii="Times New Roman" w:hAnsi="Times New Roman" w:cs="Times New Roman" w:eastAsia="Times New Roman" w:hint="default"/>
        </w:rPr>
        <w:t>281,224.08</w:t>
      </w:r>
      <w:r>
        <w:rPr/>
        <w:t>元。</w:t>
      </w:r>
    </w:p>
    <w:p>
      <w:pPr>
        <w:spacing w:line="240" w:lineRule="auto" w:before="12"/>
        <w:rPr>
          <w:rFonts w:ascii="宋体" w:hAnsi="宋体" w:cs="宋体" w:eastAsia="宋体" w:hint="default"/>
          <w:sz w:val="23"/>
          <w:szCs w:val="23"/>
        </w:rPr>
      </w:pPr>
    </w:p>
    <w:p>
      <w:pPr>
        <w:pStyle w:val="Heading6"/>
        <w:spacing w:line="264" w:lineRule="auto"/>
        <w:ind w:left="265" w:right="1133"/>
        <w:jc w:val="left"/>
      </w:pPr>
      <w:r>
        <w:rPr/>
        <w:t>新疆银海鼎峰软件有限公司</w:t>
      </w:r>
      <w:r>
        <w:rPr>
          <w:w w:val="100"/>
        </w:rPr>
        <w:t> </w:t>
      </w:r>
      <w:r>
        <w:rPr/>
        <w:t>公司已获新疆维吾尔自治区经济和信息化委员会印发的《关于确认新疆银海鼎峰软件有限公司主营业务</w:t>
      </w:r>
      <w:r>
        <w:rPr>
          <w:spacing w:val="-36"/>
        </w:rPr>
        <w:t> </w:t>
      </w:r>
      <w:r>
        <w:rPr>
          <w:spacing w:val="-36"/>
        </w:rPr>
      </w:r>
      <w:r>
        <w:rPr>
          <w:spacing w:val="-5"/>
        </w:rPr>
        <w:t>符合国家鼓励类目录的函》（新经信产业函</w:t>
      </w:r>
      <w:r>
        <w:rPr>
          <w:rFonts w:ascii="Times New Roman" w:hAnsi="Times New Roman" w:cs="Times New Roman" w:eastAsia="Times New Roman" w:hint="default"/>
          <w:spacing w:val="-5"/>
        </w:rPr>
        <w:t>[2015]529</w:t>
      </w:r>
      <w:r>
        <w:rPr>
          <w:spacing w:val="-5"/>
        </w:rPr>
        <w:t>号），确定公司所从事的软件开发生产业务符合《产</w:t>
      </w:r>
      <w:r>
        <w:rPr>
          <w:spacing w:val="-34"/>
        </w:rPr>
        <w:t> </w:t>
      </w:r>
      <w:r>
        <w:rPr>
          <w:spacing w:val="-34"/>
        </w:rPr>
      </w:r>
      <w:r>
        <w:rPr>
          <w:spacing w:val="-1"/>
        </w:rPr>
        <w:t>业结构调整指导目录（</w:t>
      </w:r>
      <w:r>
        <w:rPr>
          <w:rFonts w:ascii="Times New Roman" w:hAnsi="Times New Roman" w:cs="Times New Roman" w:eastAsia="Times New Roman" w:hint="default"/>
          <w:spacing w:val="-1"/>
        </w:rPr>
        <w:t>2011</w:t>
      </w:r>
      <w:r>
        <w:rPr>
          <w:spacing w:val="-1"/>
        </w:rPr>
        <w:t>年本）（修正）》第一类</w:t>
      </w:r>
      <w:r>
        <w:rPr>
          <w:rFonts w:ascii="Times New Roman" w:hAnsi="Times New Roman" w:cs="Times New Roman" w:eastAsia="Times New Roman" w:hint="default"/>
          <w:spacing w:val="-1"/>
        </w:rPr>
        <w:t>“</w:t>
      </w:r>
      <w:r>
        <w:rPr>
          <w:spacing w:val="-1"/>
        </w:rPr>
        <w:t>鼓励类</w:t>
      </w:r>
      <w:r>
        <w:rPr>
          <w:rFonts w:ascii="Times New Roman" w:hAnsi="Times New Roman" w:cs="Times New Roman" w:eastAsia="Times New Roman" w:hint="default"/>
          <w:spacing w:val="-1"/>
        </w:rPr>
        <w:t>”</w:t>
      </w:r>
      <w:r>
        <w:rPr>
          <w:spacing w:val="-1"/>
        </w:rPr>
        <w:t>第二十八条</w:t>
      </w:r>
      <w:r>
        <w:rPr>
          <w:rFonts w:ascii="Times New Roman" w:hAnsi="Times New Roman" w:cs="Times New Roman" w:eastAsia="Times New Roman" w:hint="default"/>
          <w:spacing w:val="-1"/>
        </w:rPr>
        <w:t>“</w:t>
      </w:r>
      <w:r>
        <w:rPr>
          <w:spacing w:val="-1"/>
        </w:rPr>
        <w:t>信息产业</w:t>
      </w:r>
      <w:r>
        <w:rPr>
          <w:rFonts w:ascii="Times New Roman" w:hAnsi="Times New Roman" w:cs="Times New Roman" w:eastAsia="Times New Roman" w:hint="default"/>
          <w:spacing w:val="-1"/>
        </w:rPr>
        <w:t>”</w:t>
      </w:r>
      <w:r>
        <w:rPr>
          <w:spacing w:val="-1"/>
        </w:rPr>
        <w:t>中第</w:t>
      </w:r>
      <w:r>
        <w:rPr>
          <w:rFonts w:ascii="Times New Roman" w:hAnsi="Times New Roman" w:cs="Times New Roman" w:eastAsia="Times New Roman" w:hint="default"/>
          <w:spacing w:val="-1"/>
        </w:rPr>
        <w:t>23</w:t>
      </w:r>
      <w:r>
        <w:rPr>
          <w:spacing w:val="-1"/>
        </w:rPr>
        <w:t>款</w:t>
      </w:r>
      <w:r>
        <w:rPr>
          <w:rFonts w:ascii="Times New Roman" w:hAnsi="Times New Roman" w:cs="Times New Roman" w:eastAsia="Times New Roman" w:hint="default"/>
          <w:spacing w:val="-1"/>
        </w:rPr>
        <w:t>“</w:t>
      </w:r>
      <w:r>
        <w:rPr>
          <w:spacing w:val="-1"/>
        </w:rPr>
        <w:t>软件开发</w:t>
      </w:r>
      <w:r>
        <w:rPr>
          <w:spacing w:val="-32"/>
        </w:rPr>
        <w:t> </w:t>
      </w:r>
      <w:r>
        <w:rPr/>
        <w:t>生产（含民族语言信息化标准研究与推广运用）</w:t>
      </w:r>
      <w:r>
        <w:rPr>
          <w:rFonts w:ascii="Times New Roman" w:hAnsi="Times New Roman" w:cs="Times New Roman" w:eastAsia="Times New Roman" w:hint="default"/>
        </w:rPr>
        <w:t>”</w:t>
      </w:r>
      <w:r>
        <w:rPr/>
        <w:t>的内容。依据财税</w:t>
      </w:r>
      <w:r>
        <w:rPr>
          <w:rFonts w:ascii="Times New Roman" w:hAnsi="Times New Roman" w:cs="Times New Roman" w:eastAsia="Times New Roman" w:hint="default"/>
        </w:rPr>
        <w:t>[2011]58</w:t>
      </w:r>
      <w:r>
        <w:rPr/>
        <w:t>号，公司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预缴企业所得税。</w:t>
      </w:r>
      <w:r>
        <w:rPr>
          <w:rFonts w:ascii="Times New Roman" w:hAnsi="Times New Roman" w:cs="Times New Roman" w:eastAsia="Times New Roman" w:hint="default"/>
        </w:rPr>
        <w:t>2019</w:t>
      </w:r>
      <w:r>
        <w:rPr/>
        <w:t>年度，公司享受的企业所得税减征优惠金额为</w:t>
      </w:r>
      <w:r>
        <w:rPr>
          <w:rFonts w:ascii="Times New Roman" w:hAnsi="Times New Roman" w:cs="Times New Roman" w:eastAsia="Times New Roman" w:hint="default"/>
        </w:rPr>
        <w:t>1,384,080.95</w:t>
      </w:r>
      <w:r>
        <w:rPr/>
        <w:t>元。</w:t>
      </w:r>
    </w:p>
    <w:p>
      <w:pPr>
        <w:spacing w:line="240" w:lineRule="auto" w:before="9"/>
        <w:rPr>
          <w:rFonts w:ascii="宋体" w:hAnsi="宋体" w:cs="宋体" w:eastAsia="宋体" w:hint="default"/>
          <w:sz w:val="23"/>
          <w:szCs w:val="23"/>
        </w:rPr>
      </w:pPr>
    </w:p>
    <w:p>
      <w:pPr>
        <w:pStyle w:val="Heading6"/>
        <w:spacing w:line="264" w:lineRule="auto"/>
        <w:ind w:left="265" w:right="1133"/>
        <w:jc w:val="left"/>
      </w:pPr>
      <w:r>
        <w:rPr/>
        <w:t>四川久远银海畅辉软件有限公司</w:t>
      </w:r>
      <w:r>
        <w:rPr>
          <w:w w:val="100"/>
        </w:rPr>
        <w:t> </w:t>
      </w:r>
      <w:r>
        <w:rPr>
          <w:spacing w:val="-2"/>
        </w:rPr>
        <w:t>公司已获取四川省经济和信息化委员会印发的《关于确认成都欧珀通信科技有限公司等</w:t>
      </w:r>
      <w:r>
        <w:rPr>
          <w:rFonts w:ascii="Times New Roman" w:hAnsi="Times New Roman" w:cs="Times New Roman" w:eastAsia="Times New Roman" w:hint="default"/>
          <w:spacing w:val="-2"/>
        </w:rPr>
        <w:t>280</w:t>
      </w:r>
      <w:r>
        <w:rPr>
          <w:spacing w:val="-2"/>
        </w:rPr>
        <w:t>家企业符合国</w:t>
      </w:r>
      <w:r>
        <w:rPr>
          <w:spacing w:val="-51"/>
        </w:rPr>
        <w:t> </w:t>
      </w:r>
      <w:r>
        <w:rPr>
          <w:spacing w:val="-51"/>
        </w:rPr>
      </w:r>
      <w:r>
        <w:rPr>
          <w:spacing w:val="-1"/>
        </w:rPr>
        <w:t>家软件产业优惠政策条件的通知》（川经信软件函</w:t>
      </w:r>
      <w:r>
        <w:rPr>
          <w:rFonts w:ascii="Times New Roman" w:hAnsi="Times New Roman" w:cs="Times New Roman" w:eastAsia="Times New Roman" w:hint="default"/>
          <w:spacing w:val="-1"/>
        </w:rPr>
        <w:t>[2015]336</w:t>
      </w:r>
      <w:r>
        <w:rPr>
          <w:spacing w:val="-1"/>
        </w:rPr>
        <w:t>号），确认公司符合财政部、国家税务总局</w:t>
      </w:r>
    </w:p>
    <w:p>
      <w:pPr>
        <w:pStyle w:val="Heading6"/>
        <w:spacing w:line="256" w:lineRule="auto"/>
        <w:ind w:left="265" w:right="1128"/>
        <w:jc w:val="both"/>
      </w:pPr>
      <w:r>
        <w:rPr>
          <w:spacing w:val="-2"/>
        </w:rPr>
        <w:t>《关于进一步鼓励软件产业和集成电路产业发展企业所得税政策的通知》（财税【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027</w:t>
      </w:r>
      <w:r>
        <w:rPr>
          <w:spacing w:val="-2"/>
        </w:rPr>
        <w:t>号）的文件</w:t>
      </w:r>
      <w:r>
        <w:rPr>
          <w:spacing w:val="-49"/>
        </w:rPr>
        <w:t> </w:t>
      </w:r>
      <w:r>
        <w:rPr>
          <w:spacing w:val="-49"/>
        </w:rPr>
      </w:r>
      <w:r>
        <w:rPr>
          <w:spacing w:val="-3"/>
        </w:rPr>
        <w:t>规定，公司被认定为新办软件企业，符合减免税条件。公司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日减按</w:t>
      </w:r>
      <w:r>
        <w:rPr>
          <w:rFonts w:ascii="Times New Roman" w:hAnsi="Times New Roman" w:cs="Times New Roman" w:eastAsia="Times New Roman" w:hint="default"/>
          <w:spacing w:val="-3"/>
        </w:rPr>
        <w:t>12.5%</w:t>
      </w:r>
      <w:r>
        <w:rPr>
          <w:spacing w:val="-3"/>
        </w:rPr>
        <w:t>税</w:t>
      </w:r>
      <w:r>
        <w:rPr>
          <w:spacing w:val="-1"/>
        </w:rPr>
        <w:t> </w:t>
      </w:r>
      <w:r>
        <w:rPr/>
        <w:t>率征收企业所得税。</w:t>
      </w:r>
      <w:r>
        <w:rPr>
          <w:rFonts w:ascii="Times New Roman" w:hAnsi="Times New Roman" w:cs="Times New Roman" w:eastAsia="Times New Roman" w:hint="default"/>
        </w:rPr>
        <w:t>2019</w:t>
      </w:r>
      <w:r>
        <w:rPr/>
        <w:t>年度，公司因亏损未享受企业所得税减征优惠。</w:t>
      </w:r>
    </w:p>
    <w:p>
      <w:pPr>
        <w:spacing w:line="240" w:lineRule="auto" w:before="3"/>
        <w:rPr>
          <w:rFonts w:ascii="宋体" w:hAnsi="宋体" w:cs="宋体" w:eastAsia="宋体" w:hint="default"/>
          <w:sz w:val="24"/>
          <w:szCs w:val="24"/>
        </w:rPr>
      </w:pPr>
    </w:p>
    <w:p>
      <w:pPr>
        <w:pStyle w:val="Heading6"/>
        <w:spacing w:line="261" w:lineRule="auto"/>
        <w:ind w:left="265" w:right="1133"/>
        <w:jc w:val="left"/>
      </w:pPr>
      <w:r>
        <w:rPr/>
        <w:t>四川健康久远科技有限公司</w:t>
      </w:r>
      <w:r>
        <w:rPr>
          <w:w w:val="100"/>
        </w:rPr>
        <w:t> </w:t>
      </w:r>
      <w:r>
        <w:rPr/>
        <w:t>依据国科发火</w:t>
      </w:r>
      <w:r>
        <w:rPr>
          <w:rFonts w:ascii="Times New Roman" w:hAnsi="Times New Roman" w:cs="Times New Roman" w:eastAsia="Times New Roman" w:hint="default"/>
        </w:rPr>
        <w:t>[2016]32</w:t>
      </w:r>
      <w:r>
        <w:rPr/>
        <w:t>号、国科发火</w:t>
      </w:r>
      <w:r>
        <w:rPr>
          <w:rFonts w:ascii="Times New Roman" w:hAnsi="Times New Roman" w:cs="Times New Roman" w:eastAsia="Times New Roman" w:hint="default"/>
        </w:rPr>
        <w:t>[2016]195</w:t>
      </w:r>
      <w:r>
        <w:rPr/>
        <w:t>号、国税函</w:t>
      </w:r>
      <w:r>
        <w:rPr>
          <w:rFonts w:ascii="Times New Roman" w:hAnsi="Times New Roman" w:cs="Times New Roman" w:eastAsia="Times New Roman" w:hint="default"/>
        </w:rPr>
        <w:t>[2009]203</w:t>
      </w:r>
      <w:r>
        <w:rPr/>
        <w:t>号的规定，以及公司获取的高新技术</w:t>
      </w:r>
      <w:r>
        <w:rPr>
          <w:spacing w:val="-40"/>
        </w:rPr>
        <w:t> </w:t>
      </w:r>
      <w:r>
        <w:rPr>
          <w:spacing w:val="-40"/>
        </w:rPr>
      </w:r>
      <w:r>
        <w:rPr>
          <w:spacing w:val="-2"/>
        </w:rPr>
        <w:t>企业证书（证书编号：</w:t>
      </w:r>
      <w:r>
        <w:rPr>
          <w:rFonts w:ascii="Times New Roman" w:hAnsi="Times New Roman" w:cs="Times New Roman" w:eastAsia="Times New Roman" w:hint="default"/>
          <w:spacing w:val="-2"/>
        </w:rPr>
        <w:t>GR201951001367</w:t>
      </w:r>
      <w:r>
        <w:rPr>
          <w:spacing w:val="-2"/>
        </w:rPr>
        <w:t>，发证日期：</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日，有效期三年），公司享受高新技</w:t>
      </w:r>
      <w:r>
        <w:rPr>
          <w:spacing w:val="-13"/>
        </w:rPr>
        <w:t> </w:t>
      </w:r>
      <w:r>
        <w:rPr>
          <w:spacing w:val="-13"/>
        </w:rPr>
      </w:r>
      <w:r>
        <w:rPr>
          <w:spacing w:val="-4"/>
        </w:rPr>
        <w:t>术企业所得税优惠政策，</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spacing w:val="-4"/>
        </w:rPr>
        <w:t>税率预缴企业所得税。</w:t>
      </w:r>
      <w:r>
        <w:rPr>
          <w:rFonts w:ascii="Times New Roman" w:hAnsi="Times New Roman" w:cs="Times New Roman" w:eastAsia="Times New Roman" w:hint="default"/>
          <w:spacing w:val="-4"/>
        </w:rPr>
        <w:t>2019</w:t>
      </w:r>
      <w:r>
        <w:rPr>
          <w:spacing w:val="-4"/>
        </w:rPr>
        <w:t>年度，公司因亏损未享受企业所得</w:t>
      </w:r>
      <w:r>
        <w:rPr>
          <w:spacing w:val="-12"/>
        </w:rPr>
        <w:t> </w:t>
      </w:r>
      <w:r>
        <w:rPr>
          <w:spacing w:val="-12"/>
        </w:rPr>
      </w:r>
      <w:r>
        <w:rPr/>
        <w:t>税减征优惠。</w:t>
      </w:r>
    </w:p>
    <w:p>
      <w:pPr>
        <w:spacing w:line="240" w:lineRule="auto" w:before="4"/>
        <w:rPr>
          <w:rFonts w:ascii="宋体" w:hAnsi="宋体" w:cs="宋体" w:eastAsia="宋体" w:hint="default"/>
          <w:sz w:val="25"/>
          <w:szCs w:val="25"/>
        </w:rPr>
      </w:pPr>
    </w:p>
    <w:p>
      <w:pPr>
        <w:pStyle w:val="Heading6"/>
        <w:spacing w:line="273" w:lineRule="auto"/>
        <w:ind w:left="265" w:right="1133"/>
        <w:jc w:val="left"/>
      </w:pPr>
      <w:r>
        <w:rPr/>
        <w:t>杭州海量信息技术有限公司</w:t>
      </w:r>
      <w:r>
        <w:rPr>
          <w:w w:val="100"/>
        </w:rPr>
        <w:t> </w:t>
      </w:r>
      <w:r>
        <w:rPr>
          <w:spacing w:val="-3"/>
        </w:rPr>
        <w:t>依据国科发火</w:t>
      </w:r>
      <w:r>
        <w:rPr>
          <w:rFonts w:ascii="Times New Roman" w:hAnsi="Times New Roman" w:cs="Times New Roman" w:eastAsia="Times New Roman" w:hint="default"/>
          <w:spacing w:val="-3"/>
        </w:rPr>
        <w:t>[2016]32</w:t>
      </w:r>
      <w:r>
        <w:rPr>
          <w:spacing w:val="-3"/>
        </w:rPr>
        <w:t>号、国科发火</w:t>
      </w:r>
      <w:r>
        <w:rPr>
          <w:rFonts w:ascii="Times New Roman" w:hAnsi="Times New Roman" w:cs="Times New Roman" w:eastAsia="Times New Roman" w:hint="default"/>
          <w:spacing w:val="-3"/>
        </w:rPr>
        <w:t>[2016]195</w:t>
      </w:r>
      <w:r>
        <w:rPr>
          <w:spacing w:val="-3"/>
        </w:rPr>
        <w:t>号、国税函</w:t>
      </w:r>
      <w:r>
        <w:rPr>
          <w:rFonts w:ascii="Times New Roman" w:hAnsi="Times New Roman" w:cs="Times New Roman" w:eastAsia="Times New Roman" w:hint="default"/>
          <w:spacing w:val="-3"/>
        </w:rPr>
        <w:t>[2009]203</w:t>
      </w:r>
      <w:r>
        <w:rPr>
          <w:spacing w:val="-3"/>
        </w:rPr>
        <w:t>号的规定，以及国科发火</w:t>
      </w:r>
      <w:r>
        <w:rPr>
          <w:rFonts w:ascii="Times New Roman" w:hAnsi="Times New Roman" w:cs="Times New Roman" w:eastAsia="Times New Roman" w:hint="default"/>
          <w:spacing w:val="-3"/>
        </w:rPr>
        <w:t>[2020]32</w:t>
      </w:r>
      <w:r>
        <w:rPr>
          <w:spacing w:val="-3"/>
        </w:rPr>
        <w:t>号关</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265" w:right="1133"/>
        <w:jc w:val="left"/>
      </w:pPr>
      <w:r>
        <w:rPr/>
        <w:t>于浙江省</w:t>
      </w:r>
      <w:r>
        <w:rPr>
          <w:rFonts w:ascii="Times New Roman" w:hAnsi="Times New Roman" w:cs="Times New Roman" w:eastAsia="Times New Roman" w:hint="default"/>
        </w:rPr>
        <w:t>2019</w:t>
      </w:r>
      <w:r>
        <w:rPr/>
        <w:t>年高新技术企业备案的复函，公司已通过</w:t>
      </w:r>
      <w:r>
        <w:rPr>
          <w:rFonts w:ascii="Times New Roman" w:hAnsi="Times New Roman" w:cs="Times New Roman" w:eastAsia="Times New Roman" w:hint="default"/>
        </w:rPr>
        <w:t>2019</w:t>
      </w:r>
      <w:r>
        <w:rPr/>
        <w:t>年高新技术企业备案，高新技术企业证书编</w:t>
      </w:r>
      <w:r>
        <w:rPr>
          <w:spacing w:val="-33"/>
        </w:rPr>
        <w:t> </w:t>
      </w:r>
      <w:r>
        <w:rPr>
          <w:spacing w:val="-33"/>
        </w:rPr>
      </w:r>
      <w:r>
        <w:rPr/>
        <w:t>号为：</w:t>
      </w:r>
      <w:r>
        <w:rPr>
          <w:rFonts w:ascii="Times New Roman" w:hAnsi="Times New Roman" w:cs="Times New Roman" w:eastAsia="Times New Roman" w:hint="default"/>
        </w:rPr>
        <w:t>GR201933004672</w:t>
      </w:r>
      <w:r>
        <w:rPr/>
        <w:t>。</w:t>
      </w:r>
      <w:r>
        <w:rPr>
          <w:rFonts w:ascii="Times New Roman" w:hAnsi="Times New Roman" w:cs="Times New Roman" w:eastAsia="Times New Roman" w:hint="default"/>
        </w:rPr>
        <w:t>2019</w:t>
      </w:r>
      <w:r>
        <w:rPr/>
        <w:t>年度，公司享受的企业所得税减征优惠金额为</w:t>
      </w:r>
      <w:r>
        <w:rPr>
          <w:rFonts w:ascii="Times New Roman" w:hAnsi="Times New Roman" w:cs="Times New Roman" w:eastAsia="Times New Roman" w:hint="default"/>
        </w:rPr>
        <w:t>1,151,145.61</w:t>
      </w:r>
      <w:r>
        <w:rPr/>
        <w:t>元。</w:t>
      </w:r>
      <w:r>
        <w:rPr>
          <w:w w:val="100"/>
        </w:rPr>
        <w:t> </w:t>
      </w:r>
      <w:r>
        <w:rPr>
          <w:spacing w:val="-2"/>
        </w:rPr>
        <w:t>依据国发</w:t>
      </w:r>
      <w:r>
        <w:rPr>
          <w:rFonts w:ascii="Times New Roman" w:hAnsi="Times New Roman" w:cs="Times New Roman" w:eastAsia="Times New Roman" w:hint="default"/>
          <w:spacing w:val="-2"/>
        </w:rPr>
        <w:t>[2011]4</w:t>
      </w:r>
      <w:r>
        <w:rPr>
          <w:spacing w:val="-2"/>
        </w:rPr>
        <w:t>号、财税</w:t>
      </w:r>
      <w:r>
        <w:rPr>
          <w:rFonts w:ascii="Times New Roman" w:hAnsi="Times New Roman" w:cs="Times New Roman" w:eastAsia="Times New Roman" w:hint="default"/>
          <w:spacing w:val="-2"/>
        </w:rPr>
        <w:t>[2011]100</w:t>
      </w:r>
      <w:r>
        <w:rPr>
          <w:spacing w:val="-2"/>
        </w:rPr>
        <w:t>号的规定，公司销售自行开发生产的软件产品，按适用税率征收增值</w:t>
      </w:r>
      <w:r>
        <w:rPr>
          <w:spacing w:val="-6"/>
        </w:rPr>
        <w:t> </w:t>
      </w:r>
      <w:r>
        <w:rPr>
          <w:spacing w:val="-6"/>
        </w:rPr>
      </w:r>
      <w:r>
        <w:rPr>
          <w:spacing w:val="-2"/>
        </w:rPr>
        <w:t>税后，对其增值税实际税负超过</w:t>
      </w:r>
      <w:r>
        <w:rPr>
          <w:rFonts w:ascii="Times New Roman" w:hAnsi="Times New Roman" w:cs="Times New Roman" w:eastAsia="Times New Roman" w:hint="default"/>
          <w:spacing w:val="-2"/>
        </w:rPr>
        <w:t>3%</w:t>
      </w:r>
      <w:r>
        <w:rPr>
          <w:spacing w:val="-2"/>
        </w:rPr>
        <w:t>的部分实行即征即退政策。</w:t>
      </w:r>
      <w:r>
        <w:rPr>
          <w:rFonts w:ascii="Times New Roman" w:hAnsi="Times New Roman" w:cs="Times New Roman" w:eastAsia="Times New Roman" w:hint="default"/>
          <w:spacing w:val="-2"/>
        </w:rPr>
        <w:t>2019</w:t>
      </w:r>
      <w:r>
        <w:rPr>
          <w:spacing w:val="-2"/>
        </w:rPr>
        <w:t>年度，公司享受的增值税即征即退优</w:t>
      </w:r>
      <w:r>
        <w:rPr>
          <w:spacing w:val="-15"/>
        </w:rPr>
        <w:t> </w:t>
      </w:r>
      <w:r>
        <w:rPr>
          <w:spacing w:val="-15"/>
        </w:rPr>
      </w:r>
      <w:r>
        <w:rPr/>
        <w:t>惠金额为</w:t>
      </w:r>
      <w:r>
        <w:rPr>
          <w:rFonts w:ascii="Times New Roman" w:hAnsi="Times New Roman" w:cs="Times New Roman" w:eastAsia="Times New Roman" w:hint="default"/>
        </w:rPr>
        <w:t>186,887.26</w:t>
      </w:r>
      <w:r>
        <w:rPr/>
        <w:t>元</w:t>
      </w:r>
    </w:p>
    <w:p>
      <w:pPr>
        <w:spacing w:line="240" w:lineRule="auto" w:before="12"/>
        <w:rPr>
          <w:rFonts w:ascii="宋体" w:hAnsi="宋体" w:cs="宋体" w:eastAsia="宋体" w:hint="default"/>
          <w:sz w:val="28"/>
          <w:szCs w:val="28"/>
        </w:rPr>
      </w:pPr>
    </w:p>
    <w:p>
      <w:pPr>
        <w:pStyle w:val="BodyText"/>
        <w:spacing w:line="240" w:lineRule="auto" w:before="0"/>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48,633.87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177,252.53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793,400,819.03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758,541,596.38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9,119,838.77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3,477,409.12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802,569,291.67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762,196,258.03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0"/>
        <w:jc w:val="left"/>
      </w:pPr>
      <w:r>
        <w:rPr/>
        <w:t>其他说明</w:t>
      </w:r>
    </w:p>
    <w:p>
      <w:pPr>
        <w:pStyle w:val="Heading6"/>
        <w:spacing w:line="240" w:lineRule="auto" w:before="94"/>
        <w:ind w:left="866" w:right="0"/>
        <w:jc w:val="left"/>
      </w:pPr>
      <w:r>
        <w:rPr>
          <w:spacing w:val="-2"/>
        </w:rPr>
        <w:t>其中受到限制的货币资金明细如下：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6"/>
        <w:spacing w:line="240" w:lineRule="auto" w:before="167"/>
        <w:ind w:left="152" w:right="0"/>
        <w:jc w:val="left"/>
      </w:pPr>
      <w:r>
        <w:rPr/>
        <w:t>单位：元</w:t>
      </w:r>
    </w:p>
    <w:p>
      <w:pPr>
        <w:spacing w:after="0" w:line="240" w:lineRule="auto"/>
        <w:jc w:val="left"/>
        <w:sectPr>
          <w:type w:val="continuous"/>
          <w:pgSz w:w="11910" w:h="16840"/>
          <w:pgMar w:top="1060" w:bottom="1160" w:left="980" w:right="0"/>
          <w:cols w:num="2" w:equalWidth="0">
            <w:col w:w="4232" w:space="1700"/>
            <w:col w:w="4998"/>
          </w:cols>
        </w:sectPr>
      </w:pPr>
    </w:p>
    <w:p>
      <w:pPr>
        <w:spacing w:line="240" w:lineRule="auto" w:before="10"/>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9,119,838.77</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3,477,409.12</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预提但未到期的定期存款利息</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5,378,281.55</w:t>
            </w:r>
          </w:p>
        </w:tc>
        <w:tc>
          <w:tcPr>
            <w:tcW w:w="224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14,498,120.32</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3,477,409.12</w:t>
            </w:r>
          </w:p>
        </w:tc>
      </w:tr>
    </w:tbl>
    <w:p>
      <w:pPr>
        <w:pStyle w:val="Heading6"/>
        <w:spacing w:line="266" w:lineRule="auto"/>
        <w:ind w:left="866" w:right="1133"/>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w:t>
      </w:r>
      <w:r>
        <w:rPr>
          <w:rFonts w:ascii="Times New Roman" w:hAnsi="Times New Roman" w:cs="Times New Roman" w:eastAsia="Times New Roman" w:hint="default"/>
        </w:rPr>
        <w:t>9,119,838.77</w:t>
      </w:r>
      <w:r>
        <w:rPr/>
        <w:t>元为本公司向银行申请开具无条件、不可撤销</w:t>
      </w:r>
      <w:r>
        <w:rPr>
          <w:spacing w:val="-56"/>
        </w:rPr>
        <w:t> </w:t>
      </w:r>
      <w:r>
        <w:rPr>
          <w:spacing w:val="-56"/>
        </w:rPr>
      </w:r>
      <w:r>
        <w:rPr/>
        <w:t>的担保函所存入的保证金存款。</w:t>
      </w:r>
      <w:r>
        <w:rPr>
          <w:w w:val="100"/>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日，银行存款中包含已预提但尚未到期的定期存款利息</w:t>
      </w:r>
      <w:r>
        <w:rPr>
          <w:rFonts w:ascii="Times New Roman" w:hAnsi="Times New Roman" w:cs="Times New Roman" w:eastAsia="Times New Roman" w:hint="default"/>
        </w:rPr>
        <w:t>5,378,281.55</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8"/>
          <w:szCs w:val="28"/>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253,131,460.58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280,000,000.00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50,662,186.61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202,469,273.97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253,131,460.58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932"/>
        <w:gridCol w:w="797"/>
        <w:gridCol w:w="78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8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1,708,20</w:t>
            </w:r>
          </w:p>
          <w:p>
            <w:pPr>
              <w:pStyle w:val="TableParagraph"/>
              <w:spacing w:line="240" w:lineRule="auto" w:before="102"/>
              <w:ind w:left="421"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85,410.0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1,622,790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1,708,20</w:t>
            </w:r>
          </w:p>
          <w:p>
            <w:pPr>
              <w:pStyle w:val="TableParagraph"/>
              <w:spacing w:line="240" w:lineRule="auto" w:before="102"/>
              <w:ind w:left="421" w:right="0"/>
              <w:jc w:val="left"/>
              <w:rPr>
                <w:rFonts w:ascii="Times New Roman" w:hAnsi="Times New Roman" w:cs="Times New Roman" w:eastAsia="Times New Roman" w:hint="default"/>
                <w:sz w:val="18"/>
                <w:szCs w:val="18"/>
              </w:rPr>
            </w:pPr>
            <w:r>
              <w:rPr>
                <w:rFonts w:ascii="Times New Roman"/>
                <w:sz w:val="18"/>
              </w:rPr>
              <w:t>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85,410.0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1,622,790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7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Heading6"/>
        <w:spacing w:line="295" w:lineRule="auto" w:before="29"/>
        <w:ind w:left="152" w:right="1133"/>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2"/>
        </w:rPr>
        <w:t>公司在账龄组合的基础上，参照历史信用损失率，计算应收票据预期信用损失金额，组合中应收票据款项</w:t>
      </w:r>
      <w:r>
        <w:rPr>
          <w:spacing w:val="-42"/>
        </w:rPr>
        <w:t> </w:t>
      </w:r>
      <w:r>
        <w:rPr>
          <w:spacing w:val="-42"/>
        </w:rPr>
      </w:r>
      <w:r>
        <w:rPr/>
        <w:t>账龄均为一年以内，坏账准备计提比例为</w:t>
      </w:r>
      <w:r>
        <w:rPr>
          <w:rFonts w:ascii="Times New Roman" w:hAnsi="Times New Roman" w:cs="Times New Roman" w:eastAsia="Times New Roman" w:hint="default"/>
        </w:rPr>
        <w:t>5%</w:t>
      </w:r>
      <w:r>
        <w:rPr/>
        <w:t>，计提金额为</w:t>
      </w:r>
      <w:r>
        <w:rPr>
          <w:rFonts w:ascii="Times New Roman" w:hAnsi="Times New Roman" w:cs="Times New Roman" w:eastAsia="Times New Roman" w:hint="default"/>
          <w:sz w:val="18"/>
          <w:szCs w:val="18"/>
        </w:rPr>
        <w:t>85,410</w:t>
      </w:r>
      <w:r>
        <w:rPr/>
        <w:t>元。</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应收票据核销说明：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9.00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4,973,749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4,973,749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已发生信用减值的 款项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4,973,749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4,973,749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321,510,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378.62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48,426,5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273,083,8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223,968,8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37,516,40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186,452,49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按账龄组合的款项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321,510,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378.62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48,426,5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273,083,8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223,968,8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37,516,40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186,452,49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326,484,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127.62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53,400,3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07.79</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273,083,8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19.83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228,942,6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42,490,14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186,452,49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1.18</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绵阳市卫生和计划生育 委员会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4,973,749.00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4,973,749.00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机构变更</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321,510,378.62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48,426,558.79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321,510,378.62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48,426,558.79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确定该组合依据的说明：</w:t>
      </w:r>
    </w:p>
    <w:p>
      <w:pPr>
        <w:pStyle w:val="Heading6"/>
        <w:spacing w:line="273" w:lineRule="auto" w:before="94"/>
        <w:ind w:left="152" w:right="1126"/>
        <w:jc w:val="both"/>
      </w:pPr>
      <w:r>
        <w:rPr>
          <w:spacing w:val="-2"/>
        </w:rPr>
        <w:t>除已单独计提减值准备以外的应收账款和其他应收款，公司根据以前年度与之相同或相类似的、按账龄段</w:t>
      </w:r>
      <w:r>
        <w:rPr>
          <w:spacing w:val="-43"/>
        </w:rPr>
        <w:t> </w:t>
      </w:r>
      <w:r>
        <w:rPr>
          <w:spacing w:val="-43"/>
        </w:rPr>
      </w:r>
      <w:r>
        <w:rPr>
          <w:spacing w:val="-2"/>
        </w:rPr>
        <w:t>划分的具有类似信用风险特征的应收款项组合的实际损失率为基础，结合现时情况分析法确定坏账准备计</w:t>
      </w:r>
      <w:r>
        <w:rPr>
          <w:spacing w:val="-43"/>
        </w:rPr>
        <w:t> </w:t>
      </w:r>
      <w:r>
        <w:rPr>
          <w:spacing w:val="-43"/>
        </w:rPr>
      </w:r>
      <w:r>
        <w:rPr/>
        <w:t>提的比例。</w:t>
      </w:r>
    </w:p>
    <w:p>
      <w:pPr>
        <w:spacing w:line="240" w:lineRule="auto" w:before="10"/>
        <w:rPr>
          <w:rFonts w:ascii="宋体" w:hAnsi="宋体" w:cs="宋体" w:eastAsia="宋体" w:hint="default"/>
          <w:sz w:val="25"/>
          <w:szCs w:val="25"/>
        </w:rPr>
      </w:pPr>
    </w:p>
    <w:p>
      <w:pPr>
        <w:pStyle w:val="BodyText"/>
        <w:spacing w:line="240" w:lineRule="auto"/>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0"/>
        <w:ind w:right="1754"/>
        <w:jc w:val="left"/>
      </w:pPr>
      <w:r>
        <w:rPr/>
        <w:t>确定该组合依据的说明： 如是按照预期信用损失一般模型计提应收账款坏账准备，请参照其他应收款的披露方式披露坏账准备的相关信息：</w:t>
      </w:r>
    </w:p>
    <w:p>
      <w:pPr>
        <w:pStyle w:val="Heading6"/>
        <w:spacing w:line="295" w:lineRule="auto" w:before="29"/>
        <w:ind w:left="229" w:right="1133" w:hanging="77"/>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4"/>
        </w:rPr>
        <w:t>公司在账龄组合的基础上，参照历史信用损失率，计算应收账款预期信用损失金额，组合中具体预期信用</w:t>
      </w:r>
      <w:r>
        <w:rPr>
          <w:w w:val="100"/>
        </w:rPr>
        <w:t> </w:t>
      </w:r>
      <w:r>
        <w:rPr/>
        <w:t>损失金额如下：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6"/>
        <w:spacing w:line="240" w:lineRule="auto"/>
        <w:ind w:left="1430" w:right="1133"/>
        <w:jc w:val="left"/>
      </w:pPr>
      <w:r>
        <w:rPr/>
        <w:t>单位：元</w:t>
      </w:r>
    </w:p>
    <w:p>
      <w:pPr>
        <w:spacing w:line="240" w:lineRule="auto" w:before="10"/>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2372"/>
        <w:gridCol w:w="1987"/>
        <w:gridCol w:w="1702"/>
        <w:gridCol w:w="1753"/>
      </w:tblGrid>
      <w:tr>
        <w:trPr>
          <w:trHeight w:val="355" w:hRule="exact"/>
        </w:trPr>
        <w:tc>
          <w:tcPr>
            <w:tcW w:w="2372" w:type="dxa"/>
            <w:vMerge w:val="restart"/>
            <w:tcBorders>
              <w:top w:val="single" w:sz="6" w:space="0" w:color="000000"/>
              <w:left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42" w:type="dxa"/>
            <w:gridSpan w:val="3"/>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372" w:type="dxa"/>
            <w:vMerge/>
            <w:tcBorders>
              <w:left w:val="single" w:sz="6" w:space="0" w:color="000000"/>
              <w:bottom w:val="single" w:sz="12" w:space="0" w:color="000000"/>
              <w:right w:val="single" w:sz="6" w:space="0" w:color="000000"/>
            </w:tcBorders>
          </w:tcPr>
          <w:p>
            <w:pP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56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78" w:lineRule="exact"/>
              <w:ind w:left="15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226,298,380.75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11,314,919.10</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5.00</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43,751,646.01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4,375,164.61</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z w:val="21"/>
              </w:rPr>
              <w:t>10.00</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16,888,350.21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3,377,670.04</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20.00</w:t>
            </w:r>
          </w:p>
        </w:tc>
      </w:tr>
      <w:tr>
        <w:trPr>
          <w:trHeight w:val="350"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7,523,711.38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3,761,855.69</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50.00</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7,256,704.60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5,805,363.68</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z w:val="21"/>
              </w:rPr>
              <w:t>80.00</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7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19,791,585.67</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19,791,585.67</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321,510,378.62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48,426,558.79</w:t>
            </w:r>
          </w:p>
        </w:tc>
        <w:tc>
          <w:tcPr>
            <w:tcW w:w="17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15.06</w:t>
            </w:r>
          </w:p>
        </w:tc>
      </w:tr>
    </w:tbl>
    <w:p>
      <w:pPr>
        <w:spacing w:line="240" w:lineRule="auto" w:before="2"/>
        <w:rPr>
          <w:rFonts w:ascii="宋体" w:hAnsi="宋体" w:cs="宋体" w:eastAsia="宋体" w:hint="default"/>
          <w:sz w:val="24"/>
          <w:szCs w:val="24"/>
        </w:rPr>
      </w:pPr>
    </w:p>
    <w:p>
      <w:pPr>
        <w:pStyle w:val="BodyText"/>
        <w:spacing w:line="240" w:lineRule="auto"/>
        <w:ind w:right="1133"/>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226,298,380.75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43,751,646.01</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18,232,847.21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38,201,253.65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8,734,921.38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9,674,746.60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19,791,585.67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326,484,127.62</w:t>
            </w:r>
          </w:p>
        </w:tc>
      </w:tr>
    </w:tbl>
    <w:p>
      <w:pPr>
        <w:pStyle w:val="BodyText"/>
        <w:spacing w:line="240" w:lineRule="auto" w:before="49"/>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已发生信用减值 的款项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4,973,749.00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4,973,749.00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按账龄组合的款 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37,516,400.59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10,910,158.20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48,426,558.79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42,490,149.59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10,910,158.20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53,400,307.79</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应收账款核销说明：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6"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中国建设银行股份有限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19,599,962.42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1,473,290.94</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中国工程物理研究院及 其下属单位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16,616,846.24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1,245,773.03</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15,931,543.46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880,141.35</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中国邮政储蓄银行股份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13,827,951.54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1,891,299.75</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 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8,916,964.72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524,389.68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74,893,268.38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22.94%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0"/>
        <w:jc w:val="left"/>
      </w:pPr>
      <w:r>
        <w:rPr/>
        <w:t>其他说明：</w:t>
      </w:r>
    </w:p>
    <w:p>
      <w:pPr>
        <w:pStyle w:val="Heading5"/>
        <w:spacing w:line="240" w:lineRule="auto" w:before="96"/>
        <w:ind w:left="957" w:right="0"/>
        <w:jc w:val="left"/>
        <w:rPr>
          <w:b w:val="0"/>
          <w:bCs w:val="0"/>
        </w:rPr>
      </w:pPr>
      <w:r>
        <w:rPr>
          <w:spacing w:val="-1"/>
        </w:rPr>
        <w:t>账龄超过</w:t>
      </w:r>
      <w:r>
        <w:rPr>
          <w:rFonts w:ascii="Times New Roman" w:hAnsi="Times New Roman" w:cs="Times New Roman" w:eastAsia="Times New Roman" w:hint="default"/>
          <w:spacing w:val="-1"/>
        </w:rPr>
        <w:t>3</w:t>
      </w:r>
      <w:r>
        <w:rPr>
          <w:spacing w:val="-1"/>
        </w:rPr>
        <w:t>年以上的大额应收账款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Heading5"/>
        <w:spacing w:line="240" w:lineRule="auto" w:before="165"/>
        <w:ind w:right="0"/>
        <w:jc w:val="left"/>
        <w:rPr>
          <w:b w:val="0"/>
          <w:bCs w:val="0"/>
        </w:rPr>
      </w:pPr>
      <w:r>
        <w:rPr/>
        <w:t>单位：元</w:t>
      </w:r>
      <w:r>
        <w:rPr>
          <w:b w:val="0"/>
          <w:bCs w:val="0"/>
        </w:rPr>
      </w:r>
    </w:p>
    <w:p>
      <w:pPr>
        <w:spacing w:after="0" w:line="240" w:lineRule="auto"/>
        <w:jc w:val="left"/>
        <w:sectPr>
          <w:type w:val="continuous"/>
          <w:pgSz w:w="11910" w:h="16840"/>
          <w:pgMar w:top="1060" w:bottom="1160" w:left="980" w:right="0"/>
          <w:cols w:num="2" w:equalWidth="0">
            <w:col w:w="4020" w:space="1804"/>
            <w:col w:w="5106"/>
          </w:cols>
        </w:sectPr>
      </w:pPr>
    </w:p>
    <w:p>
      <w:pPr>
        <w:spacing w:line="240" w:lineRule="auto" w:before="10"/>
        <w:rPr>
          <w:rFonts w:ascii="宋体" w:hAnsi="宋体" w:cs="宋体" w:eastAsia="宋体" w:hint="default"/>
          <w:b/>
          <w:bCs/>
          <w:sz w:val="3"/>
          <w:szCs w:val="3"/>
        </w:rPr>
      </w:pPr>
    </w:p>
    <w:tbl>
      <w:tblPr>
        <w:tblW w:w="0" w:type="auto"/>
        <w:jc w:val="left"/>
        <w:tblInd w:w="854" w:type="dxa"/>
        <w:tblLayout w:type="fixed"/>
        <w:tblCellMar>
          <w:top w:w="0" w:type="dxa"/>
          <w:left w:w="0" w:type="dxa"/>
          <w:bottom w:w="0" w:type="dxa"/>
          <w:right w:w="0" w:type="dxa"/>
        </w:tblCellMar>
        <w:tblLook w:val="01E0"/>
      </w:tblPr>
      <w:tblGrid>
        <w:gridCol w:w="2893"/>
        <w:gridCol w:w="1440"/>
        <w:gridCol w:w="1628"/>
        <w:gridCol w:w="1839"/>
      </w:tblGrid>
      <w:tr>
        <w:trPr>
          <w:trHeight w:val="353" w:hRule="exact"/>
        </w:trPr>
        <w:tc>
          <w:tcPr>
            <w:tcW w:w="289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年以上金额</w:t>
            </w:r>
          </w:p>
        </w:tc>
        <w:tc>
          <w:tcPr>
            <w:tcW w:w="1839"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未收回的原因</w:t>
            </w:r>
          </w:p>
        </w:tc>
      </w:tr>
      <w:tr>
        <w:trPr>
          <w:trHeight w:val="353" w:hRule="exact"/>
        </w:trPr>
        <w:tc>
          <w:tcPr>
            <w:tcW w:w="28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绵阳市卫生和计划生育委员会</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4,973,749.00</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3,629,252.00</w:t>
            </w:r>
          </w:p>
        </w:tc>
        <w:tc>
          <w:tcPr>
            <w:tcW w:w="183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24" w:right="0"/>
              <w:jc w:val="left"/>
              <w:rPr>
                <w:rFonts w:ascii="宋体" w:hAnsi="宋体" w:cs="宋体" w:eastAsia="宋体" w:hint="default"/>
                <w:sz w:val="21"/>
                <w:szCs w:val="21"/>
              </w:rPr>
            </w:pPr>
            <w:r>
              <w:rPr>
                <w:rFonts w:ascii="宋体" w:hAnsi="宋体" w:cs="宋体" w:eastAsia="宋体" w:hint="default"/>
                <w:sz w:val="21"/>
                <w:szCs w:val="21"/>
              </w:rPr>
              <w:t>机构变更</w:t>
            </w:r>
          </w:p>
        </w:tc>
      </w:tr>
      <w:tr>
        <w:trPr>
          <w:trHeight w:val="665" w:hRule="exact"/>
        </w:trPr>
        <w:tc>
          <w:tcPr>
            <w:tcW w:w="28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桂林市人力资源和社会保障局</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3,642,542.88</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3,013,542.88</w:t>
            </w:r>
          </w:p>
        </w:tc>
        <w:tc>
          <w:tcPr>
            <w:tcW w:w="183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142"/>
              <w:jc w:val="left"/>
              <w:rPr>
                <w:rFonts w:ascii="宋体" w:hAnsi="宋体" w:cs="宋体" w:eastAsia="宋体" w:hint="default"/>
                <w:sz w:val="21"/>
                <w:szCs w:val="21"/>
              </w:rPr>
            </w:pPr>
            <w:r>
              <w:rPr>
                <w:rFonts w:ascii="宋体" w:hAnsi="宋体" w:cs="宋体" w:eastAsia="宋体" w:hint="default"/>
                <w:spacing w:val="-2"/>
                <w:sz w:val="21"/>
                <w:szCs w:val="21"/>
              </w:rPr>
              <w:t>客户安排资金计划</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中</w:t>
            </w:r>
          </w:p>
        </w:tc>
      </w:tr>
      <w:tr>
        <w:trPr>
          <w:trHeight w:val="662" w:hRule="exact"/>
        </w:trPr>
        <w:tc>
          <w:tcPr>
            <w:tcW w:w="28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37"/>
              <w:jc w:val="left"/>
              <w:rPr>
                <w:rFonts w:ascii="宋体" w:hAnsi="宋体" w:cs="宋体" w:eastAsia="宋体" w:hint="default"/>
                <w:sz w:val="21"/>
                <w:szCs w:val="21"/>
              </w:rPr>
            </w:pPr>
            <w:r>
              <w:rPr>
                <w:rFonts w:ascii="宋体" w:hAnsi="宋体" w:cs="宋体" w:eastAsia="宋体" w:hint="default"/>
                <w:spacing w:val="-2"/>
                <w:sz w:val="21"/>
                <w:szCs w:val="21"/>
              </w:rPr>
              <w:t>中国邮政储蓄银行股份有限公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13,827,951.54</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1,202,358.01</w:t>
            </w:r>
          </w:p>
        </w:tc>
        <w:tc>
          <w:tcPr>
            <w:tcW w:w="183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142"/>
              <w:jc w:val="left"/>
              <w:rPr>
                <w:rFonts w:ascii="宋体" w:hAnsi="宋体" w:cs="宋体" w:eastAsia="宋体" w:hint="default"/>
                <w:sz w:val="21"/>
                <w:szCs w:val="21"/>
              </w:rPr>
            </w:pPr>
            <w:r>
              <w:rPr>
                <w:rFonts w:ascii="宋体" w:hAnsi="宋体" w:cs="宋体" w:eastAsia="宋体" w:hint="default"/>
                <w:spacing w:val="-2"/>
                <w:sz w:val="21"/>
                <w:szCs w:val="21"/>
              </w:rPr>
              <w:t>客户安排资金计划</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中</w:t>
            </w:r>
          </w:p>
        </w:tc>
      </w:tr>
      <w:tr>
        <w:trPr>
          <w:trHeight w:val="665" w:hRule="exact"/>
        </w:trPr>
        <w:tc>
          <w:tcPr>
            <w:tcW w:w="28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黄冈市人力资源和社会保障局</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1,837,300.00</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1,697,300.00</w:t>
            </w:r>
          </w:p>
        </w:tc>
        <w:tc>
          <w:tcPr>
            <w:tcW w:w="183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142"/>
              <w:jc w:val="left"/>
              <w:rPr>
                <w:rFonts w:ascii="宋体" w:hAnsi="宋体" w:cs="宋体" w:eastAsia="宋体" w:hint="default"/>
                <w:sz w:val="21"/>
                <w:szCs w:val="21"/>
              </w:rPr>
            </w:pPr>
            <w:r>
              <w:rPr>
                <w:rFonts w:ascii="宋体" w:hAnsi="宋体" w:cs="宋体" w:eastAsia="宋体" w:hint="default"/>
                <w:spacing w:val="-2"/>
                <w:sz w:val="21"/>
                <w:szCs w:val="21"/>
              </w:rPr>
              <w:t>客户安排资金计划</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中</w:t>
            </w:r>
          </w:p>
        </w:tc>
      </w:tr>
      <w:tr>
        <w:trPr>
          <w:trHeight w:val="353" w:hRule="exact"/>
        </w:trPr>
        <w:tc>
          <w:tcPr>
            <w:tcW w:w="28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24,281,543.42</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9,542,452.89</w:t>
            </w:r>
          </w:p>
        </w:tc>
        <w:tc>
          <w:tcPr>
            <w:tcW w:w="183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应收款项融资本期增减变动及公允价值变动情况</w:t>
      </w:r>
    </w:p>
    <w:p>
      <w:pPr>
        <w:pStyle w:val="BodyText"/>
        <w:spacing w:line="338"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3"/>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38"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7,804,788.93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12,043,779.57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174,672.89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24,116.45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7,937,003.21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12,311,763.55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宋体" w:hAnsi="宋体" w:cs="宋体" w:eastAsia="宋体" w:hint="default"/>
          <w:b/>
          <w:bCs/>
          <w:sz w:val="21"/>
          <w:szCs w:val="21"/>
        </w:rPr>
      </w:pPr>
    </w:p>
    <w:p>
      <w:pPr>
        <w:pStyle w:val="Heading5"/>
        <w:spacing w:line="240" w:lineRule="auto" w:before="36"/>
        <w:ind w:left="0" w:right="2579"/>
        <w:jc w:val="right"/>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287"/>
        <w:gridCol w:w="3286"/>
        <w:gridCol w:w="3284"/>
      </w:tblGrid>
      <w:tr>
        <w:trPr>
          <w:trHeight w:val="346"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p>
        </w:tc>
      </w:tr>
      <w:tr>
        <w:trPr>
          <w:trHeight w:val="34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750,000.00</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9.45</w:t>
            </w:r>
          </w:p>
        </w:tc>
      </w:tr>
      <w:tr>
        <w:trPr>
          <w:trHeight w:val="346"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四川川信通信技术工程有限公司</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566,912.40</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7.14</w:t>
            </w:r>
          </w:p>
        </w:tc>
      </w:tr>
      <w:tr>
        <w:trPr>
          <w:trHeight w:val="34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贵州宏祥伟业科技有限责任公司</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513,000.00</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6.46</w:t>
            </w:r>
          </w:p>
        </w:tc>
      </w:tr>
      <w:tr>
        <w:trPr>
          <w:trHeight w:val="34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天津利德鸿信科技发展有限公司</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472,110.00</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5.95</w:t>
            </w:r>
          </w:p>
        </w:tc>
      </w:tr>
      <w:tr>
        <w:trPr>
          <w:trHeight w:val="346"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深圳市创捷供应链有限公司</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366,268.48</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4.61</w:t>
            </w:r>
          </w:p>
        </w:tc>
      </w:tr>
      <w:tr>
        <w:trPr>
          <w:trHeight w:val="348" w:hRule="exact"/>
        </w:trPr>
        <w:tc>
          <w:tcPr>
            <w:tcW w:w="3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2,668,290.88</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33.61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50,563,535.25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49,667,280.79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50,563,535.25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49,667,280.79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56,669,163.32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54,112,700.25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7,423,711.03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7,357,966.82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3,104,606.84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3,062,999.62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2,235,677.95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1,634,722.12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69,433,159.14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66,168,388.81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16,501,108.02</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16,501,108.02</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2,368,515.87</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2,368,515.87</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18,869,623.89</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18,869,623.89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22,323,301.28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11,548,017.16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18,856,647.70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16,705,193.00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6,857,762.03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2,244,922.08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7,602,508.89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69,433,159.14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保证金性质的款 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9,874,119.54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2,212,268.38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12,086,387.92</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6,626,988.48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156,247.49</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6,783,235.97</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16,501,108.02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2,368,515.87</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18,869,623.89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成都市人力资源社 会保障信息中心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13,278,388.90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2,382,352.78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山西汇若房地产开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 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7,423,711.03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年以内、</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6,482,741.11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云南省居民家庭经 济状况核对中心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4,434,405.00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649,840.25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3,691,133.00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814,323.50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四川省政府采购中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950,192.00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31,186,817.93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44.92%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11,279,449.64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杭州市西湖区国税局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130,619.86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月全额收 取</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10,862,898.62</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10,862,898.62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2,990,942.63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2,990,942.63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281,593,399.30</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6,159,083.32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275,434,315.98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315,757,896.30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4,127,449.73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311,630,446.57</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1,088,525.08</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1,088,525.08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1,003,568.21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1,003,568.21</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293,544,823.00</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6,159,083.32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287,385,739.68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319,752,407.14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4,127,449.73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315,624,957.41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4,127,449.73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4,482,157.73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2,450,524.14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6,159,083.32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4,127,449.73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4,482,157.73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2,450,524.14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6,159,083.32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合同资产的账面价值在本期内发生的重大变动金额和原因：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1133"/>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未认证待抵扣进项税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2,362,746.42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7,640.69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195,365.98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1,046,491.04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2,697,451.79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1,249,497.71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重要的债权投资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重要的其他债权投资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绵阳市绵州通有限责任公司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绵阳市绵州通有 限责任公司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非交易性金融资 产</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51,644,218.68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51,644,218.68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51,644,218.68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51,644,218.68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3,603,756.34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3,603,756.34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1,701,014.60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1,701,014.60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1,701,014.60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1,701,014.60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5,304,770.94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5,304,770.94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46,339,447.74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46,339,447.74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48,040,462.34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93,430,308.99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94,575,293.38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93,430,308.99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16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47" w:right="74"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9" w:right="74" w:hanging="361"/>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tcBorders>
              <w:left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64"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92,815,748.7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21,130,580.7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779,215.35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5,980,528.50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1,203,333.40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1,658,615.10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7,135,813.84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130,703,835.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5,921,058.23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71,047.90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316,274.33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103,491.76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783,562.66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7,195,434.88</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5,921,058.23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71,047.90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316,274.33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103,491.76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783,562.66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7,195,434.88</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320,328.68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1,093,931.00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42,993.01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213,156.23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54,439.64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1,724,848.56</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320,328.68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1,093,931.00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42,993.01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213,156.23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54,439.64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1,724,848.56</w:t>
            </w:r>
          </w:p>
        </w:tc>
      </w:tr>
      <w:tr>
        <w:trPr>
          <w:trHeight w:val="40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92,815,748.7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26,731,310.3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850,263.25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5,202,871.83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1,263,832.15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2,229,021.53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7,081,374.20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136,174,421.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15,436,291.4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9,065,559.72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451,727.97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4,446,445.97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505,786.73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1,040,533.42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5,182,197.02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36,128,542.2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2,868,062.92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3,648,630.98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107,906.64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518,177.27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296,619.20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230,426.96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575,101.98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8,244,925.95</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2,868,062.92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3,648,630.98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107,906.64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518,177.27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296,619.20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230,426.96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575,101.98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8,244,925.95</w:t>
            </w: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302,787.58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1,039,234.45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39,339.74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193,553.83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54,439.64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1,629,355.24</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302,787.58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1,039,234.45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39,339.74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193,553.83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54,439.64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1,629,355.24</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18,304,354.3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12,411,403.1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559,634.61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3,925,388.79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763,066.19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1,077,406.55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5,702,859.36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42,744,112.9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74,511,394.3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14,319,907.1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290,628.64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1,277,483.04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500,765.96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1,151,614.98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1,378,514.84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93,430,308.9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77,379,457.2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12,065,021.0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327,487.38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1,534,082.53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697,546.67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618,081.68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1,953,616.82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6,337,987.53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3,007,317.62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135,699,258.54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1,654,123.65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4,649,391.29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145,010,091.10</w:t>
            </w: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20,443,299.11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63,268.29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3,872,622.83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24,379,190.23</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63,268.29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3,872,622.83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3,935,891.12</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20,443,299.11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20,443,299.11</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7,521.37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11,121.37</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7,521.37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11,121.37</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3,007,317.62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156,142,557.65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1,709,870.57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8,518,414.12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169,378,159.96</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805,095.08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16,154,285.82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1,392,778.27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1,027,392.97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19,379,552.14</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291,300.60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13,542,585.27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628,894.02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14,523,135.32</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291,300.60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13,542,585.27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628,894.02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14,523,135.32</w:t>
            </w:r>
          </w:p>
        </w:tc>
      </w:tr>
      <w:tr>
        <w:trPr>
          <w:trHeight w:val="401"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2,817.00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5,097.00</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2,817.00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5,097.00</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1,096,395.68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29,696,871.09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1,450,316.70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1,654,006.99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33,897,590.46</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66,017.77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4,779,455.07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4,845,472.84</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1,844,904.17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8,441,799.54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10,286,703.71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1,844,904.17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8,441,799.54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10,286,703.71</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1,910,921.94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10,898,058.31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12,808,980.25</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113,702,724.08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259,553.87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6,864,407.13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122,671,589.25</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2,136,204.77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114,765,517.65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261,345.38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3,621,998.32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120,785,066.12</w:t>
            </w:r>
          </w:p>
        </w:tc>
      </w:tr>
    </w:tbl>
    <w:p>
      <w:pPr>
        <w:pStyle w:val="BodyText"/>
        <w:spacing w:line="240" w:lineRule="auto" w:before="49"/>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64.81%</w:t>
      </w:r>
      <w:r>
        <w:rPr/>
        <w:t>。</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3"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研究阶段支 出</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85,385,784.1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85,385,784.1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开发阶段支 出</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28,305,791.5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33,884,184.2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20,443,299.1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41,746,676.6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28,305,791.5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119,269,968.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20,443,299.1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85,385,784.1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0"/>
        <w:jc w:val="left"/>
      </w:pPr>
      <w:r>
        <w:rPr/>
        <w:t>其他说明</w:t>
      </w:r>
    </w:p>
    <w:p>
      <w:pPr>
        <w:pStyle w:val="Heading6"/>
        <w:spacing w:line="240" w:lineRule="auto" w:before="94"/>
        <w:ind w:left="866" w:right="0"/>
        <w:jc w:val="left"/>
      </w:pPr>
      <w:r>
        <w:rPr>
          <w:spacing w:val="-2"/>
        </w:rPr>
        <w:t>公司开发支出项目明细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6"/>
        <w:spacing w:line="240" w:lineRule="auto" w:before="167"/>
        <w:ind w:left="152" w:right="0"/>
        <w:jc w:val="left"/>
      </w:pPr>
      <w:r>
        <w:rPr/>
        <w:t>单位：元</w:t>
      </w:r>
    </w:p>
    <w:p>
      <w:pPr>
        <w:spacing w:after="0" w:line="240" w:lineRule="auto"/>
        <w:jc w:val="left"/>
        <w:sectPr>
          <w:type w:val="continuous"/>
          <w:pgSz w:w="11910" w:h="16840"/>
          <w:pgMar w:top="1060" w:bottom="1160" w:left="980" w:right="0"/>
          <w:cols w:num="2" w:equalWidth="0">
            <w:col w:w="2969" w:space="3131"/>
            <w:col w:w="4830"/>
          </w:cols>
        </w:sectPr>
      </w:pPr>
    </w:p>
    <w:p>
      <w:pPr>
        <w:spacing w:line="240" w:lineRule="auto" w:before="10"/>
        <w:rPr>
          <w:rFonts w:ascii="宋体" w:hAnsi="宋体" w:cs="宋体" w:eastAsia="宋体" w:hint="default"/>
          <w:sz w:val="3"/>
          <w:szCs w:val="3"/>
        </w:rPr>
      </w:pPr>
    </w:p>
    <w:tbl>
      <w:tblPr>
        <w:tblW w:w="0" w:type="auto"/>
        <w:jc w:val="left"/>
        <w:tblInd w:w="712" w:type="dxa"/>
        <w:tblLayout w:type="fixed"/>
        <w:tblCellMar>
          <w:top w:w="0" w:type="dxa"/>
          <w:left w:w="0" w:type="dxa"/>
          <w:bottom w:w="0" w:type="dxa"/>
          <w:right w:w="0" w:type="dxa"/>
        </w:tblCellMar>
        <w:tblLook w:val="01E0"/>
      </w:tblPr>
      <w:tblGrid>
        <w:gridCol w:w="2269"/>
        <w:gridCol w:w="1154"/>
        <w:gridCol w:w="1268"/>
        <w:gridCol w:w="1152"/>
        <w:gridCol w:w="1267"/>
        <w:gridCol w:w="1121"/>
      </w:tblGrid>
      <w:tr>
        <w:trPr>
          <w:trHeight w:val="355" w:hRule="exact"/>
        </w:trPr>
        <w:tc>
          <w:tcPr>
            <w:tcW w:w="2269" w:type="dxa"/>
            <w:vMerge w:val="restart"/>
            <w:tcBorders>
              <w:top w:val="single" w:sz="6" w:space="0" w:color="000000"/>
              <w:left w:val="single" w:sz="6" w:space="0" w:color="000000"/>
              <w:right w:val="single" w:sz="6" w:space="0" w:color="000000"/>
            </w:tcBorders>
          </w:tcPr>
          <w:p>
            <w:pPr>
              <w:pStyle w:val="TableParagraph"/>
              <w:spacing w:line="240" w:lineRule="auto" w:before="43"/>
              <w:ind w:left="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4" w:type="dxa"/>
            <w:vMerge w:val="restart"/>
            <w:tcBorders>
              <w:top w:val="single" w:sz="6" w:space="0" w:color="000000"/>
              <w:left w:val="single" w:sz="6" w:space="0" w:color="000000"/>
              <w:right w:val="single" w:sz="6" w:space="0" w:color="000000"/>
            </w:tcBorders>
          </w:tcPr>
          <w:p>
            <w:pPr>
              <w:pStyle w:val="TableParagraph"/>
              <w:spacing w:line="240" w:lineRule="auto" w:before="43"/>
              <w:ind w:left="271"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43"/>
              <w:ind w:left="326"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241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121" w:type="dxa"/>
            <w:vMerge w:val="restart"/>
            <w:tcBorders>
              <w:top w:val="single" w:sz="6" w:space="0" w:color="000000"/>
              <w:left w:val="single" w:sz="6" w:space="0" w:color="000000"/>
              <w:right w:val="nil" w:sz="6" w:space="0" w:color="auto"/>
            </w:tcBorders>
          </w:tcPr>
          <w:p>
            <w:pPr>
              <w:pStyle w:val="TableParagraph"/>
              <w:spacing w:line="240" w:lineRule="auto" w:before="43"/>
              <w:ind w:left="254"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50" w:hRule="exact"/>
        </w:trPr>
        <w:tc>
          <w:tcPr>
            <w:tcW w:w="2269" w:type="dxa"/>
            <w:vMerge/>
            <w:tcBorders>
              <w:left w:val="single" w:sz="6" w:space="0" w:color="000000"/>
              <w:bottom w:val="single" w:sz="12" w:space="0" w:color="000000"/>
              <w:right w:val="single" w:sz="6" w:space="0" w:color="000000"/>
            </w:tcBorders>
          </w:tcPr>
          <w:p>
            <w:pPr/>
          </w:p>
        </w:tc>
        <w:tc>
          <w:tcPr>
            <w:tcW w:w="1154" w:type="dxa"/>
            <w:vMerge/>
            <w:tcBorders>
              <w:left w:val="single" w:sz="6" w:space="0" w:color="000000"/>
              <w:bottom w:val="single" w:sz="12" w:space="0" w:color="000000"/>
              <w:right w:val="single" w:sz="6" w:space="0" w:color="000000"/>
            </w:tcBorders>
          </w:tcPr>
          <w:p>
            <w:pPr/>
          </w:p>
        </w:tc>
        <w:tc>
          <w:tcPr>
            <w:tcW w:w="1268" w:type="dxa"/>
            <w:vMerge/>
            <w:tcBorders>
              <w:left w:val="single" w:sz="6" w:space="0" w:color="000000"/>
              <w:bottom w:val="single" w:sz="12" w:space="0" w:color="000000"/>
              <w:right w:val="single" w:sz="6" w:space="0" w:color="000000"/>
            </w:tcBorders>
          </w:tcPr>
          <w:p>
            <w:pP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计入当期损益</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确认为无形资产</w:t>
            </w:r>
          </w:p>
        </w:tc>
        <w:tc>
          <w:tcPr>
            <w:tcW w:w="1121" w:type="dxa"/>
            <w:vMerge/>
            <w:tcBorders>
              <w:left w:val="single" w:sz="6" w:space="0" w:color="000000"/>
              <w:bottom w:val="single" w:sz="12" w:space="0" w:color="000000"/>
              <w:right w:val="nil" w:sz="6" w:space="0" w:color="auto"/>
            </w:tcBorders>
          </w:tcPr>
          <w:p>
            <w:pPr/>
          </w:p>
        </w:tc>
      </w:tr>
      <w:tr>
        <w:trPr>
          <w:trHeight w:val="665"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6"/>
              <w:ind w:left="4" w:right="0"/>
              <w:jc w:val="left"/>
              <w:rPr>
                <w:rFonts w:ascii="宋体" w:hAnsi="宋体" w:cs="宋体" w:eastAsia="宋体" w:hint="default"/>
                <w:sz w:val="15"/>
                <w:szCs w:val="15"/>
              </w:rPr>
            </w:pPr>
            <w:r>
              <w:rPr>
                <w:rFonts w:ascii="宋体" w:hAnsi="宋体" w:cs="宋体" w:eastAsia="宋体" w:hint="default"/>
                <w:spacing w:val="8"/>
                <w:sz w:val="15"/>
                <w:szCs w:val="15"/>
              </w:rPr>
              <w:t>军民融合公共服务平台信息化支</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撑服务项目</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48,034.83</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4,422,965.68</w:t>
            </w:r>
          </w:p>
        </w:tc>
        <w:tc>
          <w:tcPr>
            <w:tcW w:w="1152" w:type="dxa"/>
            <w:tcBorders>
              <w:top w:val="single" w:sz="12" w:space="0" w:color="000000"/>
              <w:left w:val="single" w:sz="6" w:space="0" w:color="000000"/>
              <w:bottom w:val="single" w:sz="12" w:space="0" w:color="000000"/>
              <w:right w:val="single" w:sz="6" w:space="0" w:color="000000"/>
            </w:tcBorders>
          </w:tcPr>
          <w:p>
            <w:pPr/>
          </w:p>
        </w:tc>
        <w:tc>
          <w:tcPr>
            <w:tcW w:w="1267" w:type="dxa"/>
            <w:tcBorders>
              <w:top w:val="single" w:sz="12" w:space="0" w:color="000000"/>
              <w:left w:val="single" w:sz="6" w:space="0" w:color="000000"/>
              <w:bottom w:val="single" w:sz="12" w:space="0" w:color="000000"/>
              <w:right w:val="single" w:sz="6" w:space="0" w:color="000000"/>
            </w:tcBorders>
          </w:tcPr>
          <w:p>
            <w:pP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4"/>
              <w:jc w:val="right"/>
              <w:rPr>
                <w:rFonts w:ascii="Times New Roman" w:hAnsi="Times New Roman" w:cs="Times New Roman" w:eastAsia="Times New Roman" w:hint="default"/>
                <w:sz w:val="15"/>
                <w:szCs w:val="15"/>
              </w:rPr>
            </w:pPr>
            <w:r>
              <w:rPr>
                <w:rFonts w:ascii="Times New Roman"/>
                <w:spacing w:val="-1"/>
                <w:sz w:val="15"/>
              </w:rPr>
              <w:t>4,471,000.51</w:t>
            </w:r>
          </w:p>
        </w:tc>
      </w:tr>
      <w:tr>
        <w:trPr>
          <w:trHeight w:val="353"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医保便民服务平台项目</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3,915,701.46</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13,688,232.27</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10,963,370.18</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3,597,775.80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4"/>
              <w:jc w:val="right"/>
              <w:rPr>
                <w:rFonts w:ascii="Times New Roman" w:hAnsi="Times New Roman" w:cs="Times New Roman" w:eastAsia="Times New Roman" w:hint="default"/>
                <w:sz w:val="15"/>
                <w:szCs w:val="15"/>
              </w:rPr>
            </w:pPr>
            <w:r>
              <w:rPr>
                <w:rFonts w:ascii="Times New Roman"/>
                <w:spacing w:val="-1"/>
                <w:sz w:val="15"/>
              </w:rPr>
              <w:t>3,042,787.75</w:t>
            </w:r>
          </w:p>
        </w:tc>
      </w:tr>
      <w:tr>
        <w:trPr>
          <w:trHeight w:val="663"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4" w:right="0"/>
              <w:jc w:val="left"/>
              <w:rPr>
                <w:rFonts w:ascii="宋体" w:hAnsi="宋体" w:cs="宋体" w:eastAsia="宋体" w:hint="default"/>
                <w:sz w:val="15"/>
                <w:szCs w:val="15"/>
              </w:rPr>
            </w:pPr>
            <w:r>
              <w:rPr>
                <w:rFonts w:ascii="宋体" w:hAnsi="宋体" w:cs="宋体" w:eastAsia="宋体" w:hint="default"/>
                <w:spacing w:val="8"/>
                <w:sz w:val="15"/>
                <w:szCs w:val="15"/>
              </w:rPr>
              <w:t>技术平台研发与技术管理体系建</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设项目</w:t>
            </w:r>
          </w:p>
        </w:tc>
        <w:tc>
          <w:tcPr>
            <w:tcW w:w="1154" w:type="dxa"/>
            <w:tcBorders>
              <w:top w:val="single" w:sz="12" w:space="0" w:color="000000"/>
              <w:left w:val="single" w:sz="6" w:space="0" w:color="000000"/>
              <w:bottom w:val="single" w:sz="12" w:space="0" w:color="000000"/>
              <w:right w:val="single" w:sz="6" w:space="0" w:color="000000"/>
            </w:tcBorders>
          </w:tcPr>
          <w:p>
            <w:pP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13,775,629.65</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10,797,797.96</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4"/>
              <w:jc w:val="right"/>
              <w:rPr>
                <w:rFonts w:ascii="Times New Roman" w:hAnsi="Times New Roman" w:cs="Times New Roman" w:eastAsia="Times New Roman" w:hint="default"/>
                <w:sz w:val="15"/>
                <w:szCs w:val="15"/>
              </w:rPr>
            </w:pPr>
            <w:r>
              <w:rPr>
                <w:rFonts w:ascii="Times New Roman"/>
                <w:spacing w:val="-1"/>
                <w:sz w:val="15"/>
              </w:rPr>
              <w:t>2,977,831.69</w:t>
            </w:r>
          </w:p>
        </w:tc>
      </w:tr>
      <w:tr>
        <w:trPr>
          <w:trHeight w:val="665"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6"/>
              <w:ind w:left="4" w:right="0"/>
              <w:jc w:val="left"/>
              <w:rPr>
                <w:rFonts w:ascii="宋体" w:hAnsi="宋体" w:cs="宋体" w:eastAsia="宋体" w:hint="default"/>
                <w:sz w:val="15"/>
                <w:szCs w:val="15"/>
              </w:rPr>
            </w:pPr>
            <w:r>
              <w:rPr>
                <w:rFonts w:ascii="宋体" w:hAnsi="宋体" w:cs="宋体" w:eastAsia="宋体" w:hint="default"/>
                <w:spacing w:val="8"/>
                <w:sz w:val="15"/>
                <w:szCs w:val="15"/>
              </w:rPr>
              <w:t>数字政务与智慧城市行业基础研</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究项目</w:t>
            </w:r>
          </w:p>
        </w:tc>
        <w:tc>
          <w:tcPr>
            <w:tcW w:w="1154" w:type="dxa"/>
            <w:tcBorders>
              <w:top w:val="single" w:sz="12" w:space="0" w:color="000000"/>
              <w:left w:val="single" w:sz="6" w:space="0" w:color="000000"/>
              <w:bottom w:val="single" w:sz="12" w:space="0" w:color="000000"/>
              <w:right w:val="single" w:sz="6" w:space="0" w:color="000000"/>
            </w:tcBorders>
          </w:tcPr>
          <w:p>
            <w:pP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25,545,629.22</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23,390,879.19</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4"/>
              <w:jc w:val="right"/>
              <w:rPr>
                <w:rFonts w:ascii="Times New Roman" w:hAnsi="Times New Roman" w:cs="Times New Roman" w:eastAsia="Times New Roman" w:hint="default"/>
                <w:sz w:val="15"/>
                <w:szCs w:val="15"/>
              </w:rPr>
            </w:pPr>
            <w:r>
              <w:rPr>
                <w:rFonts w:ascii="Times New Roman"/>
                <w:spacing w:val="-1"/>
                <w:sz w:val="15"/>
              </w:rPr>
              <w:t>2,154,750.03</w:t>
            </w:r>
          </w:p>
        </w:tc>
      </w:tr>
      <w:tr>
        <w:trPr>
          <w:trHeight w:val="665"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4" w:right="0"/>
              <w:jc w:val="left"/>
              <w:rPr>
                <w:rFonts w:ascii="宋体" w:hAnsi="宋体" w:cs="宋体" w:eastAsia="宋体" w:hint="default"/>
                <w:sz w:val="15"/>
                <w:szCs w:val="15"/>
              </w:rPr>
            </w:pPr>
            <w:r>
              <w:rPr>
                <w:rFonts w:ascii="宋体" w:hAnsi="宋体" w:cs="宋体" w:eastAsia="宋体" w:hint="default"/>
                <w:spacing w:val="8"/>
                <w:sz w:val="15"/>
                <w:szCs w:val="15"/>
              </w:rPr>
              <w:t>医保基金精算与医保服务治理解</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决方案项目</w:t>
            </w:r>
          </w:p>
        </w:tc>
        <w:tc>
          <w:tcPr>
            <w:tcW w:w="1154" w:type="dxa"/>
            <w:tcBorders>
              <w:top w:val="single" w:sz="12" w:space="0" w:color="000000"/>
              <w:left w:val="single" w:sz="6" w:space="0" w:color="000000"/>
              <w:bottom w:val="single" w:sz="12" w:space="0" w:color="000000"/>
              <w:right w:val="single" w:sz="6" w:space="0" w:color="000000"/>
            </w:tcBorders>
          </w:tcPr>
          <w:p>
            <w:pP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13,136,988.48</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13,136,988.48</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1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综合研发</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24,342,055.22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48,700,523.1</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27,096,748.34</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16,845,523.31</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4"/>
              <w:jc w:val="right"/>
              <w:rPr>
                <w:rFonts w:ascii="Times New Roman" w:hAnsi="Times New Roman" w:cs="Times New Roman" w:eastAsia="Times New Roman" w:hint="default"/>
                <w:sz w:val="15"/>
                <w:szCs w:val="15"/>
              </w:rPr>
            </w:pPr>
            <w:r>
              <w:rPr>
                <w:rFonts w:ascii="Times New Roman"/>
                <w:spacing w:val="-1"/>
                <w:sz w:val="15"/>
              </w:rPr>
              <w:t>29,100,306.67</w:t>
            </w:r>
          </w:p>
        </w:tc>
      </w:tr>
      <w:tr>
        <w:trPr>
          <w:trHeight w:val="353"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28,305,791.51</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119,269,968.40</w:t>
            </w:r>
          </w:p>
        </w:tc>
        <w:tc>
          <w:tcPr>
            <w:tcW w:w="11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85,385,784.15</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20,443,299.11</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4"/>
              <w:jc w:val="right"/>
              <w:rPr>
                <w:rFonts w:ascii="Times New Roman" w:hAnsi="Times New Roman" w:cs="Times New Roman" w:eastAsia="Times New Roman" w:hint="default"/>
                <w:sz w:val="15"/>
                <w:szCs w:val="15"/>
              </w:rPr>
            </w:pPr>
            <w:r>
              <w:rPr>
                <w:rFonts w:ascii="Times New Roman"/>
                <w:spacing w:val="-1"/>
                <w:sz w:val="15"/>
              </w:rPr>
              <w:t>41,746,676.65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34,758,418.83</w:t>
            </w:r>
          </w:p>
        </w:tc>
        <w:tc>
          <w:tcPr>
            <w:tcW w:w="1368"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9" w:type="dxa"/>
            <w:tcBorders>
              <w:top w:val="single" w:sz="45"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34,758,418.83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34,758,418.83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34,758,418.83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商誉所在资产组或资产组组合的相关信息</w:t>
      </w:r>
    </w:p>
    <w:p>
      <w:pPr>
        <w:pStyle w:val="BodyText"/>
        <w:spacing w:line="304" w:lineRule="auto" w:before="117"/>
        <w:ind w:right="1128" w:firstLine="76"/>
        <w:jc w:val="both"/>
      </w:pPr>
      <w:r>
        <w:rPr/>
        <w:t>根据四川蜀华资产评估事务所有限公司以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日为基准日对杭州海量信息技术有限公司股东全部权益价值进行评</w:t>
      </w:r>
      <w:r>
        <w:rPr>
          <w:spacing w:val="-72"/>
        </w:rPr>
        <w:t> </w:t>
      </w:r>
      <w:r>
        <w:rPr>
          <w:spacing w:val="-72"/>
        </w:rPr>
      </w:r>
      <w:r>
        <w:rPr/>
        <w:t>估，并出具《四川久远银海软件股份有限公司拟股权收购涉及的杭州海量信息技术有限公司股东全部权益价值评估项目资</w:t>
      </w:r>
      <w:r>
        <w:rPr>
          <w:spacing w:val="-75"/>
        </w:rPr>
        <w:t> </w:t>
      </w:r>
      <w:r>
        <w:rPr>
          <w:spacing w:val="-75"/>
        </w:rPr>
      </w:r>
      <w:r>
        <w:rPr>
          <w:spacing w:val="-3"/>
        </w:rPr>
        <w:t>产评估报告书》（川蜀华评报</w:t>
      </w:r>
      <w:r>
        <w:rPr>
          <w:rFonts w:ascii="Times New Roman" w:hAnsi="Times New Roman" w:cs="Times New Roman" w:eastAsia="Times New Roman" w:hint="default"/>
          <w:spacing w:val="-3"/>
        </w:rPr>
        <w:t>[2018]150</w:t>
      </w:r>
      <w:r>
        <w:rPr>
          <w:spacing w:val="-3"/>
        </w:rPr>
        <w:t>号），采用收益法评估的股东全部权益价值为</w:t>
      </w:r>
      <w:r>
        <w:rPr>
          <w:rFonts w:ascii="Times New Roman" w:hAnsi="Times New Roman" w:cs="Times New Roman" w:eastAsia="Times New Roman" w:hint="default"/>
          <w:spacing w:val="-3"/>
        </w:rPr>
        <w:t>71,222,200.00</w:t>
      </w:r>
      <w:r>
        <w:rPr>
          <w:spacing w:val="-3"/>
        </w:rPr>
        <w:t>元，评估增值未对应至具</w:t>
      </w:r>
      <w:r>
        <w:rPr>
          <w:spacing w:val="-43"/>
        </w:rPr>
        <w:t> </w:t>
      </w:r>
      <w:r>
        <w:rPr>
          <w:spacing w:val="-43"/>
        </w:rPr>
      </w:r>
      <w:r>
        <w:rPr/>
        <w:t>体的可辨认净资产。经协商，公司以</w:t>
      </w:r>
      <w:r>
        <w:rPr>
          <w:rFonts w:ascii="Times New Roman" w:hAnsi="Times New Roman" w:cs="Times New Roman" w:eastAsia="Times New Roman" w:hint="default"/>
        </w:rPr>
        <w:t>42,000,000.00</w:t>
      </w:r>
      <w:r>
        <w:rPr/>
        <w:t>元收购杭州海量信息技术有限公司</w:t>
      </w:r>
      <w:r>
        <w:rPr>
          <w:rFonts w:ascii="Times New Roman" w:hAnsi="Times New Roman" w:cs="Times New Roman" w:eastAsia="Times New Roman" w:hint="default"/>
        </w:rPr>
        <w:t>60%</w:t>
      </w:r>
      <w:r>
        <w:rPr/>
        <w:t>股权，交易对价</w:t>
      </w:r>
      <w:r>
        <w:rPr>
          <w:rFonts w:ascii="Times New Roman" w:hAnsi="Times New Roman" w:cs="Times New Roman" w:eastAsia="Times New Roman" w:hint="default"/>
        </w:rPr>
        <w:t>42,000,000.00</w:t>
      </w:r>
      <w:r>
        <w:rPr/>
        <w:t>元与 取得的购买日可辨认净资产公允价值</w:t>
      </w:r>
      <w:r>
        <w:rPr>
          <w:rFonts w:ascii="Times New Roman" w:hAnsi="Times New Roman" w:cs="Times New Roman" w:eastAsia="Times New Roman" w:hint="default"/>
        </w:rPr>
        <w:t>7,241,581.17</w:t>
      </w:r>
      <w:r>
        <w:rPr/>
        <w:t>元的差额</w:t>
      </w:r>
      <w:r>
        <w:rPr>
          <w:rFonts w:ascii="Times New Roman" w:hAnsi="Times New Roman" w:cs="Times New Roman" w:eastAsia="Times New Roman" w:hint="default"/>
        </w:rPr>
        <w:t>34,758,418.83</w:t>
      </w:r>
      <w:r>
        <w:rPr/>
        <w:t>元形成合并商誉。</w:t>
      </w:r>
    </w:p>
    <w:p>
      <w:pPr>
        <w:spacing w:line="240" w:lineRule="auto" w:before="0"/>
        <w:rPr>
          <w:rFonts w:ascii="宋体" w:hAnsi="宋体" w:cs="宋体" w:eastAsia="宋体" w:hint="default"/>
          <w:sz w:val="18"/>
          <w:szCs w:val="18"/>
        </w:rPr>
      </w:pPr>
    </w:p>
    <w:p>
      <w:pPr>
        <w:pStyle w:val="BodyText"/>
        <w:spacing w:line="338" w:lineRule="auto" w:before="126"/>
        <w:ind w:right="986"/>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 公司对上述资产组在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日后预计所产生现金流量的现值进行了测试，税前折现率为</w:t>
      </w:r>
      <w:r>
        <w:rPr>
          <w:rFonts w:ascii="Times New Roman" w:hAnsi="Times New Roman" w:cs="Times New Roman" w:eastAsia="Times New Roman" w:hint="default"/>
        </w:rPr>
        <w:t>16.20%</w:t>
      </w:r>
      <w:r>
        <w:rPr/>
        <w:t>，经减值测试，未发</w:t>
      </w:r>
    </w:p>
    <w:p>
      <w:pPr>
        <w:pStyle w:val="BodyText"/>
        <w:spacing w:line="217" w:lineRule="exact" w:before="0"/>
        <w:ind w:right="1133" w:firstLine="76"/>
        <w:jc w:val="left"/>
      </w:pPr>
      <w:r>
        <w:rPr/>
        <w:t>现商誉存在减值。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57" w:lineRule="auto" w:before="0"/>
        <w:ind w:right="8594"/>
        <w:jc w:val="left"/>
      </w:pPr>
      <w:r>
        <w:rPr/>
        <w:t>商誉减值测试的影响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502,032.76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1,864,029.49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386,174.15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1,979,888.10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长期借款担保费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2,594,339.61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825,471.68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1,768,867.93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技术成果使用权</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1,623,975.23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53,473.79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681,881.51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995,567.51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阿里云租赁费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186,856.59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16,027.18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170,829.41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4,720,347.60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2,104,359.87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1,909,554.52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1,768,867.93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3,146,285.02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21,291,259.75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3,192,491.11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57,094,206.66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8,453,624.59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36,217,360.00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5,395,104.00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5,149,750.00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62,565,926.80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9,373,468.19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120,074,546.55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17,961,063.30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93,134,206.66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13,603,374.59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22,353,333.32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4,136,333.33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25,113,333.32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4,650,333.33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3,131,460.58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469,719.09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25,484,793.90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4,606,052.42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25,113,333.32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4,650,333.33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17,961,063.30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13,603,374.59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4,606,052.42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4,650,333.33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25,000,029.64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13,438,366.83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25,000,029.64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13,438,366.83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5,947.04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5,947.04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1,815,783.25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1,815,783.25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2,731,089.83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2,731,089.83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8,885,546.71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8,885,546.71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11,561,662.81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25,000,029.64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13,438,366.83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7,161,981.87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7,161,981.87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73,761,684.61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46,450,349.68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22,171,288.08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21,550,374.80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95,932,972.69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68,000,724.48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北京中健祥电子科技有限公司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1,217,059.15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1,217,059.15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301,493,740.18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329,565,107.90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202,490,350.75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182,360,914.72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503,984,090.93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511,926,022.62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36,494,488.04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中国工程物理研究院及其下属单位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27,023,109.30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22,080,132.72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18,618,758.71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16,297,265.40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新疆维吾尔自治区人力资源和社会保障 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14,301,840.43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甘孜藏族自治州卫生和计划生育委员会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9,191,107.67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云南省居民家庭经济状况核对中心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7,816,277.34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7,752,524.53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重庆望江工业有限公司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7,252,492.06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湖北省社会保险局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泸州市人民政府防汛抗旱指挥部办公室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6,765,812.00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柳州市住房公积金管理中心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6,473,136.06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民政部信息中心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6,405,874.55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5,956,645.11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4,885,812.69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4,739,529.00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桂林市住房公积金管理中心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4,044,015.92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成都海威华芯科技有限公司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3,883,263.01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3,218,573.84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成都市交通委员会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3,186,733.45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云南省就业局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3,124,960.84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云南鸿翔一心堂药业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2,917,022.63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昆明圣爱中医馆有限公司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2,867,166.77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中国兵器工业第五九所货款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2,524,770.60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人力资源社会保障部社会保险事业管理 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1,856,415.09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中国兵器工业第五九研究所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1,704,342.95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湛江市住房公积金管理中心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1,594,349.31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1,548,867.91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宜良县第二人民医院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1,429,313.21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抚州市住房公积金管理中心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1,401,802.22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昆明康护健康大药房有限公司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1,385,056.63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1,360,398.18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武汉滨湖电子有限责任公司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1,350,969.72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人力资源和社会保障部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1,326,250.01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十堰住房公积金管理中心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1,028,000.02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251,825,052.28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82,803,184.98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405,188,102.99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394,764,881.56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93,226,406.41</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24,487,697.00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24,490,440.66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25,735.00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322,207.00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322,207.00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82,831,663.64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429,998,006.99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419,577,529.22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93,252,141.41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77,466,953.96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366,041,352.40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358,021,904.69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85,486,401.67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6,253,948.81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6,253,948.81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12,828,971.29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12,832,383.08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15,207.54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11,481,096.84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11,484,329.09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14,270.76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267,826.98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267,995.03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1,080,047.47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1,080,058.96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775.35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15,220,177.61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15,280,760.49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10,094.12</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5,246,934.69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4,843,652.88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2,375,884.49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7,714,703.08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82,803,184.98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405,188,102.99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394,764,881.56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93,226,406.41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28,393.60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23,649,036.37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23,652,618.77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24,811.20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838,660.63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837,821.89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28,478.66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24,487,697.00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24,490,440.66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25,735.00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16,278,708.86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10,224,247.47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11,602,723.49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13,528,762.49</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1,149,954.33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1,111,674.05</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1,120,675.20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692,487.03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49,811.93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800,403.18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494,633.65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108,652.60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121,867.30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4,650.50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25,859.04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31,091,845.56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26,253,993.46</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22,328,775.56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26,829,258.95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22,328,775.56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26,849,258.95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bl>
    <w:p>
      <w:pPr>
        <w:pStyle w:val="BodyText"/>
        <w:spacing w:line="240" w:lineRule="auto" w:before="49"/>
        <w:ind w:right="1133"/>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4,510,601.55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1,334,524.99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1,616,174.50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1,603,751.50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823,052.60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1,093,459.70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678,946.91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1,797,522.76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22,328,775.56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26,829,258.95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未到约定的付款时点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14,700,000.00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4"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46,792,174.65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3,397,360.00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5,042,750.84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45,146,783.81</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收到的补助，尚未满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足项目结转条件</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46,792,174.65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3,397,360.00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5,042,750.84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45,146,783.81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0"/>
              <w:jc w:val="both"/>
              <w:rPr>
                <w:rFonts w:ascii="宋体" w:hAnsi="宋体" w:cs="宋体" w:eastAsia="宋体" w:hint="default"/>
                <w:sz w:val="18"/>
                <w:szCs w:val="18"/>
              </w:rPr>
            </w:pPr>
            <w:r>
              <w:rPr>
                <w:rFonts w:ascii="宋体" w:hAnsi="宋体" w:cs="宋体" w:eastAsia="宋体" w:hint="default"/>
                <w:sz w:val="18"/>
                <w:szCs w:val="18"/>
              </w:rPr>
              <w:t>高新区经贸 发展局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年第一批战 略新兴项目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1,118,089.19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543,738.68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574,350.51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复杂信息系 统一体化运 营维护软件 开发和服务 创新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1,583,085.46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1,279,012.16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304,073.30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四川健康医 疗大数据应 用创新工程 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绵阳科技城 军民融合高 新技术产业 集聚发展工 程项目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自主可控安 全技术研发 及应用示范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批天津市智 能制造专项 资金支持类 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军民融合增 值服务平台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成都市高新 区经济运行 与安全生产 质监局专项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川渝城市群 异构服务协 同的智能服 务平台研发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1" w:right="0"/>
              <w:jc w:val="left"/>
              <w:rPr>
                <w:rFonts w:ascii="Times New Roman" w:hAnsi="Times New Roman" w:cs="Times New Roman" w:eastAsia="Times New Roman" w:hint="default"/>
                <w:sz w:val="18"/>
                <w:szCs w:val="18"/>
              </w:rPr>
            </w:pPr>
            <w:r>
              <w:rPr>
                <w:rFonts w:ascii="Times New Roman"/>
                <w:sz w:val="18"/>
              </w:rPr>
              <w:t>1,237,360.00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1,237,360.00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both"/>
              <w:rPr>
                <w:rFonts w:ascii="宋体" w:hAnsi="宋体" w:cs="宋体" w:eastAsia="宋体" w:hint="default"/>
                <w:sz w:val="18"/>
                <w:szCs w:val="18"/>
              </w:rPr>
            </w:pPr>
            <w:r>
              <w:rPr>
                <w:rFonts w:ascii="宋体" w:hAnsi="宋体" w:cs="宋体" w:eastAsia="宋体" w:hint="default"/>
                <w:sz w:val="18"/>
                <w:szCs w:val="18"/>
              </w:rPr>
              <w:t>自主可控运 行维护与培 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自主可控检 测评估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0"/>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年四川省第 一批科技计 划项目养老 云平台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成都高新经 贸局</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 重大产业技 术创新专项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成都高新技 术产业开发 区科技局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市第三批科 技项目资金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网络空间安 全态势感知 与预警分析 技术研究与 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自主可控非 受控环境下 的数据安全 保护关键技 术研究及应 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基于云模式 生态化大型 软件平台关 键技术研发 及应用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高新区重大 科技成果转 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0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0"/>
              <w:jc w:val="both"/>
              <w:rPr>
                <w:rFonts w:ascii="宋体" w:hAnsi="宋体" w:cs="宋体" w:eastAsia="宋体" w:hint="default"/>
                <w:sz w:val="18"/>
                <w:szCs w:val="18"/>
              </w:rPr>
            </w:pPr>
            <w:r>
              <w:rPr>
                <w:rFonts w:ascii="宋体" w:hAnsi="宋体" w:cs="宋体" w:eastAsia="宋体" w:hint="default"/>
                <w:sz w:val="18"/>
                <w:szCs w:val="18"/>
              </w:rPr>
              <w:t>中国物理研 究院（财政 厅下达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年第一批省 级科技计划 项目资金） 数据共享及 交易平台关 键技术研究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智慧医疗云</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HIS</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数据共享及 交易平台关 键技术研究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人工智能高 性能计算机 专用芯片</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高端</w:t>
            </w:r>
          </w:p>
          <w:p>
            <w:pPr>
              <w:pStyle w:val="TableParagraph"/>
              <w:spacing w:line="316" w:lineRule="auto" w:before="63"/>
              <w:ind w:left="24" w:right="77"/>
              <w:jc w:val="both"/>
              <w:rPr>
                <w:rFonts w:ascii="宋体" w:hAnsi="宋体" w:cs="宋体" w:eastAsia="宋体" w:hint="default"/>
                <w:sz w:val="18"/>
                <w:szCs w:val="18"/>
              </w:rPr>
            </w:pPr>
            <w:r>
              <w:rPr>
                <w:rFonts w:ascii="宋体" w:hAnsi="宋体" w:cs="宋体" w:eastAsia="宋体" w:hint="default"/>
                <w:sz w:val="18"/>
                <w:szCs w:val="18"/>
              </w:rPr>
              <w:t>成长型产业 领军人才发 展专项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年省 级</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p>
          <w:p>
            <w:pPr>
              <w:pStyle w:val="TableParagraph"/>
              <w:spacing w:line="300" w:lineRule="auto" w:before="3"/>
              <w:ind w:left="24"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专项切块 项目资金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1,220,000.00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智慧政务联 动平台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46,792,174.65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3,397,360.00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5,042,750.84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45,146,783.81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172,540,592.00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51,762,177.00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51,762,177.00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224,302,769.00</w:t>
            </w:r>
          </w:p>
        </w:tc>
      </w:tr>
    </w:tbl>
    <w:p>
      <w:pPr>
        <w:pStyle w:val="BodyText"/>
        <w:spacing w:line="240" w:lineRule="auto" w:before="49"/>
        <w:ind w:right="1133"/>
        <w:jc w:val="left"/>
      </w:pPr>
      <w:r>
        <w:rPr/>
        <w:t>其他说明：</w:t>
      </w:r>
    </w:p>
    <w:p>
      <w:pPr>
        <w:pStyle w:val="Heading6"/>
        <w:spacing w:line="256" w:lineRule="auto" w:before="94"/>
        <w:ind w:left="265" w:right="1133"/>
        <w:jc w:val="left"/>
      </w:pPr>
      <w:r>
        <w:rPr/>
        <w:t>经公司</w:t>
      </w:r>
      <w:r>
        <w:rPr>
          <w:rFonts w:ascii="Times New Roman" w:hAnsi="Times New Roman" w:cs="Times New Roman" w:eastAsia="Times New Roman" w:hint="default"/>
        </w:rPr>
        <w:t>2018</w:t>
      </w:r>
      <w:r>
        <w:rPr/>
        <w:t>年年度股东大会、第四届董事会第十四次会议审议通过了公司</w:t>
      </w:r>
      <w:r>
        <w:rPr>
          <w:rFonts w:ascii="Times New Roman" w:hAnsi="Times New Roman" w:cs="Times New Roman" w:eastAsia="Times New Roman" w:hint="default"/>
        </w:rPr>
        <w:t>2018</w:t>
      </w:r>
      <w:r>
        <w:rPr/>
        <w:t>年度利润分配预案。以总</w:t>
      </w:r>
      <w:r>
        <w:rPr>
          <w:spacing w:val="-31"/>
        </w:rPr>
        <w:t> </w:t>
      </w:r>
      <w:r>
        <w:rPr>
          <w:spacing w:val="-31"/>
        </w:rPr>
      </w:r>
      <w:r>
        <w:rPr>
          <w:spacing w:val="-1"/>
        </w:rPr>
        <w:t>股本</w:t>
      </w:r>
      <w:r>
        <w:rPr>
          <w:rFonts w:ascii="Times New Roman" w:hAnsi="Times New Roman" w:cs="Times New Roman" w:eastAsia="Times New Roman" w:hint="default"/>
          <w:spacing w:val="-1"/>
        </w:rPr>
        <w:t>172,540,592</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2.50</w:t>
      </w:r>
      <w:r>
        <w:rPr>
          <w:spacing w:val="-1"/>
        </w:rPr>
        <w:t>元（含税），共分配现金红利</w:t>
      </w:r>
      <w:r>
        <w:rPr>
          <w:rFonts w:ascii="Times New Roman" w:hAnsi="Times New Roman" w:cs="Times New Roman" w:eastAsia="Times New Roman" w:hint="default"/>
          <w:spacing w:val="-1"/>
        </w:rPr>
        <w:t>43,135,148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股；不送红股；剩余未分配利润结转以后年度。</w:t>
      </w:r>
      <w:r>
        <w:rPr>
          <w:w w:val="100"/>
        </w:rPr>
        <w:t> </w:t>
      </w:r>
      <w:r>
        <w:rPr/>
        <w:t>转增前股本资金到位情况业经立信会计师事务所（特殊普通合伙）验证，并由其出具信会师报字</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第</w:t>
      </w:r>
      <w:r>
        <w:rPr>
          <w:rFonts w:ascii="Times New Roman" w:hAnsi="Times New Roman" w:cs="Times New Roman" w:eastAsia="Times New Roman" w:hint="default"/>
        </w:rPr>
        <w:t>ZA10044</w:t>
      </w:r>
      <w:r>
        <w:rPr/>
        <w:t>号验资报告。</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536,371,786.17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51,762,177.00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484,609,609.17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9,003,444.87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9,003,444.87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545,375,231.04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51,762,177.00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493,613,054.04</w:t>
            </w:r>
          </w:p>
        </w:tc>
      </w:tr>
    </w:tbl>
    <w:p>
      <w:pPr>
        <w:pStyle w:val="BodyText"/>
        <w:spacing w:line="240" w:lineRule="auto" w:before="49"/>
        <w:ind w:right="1133"/>
        <w:jc w:val="left"/>
      </w:pPr>
      <w:r>
        <w:rPr/>
        <w:t>其他说明，包括本期增减变动情况、变动原因说明：</w:t>
      </w:r>
    </w:p>
    <w:p>
      <w:pPr>
        <w:pStyle w:val="Heading6"/>
        <w:spacing w:line="240" w:lineRule="auto" w:before="94"/>
        <w:ind w:left="265" w:right="1133"/>
        <w:jc w:val="left"/>
      </w:pPr>
      <w:r>
        <w:rPr/>
        <w:t>变动原因详见本报告附注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53</w:t>
      </w:r>
      <w:r>
        <w:rPr>
          <w:rFonts w:ascii="Times New Roman" w:hAnsi="Times New Roman" w:cs="Times New Roman" w:eastAsia="Times New Roman" w:hint="default"/>
          <w:spacing w:val="28"/>
        </w:rPr>
        <w:t> </w:t>
      </w:r>
      <w:r>
        <w:rPr/>
        <w:t>股本</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49"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54,368,511.63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12,916,396.62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67,284,908.25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54,368,511.63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12,916,396.62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67,284,908.25</w:t>
            </w:r>
          </w:p>
        </w:tc>
      </w:tr>
    </w:tbl>
    <w:p>
      <w:pPr>
        <w:pStyle w:val="BodyText"/>
        <w:spacing w:line="240" w:lineRule="auto" w:before="49"/>
        <w:ind w:right="1133"/>
        <w:jc w:val="left"/>
      </w:pPr>
      <w:r>
        <w:rPr/>
        <w:t>盈余公积说明，包括本期增减变动情况、变动原因说明：</w:t>
      </w:r>
    </w:p>
    <w:p>
      <w:pPr>
        <w:pStyle w:val="Heading6"/>
        <w:spacing w:line="240" w:lineRule="auto" w:before="96"/>
        <w:ind w:left="265" w:right="1133"/>
        <w:jc w:val="left"/>
      </w:pPr>
      <w:r>
        <w:rPr/>
        <w:t>本期增加原因：根据税后利润提取法定盈余公积。</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247,161,662.00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180,615,447.70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247,161,662.00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180,615,447.70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161,493,339.26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118,696,797.76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12,916,396.62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9,015,435.46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43,135,148.00</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352,603,456.64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247,161,662.00</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1,012,341,967.90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511,762,596.97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860,000,762.98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493,714,490.88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4,036,829.06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1,635,431.87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4,138,019.84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1,475,663.44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1,016,378,796.96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513,398,028.84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864,138,782.82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495,190,154.32</w:t>
            </w:r>
          </w:p>
        </w:tc>
      </w:tr>
    </w:tbl>
    <w:p>
      <w:pPr>
        <w:pStyle w:val="BodyText"/>
        <w:spacing w:line="240" w:lineRule="auto" w:before="49"/>
        <w:ind w:right="1133"/>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Heading5"/>
        <w:spacing w:line="240" w:lineRule="auto" w:before="18"/>
        <w:ind w:left="1226" w:right="1133"/>
        <w:jc w:val="left"/>
        <w:rPr>
          <w:b w:val="0"/>
          <w:bCs w:val="0"/>
        </w:rPr>
      </w:pPr>
      <w:r>
        <w:rPr/>
        <w:t>主营业务（分行业）</w:t>
      </w:r>
      <w:r>
        <w:rPr>
          <w:b w:val="0"/>
          <w:bCs w:val="0"/>
        </w:rPr>
      </w:r>
    </w:p>
    <w:p>
      <w:pPr>
        <w:pStyle w:val="Heading5"/>
        <w:spacing w:line="240" w:lineRule="auto" w:before="37"/>
        <w:ind w:left="5993" w:right="3405"/>
        <w:jc w:val="center"/>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2081"/>
        <w:gridCol w:w="1498"/>
        <w:gridCol w:w="1373"/>
        <w:gridCol w:w="1435"/>
        <w:gridCol w:w="1436"/>
      </w:tblGrid>
      <w:tr>
        <w:trPr>
          <w:trHeight w:val="355" w:hRule="exact"/>
        </w:trPr>
        <w:tc>
          <w:tcPr>
            <w:tcW w:w="2081" w:type="dxa"/>
            <w:vMerge w:val="restart"/>
            <w:tcBorders>
              <w:top w:val="single" w:sz="6" w:space="0" w:color="000000"/>
              <w:left w:val="single" w:sz="6" w:space="0" w:color="000000"/>
              <w:right w:val="single" w:sz="6"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87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7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081" w:type="dxa"/>
            <w:vMerge/>
            <w:tcBorders>
              <w:left w:val="single" w:sz="6" w:space="0" w:color="000000"/>
              <w:bottom w:val="single" w:sz="12" w:space="0" w:color="000000"/>
              <w:right w:val="single" w:sz="6" w:space="0" w:color="000000"/>
            </w:tcBorders>
          </w:tcPr>
          <w:p>
            <w:pP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1,012,341,967.90</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511,762,596.97</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5" w:right="0"/>
              <w:jc w:val="left"/>
              <w:rPr>
                <w:rFonts w:ascii="Times New Roman" w:hAnsi="Times New Roman" w:cs="Times New Roman" w:eastAsia="Times New Roman" w:hint="default"/>
                <w:sz w:val="18"/>
                <w:szCs w:val="18"/>
              </w:rPr>
            </w:pPr>
            <w:r>
              <w:rPr>
                <w:rFonts w:ascii="Times New Roman"/>
                <w:sz w:val="18"/>
              </w:rPr>
              <w:t>860,000,762.98</w:t>
            </w:r>
          </w:p>
        </w:tc>
        <w:tc>
          <w:tcPr>
            <w:tcW w:w="14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95" w:right="0"/>
              <w:jc w:val="left"/>
              <w:rPr>
                <w:rFonts w:ascii="Times New Roman" w:hAnsi="Times New Roman" w:cs="Times New Roman" w:eastAsia="Times New Roman" w:hint="default"/>
                <w:sz w:val="18"/>
                <w:szCs w:val="18"/>
              </w:rPr>
            </w:pPr>
            <w:r>
              <w:rPr>
                <w:rFonts w:ascii="Times New Roman"/>
                <w:sz w:val="18"/>
              </w:rPr>
              <w:t>493,714,490.88</w:t>
            </w:r>
          </w:p>
        </w:tc>
      </w:tr>
    </w:tbl>
    <w:p>
      <w:pPr>
        <w:spacing w:line="240" w:lineRule="auto" w:before="2"/>
        <w:rPr>
          <w:rFonts w:ascii="宋体" w:hAnsi="宋体" w:cs="宋体" w:eastAsia="宋体" w:hint="default"/>
          <w:b/>
          <w:bCs/>
          <w:sz w:val="20"/>
          <w:szCs w:val="20"/>
        </w:rPr>
      </w:pPr>
    </w:p>
    <w:p>
      <w:pPr>
        <w:pStyle w:val="Heading5"/>
        <w:spacing w:line="240" w:lineRule="auto" w:before="36"/>
        <w:ind w:left="1226" w:right="1133"/>
        <w:jc w:val="left"/>
        <w:rPr>
          <w:b w:val="0"/>
          <w:bCs w:val="0"/>
        </w:rPr>
      </w:pPr>
      <w:r>
        <w:rPr/>
        <w:t>主营业务（分产品）</w:t>
      </w:r>
      <w:r>
        <w:rPr>
          <w:b w:val="0"/>
          <w:bCs w:val="0"/>
        </w:rPr>
      </w:r>
    </w:p>
    <w:p>
      <w:pPr>
        <w:pStyle w:val="Heading5"/>
        <w:spacing w:line="240" w:lineRule="auto" w:before="37"/>
        <w:ind w:left="5993" w:right="3405"/>
        <w:jc w:val="center"/>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2261"/>
        <w:gridCol w:w="1476"/>
        <w:gridCol w:w="1340"/>
        <w:gridCol w:w="1373"/>
        <w:gridCol w:w="1373"/>
      </w:tblGrid>
      <w:tr>
        <w:trPr>
          <w:trHeight w:val="353" w:hRule="exact"/>
        </w:trPr>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81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4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5" w:hRule="exact"/>
        </w:trPr>
        <w:tc>
          <w:tcPr>
            <w:tcW w:w="2261" w:type="dxa"/>
            <w:vMerge/>
            <w:tcBorders>
              <w:left w:val="single" w:sz="6" w:space="0" w:color="000000"/>
              <w:bottom w:val="single" w:sz="12" w:space="0" w:color="000000"/>
              <w:right w:val="single" w:sz="6" w:space="0" w:color="000000"/>
            </w:tcBorders>
          </w:tcPr>
          <w:p>
            <w:pP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53" w:type="dxa"/>
        <w:tblLayout w:type="fixed"/>
        <w:tblCellMar>
          <w:top w:w="0" w:type="dxa"/>
          <w:left w:w="0" w:type="dxa"/>
          <w:bottom w:w="0" w:type="dxa"/>
          <w:right w:w="0" w:type="dxa"/>
        </w:tblCellMar>
        <w:tblLook w:val="01E0"/>
      </w:tblPr>
      <w:tblGrid>
        <w:gridCol w:w="2261"/>
        <w:gridCol w:w="1476"/>
        <w:gridCol w:w="1340"/>
        <w:gridCol w:w="1373"/>
        <w:gridCol w:w="1373"/>
      </w:tblGrid>
      <w:tr>
        <w:trPr>
          <w:trHeight w:val="356" w:hRule="exact"/>
        </w:trPr>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466,637,461.23</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207,420,590.53</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326,277,347.72</w:t>
            </w:r>
          </w:p>
        </w:tc>
        <w:tc>
          <w:tcPr>
            <w:tcW w:w="13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149,965,229.97</w:t>
            </w:r>
          </w:p>
        </w:tc>
      </w:tr>
      <w:tr>
        <w:trPr>
          <w:trHeight w:val="350" w:hRule="exact"/>
        </w:trPr>
        <w:tc>
          <w:tcPr>
            <w:tcW w:w="2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313,762,506.20</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117,312,467.05</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246,777,969.84</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107,580,420.25</w:t>
            </w:r>
          </w:p>
        </w:tc>
      </w:tr>
      <w:tr>
        <w:trPr>
          <w:trHeight w:val="353" w:hRule="exact"/>
        </w:trPr>
        <w:tc>
          <w:tcPr>
            <w:tcW w:w="2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230,505,784.00</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186,527,073.94</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282,532,251.09</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231,740,808.33</w:t>
            </w:r>
          </w:p>
        </w:tc>
      </w:tr>
      <w:tr>
        <w:trPr>
          <w:trHeight w:val="353" w:hRule="exact"/>
        </w:trPr>
        <w:tc>
          <w:tcPr>
            <w:tcW w:w="2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1,436,216.47</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502,465.45</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4,413,194.33</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4,428,032.33</w:t>
            </w:r>
          </w:p>
        </w:tc>
      </w:tr>
      <w:tr>
        <w:trPr>
          <w:trHeight w:val="353" w:hRule="exact"/>
        </w:trPr>
        <w:tc>
          <w:tcPr>
            <w:tcW w:w="2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1,012,341,967.90</w:t>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511,762,596.97</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860,000,762.98</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493,714,490.88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Heading5"/>
        <w:spacing w:line="240" w:lineRule="auto" w:before="36"/>
        <w:ind w:left="1046" w:right="1133"/>
        <w:jc w:val="left"/>
        <w:rPr>
          <w:b w:val="0"/>
          <w:bCs w:val="0"/>
        </w:rPr>
      </w:pPr>
      <w:r>
        <w:rPr/>
        <w:t>主营业务（分地区）</w:t>
      </w:r>
      <w:r>
        <w:rPr>
          <w:b w:val="0"/>
          <w:bCs w:val="0"/>
        </w:rPr>
      </w:r>
    </w:p>
    <w:p>
      <w:pPr>
        <w:pStyle w:val="Heading5"/>
        <w:spacing w:line="240" w:lineRule="auto" w:before="37"/>
        <w:ind w:left="5816" w:right="3405"/>
        <w:jc w:val="center"/>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2050"/>
        <w:gridCol w:w="1544"/>
        <w:gridCol w:w="1548"/>
        <w:gridCol w:w="1339"/>
        <w:gridCol w:w="1342"/>
      </w:tblGrid>
      <w:tr>
        <w:trPr>
          <w:trHeight w:val="353" w:hRule="exact"/>
        </w:trPr>
        <w:tc>
          <w:tcPr>
            <w:tcW w:w="2050" w:type="dxa"/>
            <w:vMerge w:val="restart"/>
            <w:tcBorders>
              <w:top w:val="single" w:sz="6" w:space="0" w:color="000000"/>
              <w:left w:val="single" w:sz="6" w:space="0" w:color="000000"/>
              <w:right w:val="single" w:sz="6" w:space="0" w:color="000000"/>
            </w:tcBorders>
          </w:tcPr>
          <w:p>
            <w:pPr>
              <w:pStyle w:val="TableParagraph"/>
              <w:spacing w:line="240" w:lineRule="auto" w:before="18"/>
              <w:ind w:left="65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0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883"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53" w:hRule="exact"/>
        </w:trPr>
        <w:tc>
          <w:tcPr>
            <w:tcW w:w="2050" w:type="dxa"/>
            <w:vMerge/>
            <w:tcBorders>
              <w:left w:val="single" w:sz="6" w:space="0" w:color="000000"/>
              <w:bottom w:val="single" w:sz="12" w:space="0" w:color="000000"/>
              <w:right w:val="single" w:sz="6" w:space="0" w:color="000000"/>
            </w:tcBorders>
          </w:tcPr>
          <w:p>
            <w:pP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491,057,624.38</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237,855,502.98</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473,798,033.14</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238,284,002.98</w:t>
            </w:r>
          </w:p>
        </w:tc>
      </w:tr>
      <w:tr>
        <w:trPr>
          <w:trHeight w:val="350"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106,731,075.03</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58,837,608.89</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114,277,326.48</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71,211,798.87</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167,246,581.77</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88,846,802.22</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138,084,920.59</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94,080,930.89</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34,764,820.70</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10,264,665.75</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31,423,673.09</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22,128,937.38</w:t>
            </w:r>
          </w:p>
        </w:tc>
      </w:tr>
      <w:tr>
        <w:trPr>
          <w:trHeight w:val="350"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131,998,739.52</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71,824,271.40</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47,359,664.16</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25,151,519.25</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13,750,310.93</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5,593,054.76</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19,235,117.22</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15,940,163.96</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66,792,815.57</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38,540,690.97</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35,822,028.30</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26,917,137.55</w:t>
            </w:r>
          </w:p>
        </w:tc>
      </w:tr>
      <w:tr>
        <w:trPr>
          <w:trHeight w:val="353" w:hRule="exact"/>
        </w:trPr>
        <w:tc>
          <w:tcPr>
            <w:tcW w:w="20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1,012,341,967.90</w:t>
            </w:r>
          </w:p>
        </w:tc>
        <w:tc>
          <w:tcPr>
            <w:tcW w:w="15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511,762,596.97</w:t>
            </w:r>
          </w:p>
        </w:tc>
        <w:tc>
          <w:tcPr>
            <w:tcW w:w="13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860,000,762.98</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493,714,490.88</w:t>
            </w:r>
          </w:p>
        </w:tc>
      </w:tr>
    </w:tbl>
    <w:p>
      <w:pPr>
        <w:spacing w:line="240" w:lineRule="auto" w:before="2"/>
        <w:rPr>
          <w:rFonts w:ascii="宋体" w:hAnsi="宋体" w:cs="宋体" w:eastAsia="宋体" w:hint="default"/>
          <w:b/>
          <w:bCs/>
          <w:sz w:val="20"/>
          <w:szCs w:val="20"/>
        </w:rPr>
      </w:pPr>
    </w:p>
    <w:p>
      <w:pPr>
        <w:pStyle w:val="Heading5"/>
        <w:spacing w:line="240" w:lineRule="auto" w:before="36"/>
        <w:ind w:left="957" w:right="1133"/>
        <w:jc w:val="left"/>
        <w:rPr>
          <w:b w:val="0"/>
          <w:bCs w:val="0"/>
        </w:rPr>
      </w:pPr>
      <w:r>
        <w:rPr/>
        <w:t>公司前五名客户的营业收入情况</w:t>
      </w:r>
      <w:r>
        <w:rPr>
          <w:b w:val="0"/>
          <w:bCs w:val="0"/>
        </w:rPr>
      </w:r>
    </w:p>
    <w:p>
      <w:pPr>
        <w:pStyle w:val="Heading5"/>
        <w:spacing w:line="240" w:lineRule="auto" w:before="37"/>
        <w:ind w:left="5633" w:right="3405"/>
        <w:jc w:val="center"/>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3517"/>
        <w:gridCol w:w="1649"/>
        <w:gridCol w:w="2648"/>
      </w:tblGrid>
      <w:tr>
        <w:trPr>
          <w:trHeight w:val="665" w:hRule="exact"/>
        </w:trPr>
        <w:tc>
          <w:tcPr>
            <w:tcW w:w="351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4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84"/>
              <w:ind w:right="5"/>
              <w:jc w:val="center"/>
              <w:rPr>
                <w:rFonts w:ascii="Times New Roman" w:hAnsi="Times New Roman" w:cs="Times New Roman" w:eastAsia="Times New Roman" w:hint="default"/>
                <w:sz w:val="21"/>
                <w:szCs w:val="21"/>
              </w:rPr>
            </w:pPr>
            <w:r>
              <w:rPr>
                <w:rFonts w:ascii="Times New Roman"/>
                <w:sz w:val="21"/>
              </w:rPr>
              <w:t>(%)</w:t>
            </w:r>
          </w:p>
        </w:tc>
      </w:tr>
      <w:tr>
        <w:trPr>
          <w:trHeight w:val="353"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42,985,470.50</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Times New Roman" w:hAnsi="Times New Roman" w:cs="Times New Roman" w:eastAsia="Times New Roman" w:hint="default"/>
                <w:sz w:val="21"/>
                <w:szCs w:val="21"/>
              </w:rPr>
            </w:pPr>
            <w:r>
              <w:rPr>
                <w:rFonts w:ascii="Times New Roman"/>
                <w:sz w:val="21"/>
              </w:rPr>
              <w:t>4.23</w:t>
            </w:r>
          </w:p>
        </w:tc>
      </w:tr>
      <w:tr>
        <w:trPr>
          <w:trHeight w:val="353"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35,620,760.74</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Times New Roman" w:hAnsi="Times New Roman" w:cs="Times New Roman" w:eastAsia="Times New Roman" w:hint="default"/>
                <w:sz w:val="21"/>
                <w:szCs w:val="21"/>
              </w:rPr>
            </w:pPr>
            <w:r>
              <w:rPr>
                <w:rFonts w:ascii="Times New Roman"/>
                <w:sz w:val="21"/>
              </w:rPr>
              <w:t>3.50</w:t>
            </w:r>
          </w:p>
        </w:tc>
      </w:tr>
      <w:tr>
        <w:trPr>
          <w:trHeight w:val="350"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中国工程物理研究院及其下属单位</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28,629,500.67</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2.82</w:t>
            </w:r>
          </w:p>
        </w:tc>
      </w:tr>
      <w:tr>
        <w:trPr>
          <w:trHeight w:val="353"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23,830,416.97</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3"/>
              <w:jc w:val="center"/>
              <w:rPr>
                <w:rFonts w:ascii="Times New Roman" w:hAnsi="Times New Roman" w:cs="Times New Roman" w:eastAsia="Times New Roman" w:hint="default"/>
                <w:sz w:val="21"/>
                <w:szCs w:val="21"/>
              </w:rPr>
            </w:pPr>
            <w:r>
              <w:rPr>
                <w:rFonts w:ascii="Times New Roman"/>
                <w:sz w:val="21"/>
              </w:rPr>
              <w:t>2.34</w:t>
            </w:r>
          </w:p>
        </w:tc>
      </w:tr>
      <w:tr>
        <w:trPr>
          <w:trHeight w:val="353"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19,820,458.14</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3"/>
              <w:jc w:val="center"/>
              <w:rPr>
                <w:rFonts w:ascii="Times New Roman" w:hAnsi="Times New Roman" w:cs="Times New Roman" w:eastAsia="Times New Roman" w:hint="default"/>
                <w:sz w:val="21"/>
                <w:szCs w:val="21"/>
              </w:rPr>
            </w:pPr>
            <w:r>
              <w:rPr>
                <w:rFonts w:ascii="Times New Roman"/>
                <w:sz w:val="21"/>
              </w:rPr>
              <w:t>1.95</w:t>
            </w:r>
          </w:p>
        </w:tc>
      </w:tr>
      <w:tr>
        <w:trPr>
          <w:trHeight w:val="353" w:hRule="exact"/>
        </w:trPr>
        <w:tc>
          <w:tcPr>
            <w:tcW w:w="351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150,886,607.02</w:t>
            </w:r>
          </w:p>
        </w:tc>
        <w:tc>
          <w:tcPr>
            <w:tcW w:w="26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14.84</w:t>
            </w:r>
          </w:p>
        </w:tc>
      </w:tr>
    </w:tbl>
    <w:p>
      <w:pPr>
        <w:spacing w:line="240" w:lineRule="auto" w:before="2"/>
        <w:rPr>
          <w:rFonts w:ascii="宋体" w:hAnsi="宋体" w:cs="宋体" w:eastAsia="宋体" w:hint="default"/>
          <w:b/>
          <w:bCs/>
          <w:sz w:val="20"/>
          <w:szCs w:val="20"/>
        </w:rPr>
      </w:pPr>
    </w:p>
    <w:p>
      <w:pPr>
        <w:pStyle w:val="Heading5"/>
        <w:spacing w:line="240" w:lineRule="auto" w:before="36"/>
        <w:ind w:left="868" w:right="1133"/>
        <w:jc w:val="left"/>
        <w:rPr>
          <w:b w:val="0"/>
          <w:bCs w:val="0"/>
        </w:rPr>
      </w:pPr>
      <w:r>
        <w:rPr/>
        <w:t>主营业务成本主要成本类别</w:t>
      </w:r>
      <w:r>
        <w:rPr>
          <w:b w:val="0"/>
          <w:bCs w:val="0"/>
        </w:rPr>
      </w:r>
    </w:p>
    <w:p>
      <w:pPr>
        <w:pStyle w:val="Heading5"/>
        <w:spacing w:line="240" w:lineRule="auto" w:before="37"/>
        <w:ind w:left="5633" w:right="3405"/>
        <w:jc w:val="center"/>
        <w:rPr>
          <w:b w:val="0"/>
          <w:bCs w:val="0"/>
        </w:rPr>
      </w:pP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753" w:type="dxa"/>
        <w:tblLayout w:type="fixed"/>
        <w:tblCellMar>
          <w:top w:w="0" w:type="dxa"/>
          <w:left w:w="0" w:type="dxa"/>
          <w:bottom w:w="0" w:type="dxa"/>
          <w:right w:w="0" w:type="dxa"/>
        </w:tblCellMar>
        <w:tblLook w:val="01E0"/>
      </w:tblPr>
      <w:tblGrid>
        <w:gridCol w:w="950"/>
        <w:gridCol w:w="1155"/>
        <w:gridCol w:w="1255"/>
        <w:gridCol w:w="1135"/>
        <w:gridCol w:w="1136"/>
        <w:gridCol w:w="1078"/>
        <w:gridCol w:w="1191"/>
      </w:tblGrid>
      <w:tr>
        <w:trPr>
          <w:trHeight w:val="353" w:hRule="exact"/>
        </w:trPr>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168" w:right="0"/>
              <w:jc w:val="left"/>
              <w:rPr>
                <w:rFonts w:ascii="宋体" w:hAnsi="宋体" w:cs="宋体" w:eastAsia="宋体" w:hint="default"/>
                <w:sz w:val="15"/>
                <w:szCs w:val="15"/>
              </w:rPr>
            </w:pPr>
            <w:r>
              <w:rPr>
                <w:rFonts w:ascii="宋体" w:hAnsi="宋体" w:cs="宋体" w:eastAsia="宋体" w:hint="default"/>
                <w:sz w:val="15"/>
                <w:szCs w:val="15"/>
              </w:rPr>
              <w:t>产品名称</w:t>
            </w:r>
          </w:p>
        </w:tc>
        <w:tc>
          <w:tcPr>
            <w:tcW w:w="1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71" w:right="0"/>
              <w:jc w:val="left"/>
              <w:rPr>
                <w:rFonts w:ascii="宋体" w:hAnsi="宋体" w:cs="宋体" w:eastAsia="宋体" w:hint="default"/>
                <w:sz w:val="15"/>
                <w:szCs w:val="15"/>
              </w:rPr>
            </w:pPr>
            <w:r>
              <w:rPr>
                <w:rFonts w:ascii="宋体" w:hAnsi="宋体" w:cs="宋体" w:eastAsia="宋体" w:hint="default"/>
                <w:sz w:val="15"/>
                <w:szCs w:val="15"/>
              </w:rPr>
              <w:t>人工成本</w:t>
            </w: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321" w:right="0"/>
              <w:jc w:val="left"/>
              <w:rPr>
                <w:rFonts w:ascii="宋体" w:hAnsi="宋体" w:cs="宋体" w:eastAsia="宋体" w:hint="default"/>
                <w:sz w:val="15"/>
                <w:szCs w:val="15"/>
              </w:rPr>
            </w:pPr>
            <w:r>
              <w:rPr>
                <w:rFonts w:ascii="宋体" w:hAnsi="宋体" w:cs="宋体" w:eastAsia="宋体" w:hint="default"/>
                <w:sz w:val="15"/>
                <w:szCs w:val="15"/>
              </w:rPr>
              <w:t>材料成本</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187" w:right="0"/>
              <w:jc w:val="left"/>
              <w:rPr>
                <w:rFonts w:ascii="宋体" w:hAnsi="宋体" w:cs="宋体" w:eastAsia="宋体" w:hint="default"/>
                <w:sz w:val="15"/>
                <w:szCs w:val="15"/>
              </w:rPr>
            </w:pPr>
            <w:r>
              <w:rPr>
                <w:rFonts w:ascii="宋体" w:hAnsi="宋体" w:cs="宋体" w:eastAsia="宋体" w:hint="default"/>
                <w:sz w:val="15"/>
                <w:szCs w:val="15"/>
              </w:rPr>
              <w:t>技术服务费</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336" w:right="0"/>
              <w:jc w:val="left"/>
              <w:rPr>
                <w:rFonts w:ascii="宋体" w:hAnsi="宋体" w:cs="宋体" w:eastAsia="宋体" w:hint="default"/>
                <w:sz w:val="15"/>
                <w:szCs w:val="15"/>
              </w:rPr>
            </w:pPr>
            <w:r>
              <w:rPr>
                <w:rFonts w:ascii="宋体" w:hAnsi="宋体" w:cs="宋体" w:eastAsia="宋体" w:hint="default"/>
                <w:sz w:val="15"/>
                <w:szCs w:val="15"/>
              </w:rPr>
              <w:t>差旅费</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3" w:hRule="exact"/>
        </w:trPr>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软件</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133,039,178.77</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1,305,452.65</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17,767,978.03</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16,251,113.35</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39,056,867.73</w:t>
            </w:r>
          </w:p>
        </w:tc>
        <w:tc>
          <w:tcPr>
            <w:tcW w:w="11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1"/>
                <w:sz w:val="15"/>
              </w:rPr>
              <w:t>207,420,590.53</w:t>
            </w:r>
          </w:p>
        </w:tc>
      </w:tr>
      <w:tr>
        <w:trPr>
          <w:trHeight w:val="353" w:hRule="exact"/>
        </w:trPr>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运维服务</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75,953,559.54</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1,838,611.46</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26,807,618.26</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4,001,590.42</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8,711,087.37</w:t>
            </w:r>
          </w:p>
        </w:tc>
        <w:tc>
          <w:tcPr>
            <w:tcW w:w="11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1"/>
                <w:sz w:val="15"/>
              </w:rPr>
              <w:t>117,312,467.05</w:t>
            </w:r>
          </w:p>
        </w:tc>
      </w:tr>
      <w:tr>
        <w:trPr>
          <w:trHeight w:val="350" w:hRule="exact"/>
        </w:trPr>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5"/>
                <w:szCs w:val="15"/>
              </w:rPr>
            </w:pPr>
            <w:r>
              <w:rPr>
                <w:rFonts w:ascii="宋体" w:hAnsi="宋体" w:cs="宋体" w:eastAsia="宋体" w:hint="default"/>
                <w:sz w:val="15"/>
                <w:szCs w:val="15"/>
              </w:rPr>
              <w:t>系统集成</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6,946,596.20</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175,802,146.97</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1,385,312.51</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543,859.46</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1,849,158.80</w:t>
            </w:r>
          </w:p>
        </w:tc>
        <w:tc>
          <w:tcPr>
            <w:tcW w:w="11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5"/>
              <w:jc w:val="right"/>
              <w:rPr>
                <w:rFonts w:ascii="Times New Roman" w:hAnsi="Times New Roman" w:cs="Times New Roman" w:eastAsia="Times New Roman" w:hint="default"/>
                <w:sz w:val="15"/>
                <w:szCs w:val="15"/>
              </w:rPr>
            </w:pPr>
            <w:r>
              <w:rPr>
                <w:rFonts w:ascii="Times New Roman"/>
                <w:spacing w:val="-1"/>
                <w:sz w:val="15"/>
              </w:rPr>
              <w:t>186,527,073.94</w:t>
            </w:r>
          </w:p>
        </w:tc>
      </w:tr>
      <w:tr>
        <w:trPr>
          <w:trHeight w:val="353" w:hRule="exact"/>
        </w:trPr>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243,651.80</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253,879.33</w:t>
            </w:r>
          </w:p>
        </w:tc>
        <w:tc>
          <w:tcPr>
            <w:tcW w:w="1135"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4,934.32</w:t>
            </w:r>
          </w:p>
        </w:tc>
        <w:tc>
          <w:tcPr>
            <w:tcW w:w="11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4"/>
              <w:jc w:val="right"/>
              <w:rPr>
                <w:rFonts w:ascii="Times New Roman" w:hAnsi="Times New Roman" w:cs="Times New Roman" w:eastAsia="Times New Roman" w:hint="default"/>
                <w:sz w:val="15"/>
                <w:szCs w:val="15"/>
              </w:rPr>
            </w:pPr>
            <w:r>
              <w:rPr>
                <w:rFonts w:ascii="Times New Roman"/>
                <w:spacing w:val="-1"/>
                <w:sz w:val="15"/>
              </w:rPr>
              <w:t>502,465.45</w:t>
            </w:r>
          </w:p>
        </w:tc>
      </w:tr>
      <w:tr>
        <w:trPr>
          <w:trHeight w:val="353" w:hRule="exact"/>
        </w:trPr>
        <w:tc>
          <w:tcPr>
            <w:tcW w:w="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216,182,986.31</w:t>
            </w:r>
          </w:p>
        </w:tc>
        <w:tc>
          <w:tcPr>
            <w:tcW w:w="12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179,200,090.41</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45,960,908.80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20,796,563.23</w:t>
            </w:r>
          </w:p>
        </w:tc>
        <w:tc>
          <w:tcPr>
            <w:tcW w:w="1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49,622,048.22</w:t>
            </w:r>
          </w:p>
        </w:tc>
        <w:tc>
          <w:tcPr>
            <w:tcW w:w="11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5"/>
              <w:jc w:val="right"/>
              <w:rPr>
                <w:rFonts w:ascii="Times New Roman" w:hAnsi="Times New Roman" w:cs="Times New Roman" w:eastAsia="Times New Roman" w:hint="default"/>
                <w:sz w:val="15"/>
                <w:szCs w:val="15"/>
              </w:rPr>
            </w:pPr>
            <w:r>
              <w:rPr>
                <w:rFonts w:ascii="Times New Roman"/>
                <w:spacing w:val="-1"/>
                <w:sz w:val="15"/>
              </w:rPr>
              <w:t>511,762,596.97</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87"/>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3,028,111.31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2,309,937.19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2,162,670.31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1,649,909.83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1,426,699.90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30,353.77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523,686.21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其他（副调、防洪、残障金）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1,872,689.99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1,319,516.70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8,822,603.41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7,289,243.60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27,112,820.90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22,813,286.72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19,485,238.03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15,622,685.40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20,572,556.66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18,339,778.65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7,287,962.38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5,957,447.62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16,700,446.96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10,689,110.27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2,487,921.37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2,110,533.90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1,062,885.03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1,590,568.42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695,974.38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3,325,136.22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2,767,783.06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98,304,546.55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80,587,168.42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67,016,810.69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61,050,303.68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6,786,571.53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6,019,384.90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长期资产折旧、摊销费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18,705,827.52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12,295,305.62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4,135,307.13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3,129,215.89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2,569,371.32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2,420,411.45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717,155.25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1,167,363.98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12,141,554.14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9,786,173.75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112,072,597.58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95,868,159.27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65,886,754.14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28,292,815.97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5,541,279.91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9,769,660.21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189,054.02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16,310.48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1,907,932.45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472,862.28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150,710.12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244,909.32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260,705.32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156,100.63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70,178.45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10,851,344.08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5,803,828.21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85,385,784.15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44,837,071.04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9,156,799.47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9,124,952.09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1,087,611.46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891,675.98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-7,361,688.01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-6,370,776.11</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8,730,776.72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18,488,618.97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2,050,096.67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11,768.99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10,813,966.01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18,500,387.96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6,592,027.40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6,592,027.40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3,131,460.58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3,131,460.58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-2,368,515.87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-10,910,158.20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-13,364,084.07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-7,701,051.82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-4,482,157.73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-4,127,449.73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-10,286,703.71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-4,821,462.63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-14,768,861.44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-16,649,964.18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31,371.94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非同一控制下合并形成的营 业外收入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4,652,846.99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152,706.74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728,949.42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152,706.74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152,706.74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5,381,796.41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152,706.74</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549,191.56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423,838.15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549,191.56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549,191.56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423,838.15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549,191.56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20,879,620.82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22,747,011.40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-4,401,969.62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-1,637,278.81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16,477,651.20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21,109,732.59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197,810,901.39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29,550,395.57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-106,222.34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-6,755,974.99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-9,340,426.06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2,938,671.43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-62,476.49</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子公司亏损的影响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1,052,385.40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-140,862.71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合并层面确认递延所得税负债的影响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-514,000.00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-265,078.26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16,477,651.20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详见附注。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4,326,031.91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4,866,771.01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5,629,244.77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38,504,231.37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490,354.98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5,218,429.84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7,596,417.87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4,739,437.47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15,326,413.26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56,197,212.70</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65,456,918.06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58,513,750.85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管理费用及研发费用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39,154,540.43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42,596,201.49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184,128.82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549,191.56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423,838.15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1,141,194.56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106,563,984.39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101,717,919.31</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交易性金融资产赎回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交易性金融资产申购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280,000,000.00</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非公开发行股票中介费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1,397,970.29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1,397,970.29</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181,333,250.19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132,467,783.67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28,132,945.51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16,649,964.18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9,299,325.88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6,698,437.39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14,523,135.32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12,830,921.60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1,909,554.52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1,130,508.49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-31,371.94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-3,131,460.58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-6,592,027.40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143.359985pt;width:151.25pt;height:20.65pt;mso-position-horizontal-relative:page;mso-position-vertical-relative:page;z-index:-1102744" coordorigin="4467,2867" coordsize="3025,413">
            <v:group style="position:absolute;left:4478;top:2878;width:2;height:392" coordorigin="4478,2878" coordsize="2,392">
              <v:shape style="position:absolute;left:4478;top:2878;width:2;height:392" coordorigin="4478,2878" coordsize="0,392" path="m4478,2878l4478,3269e" filled="false" stroked="true" strokeweight="1.08pt" strokecolor="#ffffff">
                <v:path arrowok="t"/>
              </v:shape>
            </v:group>
            <v:group style="position:absolute;left:4489;top:2878;width:3003;height:392" coordorigin="4489,2878" coordsize="3003,392">
              <v:shape style="position:absolute;left:4489;top:2878;width:3003;height:392" coordorigin="4489,2878" coordsize="3003,392" path="m4489,3269l7492,3269,7492,2878,4489,2878,4489,326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30"/>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-4,357,688.71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-6,287,612.14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-44,280.91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4,650,333.33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21,958,892.16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41,881,300.90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56" w:right="0"/>
              <w:jc w:val="left"/>
              <w:rPr>
                <w:rFonts w:ascii="Times New Roman" w:hAnsi="Times New Roman" w:cs="Times New Roman" w:eastAsia="Times New Roman" w:hint="default"/>
                <w:sz w:val="18"/>
                <w:szCs w:val="18"/>
              </w:rPr>
            </w:pPr>
            <w:r>
              <w:rPr>
                <w:rFonts w:ascii="Times New Roman"/>
                <w:sz w:val="18"/>
              </w:rPr>
              <w:t>-108,111,709.36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-65,200,790.50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35,107,189.31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78,736,616.08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-4,652,846.99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170,688,672.64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220,735,744.07</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788,071,171.35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757,278,936.99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757,278,936.99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577,169,796.10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30,792,234.36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180,109,140.89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334" w:hRule="exact"/>
        </w:trPr>
        <w:tc>
          <w:tcPr>
            <w:tcW w:w="4987" w:type="dxa"/>
            <w:tcBorders>
              <w:top w:val="single" w:sz="6" w:space="0" w:color="000000"/>
              <w:left w:val="nil" w:sz="6" w:space="0" w:color="auto"/>
              <w:bottom w:val="single" w:sz="4" w:space="0" w:color="000000"/>
              <w:right w:val="nil" w:sz="6" w:space="0" w:color="auto"/>
            </w:tcBorders>
          </w:tcPr>
          <w:p>
            <w:pPr/>
          </w:p>
        </w:tc>
        <w:tc>
          <w:tcPr>
            <w:tcW w:w="4583"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112" w:right="5374"/>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left="112" w:right="5374"/>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788,071,171.35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757,278,936.99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48,633.87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177,252.53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788,022,537.48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757,101,684.46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788,071,171.35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757,278,936.99</w:t>
            </w:r>
          </w:p>
        </w:tc>
      </w:tr>
    </w:tbl>
    <w:p>
      <w:pPr>
        <w:pStyle w:val="BodyText"/>
        <w:spacing w:line="240" w:lineRule="auto" w:before="49"/>
        <w:ind w:left="112" w:right="5374"/>
        <w:jc w:val="left"/>
      </w:pPr>
      <w:r>
        <w:rPr/>
        <w:t>其他说明：</w:t>
      </w:r>
    </w:p>
    <w:p>
      <w:pPr>
        <w:spacing w:line="240" w:lineRule="auto" w:before="0"/>
        <w:rPr>
          <w:rFonts w:ascii="宋体" w:hAnsi="宋体" w:cs="宋体" w:eastAsia="宋体" w:hint="default"/>
          <w:sz w:val="18"/>
          <w:szCs w:val="18"/>
        </w:rPr>
      </w:pPr>
    </w:p>
    <w:p>
      <w:pPr>
        <w:spacing w:line="544" w:lineRule="auto" w:before="120"/>
        <w:ind w:left="11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15"/>
        <w:gridCol w:w="3058"/>
        <w:gridCol w:w="3185"/>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14,498,120.32</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保函保证金、预提但未到期的定期存款 利息</w:t>
            </w:r>
          </w:p>
        </w:tc>
      </w:tr>
      <w:tr>
        <w:trPr>
          <w:trHeight w:val="394" w:hRule="exact"/>
        </w:trPr>
        <w:tc>
          <w:tcPr>
            <w:tcW w:w="3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1982" w:right="0"/>
              <w:jc w:val="left"/>
              <w:rPr>
                <w:rFonts w:ascii="Times New Roman" w:hAnsi="Times New Roman" w:cs="Times New Roman" w:eastAsia="Times New Roman" w:hint="default"/>
                <w:sz w:val="18"/>
                <w:szCs w:val="18"/>
              </w:rPr>
            </w:pPr>
            <w:r>
              <w:rPr>
                <w:rFonts w:ascii="Times New Roman"/>
                <w:sz w:val="18"/>
              </w:rPr>
              <w:t>14,498,120.32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5374"/>
        <w:jc w:val="left"/>
      </w:pPr>
      <w:r>
        <w:rPr/>
        <w:t>其他说明：</w:t>
      </w:r>
    </w:p>
    <w:p>
      <w:pPr>
        <w:pStyle w:val="Heading6"/>
        <w:spacing w:line="256" w:lineRule="auto" w:before="96"/>
        <w:ind w:left="826"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w:t>
      </w:r>
      <w:r>
        <w:rPr>
          <w:rFonts w:ascii="Times New Roman" w:hAnsi="Times New Roman" w:cs="Times New Roman" w:eastAsia="Times New Roman" w:hint="default"/>
        </w:rPr>
        <w:t>9,119,838.77</w:t>
      </w:r>
      <w:r>
        <w:rPr/>
        <w:t>元为本公司向银行申请开具无条件、不可撤销</w:t>
      </w:r>
      <w:r>
        <w:rPr>
          <w:spacing w:val="-56"/>
        </w:rPr>
        <w:t> </w:t>
      </w:r>
      <w:r>
        <w:rPr>
          <w:spacing w:val="-56"/>
        </w:rPr>
      </w:r>
      <w:r>
        <w:rPr/>
        <w:t>的担保函所存入的保证金存款。</w:t>
      </w:r>
    </w:p>
    <w:p>
      <w:pPr>
        <w:pStyle w:val="Heading6"/>
        <w:spacing w:line="240" w:lineRule="auto" w:before="22"/>
        <w:ind w:left="112"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日，银行存款中包含已预提但尚未到期的定期存款利息</w:t>
      </w:r>
      <w:r>
        <w:rPr>
          <w:rFonts w:ascii="Times New Roman" w:hAnsi="Times New Roman" w:cs="Times New Roman" w:eastAsia="Times New Roman" w:hint="default"/>
        </w:rPr>
        <w:t>5,378,281.55</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left="112" w:right="5374"/>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12" w:right="537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83"/>
        <w:gridCol w:w="2305"/>
        <w:gridCol w:w="2391"/>
        <w:gridCol w:w="2391"/>
      </w:tblGrid>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财政拨款（与资产相关）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1,822,750.84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财政拨款（与收益相关）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19,066,824.19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5,372,822.44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1,535,203.44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1,535,203.44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6074"/>
        <w:jc w:val="left"/>
      </w:pPr>
      <w:r>
        <w:rPr/>
        <w:t>合并成本公允价值的确定方法、或有对价及其变动的说明： 大额商誉形成的主要原因：</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说明其他原因导致的合并范围变动（如，新设子公司、清算子公司等）及其相关情况：</w:t>
      </w:r>
    </w:p>
    <w:p>
      <w:pPr>
        <w:pStyle w:val="Heading6"/>
        <w:spacing w:line="256" w:lineRule="auto" w:before="94"/>
        <w:ind w:left="265" w:right="1133"/>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日，公司第四届董事会第十六次会议审议通过了《关于注销控股子公司北京奥尼思特咨询有</w:t>
      </w:r>
      <w:r>
        <w:rPr>
          <w:spacing w:val="-48"/>
        </w:rPr>
        <w:t> </w:t>
      </w:r>
      <w:r>
        <w:rPr>
          <w:spacing w:val="-48"/>
        </w:rPr>
      </w:r>
      <w:r>
        <w:rPr/>
        <w:t>限公司的议案》，北京奥尼思特咨询有限公司注销后，公司合并范围相应变更。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重庆久远银海软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新疆银海鼎峰软 </w:t>
            </w:r>
            <w:r>
              <w:rPr>
                <w:rFonts w:ascii="宋体" w:hAnsi="宋体" w:cs="宋体" w:eastAsia="宋体" w:hint="default"/>
                <w:spacing w:val="-6"/>
                <w:sz w:val="18"/>
                <w:szCs w:val="18"/>
              </w:rPr>
              <w:t>件有限公司（注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宋体" w:hAnsi="宋体" w:cs="宋体" w:eastAsia="宋体" w:hint="default"/>
                <w:b/>
                <w:bCs/>
                <w:sz w:val="11"/>
                <w:szCs w:val="11"/>
              </w:rPr>
            </w:pP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9pt;mso-position-horizontal-relative:char;mso-position-vertical-relative:line" coordorigin="0,0" coordsize="1357,558">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0;top:402;width:1357;height:156" coordorigin="0,402" coordsize="1357,156">
                    <v:shape style="position:absolute;left:0;top:402;width:1357;height:156" coordorigin="0,402" coordsize="1357,156" path="m0,558l1356,558,1356,402,0,402,0,558xe" filled="true" fillcolor="#ffffff" stroked="false">
                      <v:path arrowok="t"/>
                      <v:fill type="solid"/>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四川久远国基科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成都兴联汇智科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四川健康久远科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天津久远健康科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喀什银海鼎峰软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240" w:lineRule="auto" w:before="49"/>
        <w:ind w:right="1133"/>
        <w:jc w:val="left"/>
      </w:pPr>
      <w:r>
        <w:rPr/>
        <w:t>在子公司的持股比例不同于表决权比例的说明：</w:t>
      </w:r>
    </w:p>
    <w:p>
      <w:pPr>
        <w:pStyle w:val="Heading6"/>
        <w:spacing w:line="261" w:lineRule="auto" w:before="95"/>
        <w:ind w:left="152" w:right="986" w:firstLine="76"/>
        <w:jc w:val="left"/>
      </w:pPr>
      <w:r>
        <w:rPr>
          <w:spacing w:val="-6"/>
          <w:w w:val="100"/>
        </w:rPr>
        <w:t>注：新疆银海鼎峰软件有限公司董事会共设</w:t>
      </w:r>
      <w:r>
        <w:rPr>
          <w:rFonts w:ascii="Times New Roman" w:hAnsi="Times New Roman" w:cs="Times New Roman" w:eastAsia="Times New Roman" w:hint="default"/>
          <w:spacing w:val="-6"/>
          <w:w w:val="100"/>
        </w:rPr>
        <w:t>5</w:t>
      </w:r>
      <w:r>
        <w:rPr>
          <w:spacing w:val="-6"/>
          <w:w w:val="100"/>
        </w:rPr>
        <w:t>名成员，其中</w:t>
      </w:r>
      <w:r>
        <w:rPr>
          <w:rFonts w:ascii="Times New Roman" w:hAnsi="Times New Roman" w:cs="Times New Roman" w:eastAsia="Times New Roman" w:hint="default"/>
          <w:spacing w:val="-6"/>
          <w:w w:val="100"/>
        </w:rPr>
        <w:t>3</w:t>
      </w:r>
      <w:r>
        <w:rPr>
          <w:spacing w:val="-6"/>
          <w:w w:val="100"/>
        </w:rPr>
        <w:t>名为四川久远银海软件股份有限公司派出人员，</w:t>
      </w:r>
      <w:r>
        <w:rPr>
          <w:w w:val="100"/>
        </w:rPr>
        <w:t> </w:t>
      </w:r>
      <w:r>
        <w:rPr/>
        <w:t>分别为李慧霞、杨成文、陈兵，且李慧霞任公司董事长。根据公司章程第二十条规定：</w:t>
      </w:r>
      <w:r>
        <w:rPr>
          <w:rFonts w:ascii="Times New Roman" w:hAnsi="Times New Roman" w:cs="Times New Roman" w:eastAsia="Times New Roman" w:hint="default"/>
        </w:rPr>
        <w:t>“</w:t>
      </w:r>
      <w:r>
        <w:rPr/>
        <w:t>董事会对所议事</w:t>
      </w:r>
      <w:r>
        <w:rPr>
          <w:spacing w:val="-99"/>
        </w:rPr>
        <w:t> </w:t>
      </w:r>
      <w:r>
        <w:rPr>
          <w:spacing w:val="-99"/>
        </w:rPr>
      </w:r>
      <w:r>
        <w:rPr/>
        <w:t>项作出决定应由占全体董事二分之一以上的董事表决通过方为有效。</w:t>
      </w:r>
      <w:r>
        <w:rPr>
          <w:rFonts w:ascii="Times New Roman" w:hAnsi="Times New Roman" w:cs="Times New Roman" w:eastAsia="Times New Roman" w:hint="default"/>
        </w:rPr>
        <w:t>”</w:t>
      </w:r>
      <w:r>
        <w:rPr/>
        <w:t>因此，公司虽持股比例为</w:t>
      </w:r>
      <w:r>
        <w:rPr>
          <w:rFonts w:ascii="Times New Roman" w:hAnsi="Times New Roman" w:cs="Times New Roman" w:eastAsia="Times New Roman" w:hint="default"/>
        </w:rPr>
        <w:t>45%</w:t>
      </w:r>
      <w:r>
        <w:rPr/>
        <w:t>，但</w:t>
      </w:r>
      <w:r>
        <w:rPr>
          <w:spacing w:val="-49"/>
        </w:rPr>
        <w:t> </w:t>
      </w:r>
      <w:r>
        <w:rPr/>
        <w:t>上述事项表明公司对新疆银海拥有实际控制权。</w:t>
      </w:r>
      <w:r>
        <w:rPr>
          <w:w w:val="100"/>
        </w:rPr>
        <w:t> </w:t>
      </w:r>
      <w:r>
        <w:rPr/>
        <w:t>天津银海环球信息技术有限公司（以下简称</w:t>
      </w:r>
      <w:r>
        <w:rPr>
          <w:rFonts w:ascii="Times New Roman" w:hAnsi="Times New Roman" w:cs="Times New Roman" w:eastAsia="Times New Roman" w:hint="default"/>
        </w:rPr>
        <w:t>“</w:t>
      </w:r>
      <w:r>
        <w:rPr/>
        <w:t>天津银海</w:t>
      </w:r>
      <w:r>
        <w:rPr>
          <w:rFonts w:ascii="Times New Roman" w:hAnsi="Times New Roman" w:cs="Times New Roman" w:eastAsia="Times New Roman" w:hint="default"/>
        </w:rPr>
        <w:t>”</w:t>
      </w:r>
      <w:r>
        <w:rPr/>
        <w:t>）持有天津久远健康科技有限公司（以下简称</w:t>
      </w:r>
      <w:r>
        <w:rPr>
          <w:rFonts w:ascii="Times New Roman" w:hAnsi="Times New Roman" w:cs="Times New Roman" w:eastAsia="Times New Roman" w:hint="default"/>
        </w:rPr>
        <w:t>“</w:t>
      </w:r>
      <w:r>
        <w:rPr/>
        <w:t>天</w:t>
      </w:r>
      <w:r>
        <w:rPr>
          <w:spacing w:val="-64"/>
        </w:rPr>
        <w:t> </w:t>
      </w:r>
      <w:r>
        <w:rPr/>
        <w:t>津健康</w:t>
      </w:r>
      <w:r>
        <w:rPr>
          <w:rFonts w:ascii="Times New Roman" w:hAnsi="Times New Roman" w:cs="Times New Roman" w:eastAsia="Times New Roman" w:hint="default"/>
        </w:rPr>
        <w:t>”</w:t>
      </w:r>
      <w:r>
        <w:rPr/>
        <w:t>）</w:t>
      </w:r>
      <w:r>
        <w:rPr>
          <w:rFonts w:ascii="Times New Roman" w:hAnsi="Times New Roman" w:cs="Times New Roman" w:eastAsia="Times New Roman" w:hint="default"/>
        </w:rPr>
        <w:t>51.00%</w:t>
      </w:r>
      <w:r>
        <w:rPr/>
        <w:t>的股权。久远银海持有天津银海</w:t>
      </w:r>
      <w:r>
        <w:rPr>
          <w:rFonts w:ascii="Times New Roman" w:hAnsi="Times New Roman" w:cs="Times New Roman" w:eastAsia="Times New Roman" w:hint="default"/>
        </w:rPr>
        <w:t>69.20%</w:t>
      </w:r>
      <w:r>
        <w:rPr/>
        <w:t>股权，久远银海通过控制天津银海，最终达到控</w:t>
      </w:r>
      <w:r>
        <w:rPr>
          <w:w w:val="100"/>
        </w:rPr>
        <w:t> </w:t>
      </w:r>
      <w:r>
        <w:rPr/>
        <w:t>制天津健康。</w:t>
      </w:r>
      <w:r>
        <w:rPr>
          <w:w w:val="100"/>
        </w:rPr>
        <w:t> </w:t>
      </w:r>
      <w:r>
        <w:rPr/>
        <w:t>新疆银海鼎峰软件有限公司（以下简称</w:t>
      </w:r>
      <w:r>
        <w:rPr>
          <w:rFonts w:ascii="Times New Roman" w:hAnsi="Times New Roman" w:cs="Times New Roman" w:eastAsia="Times New Roman" w:hint="default"/>
        </w:rPr>
        <w:t>“</w:t>
      </w:r>
      <w:r>
        <w:rPr/>
        <w:t>新疆鼎峰</w:t>
      </w:r>
      <w:r>
        <w:rPr>
          <w:rFonts w:ascii="Times New Roman" w:hAnsi="Times New Roman" w:cs="Times New Roman" w:eastAsia="Times New Roman" w:hint="default"/>
        </w:rPr>
        <w:t>”</w:t>
      </w:r>
      <w:r>
        <w:rPr/>
        <w:t>）持有喀什银海鼎峰软件有限公司（以下简称</w:t>
      </w:r>
      <w:r>
        <w:rPr>
          <w:rFonts w:ascii="Times New Roman" w:hAnsi="Times New Roman" w:cs="Times New Roman" w:eastAsia="Times New Roman" w:hint="default"/>
        </w:rPr>
        <w:t>“</w:t>
      </w:r>
      <w:r>
        <w:rPr/>
        <w:t>喀什鼎</w:t>
      </w:r>
      <w:r>
        <w:rPr>
          <w:spacing w:val="-65"/>
        </w:rPr>
        <w:t> </w:t>
      </w:r>
      <w:r>
        <w:rPr>
          <w:spacing w:val="-65"/>
        </w:rPr>
      </w:r>
      <w:r>
        <w:rPr/>
        <w:t>峰</w:t>
      </w:r>
      <w:r>
        <w:rPr>
          <w:rFonts w:ascii="Times New Roman" w:hAnsi="Times New Roman" w:cs="Times New Roman" w:eastAsia="Times New Roman" w:hint="default"/>
        </w:rPr>
        <w:t>”</w:t>
      </w:r>
      <w:r>
        <w:rPr/>
        <w:t>）</w:t>
      </w:r>
      <w:r>
        <w:rPr>
          <w:rFonts w:ascii="Times New Roman" w:hAnsi="Times New Roman" w:cs="Times New Roman" w:eastAsia="Times New Roman" w:hint="default"/>
        </w:rPr>
        <w:t>100.00%</w:t>
      </w:r>
      <w:r>
        <w:rPr/>
        <w:t>的股权。久远银海持有新疆鼎峰</w:t>
      </w:r>
      <w:r>
        <w:rPr>
          <w:rFonts w:ascii="Times New Roman" w:hAnsi="Times New Roman" w:cs="Times New Roman" w:eastAsia="Times New Roman" w:hint="default"/>
        </w:rPr>
        <w:t>45.00%</w:t>
      </w:r>
      <w:r>
        <w:rPr/>
        <w:t>股权且占有新疆鼎峰多数董事表决权，久远银海通</w:t>
      </w:r>
      <w:r>
        <w:rPr>
          <w:spacing w:val="-21"/>
        </w:rPr>
        <w:t> </w:t>
      </w:r>
      <w:r>
        <w:rPr>
          <w:spacing w:val="-21"/>
        </w:rPr>
      </w:r>
      <w:r>
        <w:rPr/>
        <w:t>过控制新疆鼎峰，最终达到控制喀什鼎峰。</w:t>
      </w:r>
    </w:p>
    <w:p>
      <w:pPr>
        <w:spacing w:line="240" w:lineRule="auto" w:before="13"/>
        <w:rPr>
          <w:rFonts w:ascii="宋体" w:hAnsi="宋体" w:cs="宋体" w:eastAsia="宋体" w:hint="default"/>
          <w:sz w:val="29"/>
          <w:szCs w:val="29"/>
        </w:rPr>
      </w:pPr>
    </w:p>
    <w:p>
      <w:pPr>
        <w:pStyle w:val="BodyText"/>
        <w:spacing w:line="360" w:lineRule="auto" w:before="0"/>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0"/>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7"/>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未纳入合并财务报表范围的结构化主体的相关说明：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left="212" w:right="104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212" w:right="1045"/>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6"/>
        <w:spacing w:line="273" w:lineRule="auto"/>
        <w:ind w:left="626" w:right="1045"/>
        <w:jc w:val="left"/>
      </w:pPr>
      <w:r>
        <w:rPr>
          <w:spacing w:val="-2"/>
        </w:rPr>
        <w:t>本公司在经营过程中面临各种金融风险：信用风险、市场风险和流动性风险。公司董事会全面负责风</w:t>
      </w:r>
      <w:r>
        <w:rPr>
          <w:spacing w:val="-45"/>
        </w:rPr>
        <w:t> </w:t>
      </w:r>
      <w:r>
        <w:rPr>
          <w:spacing w:val="-45"/>
        </w:rPr>
      </w:r>
      <w:r>
        <w:rPr>
          <w:spacing w:val="-2"/>
        </w:rPr>
        <w:t>险管理目标和政策的确定，并对风险管理目标和政策承担最终责任。本公司的内部审计师也会审计风</w:t>
      </w:r>
      <w:r>
        <w:rPr>
          <w:spacing w:val="-42"/>
        </w:rPr>
        <w:t> </w:t>
      </w:r>
      <w:r>
        <w:rPr>
          <w:spacing w:val="-42"/>
        </w:rPr>
      </w:r>
      <w:r>
        <w:rPr/>
        <w:t>险管理的政策和程序，并且将有关发现汇报给审计委员会。</w:t>
      </w:r>
      <w:r>
        <w:rPr>
          <w:w w:val="100"/>
        </w:rPr>
        <w:t> </w:t>
      </w:r>
      <w:r>
        <w:rPr>
          <w:spacing w:val="-2"/>
        </w:rPr>
        <w:t>本公司风险管理的总体目标是在不过度影响公司竞争力和应变力的情况下，制定尽可能降低风险的风</w:t>
      </w:r>
      <w:r>
        <w:rPr>
          <w:spacing w:val="-38"/>
        </w:rPr>
        <w:t> </w:t>
      </w:r>
      <w:r>
        <w:rPr>
          <w:spacing w:val="-38"/>
        </w:rPr>
      </w:r>
      <w:r>
        <w:rPr/>
        <w:t>险管理政策。</w:t>
      </w:r>
    </w:p>
    <w:p>
      <w:pPr>
        <w:pStyle w:val="Heading6"/>
        <w:spacing w:line="268" w:lineRule="auto" w:before="7"/>
        <w:ind w:left="626" w:right="1045" w:hanging="5"/>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100"/>
        </w:rPr>
        <w:t> </w:t>
      </w:r>
      <w:r>
        <w:rPr/>
        <w:t>信用风险是指金融工具的一方不履行义务，造成另一方发生财务损失的风险。本公司主要面临赊销导</w:t>
      </w:r>
      <w:r>
        <w:rPr>
          <w:w w:val="100"/>
        </w:rPr>
        <w:t> </w:t>
      </w:r>
      <w:r>
        <w:rPr/>
        <w:t>致的客户信用风险。在签订新合同之前，本公司会对新客户的信用风险进行评估，包括外部信用评级</w:t>
      </w:r>
      <w:r>
        <w:rPr>
          <w:w w:val="100"/>
        </w:rPr>
        <w:t> </w:t>
      </w:r>
      <w:r>
        <w:rPr/>
        <w:t>和在某些情况下的银行资信证明（当此信息可获取时）。</w:t>
      </w:r>
      <w:r>
        <w:rPr>
          <w:w w:val="100"/>
        </w:rPr>
        <w:t> </w:t>
      </w:r>
      <w:r>
        <w:rPr>
          <w:spacing w:val="2"/>
        </w:rPr>
        <w:t>公司通过对已有客户信用评级的季度监控以及应收账款账龄分析的月度审核来确保公司的整体信用</w:t>
      </w:r>
      <w:r>
        <w:rPr>
          <w:spacing w:val="-23"/>
        </w:rPr>
        <w:t> </w:t>
      </w:r>
      <w:r>
        <w:rPr>
          <w:spacing w:val="-23"/>
        </w:rPr>
      </w:r>
      <w:r>
        <w:rPr/>
        <w:t>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w:t>
      </w:r>
      <w:r>
        <w:rPr>
          <w:w w:val="100"/>
        </w:rPr>
        <w:t> </w:t>
      </w:r>
      <w:r>
        <w:rPr>
          <w:spacing w:val="-5"/>
        </w:rPr>
        <w:t>别的客户会放在受限制客户名单里，并且只有在额外批准的前提下，公司才可在未来期间内对其赊销，</w:t>
      </w:r>
      <w:r>
        <w:rPr>
          <w:spacing w:val="-17"/>
        </w:rPr>
        <w:t> </w:t>
      </w:r>
      <w:r>
        <w:rPr>
          <w:spacing w:val="-17"/>
        </w:rPr>
      </w:r>
      <w:r>
        <w:rPr/>
        <w:t>否则必须要求其提前支付相应款项。</w:t>
      </w:r>
    </w:p>
    <w:p>
      <w:pPr>
        <w:spacing w:line="240" w:lineRule="auto" w:before="10"/>
        <w:rPr>
          <w:rFonts w:ascii="宋体" w:hAnsi="宋体" w:cs="宋体" w:eastAsia="宋体" w:hint="default"/>
          <w:sz w:val="24"/>
          <w:szCs w:val="24"/>
        </w:rPr>
      </w:pPr>
    </w:p>
    <w:p>
      <w:pPr>
        <w:pStyle w:val="Heading6"/>
        <w:spacing w:line="271" w:lineRule="auto"/>
        <w:ind w:left="626" w:right="1045" w:hanging="5"/>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w:t>
      </w:r>
      <w:r>
        <w:rPr>
          <w:spacing w:val="-26"/>
        </w:rPr>
        <w:t> </w:t>
      </w:r>
      <w:r>
        <w:rPr>
          <w:spacing w:val="-26"/>
        </w:rPr>
      </w:r>
      <w:r>
        <w:rPr/>
        <w:t>包括汇率风险、利率风险和其他价格风险。</w:t>
      </w:r>
      <w:r>
        <w:rPr>
          <w:w w:val="100"/>
        </w:rPr>
        <w:t> </w:t>
      </w:r>
      <w:r>
        <w:rPr>
          <w:spacing w:val="-2"/>
        </w:rPr>
        <w:t>利率风险，是指金融工具的公允价值或未来现金流量因市场利率变动而发生波动的风险。本公司面临</w:t>
      </w:r>
      <w:r>
        <w:rPr>
          <w:spacing w:val="-47"/>
        </w:rPr>
        <w:t> </w:t>
      </w:r>
      <w:r>
        <w:rPr>
          <w:spacing w:val="-47"/>
        </w:rPr>
      </w:r>
      <w:r>
        <w:rPr/>
        <w:t>的利率风险主要来源于银行长期借款以及应付债券。期末公司无对外借款，不存在利率风险。</w:t>
      </w:r>
      <w:r>
        <w:rPr>
          <w:w w:val="100"/>
        </w:rPr>
        <w:t> </w:t>
      </w:r>
      <w:r>
        <w:rPr>
          <w:spacing w:val="-2"/>
        </w:rPr>
        <w:t>汇率风险，是指金融工具的公允价值或未来现金流量因外汇汇率变动而发生波动的风险。期末公司无</w:t>
      </w:r>
      <w:r>
        <w:rPr>
          <w:spacing w:val="-47"/>
        </w:rPr>
        <w:t> </w:t>
      </w:r>
      <w:r>
        <w:rPr>
          <w:spacing w:val="-47"/>
        </w:rPr>
      </w:r>
      <w:r>
        <w:rPr/>
        <w:t>对外币账户，不存在汇率风险。</w:t>
      </w:r>
      <w:r>
        <w:rPr>
          <w:w w:val="100"/>
        </w:rPr>
        <w:t> </w:t>
      </w:r>
      <w:r>
        <w:rPr/>
        <w:t>其他价格风险。本公司未持有其他上市公司的权益投资，不存在其他价格风险。</w:t>
      </w:r>
    </w:p>
    <w:p>
      <w:pPr>
        <w:spacing w:line="240" w:lineRule="auto" w:before="8"/>
        <w:rPr>
          <w:rFonts w:ascii="宋体" w:hAnsi="宋体" w:cs="宋体" w:eastAsia="宋体" w:hint="default"/>
          <w:sz w:val="24"/>
          <w:szCs w:val="24"/>
        </w:rPr>
      </w:pPr>
    </w:p>
    <w:p>
      <w:pPr>
        <w:pStyle w:val="Heading6"/>
        <w:spacing w:line="264" w:lineRule="auto"/>
        <w:ind w:left="626" w:right="1045" w:hanging="5"/>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100"/>
        </w:rPr>
        <w:t> </w:t>
      </w:r>
      <w:r>
        <w:rPr>
          <w:spacing w:val="-2"/>
        </w:rPr>
        <w:t>流动风险，是指企业在履行以交付现金或其他金融资产的方式结算的义务时发生资金短缺的风险。本</w:t>
      </w:r>
      <w:r>
        <w:rPr>
          <w:spacing w:val="-47"/>
        </w:rPr>
        <w:t> </w:t>
      </w:r>
      <w:r>
        <w:rPr>
          <w:spacing w:val="-47"/>
        </w:rPr>
      </w:r>
      <w:r>
        <w:rPr>
          <w:spacing w:val="-2"/>
        </w:rPr>
        <w:t>公司的政策是确保拥有充足的现金以偿还到期债务。流动性风险由本公司的财务部门集中控制。财务</w:t>
      </w:r>
      <w:r>
        <w:rPr>
          <w:spacing w:val="-49"/>
        </w:rPr>
        <w:t> </w:t>
      </w:r>
      <w:r>
        <w:rPr>
          <w:spacing w:val="-49"/>
        </w:rPr>
      </w:r>
      <w:r>
        <w:rPr>
          <w:spacing w:val="-2"/>
        </w:rPr>
        <w:t>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w:t>
      </w:r>
      <w:r>
        <w:rPr>
          <w:spacing w:val="-45"/>
        </w:rPr>
        <w:t> </w:t>
      </w:r>
      <w:r>
        <w:rPr>
          <w:spacing w:val="-45"/>
        </w:rPr>
      </w:r>
      <w:r>
        <w:rPr/>
        <w:t>所有合理预测的情况下拥有充足的资金偿还债务。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212" w:right="1045"/>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1045"/>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2756"/>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09"/>
        <w:gridCol w:w="1702"/>
        <w:gridCol w:w="1699"/>
        <w:gridCol w:w="1560"/>
        <w:gridCol w:w="1702"/>
      </w:tblGrid>
      <w:tr>
        <w:trPr>
          <w:trHeight w:val="401" w:hRule="exact"/>
        </w:trPr>
        <w:tc>
          <w:tcPr>
            <w:tcW w:w="1809" w:type="dxa"/>
            <w:vMerge w:val="restart"/>
            <w:tcBorders>
              <w:top w:val="single" w:sz="4" w:space="0" w:color="000000"/>
              <w:left w:val="single" w:sz="4" w:space="0" w:color="000000"/>
              <w:right w:val="single" w:sz="4" w:space="0" w:color="000000"/>
            </w:tcBorders>
            <w:shd w:val="clear" w:color="auto" w:fill="F1F1F1"/>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64" w:type="dxa"/>
            <w:gridSpan w:val="4"/>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57" w:hRule="exact"/>
        </w:trPr>
        <w:tc>
          <w:tcPr>
            <w:tcW w:w="1809" w:type="dxa"/>
            <w:vMerge/>
            <w:tcBorders>
              <w:left w:val="single" w:sz="4" w:space="0" w:color="000000"/>
              <w:bottom w:val="single" w:sz="4" w:space="0" w:color="000000"/>
              <w:right w:val="single" w:sz="4" w:space="0" w:color="000000"/>
            </w:tcBorders>
            <w:shd w:val="clear" w:color="auto" w:fill="F1F1F1"/>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32" w:lineRule="exact" w:before="33"/>
              <w:ind w:left="664" w:right="125"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699"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32" w:lineRule="exact" w:before="33"/>
              <w:ind w:left="664" w:right="122" w:hanging="540"/>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32" w:lineRule="exact" w:before="33"/>
              <w:ind w:left="506" w:right="143" w:hanging="360"/>
              <w:jc w:val="left"/>
              <w:rPr>
                <w:rFonts w:ascii="宋体" w:hAnsi="宋体" w:cs="宋体" w:eastAsia="宋体" w:hint="default"/>
                <w:sz w:val="18"/>
                <w:szCs w:val="18"/>
              </w:rPr>
            </w:pPr>
            <w:r>
              <w:rPr>
                <w:rFonts w:ascii="宋体" w:hAnsi="宋体" w:cs="宋体" w:eastAsia="宋体" w:hint="default"/>
                <w:sz w:val="18"/>
                <w:szCs w:val="18"/>
              </w:rPr>
              <w:t>第三层次公允价 值计量</w:t>
            </w:r>
          </w:p>
        </w:tc>
        <w:tc>
          <w:tcPr>
            <w:tcW w:w="170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60"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2" w:right="250"/>
              <w:jc w:val="left"/>
              <w:rPr>
                <w:rFonts w:ascii="宋体" w:hAnsi="宋体" w:cs="宋体" w:eastAsia="宋体" w:hint="default"/>
                <w:sz w:val="18"/>
                <w:szCs w:val="18"/>
              </w:rPr>
            </w:pPr>
            <w:r>
              <w:rPr>
                <w:rFonts w:ascii="宋体" w:hAnsi="宋体" w:cs="宋体" w:eastAsia="宋体" w:hint="default"/>
                <w:b/>
                <w:bCs/>
                <w:sz w:val="18"/>
                <w:szCs w:val="18"/>
              </w:rPr>
              <w:t>持续的公允价值计</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810"/>
        <w:gridCol w:w="1702"/>
        <w:gridCol w:w="1699"/>
        <w:gridCol w:w="1560"/>
        <w:gridCol w:w="1702"/>
      </w:tblGrid>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253,131,460.58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253,131,460.58</w:t>
            </w:r>
          </w:p>
        </w:tc>
      </w:tr>
      <w:tr>
        <w:trPr>
          <w:trHeight w:val="79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255"/>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253,131,460.58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253,131,460.58</w:t>
            </w:r>
          </w:p>
        </w:tc>
      </w:tr>
    </w:tbl>
    <w:p>
      <w:pPr>
        <w:spacing w:line="240" w:lineRule="auto" w:before="3"/>
        <w:rPr>
          <w:rFonts w:ascii="宋体" w:hAnsi="宋体" w:cs="宋体" w:eastAsia="宋体" w:hint="default"/>
          <w:sz w:val="19"/>
          <w:szCs w:val="19"/>
        </w:rPr>
      </w:pPr>
    </w:p>
    <w:p>
      <w:pPr>
        <w:pStyle w:val="Heading5"/>
        <w:spacing w:line="240" w:lineRule="auto" w:before="36"/>
        <w:ind w:left="212" w:right="1045"/>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12" w:right="1045"/>
        <w:jc w:val="left"/>
      </w:pPr>
      <w:r>
        <w:rPr/>
        <w:t>第一层次输入值是在计量日能够取得的相同资产或负债在活跃市场上未经调整的报价。</w:t>
      </w:r>
    </w:p>
    <w:p>
      <w:pPr>
        <w:spacing w:line="240" w:lineRule="auto" w:before="0"/>
        <w:rPr>
          <w:rFonts w:ascii="宋体" w:hAnsi="宋体" w:cs="宋体" w:eastAsia="宋体" w:hint="default"/>
          <w:sz w:val="18"/>
          <w:szCs w:val="18"/>
        </w:rPr>
      </w:pPr>
    </w:p>
    <w:p>
      <w:pPr>
        <w:pStyle w:val="Heading5"/>
        <w:spacing w:line="240" w:lineRule="auto" w:before="118"/>
        <w:ind w:left="212" w:right="1045"/>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212" w:right="1045"/>
        <w:jc w:val="left"/>
      </w:pPr>
      <w:r>
        <w:rPr/>
        <w:t>第二层次输入值是除第一层次输入值外相关资产或负债直接或间接可观察的输入值。</w:t>
      </w:r>
    </w:p>
    <w:p>
      <w:pPr>
        <w:pStyle w:val="BodyText"/>
        <w:spacing w:line="309" w:lineRule="auto" w:before="117"/>
        <w:ind w:left="212" w:right="1045"/>
        <w:jc w:val="left"/>
      </w:pPr>
      <w:r>
        <w:rPr/>
        <w:t>以公允价值计量且其变动计入当期损益的金融资产包括银行理财产品</w:t>
      </w:r>
      <w:r>
        <w:rPr>
          <w:spacing w:val="-47"/>
        </w:rPr>
        <w:t> </w:t>
      </w:r>
      <w:r>
        <w:rPr>
          <w:rFonts w:ascii="Times New Roman" w:hAnsi="Times New Roman" w:cs="Times New Roman" w:eastAsia="Times New Roman" w:hint="default"/>
        </w:rPr>
        <w:t>50,662,186.61</w:t>
      </w:r>
      <w:r>
        <w:rPr>
          <w:rFonts w:ascii="Times New Roman" w:hAnsi="Times New Roman" w:cs="Times New Roman" w:eastAsia="Times New Roman" w:hint="default"/>
          <w:spacing w:val="-2"/>
        </w:rPr>
        <w:t> </w:t>
      </w:r>
      <w:r>
        <w:rPr/>
        <w:t>元和银行结构性存款</w:t>
      </w:r>
      <w:r>
        <w:rPr>
          <w:spacing w:val="-48"/>
        </w:rPr>
        <w:t> </w:t>
      </w:r>
      <w:r>
        <w:rPr>
          <w:rFonts w:ascii="Times New Roman" w:hAnsi="Times New Roman" w:cs="Times New Roman" w:eastAsia="Times New Roman" w:hint="default"/>
        </w:rPr>
        <w:t>202,469,273.97</w:t>
      </w:r>
      <w:r>
        <w:rPr>
          <w:rFonts w:ascii="Times New Roman" w:hAnsi="Times New Roman" w:cs="Times New Roman" w:eastAsia="Times New Roman" w:hint="default"/>
          <w:spacing w:val="-4"/>
        </w:rPr>
        <w:t> </w:t>
      </w:r>
      <w:r>
        <w:rPr/>
        <w:t>元， </w:t>
      </w:r>
      <w:r>
        <w:rPr>
          <w:spacing w:val="-2"/>
        </w:rPr>
        <w:t>银行理财产品及结构性存款的公允价值根据受托方对同一或可比资产的报价中获取，所使用的估值模型主要为现金流量折现</w:t>
      </w:r>
      <w:r>
        <w:rPr>
          <w:spacing w:val="-64"/>
        </w:rPr>
        <w:t> </w:t>
      </w:r>
      <w:r>
        <w:rPr>
          <w:spacing w:val="-64"/>
        </w:rPr>
      </w:r>
      <w:r>
        <w:rPr/>
        <w:t>模型。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5"/>
        <w:spacing w:line="240" w:lineRule="auto"/>
        <w:ind w:left="212" w:right="1045"/>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212" w:right="1045"/>
        <w:jc w:val="left"/>
      </w:pPr>
      <w:r>
        <w:rPr/>
        <w:t>第三层次输入值是相关资产或负债的不可观察输入值。</w:t>
      </w:r>
    </w:p>
    <w:p>
      <w:pPr>
        <w:spacing w:line="240" w:lineRule="auto" w:before="0"/>
        <w:rPr>
          <w:rFonts w:ascii="宋体" w:hAnsi="宋体" w:cs="宋体" w:eastAsia="宋体" w:hint="default"/>
          <w:sz w:val="18"/>
          <w:szCs w:val="18"/>
        </w:rPr>
      </w:pPr>
    </w:p>
    <w:p>
      <w:pPr>
        <w:pStyle w:val="Heading5"/>
        <w:spacing w:line="240" w:lineRule="auto" w:before="120"/>
        <w:ind w:left="212" w:right="1045"/>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2" w:right="1045"/>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45"/>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45"/>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21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四川久远投资控股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四川省绵阳市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26.29%</w:t>
            </w:r>
          </w:p>
        </w:tc>
      </w:tr>
    </w:tbl>
    <w:p>
      <w:pPr>
        <w:pStyle w:val="BodyText"/>
        <w:spacing w:line="240" w:lineRule="auto" w:before="49"/>
        <w:ind w:left="212" w:right="1045"/>
        <w:jc w:val="left"/>
      </w:pPr>
      <w:r>
        <w:rPr/>
        <w:t>本企业的母公司情况的说明</w:t>
      </w:r>
    </w:p>
    <w:p>
      <w:pPr>
        <w:pStyle w:val="Heading6"/>
        <w:spacing w:line="266" w:lineRule="auto" w:before="94"/>
        <w:ind w:left="325" w:right="1130"/>
        <w:jc w:val="both"/>
      </w:pPr>
      <w:r>
        <w:rPr/>
        <w:t>本公司实际控制人为中国工程物理研究院。公司第一大股东四川久远投资控股集团有限公司持有本公司</w:t>
      </w:r>
      <w:r>
        <w:rPr>
          <w:spacing w:val="-33"/>
        </w:rPr>
        <w:t> </w:t>
      </w:r>
      <w:r>
        <w:rPr>
          <w:spacing w:val="-33"/>
        </w:rPr>
      </w:r>
      <w:r>
        <w:rPr>
          <w:rFonts w:ascii="Times New Roman" w:hAnsi="Times New Roman" w:cs="Times New Roman" w:eastAsia="Times New Roman" w:hint="default"/>
          <w:spacing w:val="-2"/>
        </w:rPr>
        <w:t>26.29%</w:t>
      </w:r>
      <w:r>
        <w:rPr>
          <w:spacing w:val="-2"/>
        </w:rPr>
        <w:t>股权，中国工程物理研究院持有四川久远投资控股集团有限公司</w:t>
      </w:r>
      <w:r>
        <w:rPr>
          <w:rFonts w:ascii="Times New Roman" w:hAnsi="Times New Roman" w:cs="Times New Roman" w:eastAsia="Times New Roman" w:hint="default"/>
          <w:spacing w:val="-2"/>
        </w:rPr>
        <w:t>100%</w:t>
      </w:r>
      <w:r>
        <w:rPr>
          <w:spacing w:val="-2"/>
        </w:rPr>
        <w:t>股权，通过控制四川久远投</w:t>
      </w:r>
      <w:r>
        <w:rPr>
          <w:spacing w:val="-26"/>
        </w:rPr>
        <w:t> </w:t>
      </w:r>
      <w:r>
        <w:rPr>
          <w:spacing w:val="-26"/>
        </w:rPr>
      </w:r>
      <w:r>
        <w:rPr/>
        <w:t>资控股集团有限公司，最终达到控制本公司。</w:t>
      </w:r>
    </w:p>
    <w:p>
      <w:pPr>
        <w:spacing w:after="0" w:line="266" w:lineRule="auto"/>
        <w:jc w:val="both"/>
        <w:sectPr>
          <w:pgSz w:w="11910" w:h="16840"/>
          <w:pgMar w:header="745" w:footer="979" w:top="1060" w:bottom="1160" w:left="920" w:right="0"/>
        </w:sectPr>
      </w:pPr>
    </w:p>
    <w:p>
      <w:pPr>
        <w:spacing w:line="240" w:lineRule="auto" w:before="10"/>
        <w:rPr>
          <w:rFonts w:ascii="宋体" w:hAnsi="宋体" w:cs="宋体" w:eastAsia="宋体" w:hint="default"/>
          <w:sz w:val="25"/>
          <w:szCs w:val="25"/>
        </w:rPr>
      </w:pPr>
    </w:p>
    <w:p>
      <w:pPr>
        <w:pStyle w:val="BodyText"/>
        <w:spacing w:line="360" w:lineRule="auto"/>
        <w:ind w:right="7334"/>
        <w:jc w:val="left"/>
      </w:pPr>
      <w:r>
        <w:rPr/>
        <w:t>本企业最终控制方是中国工程物理研究院。 其他说明：</w:t>
      </w:r>
    </w:p>
    <w:p>
      <w:pPr>
        <w:spacing w:line="240" w:lineRule="auto" w:before="2"/>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7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四川久信科诚信息技术有限公司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中国工程物理研究院及其下属单位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实际控制人及其下属单位</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四川中锐信息技术有限公司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平安医疗健康管理股份有限公司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深圳平安综合金融服务有限公司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709,735.84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1,698,113.23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四川久信科诚信息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26,495.73</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23,240,426.63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5,949,177.11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5,389,074.04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4,969,295.46</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150,943.40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141,509.43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平安医疗健康管理股份有限公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830,188.68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3,867,924.53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四川中锐信息技术有限公司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847,787.67</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平安科技（深圳）有限公司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923,574.84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923,574.84</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163,299.22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深圳平安综合金融服务有限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174,452.74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492,494.78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433,294.11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关联租赁情况说明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11,472,453.04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10,112,751.34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16,616,846.24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1,245,773.03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4,709,543.24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419,742.33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1,647,227.53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120,661.38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767,351.53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38,367.58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平安养老保险股份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四川中锐信息技术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深圳平安综合金融 服务有限公司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8,994.19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117,040.00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1,266,784.53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72,891.77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36,946.04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12,036.18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平安科技（深圳）有限公司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四川久信科诚信息技术有限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77,471.70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14,866.80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80,812.80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深圳平安综合金融服务有限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27,023,109.30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14,138,046.52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5" w:right="0"/>
              <w:jc w:val="left"/>
              <w:rPr>
                <w:rFonts w:ascii="Times New Roman" w:hAnsi="Times New Roman" w:cs="Times New Roman" w:eastAsia="Times New Roman" w:hint="default"/>
                <w:sz w:val="18"/>
                <w:szCs w:val="18"/>
              </w:rPr>
            </w:pPr>
            <w:r>
              <w:rPr>
                <w:rFonts w:ascii="Times New Roman"/>
                <w:sz w:val="18"/>
              </w:rPr>
              <w:t>116,000.00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1133"/>
        <w:jc w:val="left"/>
      </w:pPr>
      <w:r>
        <w:rPr/>
        <w:t>资产负债表日存在的重要承诺</w:t>
      </w:r>
    </w:p>
    <w:p>
      <w:pPr>
        <w:pStyle w:val="Heading6"/>
        <w:spacing w:line="240" w:lineRule="auto" w:before="96"/>
        <w:ind w:left="260" w:right="1133"/>
        <w:jc w:val="left"/>
      </w:pPr>
      <w:r>
        <w:rPr/>
        <w:t>本公司无需要披露的重要承诺事项。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260" w:right="4274" w:hanging="108"/>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）资产负债表日存在的重要或有事项</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本公司无需要披露的或有事项。</w:t>
      </w:r>
    </w:p>
    <w:p>
      <w:pPr>
        <w:spacing w:line="240" w:lineRule="auto" w:before="0"/>
        <w:rPr>
          <w:rFonts w:ascii="宋体" w:hAnsi="宋体" w:cs="宋体" w:eastAsia="宋体" w:hint="default"/>
          <w:sz w:val="20"/>
          <w:szCs w:val="20"/>
        </w:rPr>
      </w:pPr>
    </w:p>
    <w:p>
      <w:pPr>
        <w:pStyle w:val="Heading5"/>
        <w:spacing w:line="240" w:lineRule="auto" w:before="154"/>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公司不存在需要披露的重要或有事项。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21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left="212" w:right="104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27"/>
        <w:gridCol w:w="4928"/>
      </w:tblGrid>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44,860,553.80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36"/>
        <w:ind w:left="212" w:right="1045"/>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21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5"/>
        <w:spacing w:line="240" w:lineRule="auto" w:before="81"/>
        <w:ind w:left="212" w:right="104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6"/>
        <w:ind w:left="212" w:right="104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left="513" w:right="1133" w:hanging="361"/>
        <w:jc w:val="left"/>
      </w:pPr>
      <w:r>
        <w:rPr/>
        <w:t>公司实际控制人拟变更事项。 </w:t>
      </w:r>
      <w:r>
        <w:rPr>
          <w:spacing w:val="-2"/>
        </w:rPr>
        <w:t>公司于</w:t>
      </w:r>
      <w:r>
        <w:rPr>
          <w:rFonts w:ascii="Times New Roman" w:hAnsi="Times New Roman" w:cs="Times New Roman" w:eastAsia="Times New Roman" w:hint="default"/>
          <w:spacing w:val="-2"/>
        </w:rPr>
        <w:t>2017</w:t>
      </w:r>
      <w:r>
        <w:rPr>
          <w:spacing w:val="-2"/>
        </w:rPr>
        <w:t>年度内收到第一大股东四川久远投资控股集团有限公司的《告知函》，告知公司其股东方即公司实际控制人</w:t>
      </w:r>
    </w:p>
    <w:p>
      <w:pPr>
        <w:pStyle w:val="BodyText"/>
        <w:spacing w:line="309" w:lineRule="auto" w:before="0"/>
        <w:ind w:right="1133"/>
        <w:jc w:val="both"/>
      </w:pPr>
      <w:r>
        <w:rPr>
          <w:spacing w:val="-2"/>
        </w:rPr>
        <w:t>中国工程物理研究院正在筹划久远集团股权变动的相关事宜，该事项可能会导致公司实际控制人的变更，但该事项还涉及国</w:t>
      </w:r>
      <w:r>
        <w:rPr>
          <w:spacing w:val="-64"/>
        </w:rPr>
        <w:t> </w:t>
      </w:r>
      <w:r>
        <w:rPr>
          <w:spacing w:val="-64"/>
        </w:rPr>
      </w:r>
      <w:r>
        <w:rPr/>
        <w:t>资审批等相关流程，存在一定的不确定性。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日，公司就上述事项发布了关于控股股东的实际控制人拟变更的提 </w:t>
      </w:r>
      <w:r>
        <w:rPr>
          <w:spacing w:val="-10"/>
        </w:rPr>
        <w:t>示性公告（公告编号：</w:t>
      </w:r>
      <w:r>
        <w:rPr>
          <w:rFonts w:ascii="Times New Roman" w:hAnsi="Times New Roman" w:cs="Times New Roman" w:eastAsia="Times New Roman" w:hint="default"/>
          <w:spacing w:val="-10"/>
        </w:rPr>
        <w:t>2017-011</w:t>
      </w:r>
      <w:r>
        <w:rPr>
          <w:spacing w:val="-10"/>
        </w:rPr>
        <w:t>）。</w:t>
      </w:r>
      <w:r>
        <w:rPr/>
      </w:r>
    </w:p>
    <w:p>
      <w:pPr>
        <w:spacing w:after="0" w:line="309"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13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246,665,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392.59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36,031,6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210,633,7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193,034,3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26,494,83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166,539,50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2.08</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按账龄组合的款项</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246,665,</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392.59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36,031,6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210,633,7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193,034,3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26,494,83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166,539,50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2.08</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246,665,</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392.59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36,031,6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44.33</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210,633,7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193,034,3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26,494,83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166,539,50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2.08</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0"/>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81"/>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246,665,392.59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36,031,644.33</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246,665,392.59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36,031,644.33</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986"/>
        <w:jc w:val="left"/>
      </w:pPr>
      <w:r>
        <w:rPr/>
        <w:t>确定该组合依据的说明： </w:t>
      </w:r>
      <w:r>
        <w:rPr>
          <w:spacing w:val="-2"/>
        </w:rPr>
        <w:t>除已单独计提减值准备以外的应收账款和其他应收款，公司根据以前年度与之相同或相类似的、按账龄段划分的具有类似信</w:t>
      </w:r>
      <w:r>
        <w:rPr>
          <w:spacing w:val="-64"/>
        </w:rPr>
        <w:t> </w:t>
      </w:r>
      <w:r>
        <w:rPr>
          <w:spacing w:val="-64"/>
        </w:rPr>
      </w:r>
      <w:r>
        <w:rPr/>
        <w:t>用风险特征的应收款项组合的实际损失率为基础，结合现时情况分析法确定坏账准备计提的比例。</w:t>
      </w:r>
    </w:p>
    <w:p>
      <w:pPr>
        <w:spacing w:line="240" w:lineRule="auto" w:before="10"/>
        <w:rPr>
          <w:rFonts w:ascii="宋体" w:hAnsi="宋体" w:cs="宋体" w:eastAsia="宋体" w:hint="default"/>
          <w:sz w:val="23"/>
          <w:szCs w:val="23"/>
        </w:rPr>
      </w:pPr>
    </w:p>
    <w:p>
      <w:pPr>
        <w:pStyle w:val="BodyText"/>
        <w:spacing w:line="240" w:lineRule="auto"/>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240" w:lineRule="auto" w:before="49"/>
        <w:ind w:right="1133"/>
        <w:jc w:val="left"/>
      </w:pPr>
      <w:r>
        <w:rPr/>
        <w:t>确定该组合依据的说明：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如是按照预期信用损失一般模型计提应收账款坏账准备，请参照其他应收款的披露方式披露坏账准备的相关信息：</w:t>
      </w:r>
    </w:p>
    <w:p>
      <w:pPr>
        <w:pStyle w:val="BodyText"/>
        <w:spacing w:line="338" w:lineRule="auto" w:before="117"/>
        <w:ind w:right="1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公司在账龄组合的基础上，参照历史信用损失率，计算应收账款预期信用损失金额，组合中具体预期信用损失金额如下：</w:t>
      </w:r>
    </w:p>
    <w:p>
      <w:pPr>
        <w:pStyle w:val="Heading5"/>
        <w:spacing w:line="257" w:lineRule="exact"/>
        <w:ind w:left="0" w:right="2351"/>
        <w:jc w:val="right"/>
        <w:rPr>
          <w:b w:val="0"/>
          <w:bCs w:val="0"/>
        </w:rPr>
      </w:pPr>
      <w:r>
        <w:rPr/>
        <w:t>单位：元</w:t>
      </w:r>
      <w:r>
        <w:rPr>
          <w:b w:val="0"/>
          <w:bCs w:val="0"/>
        </w:rPr>
      </w:r>
    </w:p>
    <w:p>
      <w:pPr>
        <w:spacing w:line="240" w:lineRule="auto" w:before="3"/>
        <w:rPr>
          <w:rFonts w:ascii="宋体" w:hAnsi="宋体" w:cs="宋体" w:eastAsia="宋体" w:hint="default"/>
          <w:b/>
          <w:bCs/>
          <w:sz w:val="4"/>
          <w:szCs w:val="4"/>
        </w:rPr>
      </w:pPr>
    </w:p>
    <w:tbl>
      <w:tblPr>
        <w:tblW w:w="0" w:type="auto"/>
        <w:jc w:val="left"/>
        <w:tblInd w:w="151" w:type="dxa"/>
        <w:tblLayout w:type="fixed"/>
        <w:tblCellMar>
          <w:top w:w="0" w:type="dxa"/>
          <w:left w:w="0" w:type="dxa"/>
          <w:bottom w:w="0" w:type="dxa"/>
          <w:right w:w="0" w:type="dxa"/>
        </w:tblCellMar>
        <w:tblLook w:val="01E0"/>
      </w:tblPr>
      <w:tblGrid>
        <w:gridCol w:w="2266"/>
        <w:gridCol w:w="2409"/>
        <w:gridCol w:w="1990"/>
        <w:gridCol w:w="1753"/>
      </w:tblGrid>
      <w:tr>
        <w:trPr>
          <w:trHeight w:val="337" w:hRule="exact"/>
        </w:trPr>
        <w:tc>
          <w:tcPr>
            <w:tcW w:w="2266" w:type="dxa"/>
            <w:vMerge w:val="restart"/>
            <w:tcBorders>
              <w:top w:val="single" w:sz="4" w:space="0" w:color="000000"/>
              <w:left w:val="single" w:sz="4" w:space="0" w:color="000000"/>
              <w:right w:val="single" w:sz="4" w:space="0" w:color="000000"/>
            </w:tcBorders>
            <w:shd w:val="clear" w:color="auto" w:fill="D9D9D9"/>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15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8"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2266" w:type="dxa"/>
            <w:vMerge/>
            <w:tcBorders>
              <w:left w:val="single" w:sz="4" w:space="0" w:color="000000"/>
              <w:bottom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78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15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167,526,919.98</w:t>
            </w:r>
          </w:p>
        </w:tc>
        <w:tc>
          <w:tcPr>
            <w:tcW w:w="19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8,363,960.36</w:t>
            </w:r>
          </w:p>
        </w:tc>
        <w:tc>
          <w:tcPr>
            <w:tcW w:w="175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z w:val="21"/>
              </w:rPr>
              <w:t>4.99</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39,153,848.63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3,914,160.04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10.00</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14,007,308.87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2,801,461.77</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20.00</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7,270,512.84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3,635,256.42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50.00</w:t>
            </w:r>
          </w:p>
        </w:tc>
      </w:tr>
      <w:tr>
        <w:trPr>
          <w:trHeight w:val="344"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6,949,982.65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5,559,986.12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z w:val="21"/>
              </w:rPr>
              <w:t>80.00</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8"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11,756,819.62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11,756,819.62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100.00</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246,665,392.59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36,031,644.33</w:t>
            </w:r>
          </w:p>
        </w:tc>
        <w:tc>
          <w:tcPr>
            <w:tcW w:w="17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4"/>
          <w:szCs w:val="24"/>
        </w:rPr>
      </w:pPr>
    </w:p>
    <w:p>
      <w:pPr>
        <w:pStyle w:val="BodyText"/>
        <w:spacing w:line="240" w:lineRule="auto"/>
        <w:ind w:right="1133"/>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167,526,919.98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39,153,848.63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14,007,308.87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25,977,315.11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7,270,512.84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6,949,982.65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11,756,819.62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246,665,392.59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按账龄组合的款 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26,494,837.93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9,536,806.40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36,031,644.33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26,494,837.93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9,536,806.40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36,031,644.33</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1133"/>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19,199,099.76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1,263,398.23</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中国邮政储蓄银行股份有限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13,827,951.54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1,849,877.32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8,348,764.72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271,760.39</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8,309,643.41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380,953.96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成都农村商业银行股份有限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7,095,558.02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1,028,713.01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56,781,017.45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23.02%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1"/>
        <w:jc w:val="left"/>
      </w:pPr>
      <w:r>
        <w:rPr/>
        <w:t>其他说明：</w:t>
      </w:r>
    </w:p>
    <w:p>
      <w:pPr>
        <w:pStyle w:val="Heading5"/>
        <w:spacing w:line="240" w:lineRule="auto" w:before="97"/>
        <w:ind w:left="330" w:right="-1"/>
        <w:jc w:val="left"/>
        <w:rPr>
          <w:b w:val="0"/>
          <w:bCs w:val="0"/>
        </w:rPr>
      </w:pPr>
      <w:r>
        <w:rPr>
          <w:spacing w:val="-1"/>
        </w:rPr>
        <w:t>账龄超过</w:t>
      </w:r>
      <w:r>
        <w:rPr>
          <w:rFonts w:ascii="Times New Roman" w:hAnsi="Times New Roman" w:cs="Times New Roman" w:eastAsia="Times New Roman" w:hint="default"/>
          <w:spacing w:val="-1"/>
        </w:rPr>
        <w:t>3</w:t>
      </w:r>
      <w:r>
        <w:rPr>
          <w:spacing w:val="-1"/>
        </w:rPr>
        <w:t>年以上的大额应收账款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Heading5"/>
        <w:spacing w:line="240" w:lineRule="auto" w:before="165"/>
        <w:ind w:right="0"/>
        <w:jc w:val="left"/>
        <w:rPr>
          <w:b w:val="0"/>
          <w:bCs w:val="0"/>
        </w:rPr>
      </w:pPr>
      <w:r>
        <w:rPr/>
        <w:t>单位：元</w:t>
      </w:r>
      <w:r>
        <w:rPr>
          <w:b w:val="0"/>
          <w:bCs w:val="0"/>
        </w:rPr>
      </w:r>
    </w:p>
    <w:p>
      <w:pPr>
        <w:spacing w:after="0" w:line="240" w:lineRule="auto"/>
        <w:jc w:val="left"/>
        <w:sectPr>
          <w:type w:val="continuous"/>
          <w:pgSz w:w="11910" w:h="16840"/>
          <w:pgMar w:top="1060" w:bottom="1160" w:left="980" w:right="0"/>
          <w:cols w:num="2" w:equalWidth="0">
            <w:col w:w="3391" w:space="4543"/>
            <w:col w:w="2996"/>
          </w:cols>
        </w:sectPr>
      </w:pPr>
    </w:p>
    <w:p>
      <w:pPr>
        <w:spacing w:line="240" w:lineRule="auto" w:before="2"/>
        <w:rPr>
          <w:rFonts w:ascii="宋体" w:hAnsi="宋体" w:cs="宋体" w:eastAsia="宋体" w:hint="default"/>
          <w:b/>
          <w:bCs/>
          <w:sz w:val="4"/>
          <w:szCs w:val="4"/>
        </w:rPr>
      </w:pPr>
    </w:p>
    <w:tbl>
      <w:tblPr>
        <w:tblW w:w="0" w:type="auto"/>
        <w:jc w:val="left"/>
        <w:tblInd w:w="293" w:type="dxa"/>
        <w:tblLayout w:type="fixed"/>
        <w:tblCellMar>
          <w:top w:w="0" w:type="dxa"/>
          <w:left w:w="0" w:type="dxa"/>
          <w:bottom w:w="0" w:type="dxa"/>
          <w:right w:w="0" w:type="dxa"/>
        </w:tblCellMar>
        <w:tblLook w:val="01E0"/>
      </w:tblPr>
      <w:tblGrid>
        <w:gridCol w:w="3117"/>
        <w:gridCol w:w="1774"/>
        <w:gridCol w:w="1630"/>
        <w:gridCol w:w="2408"/>
      </w:tblGrid>
      <w:tr>
        <w:trPr>
          <w:trHeight w:val="337"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3"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年以上金额</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571" w:right="0"/>
              <w:jc w:val="left"/>
              <w:rPr>
                <w:rFonts w:ascii="宋体" w:hAnsi="宋体" w:cs="宋体" w:eastAsia="宋体" w:hint="default"/>
                <w:sz w:val="21"/>
                <w:szCs w:val="21"/>
              </w:rPr>
            </w:pPr>
            <w:r>
              <w:rPr>
                <w:rFonts w:ascii="宋体" w:hAnsi="宋体" w:cs="宋体" w:eastAsia="宋体" w:hint="default"/>
                <w:sz w:val="21"/>
                <w:szCs w:val="21"/>
              </w:rPr>
              <w:t>未收回的原因</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桂林市人力资源和社会保障局</w:t>
            </w:r>
          </w:p>
        </w:tc>
        <w:tc>
          <w:tcPr>
            <w:tcW w:w="17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3,642,542.88</w:t>
            </w:r>
          </w:p>
        </w:tc>
        <w:tc>
          <w:tcPr>
            <w:tcW w:w="16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Times New Roman" w:hAnsi="Times New Roman" w:cs="Times New Roman" w:eastAsia="Times New Roman" w:hint="default"/>
                <w:sz w:val="21"/>
                <w:szCs w:val="21"/>
              </w:rPr>
            </w:pPr>
            <w:r>
              <w:rPr>
                <w:rFonts w:ascii="Times New Roman"/>
                <w:spacing w:val="-1"/>
                <w:sz w:val="21"/>
              </w:rPr>
              <w:t>3,013,542.88</w:t>
            </w:r>
          </w:p>
        </w:tc>
        <w:tc>
          <w:tcPr>
            <w:tcW w:w="2408" w:type="dxa"/>
            <w:tcBorders>
              <w:top w:val="single" w:sz="8" w:space="0" w:color="000000"/>
              <w:left w:val="single" w:sz="4" w:space="0" w:color="000000"/>
              <w:bottom w:val="single" w:sz="4" w:space="0" w:color="000000"/>
              <w:right w:val="single" w:sz="4" w:space="0" w:color="000000"/>
            </w:tcBorders>
          </w:tcPr>
          <w:p>
            <w:pPr>
              <w:pStyle w:val="TableParagraph"/>
              <w:spacing w:line="268" w:lineRule="exact"/>
              <w:ind w:left="7" w:right="0"/>
              <w:jc w:val="left"/>
              <w:rPr>
                <w:rFonts w:ascii="宋体" w:hAnsi="宋体" w:cs="宋体" w:eastAsia="宋体" w:hint="default"/>
                <w:sz w:val="21"/>
                <w:szCs w:val="21"/>
              </w:rPr>
            </w:pPr>
            <w:r>
              <w:rPr>
                <w:rFonts w:ascii="宋体" w:hAnsi="宋体" w:cs="宋体" w:eastAsia="宋体" w:hint="default"/>
                <w:sz w:val="21"/>
                <w:szCs w:val="21"/>
              </w:rPr>
              <w:t>客户安排资金计划中</w:t>
            </w:r>
          </w:p>
        </w:tc>
      </w:tr>
      <w:tr>
        <w:trPr>
          <w:trHeight w:val="341"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13,827,951.54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1,202,358.01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客户安排资金计划中</w:t>
            </w:r>
          </w:p>
        </w:tc>
      </w:tr>
      <w:tr>
        <w:trPr>
          <w:trHeight w:val="343"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随州市人力资源和社会保障局</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1,109,550.01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1,109,550.01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客户安排资金计划中</w:t>
            </w:r>
          </w:p>
        </w:tc>
      </w:tr>
      <w:tr>
        <w:trPr>
          <w:trHeight w:val="341"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18,580,044.43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5,325,450.90</w:t>
            </w:r>
          </w:p>
        </w:tc>
        <w:tc>
          <w:tcPr>
            <w:tcW w:w="24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64,411,303.32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66,207,434.74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64,411,303.32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66,207,434.74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49,793,637.49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50,234,064.40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27,666,454.31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27,357,466.82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2,511,318.34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2,516,891.04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1,686,228.19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1,355,300.94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81,657,638.33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81,463,723.20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15,256,288.46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15,256,288.46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1,990,046.55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1,990,046.55</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17,246,335.01</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17,246,335.01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38" w:lineRule="auto" w:before="117"/>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18,893,584.50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29,065,196.01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18,473,647.70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15,225,210.12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6,233,533.40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2,244,922.08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6,746,754.64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81,657,638.33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2"/>
        <w:gridCol w:w="1330"/>
        <w:gridCol w:w="1090"/>
        <w:gridCol w:w="157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保证金性质的款项</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8,673,737.97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1,849,473.39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10,523,211.36</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6,582,550.49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140,573.16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6,723,123.65</w:t>
            </w: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15,256,288.4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1,990,046.55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17,246,335.01</w:t>
            </w:r>
          </w:p>
        </w:tc>
      </w:tr>
    </w:tbl>
    <w:p>
      <w:pPr>
        <w:pStyle w:val="BodyText"/>
        <w:spacing w:line="240" w:lineRule="auto" w:before="49"/>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四川久远国基科技有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成都市人力资源社会 保障信息中心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13,278,388.90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2,382,352.78</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山西汇若房地产开发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 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7,423,711.03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6,482,741.11</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云南省居民家庭经济 状况核对中心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4,434,405.00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649,840.25</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3,691,133.00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814,323.50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48,827,637.93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10,329,257.64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260,832,520.20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260,832,520.20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2"/>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天津银海环球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10,384,029.11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10,384,029.11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四川银海软件 有限责任公司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76,628,491.09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76,628,491.09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重庆久远银海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4,000,000.00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北京久远银海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6,120,000.00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北京银海奥尼 思特咨询有限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成都兴政电子 政务运营服务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25,500,000.00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山西久远爱思 普软件股份有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新疆银海鼎峰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4,500,000.00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四川久远银海 畅辉软件有限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6,700,000.00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四川久远国基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北京银海哲齐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4,900,000.00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四川健康久远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17,700,000.00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杭州海量信息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260,832,520.2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269,632,520.20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4"/>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770,156,740.79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413,188,355.49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700,373,129.74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453,218,988.14</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1,206,569.12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284,978.40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1,206,569.12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284,978.40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771,363,309.91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413,473,333.89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701,579,698.86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453,503,966.54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是否已执行新收入准则</w:t>
      </w:r>
    </w:p>
    <w:p>
      <w:pPr>
        <w:pStyle w:val="BodyText"/>
        <w:spacing w:line="338"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Heading5"/>
        <w:tabs>
          <w:tab w:pos="7954" w:val="left" w:leader="none"/>
        </w:tabs>
        <w:spacing w:line="240" w:lineRule="auto" w:before="23"/>
        <w:ind w:right="1133"/>
        <w:jc w:val="left"/>
        <w:rPr>
          <w:b w:val="0"/>
          <w:bCs w:val="0"/>
        </w:rPr>
      </w:pPr>
      <w:r>
        <w:rPr/>
        <w:t>主营业务（分行业）</w:t>
        <w:tab/>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151" w:type="dxa"/>
        <w:tblLayout w:type="fixed"/>
        <w:tblCellMar>
          <w:top w:w="0" w:type="dxa"/>
          <w:left w:w="0" w:type="dxa"/>
          <w:bottom w:w="0" w:type="dxa"/>
          <w:right w:w="0" w:type="dxa"/>
        </w:tblCellMar>
        <w:tblLook w:val="01E0"/>
      </w:tblPr>
      <w:tblGrid>
        <w:gridCol w:w="2262"/>
        <w:gridCol w:w="1705"/>
        <w:gridCol w:w="1592"/>
        <w:gridCol w:w="1433"/>
        <w:gridCol w:w="1652"/>
      </w:tblGrid>
      <w:tr>
        <w:trPr>
          <w:trHeight w:val="342" w:hRule="exact"/>
        </w:trPr>
        <w:tc>
          <w:tcPr>
            <w:tcW w:w="22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2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2262" w:type="dxa"/>
            <w:vMerge/>
            <w:tcBorders>
              <w:left w:val="single" w:sz="4" w:space="0" w:color="000000"/>
              <w:bottom w:val="single" w:sz="4" w:space="0" w:color="000000"/>
              <w:right w:val="single" w:sz="4" w:space="0" w:color="000000"/>
            </w:tcBorders>
            <w:shd w:val="clear" w:color="auto" w:fill="D9D9D9"/>
          </w:tcPr>
          <w:p>
            <w:pP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3" w:hRule="exact"/>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07"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64" w:right="0"/>
              <w:jc w:val="left"/>
              <w:rPr>
                <w:rFonts w:ascii="Times New Roman" w:hAnsi="Times New Roman" w:cs="Times New Roman" w:eastAsia="Times New Roman" w:hint="default"/>
                <w:sz w:val="18"/>
                <w:szCs w:val="18"/>
              </w:rPr>
            </w:pPr>
            <w:r>
              <w:rPr>
                <w:rFonts w:ascii="Times New Roman"/>
                <w:sz w:val="18"/>
              </w:rPr>
              <w:t>770,156,740.79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8" w:right="0"/>
              <w:jc w:val="left"/>
              <w:rPr>
                <w:rFonts w:ascii="Times New Roman" w:hAnsi="Times New Roman" w:cs="Times New Roman" w:eastAsia="Times New Roman" w:hint="default"/>
                <w:sz w:val="18"/>
                <w:szCs w:val="18"/>
              </w:rPr>
            </w:pPr>
            <w:r>
              <w:rPr>
                <w:rFonts w:ascii="Times New Roman"/>
                <w:sz w:val="18"/>
              </w:rPr>
              <w:t>413,188,355.49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700,373,129.74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453,218,988.14</w:t>
            </w:r>
          </w:p>
        </w:tc>
      </w:tr>
    </w:tbl>
    <w:p>
      <w:pPr>
        <w:spacing w:line="240" w:lineRule="auto" w:before="2"/>
        <w:rPr>
          <w:rFonts w:ascii="宋体" w:hAnsi="宋体" w:cs="宋体" w:eastAsia="宋体" w:hint="default"/>
          <w:b/>
          <w:bCs/>
          <w:sz w:val="20"/>
          <w:szCs w:val="20"/>
        </w:rPr>
      </w:pPr>
    </w:p>
    <w:p>
      <w:pPr>
        <w:pStyle w:val="Heading5"/>
        <w:tabs>
          <w:tab w:pos="7954" w:val="left" w:leader="none"/>
        </w:tabs>
        <w:spacing w:line="240" w:lineRule="auto" w:before="36"/>
        <w:ind w:right="1133"/>
        <w:jc w:val="left"/>
        <w:rPr>
          <w:b w:val="0"/>
          <w:bCs w:val="0"/>
        </w:rPr>
      </w:pPr>
      <w:r>
        <w:rPr/>
        <w:t>主营业务（分产品）</w:t>
        <w:tab/>
        <w:t>单位：元</w:t>
      </w:r>
      <w:r>
        <w:rPr>
          <w:b w:val="0"/>
          <w:bCs w:val="0"/>
        </w:rPr>
      </w:r>
    </w:p>
    <w:p>
      <w:pPr>
        <w:spacing w:line="240" w:lineRule="auto" w:before="2"/>
        <w:rPr>
          <w:rFonts w:ascii="宋体" w:hAnsi="宋体" w:cs="宋体" w:eastAsia="宋体" w:hint="default"/>
          <w:b/>
          <w:bCs/>
          <w:sz w:val="4"/>
          <w:szCs w:val="4"/>
        </w:rPr>
      </w:pPr>
    </w:p>
    <w:tbl>
      <w:tblPr>
        <w:tblW w:w="0" w:type="auto"/>
        <w:jc w:val="left"/>
        <w:tblInd w:w="151" w:type="dxa"/>
        <w:tblLayout w:type="fixed"/>
        <w:tblCellMar>
          <w:top w:w="0" w:type="dxa"/>
          <w:left w:w="0" w:type="dxa"/>
          <w:bottom w:w="0" w:type="dxa"/>
          <w:right w:w="0" w:type="dxa"/>
        </w:tblCellMar>
        <w:tblLook w:val="01E0"/>
      </w:tblPr>
      <w:tblGrid>
        <w:gridCol w:w="2266"/>
        <w:gridCol w:w="1701"/>
        <w:gridCol w:w="1690"/>
        <w:gridCol w:w="1385"/>
        <w:gridCol w:w="1604"/>
      </w:tblGrid>
      <w:tr>
        <w:trPr>
          <w:trHeight w:val="336" w:hRule="exact"/>
        </w:trPr>
        <w:tc>
          <w:tcPr>
            <w:tcW w:w="22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39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2266" w:type="dxa"/>
            <w:vMerge/>
            <w:tcBorders>
              <w:left w:val="single" w:sz="4" w:space="0" w:color="000000"/>
              <w:bottom w:val="single" w:sz="4" w:space="0" w:color="000000"/>
              <w:right w:val="single" w:sz="4" w:space="0" w:color="000000"/>
            </w:tcBorders>
            <w:shd w:val="clear" w:color="auto" w:fill="D9D9D9"/>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7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43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388,516,646.53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188,807,266.55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283,309,758.69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157,110,634.27</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211,223,191.54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84,429,101.68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178,224,929.22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92,883,384.85</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169,518,462.35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139,947,052.94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237,160,388.63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201,476,338.33</w:t>
            </w:r>
          </w:p>
        </w:tc>
      </w:tr>
      <w:tr>
        <w:trPr>
          <w:trHeight w:val="343"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898,440.37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5"/>
                <w:sz w:val="18"/>
              </w:rPr>
              <w:t>4,934.32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1,678,053.20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1,748,630.69</w:t>
            </w:r>
          </w:p>
        </w:tc>
      </w:tr>
      <w:tr>
        <w:trPr>
          <w:trHeight w:val="341" w:hRule="exact"/>
        </w:trPr>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770,156,740.79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413,188,355.49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700,373,129.74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453,218,988.14</w:t>
            </w:r>
          </w:p>
        </w:tc>
      </w:tr>
    </w:tbl>
    <w:p>
      <w:pPr>
        <w:spacing w:line="240" w:lineRule="auto" w:before="2"/>
        <w:rPr>
          <w:rFonts w:ascii="宋体" w:hAnsi="宋体" w:cs="宋体" w:eastAsia="宋体" w:hint="default"/>
          <w:b/>
          <w:bCs/>
          <w:sz w:val="20"/>
          <w:szCs w:val="20"/>
        </w:rPr>
      </w:pPr>
    </w:p>
    <w:p>
      <w:pPr>
        <w:pStyle w:val="Heading5"/>
        <w:tabs>
          <w:tab w:pos="8060" w:val="left" w:leader="none"/>
        </w:tabs>
        <w:spacing w:line="240" w:lineRule="auto" w:before="36"/>
        <w:ind w:right="1133"/>
        <w:jc w:val="left"/>
        <w:rPr>
          <w:b w:val="0"/>
          <w:bCs w:val="0"/>
        </w:rPr>
      </w:pPr>
      <w:r>
        <w:rPr/>
        <w:t>主营业务（分地区）</w:t>
        <w:tab/>
        <w:t>单位：元</w:t>
      </w:r>
      <w:r>
        <w:rPr>
          <w:b w:val="0"/>
          <w:bCs w:val="0"/>
        </w:rPr>
      </w:r>
    </w:p>
    <w:p>
      <w:pPr>
        <w:spacing w:line="240" w:lineRule="auto" w:before="3"/>
        <w:rPr>
          <w:rFonts w:ascii="宋体" w:hAnsi="宋体" w:cs="宋体" w:eastAsia="宋体" w:hint="default"/>
          <w:b/>
          <w:bCs/>
          <w:sz w:val="4"/>
          <w:szCs w:val="4"/>
        </w:rPr>
      </w:pPr>
    </w:p>
    <w:tbl>
      <w:tblPr>
        <w:tblW w:w="0" w:type="auto"/>
        <w:jc w:val="left"/>
        <w:tblInd w:w="151" w:type="dxa"/>
        <w:tblLayout w:type="fixed"/>
        <w:tblCellMar>
          <w:top w:w="0" w:type="dxa"/>
          <w:left w:w="0" w:type="dxa"/>
          <w:bottom w:w="0" w:type="dxa"/>
          <w:right w:w="0" w:type="dxa"/>
        </w:tblCellMar>
        <w:tblLook w:val="01E0"/>
      </w:tblPr>
      <w:tblGrid>
        <w:gridCol w:w="2122"/>
        <w:gridCol w:w="1703"/>
        <w:gridCol w:w="1920"/>
        <w:gridCol w:w="1483"/>
        <w:gridCol w:w="1700"/>
      </w:tblGrid>
      <w:tr>
        <w:trPr>
          <w:trHeight w:val="337" w:hRule="exact"/>
        </w:trPr>
        <w:tc>
          <w:tcPr>
            <w:tcW w:w="21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62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42" w:hRule="exact"/>
        </w:trPr>
        <w:tc>
          <w:tcPr>
            <w:tcW w:w="2122" w:type="dxa"/>
            <w:vMerge/>
            <w:tcBorders>
              <w:left w:val="single" w:sz="4" w:space="0" w:color="000000"/>
              <w:bottom w:val="single" w:sz="4" w:space="0" w:color="000000"/>
              <w:right w:val="single" w:sz="4" w:space="0" w:color="000000"/>
            </w:tcBorders>
            <w:shd w:val="clear" w:color="auto" w:fill="D9D9D9"/>
          </w:tcPr>
          <w:p>
            <w:pPr/>
          </w:p>
        </w:tc>
        <w:tc>
          <w:tcPr>
            <w:tcW w:w="1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8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9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2"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spacing w:val="-1"/>
                <w:sz w:val="18"/>
              </w:rPr>
              <w:t>389,745,102.08</w:t>
            </w:r>
          </w:p>
        </w:tc>
        <w:tc>
          <w:tcPr>
            <w:tcW w:w="1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spacing w:val="-1"/>
                <w:sz w:val="18"/>
              </w:rPr>
              <w:t>197,978,852.83</w:t>
            </w:r>
          </w:p>
        </w:tc>
        <w:tc>
          <w:tcPr>
            <w:tcW w:w="14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399,228,027.48</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224,558,671.26</w:t>
            </w:r>
          </w:p>
        </w:tc>
      </w:tr>
      <w:tr>
        <w:trPr>
          <w:trHeight w:val="341"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20,238,114.94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16,621,214.72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67,926,118.34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55,741,391.62</w:t>
            </w:r>
          </w:p>
        </w:tc>
      </w:tr>
      <w:tr>
        <w:trPr>
          <w:trHeight w:val="34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129,177,661.45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77,425,895.70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113,506,062.30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91,959,503.19</w:t>
            </w:r>
          </w:p>
        </w:tc>
      </w:tr>
      <w:tr>
        <w:trPr>
          <w:trHeight w:val="341"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31,973,416.78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9,703,892.48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31,423,673.09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22,128,937.38</w:t>
            </w:r>
          </w:p>
        </w:tc>
      </w:tr>
      <w:tr>
        <w:trPr>
          <w:trHeight w:val="34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127,338,918.27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70,276,385.73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46,923,923.96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26,129,073.94</w:t>
            </w:r>
          </w:p>
        </w:tc>
      </w:tr>
      <w:tr>
        <w:trPr>
          <w:trHeight w:val="341"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5,665,223.31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2,893,347.29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5,631,675.06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4,937,276.08</w:t>
            </w:r>
          </w:p>
        </w:tc>
      </w:tr>
      <w:tr>
        <w:trPr>
          <w:trHeight w:val="34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66,018,303.96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38,288,766.74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35,733,649.51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27,764,134.67</w:t>
            </w:r>
          </w:p>
        </w:tc>
      </w:tr>
      <w:tr>
        <w:trPr>
          <w:trHeight w:val="34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770,156,740.79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413,188,355.49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700,373,129.74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453,218,988.14</w:t>
            </w:r>
          </w:p>
        </w:tc>
      </w:tr>
    </w:tbl>
    <w:p>
      <w:pPr>
        <w:spacing w:line="240" w:lineRule="auto" w:before="2"/>
        <w:rPr>
          <w:rFonts w:ascii="宋体" w:hAnsi="宋体" w:cs="宋体" w:eastAsia="宋体" w:hint="default"/>
          <w:b/>
          <w:bCs/>
          <w:sz w:val="20"/>
          <w:szCs w:val="20"/>
        </w:rPr>
      </w:pPr>
    </w:p>
    <w:p>
      <w:pPr>
        <w:pStyle w:val="Heading5"/>
        <w:tabs>
          <w:tab w:pos="8482" w:val="left" w:leader="none"/>
        </w:tabs>
        <w:spacing w:line="240" w:lineRule="auto" w:before="36"/>
        <w:ind w:right="1133"/>
        <w:jc w:val="left"/>
        <w:rPr>
          <w:b w:val="0"/>
          <w:bCs w:val="0"/>
        </w:rPr>
      </w:pPr>
      <w:r>
        <w:rPr>
          <w:spacing w:val="-1"/>
        </w:rPr>
        <w:t>公司前五名客户的营业收入情况</w:t>
        <w:tab/>
      </w: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151" w:type="dxa"/>
        <w:tblLayout w:type="fixed"/>
        <w:tblCellMar>
          <w:top w:w="0" w:type="dxa"/>
          <w:left w:w="0" w:type="dxa"/>
          <w:bottom w:w="0" w:type="dxa"/>
          <w:right w:w="0" w:type="dxa"/>
        </w:tblCellMar>
        <w:tblLook w:val="01E0"/>
      </w:tblPr>
      <w:tblGrid>
        <w:gridCol w:w="4533"/>
        <w:gridCol w:w="1844"/>
        <w:gridCol w:w="2835"/>
      </w:tblGrid>
      <w:tr>
        <w:trPr>
          <w:trHeight w:val="653"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84"/>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342"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37,459,225.70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31" w:right="0"/>
              <w:jc w:val="left"/>
              <w:rPr>
                <w:rFonts w:ascii="Times New Roman" w:hAnsi="Times New Roman" w:cs="Times New Roman" w:eastAsia="Times New Roman" w:hint="default"/>
                <w:sz w:val="21"/>
                <w:szCs w:val="21"/>
              </w:rPr>
            </w:pPr>
            <w:r>
              <w:rPr>
                <w:rFonts w:ascii="Times New Roman"/>
                <w:sz w:val="21"/>
              </w:rPr>
              <w:t>4.86</w:t>
            </w:r>
          </w:p>
        </w:tc>
      </w:tr>
      <w:tr>
        <w:trPr>
          <w:trHeight w:val="342"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19,130,363.80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31" w:right="0"/>
              <w:jc w:val="left"/>
              <w:rPr>
                <w:rFonts w:ascii="Times New Roman" w:hAnsi="Times New Roman" w:cs="Times New Roman" w:eastAsia="Times New Roman" w:hint="default"/>
                <w:sz w:val="21"/>
                <w:szCs w:val="21"/>
              </w:rPr>
            </w:pPr>
            <w:r>
              <w:rPr>
                <w:rFonts w:ascii="Times New Roman"/>
                <w:sz w:val="21"/>
              </w:rPr>
              <w:t>2.48</w:t>
            </w:r>
          </w:p>
        </w:tc>
      </w:tr>
      <w:tr>
        <w:trPr>
          <w:trHeight w:val="342"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18,306,869.46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31" w:right="0"/>
              <w:jc w:val="left"/>
              <w:rPr>
                <w:rFonts w:ascii="Times New Roman" w:hAnsi="Times New Roman" w:cs="Times New Roman" w:eastAsia="Times New Roman" w:hint="default"/>
                <w:sz w:val="21"/>
                <w:szCs w:val="21"/>
              </w:rPr>
            </w:pPr>
            <w:r>
              <w:rPr>
                <w:rFonts w:ascii="Times New Roman"/>
                <w:sz w:val="21"/>
              </w:rPr>
              <w:t>2.37</w:t>
            </w:r>
          </w:p>
        </w:tc>
      </w:tr>
      <w:tr>
        <w:trPr>
          <w:trHeight w:val="342"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陕西省人力资源和社会保障厅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17,215,974.90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31" w:right="0"/>
              <w:jc w:val="left"/>
              <w:rPr>
                <w:rFonts w:ascii="Times New Roman" w:hAnsi="Times New Roman" w:cs="Times New Roman" w:eastAsia="Times New Roman" w:hint="default"/>
                <w:sz w:val="21"/>
                <w:szCs w:val="21"/>
              </w:rPr>
            </w:pPr>
            <w:r>
              <w:rPr>
                <w:rFonts w:ascii="Times New Roman"/>
                <w:sz w:val="21"/>
              </w:rPr>
              <w:t>2.23</w:t>
            </w:r>
          </w:p>
        </w:tc>
      </w:tr>
      <w:tr>
        <w:trPr>
          <w:trHeight w:val="342"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15,488,390.04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31" w:right="0"/>
              <w:jc w:val="left"/>
              <w:rPr>
                <w:rFonts w:ascii="Times New Roman" w:hAnsi="Times New Roman" w:cs="Times New Roman" w:eastAsia="Times New Roman" w:hint="default"/>
                <w:sz w:val="21"/>
                <w:szCs w:val="21"/>
              </w:rPr>
            </w:pPr>
            <w:r>
              <w:rPr>
                <w:rFonts w:ascii="Times New Roman"/>
                <w:sz w:val="21"/>
              </w:rPr>
              <w:t>2.01</w:t>
            </w:r>
          </w:p>
        </w:tc>
      </w:tr>
      <w:tr>
        <w:trPr>
          <w:trHeight w:val="337" w:hRule="exact"/>
        </w:trPr>
        <w:tc>
          <w:tcPr>
            <w:tcW w:w="45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107,600,823.89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78" w:right="0"/>
              <w:jc w:val="left"/>
              <w:rPr>
                <w:rFonts w:ascii="Times New Roman" w:hAnsi="Times New Roman" w:cs="Times New Roman" w:eastAsia="Times New Roman" w:hint="default"/>
                <w:sz w:val="21"/>
                <w:szCs w:val="21"/>
              </w:rPr>
            </w:pPr>
            <w:r>
              <w:rPr>
                <w:rFonts w:ascii="Times New Roman"/>
                <w:sz w:val="21"/>
              </w:rPr>
              <w:t>13.95</w:t>
            </w:r>
          </w:p>
        </w:tc>
      </w:tr>
    </w:tbl>
    <w:p>
      <w:pPr>
        <w:spacing w:line="240" w:lineRule="auto" w:before="7"/>
        <w:rPr>
          <w:rFonts w:ascii="宋体" w:hAnsi="宋体" w:cs="宋体" w:eastAsia="宋体" w:hint="default"/>
          <w:b/>
          <w:bCs/>
          <w:sz w:val="20"/>
          <w:szCs w:val="20"/>
        </w:rPr>
      </w:pPr>
    </w:p>
    <w:p>
      <w:pPr>
        <w:pStyle w:val="Heading5"/>
        <w:tabs>
          <w:tab w:pos="8377" w:val="left" w:leader="none"/>
        </w:tabs>
        <w:spacing w:line="240" w:lineRule="auto" w:before="36"/>
        <w:ind w:right="1133"/>
        <w:jc w:val="left"/>
        <w:rPr>
          <w:b w:val="0"/>
          <w:bCs w:val="0"/>
        </w:rPr>
      </w:pPr>
      <w:r>
        <w:rPr>
          <w:spacing w:val="-1"/>
        </w:rPr>
        <w:t>主营业务成本主要成本类别</w:t>
        <w:tab/>
      </w:r>
      <w:r>
        <w:rPr/>
        <w:t>单位：元</w:t>
      </w:r>
      <w:r>
        <w:rPr>
          <w:b w:val="0"/>
          <w:bCs w:val="0"/>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1274"/>
        <w:gridCol w:w="1419"/>
        <w:gridCol w:w="1274"/>
        <w:gridCol w:w="1277"/>
        <w:gridCol w:w="1274"/>
      </w:tblGrid>
      <w:tr>
        <w:trPr>
          <w:trHeight w:val="326"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51"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20"/>
          <w:pgSz w:w="11910" w:h="16840"/>
          <w:pgMar w:footer="979" w:header="745"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51" w:type="dxa"/>
        <w:tblLayout w:type="fixed"/>
        <w:tblCellMar>
          <w:top w:w="0" w:type="dxa"/>
          <w:left w:w="0" w:type="dxa"/>
          <w:bottom w:w="0" w:type="dxa"/>
          <w:right w:w="0" w:type="dxa"/>
        </w:tblCellMar>
        <w:tblLook w:val="01E0"/>
      </w:tblPr>
      <w:tblGrid>
        <w:gridCol w:w="1271"/>
        <w:gridCol w:w="1421"/>
        <w:gridCol w:w="1274"/>
        <w:gridCol w:w="1419"/>
        <w:gridCol w:w="1274"/>
        <w:gridCol w:w="1277"/>
        <w:gridCol w:w="1274"/>
      </w:tblGrid>
      <w:tr>
        <w:trPr>
          <w:trHeight w:val="341"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27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3"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94,780,357.69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487,165.21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7,370,144.34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12,486,434.97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73,683,164.34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188,807,266.55</w:t>
            </w:r>
          </w:p>
        </w:tc>
      </w:tr>
      <w:tr>
        <w:trPr>
          <w:trHeight w:val="341"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46,341,059.90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141,611.07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32,048,340.98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2,920,787.51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2,977,302.22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84,429,101.68</w:t>
            </w:r>
          </w:p>
        </w:tc>
      </w:tr>
      <w:tr>
        <w:trPr>
          <w:trHeight w:val="343"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5,719,320.12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131,571,010.90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1,507,578.40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400,493.61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748,649.91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139,947,052.94</w:t>
            </w:r>
          </w:p>
        </w:tc>
      </w:tr>
      <w:tr>
        <w:trPr>
          <w:trHeight w:val="341"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1" w:type="dxa"/>
            <w:tcBorders>
              <w:top w:val="single" w:sz="4" w:space="0" w:color="000000"/>
              <w:left w:val="single" w:sz="6"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4,934.32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4,934.32</w:t>
            </w:r>
          </w:p>
        </w:tc>
      </w:tr>
      <w:tr>
        <w:trPr>
          <w:trHeight w:val="343" w:hRule="exact"/>
        </w:trPr>
        <w:tc>
          <w:tcPr>
            <w:tcW w:w="1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146,840,737.71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132,199,787.18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40,926,063.72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15,807,716.09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77,414,050.79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413,188,355.49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-788,694.94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6,592,027.40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8,503,332.46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5,700,000.00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45,953.29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10,780,873.39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9,723,487.98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-396,484.82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33,092.62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3,018,417.55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1,464,795.12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15,703,709.79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115"/>
        <w:jc w:val="left"/>
      </w:pPr>
      <w:r>
        <w:rPr/>
        <w:t>注：其他符合非经常性损益定义的损益项目为代扣个人所得税手续费返还。 </w:t>
      </w: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14" w:lineRule="exact" w:before="0"/>
        <w:ind w:right="986"/>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pStyle w:val="BodyText"/>
        <w:spacing w:line="240" w:lineRule="auto" w:before="63"/>
        <w:ind w:right="1133"/>
        <w:jc w:val="left"/>
      </w:pPr>
      <w:r>
        <w:rPr/>
        <w:t>说明原因。</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0.72</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0.65</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r>
        <w:rPr/>
        <w:t>第十三节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Heading6"/>
        <w:spacing w:line="319" w:lineRule="auto"/>
        <w:ind w:left="152" w:right="1133"/>
        <w:jc w:val="left"/>
      </w:pPr>
      <w:r>
        <w:rPr/>
        <w:t>一、载有法定代表人、主管会计工作负责人、会计机构负责人签名并盖章的财务报表。</w:t>
      </w:r>
      <w:r>
        <w:rPr>
          <w:w w:val="100"/>
        </w:rPr>
        <w:t> </w:t>
      </w:r>
      <w:r>
        <w:rPr/>
        <w:t>二、载有会计师事务所盖章、注册会计师签名并盖章的审计报告原件。</w:t>
      </w:r>
      <w:r>
        <w:rPr>
          <w:w w:val="100"/>
        </w:rPr>
        <w:t> </w:t>
      </w:r>
      <w:r>
        <w:rPr/>
        <w:t>三、载有公司董事长签名的</w:t>
      </w:r>
      <w:r>
        <w:rPr>
          <w:rFonts w:ascii="Times New Roman" w:hAnsi="Times New Roman" w:cs="Times New Roman" w:eastAsia="Times New Roman" w:hint="default"/>
        </w:rPr>
        <w:t>2019</w:t>
      </w:r>
      <w:r>
        <w:rPr/>
        <w:t>年年度报告文本原件。</w:t>
      </w:r>
      <w:r>
        <w:rPr>
          <w:w w:val="100"/>
        </w:rPr>
        <w:t> </w:t>
      </w:r>
      <w:r>
        <w:rPr>
          <w:spacing w:val="-2"/>
        </w:rPr>
        <w:t>四、报告期内在中国证监会指定媒体上公开披露过的所有公司文件的正本及公告的原稿。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6"/>
        <w:spacing w:line="240" w:lineRule="auto"/>
        <w:ind w:left="4353" w:right="1133"/>
        <w:jc w:val="left"/>
      </w:pPr>
      <w:r>
        <w:rPr/>
        <w:t>四川久远银海软件股份有限公司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6"/>
        <w:spacing w:line="650" w:lineRule="auto"/>
        <w:ind w:left="4867" w:right="3743" w:hanging="20"/>
        <w:jc w:val="center"/>
      </w:pPr>
      <w:r>
        <w:rPr/>
        <w:t>董事长：连春华</w:t>
      </w:r>
      <w:r>
        <w:rPr>
          <w:w w:val="100"/>
        </w:rPr>
        <w:t> </w:t>
      </w:r>
      <w:r>
        <w:rPr>
          <w:spacing w:val="-2"/>
        </w:rPr>
        <w:t>二〇二〇年四月二十四日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3224" type="#_x0000_t75" stroked="false">
          <v:imagedata r:id="rId1" o:title=""/>
        </v:shape>
      </w:pict>
    </w:r>
    <w:r>
      <w:rPr/>
      <w:pict>
        <v:shape style="position:absolute;margin-left:533.099976pt;margin-top:795.637939pt;width:6.5pt;height:11pt;mso-position-horizontal-relative:page;mso-position-vertical-relative:page;z-index:-11032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3176" type="#_x0000_t75" stroked="false">
          <v:imagedata r:id="rId1" o:title=""/>
        </v:shape>
      </w:pict>
    </w:r>
    <w:r>
      <w:rPr/>
      <w:pict>
        <v:shape style="position:absolute;margin-left:527.659973pt;margin-top:781.957947pt;width:13.15pt;height:11pt;mso-position-horizontal-relative:page;mso-position-vertical-relative:page;z-index:-11031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3128" type="#_x0000_t75" stroked="false">
          <v:imagedata r:id="rId1" o:title=""/>
        </v:shape>
      </w:pict>
    </w:r>
    <w:r>
      <w:rPr/>
      <w:pict>
        <v:shape style="position:absolute;margin-left:524.099976pt;margin-top:781.957947pt;width:15.7pt;height:11pt;mso-position-horizontal-relative:page;mso-position-vertical-relative:page;z-index:-110310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3080" type="#_x0000_t75" stroked="false">
          <v:imagedata r:id="rId1" o:title=""/>
        </v:shape>
      </w:pict>
    </w:r>
    <w:r>
      <w:rPr/>
      <w:pict>
        <v:shape style="position:absolute;margin-left:523.099976pt;margin-top:781.957947pt;width:17.7pt;height:11pt;mso-position-horizontal-relative:page;mso-position-vertical-relative:page;z-index:-11030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3032" type="#_x0000_t75" stroked="false">
          <v:imagedata r:id="rId1" o:title=""/>
        </v:shape>
      </w:pict>
    </w:r>
    <w:r>
      <w:rPr/>
      <w:pict>
        <v:shape style="position:absolute;margin-left:523.460022pt;margin-top:781.957947pt;width:17.3pt;height:11pt;mso-position-horizontal-relative:page;mso-position-vertical-relative:page;z-index:-11030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2984" type="#_x0000_t75" stroked="false">
          <v:imagedata r:id="rId1" o:title=""/>
        </v:shape>
      </w:pict>
    </w:r>
    <w:r>
      <w:rPr/>
      <w:pict>
        <v:shape style="position:absolute;margin-left:523.099976pt;margin-top:781.957947pt;width:17.7pt;height:11pt;mso-position-horizontal-relative:page;mso-position-vertical-relative:page;z-index:-1102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2936" type="#_x0000_t75" stroked="false">
          <v:imagedata r:id="rId1" o:title=""/>
        </v:shape>
      </w:pict>
    </w:r>
    <w:r>
      <w:rPr/>
      <w:pict>
        <v:shape style="position:absolute;margin-left:524.099976pt;margin-top:781.957947pt;width:15.7pt;height:11pt;mso-position-horizontal-relative:page;mso-position-vertical-relative:page;z-index:-11029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02888" type="#_x0000_t75" stroked="false">
          <v:imagedata r:id="rId1" o:title=""/>
        </v:shape>
      </w:pict>
    </w:r>
    <w:r>
      <w:rPr/>
      <w:pict>
        <v:shape style="position:absolute;margin-left:523.099976pt;margin-top:781.957947pt;width:17.7pt;height:11pt;mso-position-horizontal-relative:page;mso-position-vertical-relative:page;z-index:-1102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03248" type="#_x0000_t202" filled="false" stroked="false">
          <v:textbox inset="0,0,0,0">
            <w:txbxContent>
              <w:p>
                <w:pPr>
                  <w:pStyle w:val="BodyText"/>
                  <w:spacing w:line="214" w:lineRule="exact" w:before="0"/>
                  <w:ind w:left="20" w:right="0"/>
                  <w:jc w:val="left"/>
                </w:pPr>
                <w:r>
                  <w:rPr/>
                  <w:t>四川久远银海软件股份有限公司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ind w:left="830"/>
      <w:outlineLvl w:val="6"/>
    </w:pPr>
    <w:rPr>
      <w:rFonts w:ascii="宋体" w:hAnsi="宋体" w:eastAsia="宋体"/>
      <w:sz w:val="21"/>
      <w:szCs w:val="21"/>
    </w:rPr>
  </w:style>
  <w:style w:styleId="Heading7" w:type="paragraph">
    <w:name w:val="Heading 7"/>
    <w:basedOn w:val="Normal"/>
    <w:uiPriority w:val="1"/>
    <w:qFormat/>
    <w:pPr>
      <w:spacing w:before="50"/>
      <w:ind w:left="152"/>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inhai.com/" TargetMode="External"/><Relationship Id="rId10" Type="http://schemas.openxmlformats.org/officeDocument/2006/relationships/hyperlink" Target="mailto:public@yinhai.com" TargetMode="External"/><Relationship Id="rId11" Type="http://schemas.openxmlformats.org/officeDocument/2006/relationships/hyperlink" Target="mailto:yangchengwen@yinhai.com" TargetMode="External"/><Relationship Id="rId12" Type="http://schemas.openxmlformats.org/officeDocument/2006/relationships/hyperlink" Target="mailto:youxin@yinhai.com" TargetMode="External"/><Relationship Id="rId13" Type="http://schemas.openxmlformats.org/officeDocument/2006/relationships/hyperlink" Target="http://www.cninfo.com.cn/" TargetMode="External"/><Relationship Id="rId14" Type="http://schemas.openxmlformats.org/officeDocument/2006/relationships/hyperlink" Target="http://www.cninfo.co/" TargetMode="External"/><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四川久远银海软件股份有限公司</dc:creator>
  <dc:title>四川久远银海软件股份有限公司2019年年度报告全文</dc:title>
  <dcterms:created xsi:type="dcterms:W3CDTF">2020-05-19T07:07:18Z</dcterms:created>
  <dcterms:modified xsi:type="dcterms:W3CDTF">2020-05-19T07:07:18Z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